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42A81">
      <w:pPr>
        <w:bidi w:val="0"/>
        <w:rPr>
          <w:rFonts w:hint="default" w:ascii="Times New Roman" w:hAnsi="Times New Roman" w:cs="Times New Roman"/>
          <w:color w:val="000000" w:themeColor="text1"/>
          <w:highlight w:val="none"/>
          <w:lang w:val="en-US" w:eastAsia="zh-CN"/>
          <w14:textFill>
            <w14:solidFill>
              <w14:schemeClr w14:val="tx1"/>
            </w14:solidFill>
          </w14:textFill>
        </w:rPr>
      </w:pPr>
    </w:p>
    <w:p w14:paraId="07BC4630">
      <w:pPr>
        <w:bidi w:val="0"/>
        <w:rPr>
          <w:rFonts w:hint="default" w:ascii="Times New Roman" w:hAnsi="Times New Roman" w:cs="Times New Roman"/>
          <w:color w:val="000000" w:themeColor="text1"/>
          <w:highlight w:val="none"/>
          <w14:textFill>
            <w14:solidFill>
              <w14:schemeClr w14:val="tx1"/>
            </w14:solidFill>
          </w14:textFill>
        </w:rPr>
      </w:pPr>
    </w:p>
    <w:p w14:paraId="0CA96483">
      <w:pPr>
        <w:bidi w:val="0"/>
        <w:rPr>
          <w:rFonts w:hint="default" w:ascii="Times New Roman" w:hAnsi="Times New Roman" w:cs="Times New Roman"/>
          <w:color w:val="000000" w:themeColor="text1"/>
          <w:highlight w:val="none"/>
          <w14:textFill>
            <w14:solidFill>
              <w14:schemeClr w14:val="tx1"/>
            </w14:solidFill>
          </w14:textFill>
        </w:rPr>
      </w:pPr>
    </w:p>
    <w:p w14:paraId="5AAB5CD3">
      <w:pPr>
        <w:spacing w:line="240" w:lineRule="auto"/>
        <w:ind w:firstLine="0" w:firstLineChars="0"/>
        <w:jc w:val="center"/>
        <w:outlineLvl w:val="0"/>
        <w:rPr>
          <w:rFonts w:hint="default" w:ascii="Times New Roman" w:hAnsi="Times New Roman" w:cs="Times New Roman"/>
          <w:bCs/>
          <w:color w:val="000000" w:themeColor="text1"/>
          <w:sz w:val="48"/>
          <w:szCs w:val="48"/>
          <w:highlight w:val="none"/>
          <w14:textFill>
            <w14:solidFill>
              <w14:schemeClr w14:val="tx1"/>
            </w14:solidFill>
          </w14:textFill>
        </w:rPr>
      </w:pPr>
      <w:r>
        <w:rPr>
          <w:rFonts w:hint="default" w:ascii="Times New Roman" w:hAnsi="Times New Roman" w:eastAsia="宋体" w:cs="Times New Roman"/>
          <w:bCs/>
          <w:color w:val="000000" w:themeColor="text1"/>
          <w:sz w:val="56"/>
          <w:szCs w:val="56"/>
          <w:highlight w:val="none"/>
          <w14:textFill>
            <w14:solidFill>
              <w14:schemeClr w14:val="tx1"/>
            </w14:solidFill>
          </w14:textFill>
        </w:rPr>
        <w:t>建设项目</w:t>
      </w:r>
      <w:r>
        <w:rPr>
          <w:rFonts w:hint="eastAsia" w:cs="Times New Roman"/>
          <w:bCs/>
          <w:color w:val="000000" w:themeColor="text1"/>
          <w:sz w:val="56"/>
          <w:szCs w:val="56"/>
          <w:highlight w:val="none"/>
          <w:lang w:val="en-US" w:eastAsia="zh-CN"/>
          <w14:textFill>
            <w14:solidFill>
              <w14:schemeClr w14:val="tx1"/>
            </w14:solidFill>
          </w14:textFill>
        </w:rPr>
        <w:t>生态</w:t>
      </w:r>
      <w:r>
        <w:rPr>
          <w:rFonts w:hint="default" w:ascii="Times New Roman" w:hAnsi="Times New Roman" w:eastAsia="宋体" w:cs="Times New Roman"/>
          <w:bCs/>
          <w:color w:val="000000" w:themeColor="text1"/>
          <w:sz w:val="56"/>
          <w:szCs w:val="56"/>
          <w:highlight w:val="none"/>
          <w14:textFill>
            <w14:solidFill>
              <w14:schemeClr w14:val="tx1"/>
            </w14:solidFill>
          </w14:textFill>
        </w:rPr>
        <w:t>环境影响报告表</w:t>
      </w:r>
    </w:p>
    <w:p w14:paraId="6958DFAC">
      <w:pPr>
        <w:spacing w:before="192" w:beforeLines="80"/>
        <w:ind w:firstLine="2240" w:firstLineChars="400"/>
        <w:jc w:val="both"/>
        <w:rPr>
          <w:rFonts w:hint="default" w:ascii="Times New Roman" w:hAnsi="Times New Roman" w:cs="Times New Roman"/>
          <w:bCs/>
          <w:color w:val="000000" w:themeColor="text1"/>
          <w:sz w:val="56"/>
          <w:szCs w:val="56"/>
          <w:highlight w:val="none"/>
          <w14:textFill>
            <w14:solidFill>
              <w14:schemeClr w14:val="tx1"/>
            </w14:solidFill>
          </w14:textFill>
        </w:rPr>
      </w:pPr>
      <w:r>
        <w:rPr>
          <w:rFonts w:hint="default" w:ascii="Times New Roman" w:hAnsi="Times New Roman" w:cs="Times New Roman"/>
          <w:bCs/>
          <w:color w:val="000000" w:themeColor="text1"/>
          <w:sz w:val="56"/>
          <w:szCs w:val="56"/>
          <w:highlight w:val="none"/>
          <w14:textFill>
            <w14:solidFill>
              <w14:schemeClr w14:val="tx1"/>
            </w14:solidFill>
          </w14:textFill>
        </w:rPr>
        <w:t>（污染影响类）</w:t>
      </w:r>
    </w:p>
    <w:p w14:paraId="58BE9791">
      <w:pPr>
        <w:spacing w:line="288" w:lineRule="auto"/>
        <w:jc w:val="center"/>
        <w:outlineLvl w:val="9"/>
        <w:rPr>
          <w:rFonts w:hint="default" w:ascii="Times New Roman" w:hAnsi="Times New Roman" w:cs="Times New Roman"/>
          <w:color w:val="000000" w:themeColor="text1"/>
          <w:kern w:val="44"/>
          <w:sz w:val="44"/>
          <w:szCs w:val="44"/>
          <w:highlight w:val="none"/>
          <w14:textFill>
            <w14:solidFill>
              <w14:schemeClr w14:val="tx1"/>
            </w14:solidFill>
          </w14:textFill>
        </w:rPr>
      </w:pPr>
    </w:p>
    <w:p w14:paraId="1FF3E42A">
      <w:pPr>
        <w:ind w:firstLine="1040"/>
        <w:rPr>
          <w:rFonts w:hint="default" w:ascii="Times New Roman" w:hAnsi="Times New Roman" w:cs="Times New Roman"/>
          <w:color w:val="000000" w:themeColor="text1"/>
          <w:sz w:val="44"/>
          <w:szCs w:val="44"/>
          <w:highlight w:val="none"/>
          <w14:textFill>
            <w14:solidFill>
              <w14:schemeClr w14:val="tx1"/>
            </w14:solidFill>
          </w14:textFill>
        </w:rPr>
      </w:pPr>
    </w:p>
    <w:p w14:paraId="61887E75">
      <w:pPr>
        <w:ind w:firstLine="1040"/>
        <w:rPr>
          <w:rFonts w:hint="default" w:ascii="Times New Roman" w:hAnsi="Times New Roman" w:cs="Times New Roman"/>
          <w:color w:val="000000" w:themeColor="text1"/>
          <w:sz w:val="44"/>
          <w:szCs w:val="44"/>
          <w:highlight w:val="none"/>
          <w14:textFill>
            <w14:solidFill>
              <w14:schemeClr w14:val="tx1"/>
            </w14:solidFill>
          </w14:textFill>
        </w:rPr>
      </w:pPr>
    </w:p>
    <w:p w14:paraId="799A5CF5">
      <w:pPr>
        <w:ind w:left="1980" w:leftChars="150" w:hanging="1620" w:hangingChars="450"/>
        <w:jc w:val="both"/>
        <w:rPr>
          <w:rFonts w:hint="default" w:ascii="Times New Roman" w:hAnsi="Times New Roman" w:eastAsia="宋体" w:cs="Times New Roman"/>
          <w:color w:val="000000" w:themeColor="text1"/>
          <w:sz w:val="36"/>
          <w:szCs w:val="36"/>
          <w:highlight w:val="none"/>
          <w:u w:val="single"/>
          <w:lang w:val="en-US" w:eastAsia="zh-CN"/>
          <w14:textFill>
            <w14:solidFill>
              <w14:schemeClr w14:val="tx1"/>
            </w14:solidFill>
          </w14:textFill>
        </w:rPr>
      </w:pPr>
      <w:r>
        <w:rPr>
          <w:rFonts w:hint="default" w:ascii="Times New Roman" w:hAnsi="Times New Roman" w:cs="Times New Roman"/>
          <w:color w:val="000000" w:themeColor="text1"/>
          <w:sz w:val="36"/>
          <w:szCs w:val="36"/>
          <w:highlight w:val="none"/>
          <w14:textFill>
            <w14:solidFill>
              <w14:schemeClr w14:val="tx1"/>
            </w14:solidFill>
          </w14:textFill>
        </w:rPr>
        <w:t>项目名称：</w:t>
      </w:r>
      <w:r>
        <w:rPr>
          <w:rFonts w:hint="default" w:ascii="Times New Roman" w:hAnsi="Times New Roman" w:cs="Times New Roman"/>
          <w:color w:val="000000" w:themeColor="text1"/>
          <w:sz w:val="36"/>
          <w:szCs w:val="36"/>
          <w:highlight w:val="none"/>
          <w:u w:val="single"/>
          <w14:textFill>
            <w14:solidFill>
              <w14:schemeClr w14:val="tx1"/>
            </w14:solidFill>
          </w14:textFill>
        </w:rPr>
        <w:t>中铁隧道局新建伊阿铁路SⅩ标弃渣固废综合利用项目</w:t>
      </w:r>
      <w:r>
        <w:rPr>
          <w:rFonts w:hint="default" w:ascii="Times New Roman" w:hAnsi="Times New Roman" w:cs="Times New Roman"/>
          <w:color w:val="000000" w:themeColor="text1"/>
          <w:sz w:val="36"/>
          <w:szCs w:val="36"/>
          <w:highlight w:val="none"/>
          <w:u w:val="single"/>
          <w:lang w:val="en-US" w:eastAsia="zh-CN"/>
          <w14:textFill>
            <w14:solidFill>
              <w14:schemeClr w14:val="tx1"/>
            </w14:solidFill>
          </w14:textFill>
        </w:rPr>
        <w:t xml:space="preserve">                            </w:t>
      </w:r>
    </w:p>
    <w:p w14:paraId="154E9354">
      <w:pPr>
        <w:ind w:left="2160" w:leftChars="150" w:hanging="1800" w:hangingChars="500"/>
        <w:jc w:val="both"/>
        <w:rPr>
          <w:rFonts w:hint="default" w:ascii="Times New Roman" w:hAnsi="Times New Roman" w:eastAsia="宋体" w:cs="Times New Roman"/>
          <w:color w:val="000000" w:themeColor="text1"/>
          <w:sz w:val="36"/>
          <w:szCs w:val="36"/>
          <w:highlight w:val="none"/>
          <w:u w:val="single"/>
          <w:lang w:val="en-US" w:eastAsia="zh-CN"/>
          <w14:textFill>
            <w14:solidFill>
              <w14:schemeClr w14:val="tx1"/>
            </w14:solidFill>
          </w14:textFill>
        </w:rPr>
      </w:pPr>
      <w:r>
        <w:rPr>
          <w:rFonts w:hint="default" w:ascii="Times New Roman" w:hAnsi="Times New Roman" w:cs="Times New Roman"/>
          <w:color w:val="000000" w:themeColor="text1"/>
          <w:sz w:val="36"/>
          <w:szCs w:val="36"/>
          <w:highlight w:val="none"/>
          <w14:textFill>
            <w14:solidFill>
              <w14:schemeClr w14:val="tx1"/>
            </w14:solidFill>
          </w14:textFill>
        </w:rPr>
        <w:t>建设单位（盖章）：</w:t>
      </w:r>
      <w:r>
        <w:rPr>
          <w:rFonts w:hint="default" w:ascii="Times New Roman" w:hAnsi="Times New Roman" w:cs="Times New Roman"/>
          <w:color w:val="000000" w:themeColor="text1"/>
          <w:sz w:val="36"/>
          <w:szCs w:val="36"/>
          <w:highlight w:val="none"/>
          <w:u w:val="single"/>
          <w:lang w:val="en-US" w:eastAsia="zh-CN"/>
          <w14:textFill>
            <w14:solidFill>
              <w14:schemeClr w14:val="tx1"/>
            </w14:solidFill>
          </w14:textFill>
        </w:rPr>
        <w:t xml:space="preserve">中铁隧道局集团有限公司重庆分公司                                   </w:t>
      </w:r>
    </w:p>
    <w:p w14:paraId="74FEEFB5">
      <w:pPr>
        <w:ind w:firstLine="360" w:firstLineChars="100"/>
        <w:jc w:val="both"/>
        <w:rPr>
          <w:rFonts w:hint="default" w:ascii="Times New Roman" w:hAnsi="Times New Roman" w:cs="Times New Roman"/>
          <w:color w:val="000000" w:themeColor="text1"/>
          <w:sz w:val="36"/>
          <w:szCs w:val="36"/>
          <w:highlight w:val="none"/>
          <w:u w:val="single"/>
          <w14:textFill>
            <w14:solidFill>
              <w14:schemeClr w14:val="tx1"/>
            </w14:solidFill>
          </w14:textFill>
        </w:rPr>
      </w:pPr>
      <w:r>
        <w:rPr>
          <w:rFonts w:hint="default" w:ascii="Times New Roman" w:hAnsi="Times New Roman" w:cs="Times New Roman"/>
          <w:color w:val="000000" w:themeColor="text1"/>
          <w:sz w:val="36"/>
          <w:szCs w:val="36"/>
          <w:highlight w:val="none"/>
          <w14:textFill>
            <w14:solidFill>
              <w14:schemeClr w14:val="tx1"/>
            </w14:solidFill>
          </w14:textFill>
        </w:rPr>
        <w:t>编制日期：</w:t>
      </w:r>
      <w:r>
        <w:rPr>
          <w:rFonts w:hint="default" w:ascii="Times New Roman" w:hAnsi="Times New Roman" w:cs="Times New Roman"/>
          <w:color w:val="000000" w:themeColor="text1"/>
          <w:sz w:val="36"/>
          <w:szCs w:val="36"/>
          <w:highlight w:val="none"/>
          <w:u w:val="single"/>
          <w14:textFill>
            <w14:solidFill>
              <w14:schemeClr w14:val="tx1"/>
            </w14:solidFill>
          </w14:textFill>
        </w:rPr>
        <w:t xml:space="preserve">     </w:t>
      </w:r>
      <w:r>
        <w:rPr>
          <w:rFonts w:hint="default" w:ascii="Times New Roman" w:hAnsi="Times New Roman" w:eastAsia="方正小标宋_GBK" w:cs="Times New Roman"/>
          <w:color w:val="000000" w:themeColor="text1"/>
          <w:sz w:val="36"/>
          <w:szCs w:val="36"/>
          <w:highlight w:val="none"/>
          <w:u w:val="single"/>
          <w14:textFill>
            <w14:solidFill>
              <w14:schemeClr w14:val="tx1"/>
            </w14:solidFill>
          </w14:textFill>
        </w:rPr>
        <w:t xml:space="preserve">    </w:t>
      </w:r>
      <w:r>
        <w:rPr>
          <w:rFonts w:hint="default" w:ascii="Times New Roman" w:hAnsi="Times New Roman" w:cs="Times New Roman"/>
          <w:color w:val="000000" w:themeColor="text1"/>
          <w:sz w:val="36"/>
          <w:szCs w:val="36"/>
          <w:highlight w:val="none"/>
          <w:u w:val="single"/>
          <w14:textFill>
            <w14:solidFill>
              <w14:schemeClr w14:val="tx1"/>
            </w14:solidFill>
          </w14:textFill>
        </w:rPr>
        <w:t xml:space="preserve"> 202</w:t>
      </w:r>
      <w:r>
        <w:rPr>
          <w:rFonts w:hint="default" w:ascii="Times New Roman" w:hAnsi="Times New Roman" w:cs="Times New Roman"/>
          <w:color w:val="000000" w:themeColor="text1"/>
          <w:sz w:val="36"/>
          <w:szCs w:val="36"/>
          <w:highlight w:val="none"/>
          <w:u w:val="single"/>
          <w:lang w:val="en-US" w:eastAsia="zh-CN"/>
          <w14:textFill>
            <w14:solidFill>
              <w14:schemeClr w14:val="tx1"/>
            </w14:solidFill>
          </w14:textFill>
        </w:rPr>
        <w:t>6</w:t>
      </w:r>
      <w:r>
        <w:rPr>
          <w:rFonts w:hint="default" w:ascii="Times New Roman" w:hAnsi="Times New Roman" w:cs="Times New Roman"/>
          <w:color w:val="000000" w:themeColor="text1"/>
          <w:sz w:val="36"/>
          <w:szCs w:val="36"/>
          <w:highlight w:val="none"/>
          <w:u w:val="single"/>
          <w14:textFill>
            <w14:solidFill>
              <w14:schemeClr w14:val="tx1"/>
            </w14:solidFill>
          </w14:textFill>
        </w:rPr>
        <w:t>年</w:t>
      </w:r>
      <w:r>
        <w:rPr>
          <w:rFonts w:hint="eastAsia" w:cs="Times New Roman"/>
          <w:color w:val="000000" w:themeColor="text1"/>
          <w:sz w:val="36"/>
          <w:szCs w:val="36"/>
          <w:highlight w:val="none"/>
          <w:u w:val="single"/>
          <w:lang w:val="en-US" w:eastAsia="zh-CN"/>
          <w14:textFill>
            <w14:solidFill>
              <w14:schemeClr w14:val="tx1"/>
            </w14:solidFill>
          </w14:textFill>
        </w:rPr>
        <w:t>9</w:t>
      </w:r>
      <w:r>
        <w:rPr>
          <w:rFonts w:hint="default" w:ascii="Times New Roman" w:hAnsi="Times New Roman" w:cs="Times New Roman"/>
          <w:color w:val="000000" w:themeColor="text1"/>
          <w:sz w:val="36"/>
          <w:szCs w:val="36"/>
          <w:highlight w:val="none"/>
          <w:u w:val="single"/>
          <w14:textFill>
            <w14:solidFill>
              <w14:schemeClr w14:val="tx1"/>
            </w14:solidFill>
          </w14:textFill>
        </w:rPr>
        <w:t xml:space="preserve">月  </w:t>
      </w:r>
      <w:r>
        <w:rPr>
          <w:rFonts w:hint="default" w:ascii="Times New Roman" w:hAnsi="Times New Roman" w:cs="Times New Roman"/>
          <w:color w:val="000000" w:themeColor="text1"/>
          <w:sz w:val="36"/>
          <w:szCs w:val="36"/>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36"/>
          <w:szCs w:val="36"/>
          <w:highlight w:val="none"/>
          <w:u w:val="single"/>
          <w14:textFill>
            <w14:solidFill>
              <w14:schemeClr w14:val="tx1"/>
            </w14:solidFill>
          </w14:textFill>
        </w:rPr>
        <w:t xml:space="preserve">    </w:t>
      </w:r>
      <w:r>
        <w:rPr>
          <w:rFonts w:hint="default" w:ascii="Times New Roman" w:hAnsi="Times New Roman" w:cs="Times New Roman"/>
          <w:color w:val="000000" w:themeColor="text1"/>
          <w:sz w:val="36"/>
          <w:szCs w:val="36"/>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36"/>
          <w:szCs w:val="36"/>
          <w:highlight w:val="none"/>
          <w:u w:val="single"/>
          <w14:textFill>
            <w14:solidFill>
              <w14:schemeClr w14:val="tx1"/>
            </w14:solidFill>
          </w14:textFill>
        </w:rPr>
        <w:t xml:space="preserve"> </w:t>
      </w:r>
    </w:p>
    <w:p w14:paraId="505CA1F0">
      <w:pPr>
        <w:jc w:val="both"/>
        <w:rPr>
          <w:rFonts w:hint="default" w:ascii="Times New Roman" w:hAnsi="Times New Roman" w:cs="Times New Roman"/>
          <w:color w:val="000000" w:themeColor="text1"/>
          <w:sz w:val="36"/>
          <w:szCs w:val="36"/>
          <w:highlight w:val="none"/>
          <w:u w:val="single"/>
          <w14:textFill>
            <w14:solidFill>
              <w14:schemeClr w14:val="tx1"/>
            </w14:solidFill>
          </w14:textFill>
        </w:rPr>
      </w:pPr>
      <w:bookmarkStart w:id="0" w:name="_Hlk57884087"/>
    </w:p>
    <w:p w14:paraId="077F9F5E">
      <w:pPr>
        <w:spacing w:line="288" w:lineRule="auto"/>
        <w:ind w:firstLine="1040"/>
        <w:rPr>
          <w:rFonts w:hint="default" w:ascii="Times New Roman" w:hAnsi="Times New Roman" w:cs="Times New Roman"/>
          <w:color w:val="000000" w:themeColor="text1"/>
          <w:sz w:val="36"/>
          <w:szCs w:val="36"/>
          <w:highlight w:val="none"/>
          <w14:textFill>
            <w14:solidFill>
              <w14:schemeClr w14:val="tx1"/>
            </w14:solidFill>
          </w14:textFill>
        </w:rPr>
      </w:pPr>
    </w:p>
    <w:p w14:paraId="46706507">
      <w:pPr>
        <w:spacing w:line="288" w:lineRule="auto"/>
        <w:rPr>
          <w:rFonts w:hint="default" w:ascii="Times New Roman" w:hAnsi="Times New Roman" w:cs="Times New Roman"/>
          <w:color w:val="000000" w:themeColor="text1"/>
          <w:sz w:val="36"/>
          <w:szCs w:val="36"/>
          <w:highlight w:val="none"/>
          <w14:textFill>
            <w14:solidFill>
              <w14:schemeClr w14:val="tx1"/>
            </w14:solidFill>
          </w14:textFill>
        </w:rPr>
      </w:pPr>
    </w:p>
    <w:p w14:paraId="57F0C29B">
      <w:pPr>
        <w:spacing w:line="288" w:lineRule="auto"/>
        <w:rPr>
          <w:rFonts w:hint="default" w:ascii="Times New Roman" w:hAnsi="Times New Roman" w:cs="Times New Roman"/>
          <w:color w:val="000000" w:themeColor="text1"/>
          <w:sz w:val="36"/>
          <w:szCs w:val="36"/>
          <w:highlight w:val="none"/>
          <w14:textFill>
            <w14:solidFill>
              <w14:schemeClr w14:val="tx1"/>
            </w14:solidFill>
          </w14:textFill>
        </w:rPr>
      </w:pPr>
    </w:p>
    <w:p w14:paraId="5E8DFE02">
      <w:pPr>
        <w:spacing w:line="288" w:lineRule="auto"/>
        <w:rPr>
          <w:rFonts w:hint="default" w:ascii="Times New Roman" w:hAnsi="Times New Roman" w:cs="Times New Roman"/>
          <w:color w:val="000000" w:themeColor="text1"/>
          <w:sz w:val="36"/>
          <w:szCs w:val="36"/>
          <w:highlight w:val="none"/>
          <w14:textFill>
            <w14:solidFill>
              <w14:schemeClr w14:val="tx1"/>
            </w14:solidFill>
          </w14:textFill>
        </w:rPr>
      </w:pPr>
    </w:p>
    <w:bookmarkEnd w:id="0"/>
    <w:p w14:paraId="315EA742">
      <w:pPr>
        <w:spacing w:line="288" w:lineRule="auto"/>
        <w:jc w:val="center"/>
        <w:rPr>
          <w:rFonts w:hint="default" w:ascii="Times New Roman" w:hAnsi="Times New Roman" w:cs="Times New Roman"/>
          <w:color w:val="000000" w:themeColor="text1"/>
          <w:sz w:val="36"/>
          <w:szCs w:val="36"/>
          <w:highlight w:val="none"/>
          <w14:textFill>
            <w14:solidFill>
              <w14:schemeClr w14:val="tx1"/>
            </w14:solidFill>
          </w14:textFill>
        </w:rPr>
      </w:pPr>
      <w:r>
        <w:rPr>
          <w:rFonts w:hint="default" w:ascii="Times New Roman" w:hAnsi="Times New Roman" w:cs="Times New Roman"/>
          <w:color w:val="000000" w:themeColor="text1"/>
          <w:sz w:val="36"/>
          <w:szCs w:val="36"/>
          <w:highlight w:val="none"/>
          <w14:textFill>
            <w14:solidFill>
              <w14:schemeClr w14:val="tx1"/>
            </w14:solidFill>
          </w14:textFill>
        </w:rPr>
        <w:t>中华人民共和国生态环境部制</w:t>
      </w:r>
    </w:p>
    <w:p w14:paraId="3C3F2AF3">
      <w:pPr>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1100A258">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eastAsia="黑体" w:cs="Times New Roman"/>
          <w:color w:val="000000" w:themeColor="text1"/>
          <w:sz w:val="30"/>
          <w:szCs w:val="30"/>
          <w:highlight w:val="none"/>
          <w14:textFill>
            <w14:solidFill>
              <w14:schemeClr w14:val="tx1"/>
            </w14:solidFill>
          </w14:textFill>
        </w:rPr>
        <w:t>一、建设项目基本情况</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78"/>
        <w:gridCol w:w="2004"/>
        <w:gridCol w:w="1637"/>
        <w:gridCol w:w="1910"/>
        <w:gridCol w:w="2941"/>
      </w:tblGrid>
      <w:tr w14:paraId="193D2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168A21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建设项目名称</w:t>
            </w:r>
          </w:p>
        </w:tc>
        <w:tc>
          <w:tcPr>
            <w:tcW w:w="6488" w:type="dxa"/>
            <w:gridSpan w:val="3"/>
            <w:vAlign w:val="center"/>
          </w:tcPr>
          <w:p w14:paraId="3EE9D4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p>
        </w:tc>
      </w:tr>
      <w:tr w14:paraId="1D8E5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53E013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项目代码</w:t>
            </w:r>
          </w:p>
        </w:tc>
        <w:tc>
          <w:tcPr>
            <w:tcW w:w="6488" w:type="dxa"/>
            <w:gridSpan w:val="3"/>
            <w:vAlign w:val="center"/>
          </w:tcPr>
          <w:p w14:paraId="170D1D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750B7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0268A2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建设单位联系人</w:t>
            </w:r>
          </w:p>
        </w:tc>
        <w:tc>
          <w:tcPr>
            <w:tcW w:w="1637" w:type="dxa"/>
            <w:vAlign w:val="center"/>
          </w:tcPr>
          <w:p w14:paraId="0638A5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p>
        </w:tc>
        <w:tc>
          <w:tcPr>
            <w:tcW w:w="1910" w:type="dxa"/>
            <w:vAlign w:val="center"/>
          </w:tcPr>
          <w:p w14:paraId="79F638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联系方式</w:t>
            </w:r>
          </w:p>
        </w:tc>
        <w:tc>
          <w:tcPr>
            <w:tcW w:w="2941" w:type="dxa"/>
            <w:vAlign w:val="center"/>
          </w:tcPr>
          <w:p w14:paraId="785009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5B3F5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37FC3F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w:t>
            </w:r>
            <w:bookmarkStart w:id="24" w:name="_GoBack"/>
            <w:r>
              <w:rPr>
                <w:rFonts w:hint="default" w:ascii="Times New Roman" w:hAnsi="Times New Roman" w:cs="Times New Roman"/>
                <w:color w:val="000000" w:themeColor="text1"/>
                <w:highlight w:val="none"/>
                <w14:textFill>
                  <w14:solidFill>
                    <w14:schemeClr w14:val="tx1"/>
                  </w14:solidFill>
                </w14:textFill>
              </w:rPr>
              <w:t>地点</w:t>
            </w:r>
            <w:bookmarkEnd w:id="24"/>
          </w:p>
        </w:tc>
        <w:tc>
          <w:tcPr>
            <w:tcW w:w="6488" w:type="dxa"/>
            <w:gridSpan w:val="3"/>
            <w:vAlign w:val="center"/>
          </w:tcPr>
          <w:p w14:paraId="002672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4AFCC5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4B96F7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地理坐标</w:t>
            </w:r>
          </w:p>
        </w:tc>
        <w:tc>
          <w:tcPr>
            <w:tcW w:w="6488" w:type="dxa"/>
            <w:gridSpan w:val="3"/>
            <w:vAlign w:val="center"/>
          </w:tcPr>
          <w:p w14:paraId="45228C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p>
        </w:tc>
      </w:tr>
      <w:tr w14:paraId="3BAF4F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gridSpan w:val="2"/>
            <w:tcMar>
              <w:top w:w="16" w:type="dxa"/>
              <w:left w:w="16" w:type="dxa"/>
              <w:right w:w="16" w:type="dxa"/>
            </w:tcMar>
            <w:vAlign w:val="center"/>
          </w:tcPr>
          <w:p w14:paraId="19E92D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国民经济</w:t>
            </w:r>
          </w:p>
          <w:p w14:paraId="2FC106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行业类别</w:t>
            </w:r>
          </w:p>
        </w:tc>
        <w:tc>
          <w:tcPr>
            <w:tcW w:w="1637" w:type="dxa"/>
            <w:vAlign w:val="center"/>
          </w:tcPr>
          <w:p w14:paraId="29EE43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N7723固体废物治理；</w:t>
            </w:r>
          </w:p>
          <w:p w14:paraId="3D488B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C30</w:t>
            </w:r>
            <w:r>
              <w:rPr>
                <w:rFonts w:hint="default" w:ascii="Times New Roman" w:hAnsi="Times New Roman" w:cs="Times New Roman"/>
                <w:color w:val="000000" w:themeColor="text1"/>
                <w:highlight w:val="none"/>
                <w:lang w:val="en-US" w:eastAsia="zh-CN"/>
                <w14:textFill>
                  <w14:solidFill>
                    <w14:schemeClr w14:val="tx1"/>
                  </w14:solidFill>
                </w14:textFill>
              </w:rPr>
              <w:t>39其他建筑材料</w:t>
            </w:r>
            <w:r>
              <w:rPr>
                <w:rFonts w:hint="default" w:ascii="Times New Roman" w:hAnsi="Times New Roman" w:cs="Times New Roman"/>
                <w:color w:val="000000" w:themeColor="text1"/>
                <w:highlight w:val="none"/>
                <w14:textFill>
                  <w14:solidFill>
                    <w14:schemeClr w14:val="tx1"/>
                  </w14:solidFill>
                </w14:textFill>
              </w:rPr>
              <w:t>制造</w:t>
            </w:r>
          </w:p>
        </w:tc>
        <w:tc>
          <w:tcPr>
            <w:tcW w:w="1910" w:type="dxa"/>
            <w:vAlign w:val="center"/>
          </w:tcPr>
          <w:p w14:paraId="091BB8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bookmarkStart w:id="1" w:name="_Hlk49843745"/>
            <w:r>
              <w:rPr>
                <w:rFonts w:hint="default" w:ascii="Times New Roman" w:hAnsi="Times New Roman" w:cs="Times New Roman"/>
                <w:color w:val="000000" w:themeColor="text1"/>
                <w:highlight w:val="none"/>
                <w14:textFill>
                  <w14:solidFill>
                    <w14:schemeClr w14:val="tx1"/>
                  </w14:solidFill>
                </w14:textFill>
              </w:rPr>
              <w:t>建设项目</w:t>
            </w:r>
          </w:p>
          <w:p w14:paraId="68B0A4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行业类别</w:t>
            </w:r>
            <w:bookmarkEnd w:id="1"/>
          </w:p>
        </w:tc>
        <w:tc>
          <w:tcPr>
            <w:tcW w:w="2941" w:type="dxa"/>
            <w:vAlign w:val="center"/>
          </w:tcPr>
          <w:p w14:paraId="0964C0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四十七、生态保护和环境治理业103一般工业固体废物（含污水处理污泥）、建筑施工废弃物处置及综合利用-其他；</w:t>
            </w:r>
          </w:p>
          <w:p w14:paraId="77FFDB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二十七、非金属矿物制品业5</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砖瓦、石材等建筑材料制造303</w:t>
            </w:r>
          </w:p>
        </w:tc>
      </w:tr>
      <w:tr w14:paraId="429FA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gridSpan w:val="2"/>
            <w:tcMar>
              <w:top w:w="16" w:type="dxa"/>
              <w:left w:w="16" w:type="dxa"/>
              <w:right w:w="16" w:type="dxa"/>
            </w:tcMar>
            <w:vAlign w:val="center"/>
          </w:tcPr>
          <w:p w14:paraId="2FF4B1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建设性质</w:t>
            </w:r>
          </w:p>
        </w:tc>
        <w:tc>
          <w:tcPr>
            <w:tcW w:w="1637" w:type="dxa"/>
            <w:vAlign w:val="center"/>
          </w:tcPr>
          <w:p w14:paraId="6FB730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F052"/>
            </w:r>
            <w:r>
              <w:rPr>
                <w:rFonts w:hint="default" w:ascii="Times New Roman" w:hAnsi="Times New Roman" w:cs="Times New Roman"/>
                <w:color w:val="000000" w:themeColor="text1"/>
                <w:highlight w:val="none"/>
                <w14:textFill>
                  <w14:solidFill>
                    <w14:schemeClr w14:val="tx1"/>
                  </w14:solidFill>
                </w14:textFill>
              </w:rPr>
              <w:t>新建（迁建）</w:t>
            </w:r>
          </w:p>
          <w:p w14:paraId="565860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改建</w:t>
            </w:r>
          </w:p>
          <w:p w14:paraId="68B4A8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扩建</w:t>
            </w:r>
          </w:p>
          <w:p w14:paraId="362262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技术改造</w:t>
            </w:r>
          </w:p>
        </w:tc>
        <w:tc>
          <w:tcPr>
            <w:tcW w:w="1910" w:type="dxa"/>
            <w:vAlign w:val="center"/>
          </w:tcPr>
          <w:p w14:paraId="703F82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建设项目</w:t>
            </w:r>
          </w:p>
          <w:p w14:paraId="670253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申报情形</w:t>
            </w:r>
          </w:p>
        </w:tc>
        <w:tc>
          <w:tcPr>
            <w:tcW w:w="2941" w:type="dxa"/>
            <w:vAlign w:val="center"/>
          </w:tcPr>
          <w:p w14:paraId="0B124E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F052"/>
            </w:r>
            <w:r>
              <w:rPr>
                <w:rFonts w:hint="default" w:ascii="Times New Roman" w:hAnsi="Times New Roman" w:cs="Times New Roman"/>
                <w:color w:val="000000" w:themeColor="text1"/>
                <w:highlight w:val="none"/>
                <w14:textFill>
                  <w14:solidFill>
                    <w14:schemeClr w14:val="tx1"/>
                  </w14:solidFill>
                </w14:textFill>
              </w:rPr>
              <w:t>首次申报项目</w:t>
            </w:r>
          </w:p>
          <w:p w14:paraId="124D7D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不予批准后再次申报项目</w:t>
            </w:r>
          </w:p>
          <w:p w14:paraId="17D1FB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超五年重新审核项目</w:t>
            </w:r>
          </w:p>
          <w:p w14:paraId="36C9B8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重大变动重新报批项目</w:t>
            </w:r>
          </w:p>
        </w:tc>
      </w:tr>
      <w:tr w14:paraId="23FF45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gridSpan w:val="2"/>
            <w:tcMar>
              <w:top w:w="16" w:type="dxa"/>
              <w:left w:w="16" w:type="dxa"/>
              <w:right w:w="16" w:type="dxa"/>
            </w:tcMar>
            <w:vAlign w:val="center"/>
          </w:tcPr>
          <w:p w14:paraId="05EBE5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项目审批（核准/</w:t>
            </w:r>
          </w:p>
          <w:p w14:paraId="207313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备案）部门（选填）</w:t>
            </w:r>
          </w:p>
        </w:tc>
        <w:tc>
          <w:tcPr>
            <w:tcW w:w="1637" w:type="dxa"/>
            <w:vAlign w:val="center"/>
          </w:tcPr>
          <w:p w14:paraId="610E5F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和静县发展和改革委员会</w:t>
            </w:r>
          </w:p>
        </w:tc>
        <w:tc>
          <w:tcPr>
            <w:tcW w:w="1910" w:type="dxa"/>
            <w:vAlign w:val="center"/>
          </w:tcPr>
          <w:p w14:paraId="50603A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项目审批（核准/</w:t>
            </w:r>
          </w:p>
          <w:p w14:paraId="4C9023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备案）文号（选填）</w:t>
            </w:r>
          </w:p>
        </w:tc>
        <w:tc>
          <w:tcPr>
            <w:tcW w:w="2941" w:type="dxa"/>
            <w:vAlign w:val="center"/>
          </w:tcPr>
          <w:p w14:paraId="6199F6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B5EF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6D7F49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总投资（万元）</w:t>
            </w:r>
          </w:p>
        </w:tc>
        <w:tc>
          <w:tcPr>
            <w:tcW w:w="1637" w:type="dxa"/>
            <w:vAlign w:val="center"/>
          </w:tcPr>
          <w:p w14:paraId="49979F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300</w:t>
            </w:r>
          </w:p>
        </w:tc>
        <w:tc>
          <w:tcPr>
            <w:tcW w:w="1910" w:type="dxa"/>
            <w:tcMar>
              <w:top w:w="16" w:type="dxa"/>
              <w:left w:w="16" w:type="dxa"/>
              <w:right w:w="16" w:type="dxa"/>
            </w:tcMar>
            <w:vAlign w:val="center"/>
          </w:tcPr>
          <w:p w14:paraId="1DAEBF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环保投资（万元）</w:t>
            </w:r>
          </w:p>
        </w:tc>
        <w:tc>
          <w:tcPr>
            <w:tcW w:w="2941" w:type="dxa"/>
            <w:vAlign w:val="center"/>
          </w:tcPr>
          <w:p w14:paraId="4E5301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58</w:t>
            </w:r>
          </w:p>
        </w:tc>
      </w:tr>
      <w:tr w14:paraId="613A0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63D926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环保投资占比（%）</w:t>
            </w:r>
          </w:p>
        </w:tc>
        <w:tc>
          <w:tcPr>
            <w:tcW w:w="1637" w:type="dxa"/>
            <w:vAlign w:val="center"/>
          </w:tcPr>
          <w:p w14:paraId="6F397B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19.3</w:t>
            </w:r>
          </w:p>
        </w:tc>
        <w:tc>
          <w:tcPr>
            <w:tcW w:w="1910" w:type="dxa"/>
            <w:tcMar>
              <w:top w:w="16" w:type="dxa"/>
              <w:left w:w="16" w:type="dxa"/>
              <w:right w:w="16" w:type="dxa"/>
            </w:tcMar>
            <w:vAlign w:val="center"/>
          </w:tcPr>
          <w:p w14:paraId="3785F0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施工工期</w:t>
            </w:r>
          </w:p>
        </w:tc>
        <w:tc>
          <w:tcPr>
            <w:tcW w:w="2941" w:type="dxa"/>
            <w:vAlign w:val="center"/>
          </w:tcPr>
          <w:p w14:paraId="4D88F0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1个月</w:t>
            </w:r>
          </w:p>
        </w:tc>
      </w:tr>
      <w:tr w14:paraId="6ACCD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14:paraId="72742B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是否开工建设</w:t>
            </w:r>
          </w:p>
        </w:tc>
        <w:tc>
          <w:tcPr>
            <w:tcW w:w="1637" w:type="dxa"/>
            <w:vAlign w:val="center"/>
          </w:tcPr>
          <w:p w14:paraId="76CAC7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52"/>
            </w:r>
            <w:r>
              <w:rPr>
                <w:rFonts w:hint="default" w:ascii="Times New Roman" w:hAnsi="Times New Roman" w:cs="Times New Roman"/>
                <w:color w:val="000000" w:themeColor="text1"/>
                <w:highlight w:val="none"/>
                <w14:textFill>
                  <w14:solidFill>
                    <w14:schemeClr w14:val="tx1"/>
                  </w14:solidFill>
                </w14:textFill>
              </w:rPr>
              <w:t>否</w:t>
            </w:r>
          </w:p>
          <w:p w14:paraId="2B33CC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highlight w:val="none"/>
                <w:u w:val="single"/>
                <w:lang w:val="en-US"/>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sym w:font="Wingdings 2" w:char="00A3"/>
            </w:r>
            <w:r>
              <w:rPr>
                <w:rFonts w:hint="default" w:ascii="Times New Roman" w:hAnsi="Times New Roman" w:cs="Times New Roman"/>
                <w:color w:val="000000" w:themeColor="text1"/>
                <w:highlight w:val="none"/>
                <w14:textFill>
                  <w14:solidFill>
                    <w14:schemeClr w14:val="tx1"/>
                  </w14:solidFill>
                </w14:textFill>
              </w:rPr>
              <w:t>是：</w:t>
            </w:r>
          </w:p>
        </w:tc>
        <w:tc>
          <w:tcPr>
            <w:tcW w:w="1910" w:type="dxa"/>
            <w:tcMar>
              <w:top w:w="16" w:type="dxa"/>
              <w:left w:w="16" w:type="dxa"/>
              <w:right w:w="16" w:type="dxa"/>
            </w:tcMar>
            <w:vAlign w:val="center"/>
          </w:tcPr>
          <w:p w14:paraId="5DC5CD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spacing w:val="-6"/>
                <w:highlight w:val="none"/>
                <w14:textFill>
                  <w14:solidFill>
                    <w14:schemeClr w14:val="tx1"/>
                  </w14:solidFill>
                </w14:textFill>
              </w:rPr>
            </w:pPr>
            <w:r>
              <w:rPr>
                <w:rFonts w:hint="default" w:ascii="Times New Roman" w:hAnsi="Times New Roman" w:cs="Times New Roman"/>
                <w:color w:val="000000" w:themeColor="text1"/>
                <w:spacing w:val="-6"/>
                <w:highlight w:val="none"/>
                <w14:textFill>
                  <w14:solidFill>
                    <w14:schemeClr w14:val="tx1"/>
                  </w14:solidFill>
                </w14:textFill>
              </w:rPr>
              <w:t>用地（用海）</w:t>
            </w:r>
          </w:p>
          <w:p w14:paraId="72F02B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pacing w:val="-6"/>
                <w:highlight w:val="none"/>
                <w14:textFill>
                  <w14:solidFill>
                    <w14:schemeClr w14:val="tx1"/>
                  </w14:solidFill>
                </w14:textFill>
              </w:rPr>
              <w:t>面积（m</w:t>
            </w:r>
            <w:r>
              <w:rPr>
                <w:rFonts w:hint="default" w:ascii="Times New Roman" w:hAnsi="Times New Roman" w:cs="Times New Roman"/>
                <w:color w:val="000000" w:themeColor="text1"/>
                <w:spacing w:val="-6"/>
                <w:highlight w:val="none"/>
                <w:vertAlign w:val="superscript"/>
                <w14:textFill>
                  <w14:solidFill>
                    <w14:schemeClr w14:val="tx1"/>
                  </w14:solidFill>
                </w14:textFill>
              </w:rPr>
              <w:t>2</w:t>
            </w:r>
            <w:r>
              <w:rPr>
                <w:rFonts w:hint="default" w:ascii="Times New Roman" w:hAnsi="Times New Roman" w:cs="Times New Roman"/>
                <w:color w:val="000000" w:themeColor="text1"/>
                <w:spacing w:val="-6"/>
                <w:highlight w:val="none"/>
                <w14:textFill>
                  <w14:solidFill>
                    <w14:schemeClr w14:val="tx1"/>
                  </w14:solidFill>
                </w14:textFill>
              </w:rPr>
              <w:t>）</w:t>
            </w:r>
          </w:p>
        </w:tc>
        <w:tc>
          <w:tcPr>
            <w:tcW w:w="2941" w:type="dxa"/>
            <w:vAlign w:val="center"/>
          </w:tcPr>
          <w:p w14:paraId="0CA266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63327</w:t>
            </w:r>
          </w:p>
        </w:tc>
      </w:tr>
      <w:tr w14:paraId="3A8F2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382" w:type="dxa"/>
            <w:gridSpan w:val="2"/>
            <w:vAlign w:val="center"/>
          </w:tcPr>
          <w:p w14:paraId="2196D81C">
            <w:pPr>
              <w:autoSpaceDE w:val="0"/>
              <w:autoSpaceDN w:val="0"/>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专项评价设置情况</w:t>
            </w:r>
          </w:p>
        </w:tc>
        <w:tc>
          <w:tcPr>
            <w:tcW w:w="6488" w:type="dxa"/>
            <w:gridSpan w:val="3"/>
            <w:vAlign w:val="center"/>
          </w:tcPr>
          <w:p w14:paraId="46A287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根据《建设项目环境影响报告表编制技术指南（</w:t>
            </w:r>
            <w:r>
              <w:rPr>
                <w:rFonts w:hint="eastAsia" w:cs="Times New Roman"/>
                <w:color w:val="000000" w:themeColor="text1"/>
                <w:kern w:val="0"/>
                <w:sz w:val="24"/>
                <w:szCs w:val="24"/>
                <w:highlight w:val="none"/>
                <w:lang w:val="en-US" w:eastAsia="zh-CN" w:bidi="ar"/>
                <w14:textFill>
                  <w14:solidFill>
                    <w14:schemeClr w14:val="tx1"/>
                  </w14:solidFill>
                </w14:textFill>
              </w:rPr>
              <w:t>污染</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影响类）（试行）》的专项评价设置原则表：</w:t>
            </w:r>
          </w:p>
          <w:p w14:paraId="388D207D">
            <w:pPr>
              <w:pStyle w:val="18"/>
              <w:bidi w:val="0"/>
              <w:rPr>
                <w:rFonts w:hint="default" w:ascii="Times New Roman" w:hAnsi="Times New Roman" w:eastAsia="宋体" w:cs="Times New Roman"/>
                <w:b/>
                <w:bCs/>
                <w:color w:val="000000" w:themeColor="text1"/>
                <w:kern w:val="2"/>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专项评价设置原则表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385"/>
              <w:gridCol w:w="2428"/>
              <w:gridCol w:w="645"/>
            </w:tblGrid>
            <w:tr w14:paraId="64A8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38B8BE0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专项评价的类别</w:t>
                  </w:r>
                </w:p>
              </w:tc>
              <w:tc>
                <w:tcPr>
                  <w:tcW w:w="2385" w:type="dxa"/>
                  <w:noWrap w:val="0"/>
                  <w:vAlign w:val="center"/>
                </w:tcPr>
                <w:p w14:paraId="0F52C2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设置原则</w:t>
                  </w:r>
                </w:p>
              </w:tc>
              <w:tc>
                <w:tcPr>
                  <w:tcW w:w="2428" w:type="dxa"/>
                  <w:noWrap w:val="0"/>
                  <w:vAlign w:val="center"/>
                </w:tcPr>
                <w:p w14:paraId="0608BDC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项目情况</w:t>
                  </w:r>
                </w:p>
              </w:tc>
              <w:tc>
                <w:tcPr>
                  <w:tcW w:w="645" w:type="dxa"/>
                  <w:noWrap w:val="0"/>
                  <w:vAlign w:val="center"/>
                </w:tcPr>
                <w:p w14:paraId="450B7C7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是否做专项</w:t>
                  </w:r>
                </w:p>
              </w:tc>
            </w:tr>
            <w:tr w14:paraId="18F5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377773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大气</w:t>
                  </w:r>
                </w:p>
              </w:tc>
              <w:tc>
                <w:tcPr>
                  <w:tcW w:w="2385" w:type="dxa"/>
                  <w:noWrap w:val="0"/>
                  <w:vAlign w:val="center"/>
                </w:tcPr>
                <w:p w14:paraId="63B1873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排放废气含有毒有害污染物</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、二噁英、苯并[a]芘、氰化物、氯气且厂界外500米范围内有环境空气保护目标</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的建设项目</w:t>
                  </w:r>
                </w:p>
              </w:tc>
              <w:tc>
                <w:tcPr>
                  <w:tcW w:w="2428" w:type="dxa"/>
                  <w:noWrap w:val="0"/>
                  <w:vAlign w:val="center"/>
                </w:tcPr>
                <w:p w14:paraId="3D45F73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本项目为固体废物综合治理，排放的废气污染物为颗粒物，且500米范围内无环境空气保护目标本项目不涉及大气专项类别</w:t>
                  </w:r>
                </w:p>
              </w:tc>
              <w:tc>
                <w:tcPr>
                  <w:tcW w:w="645" w:type="dxa"/>
                  <w:noWrap w:val="0"/>
                  <w:vAlign w:val="center"/>
                </w:tcPr>
                <w:p w14:paraId="27EC499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否</w:t>
                  </w:r>
                </w:p>
              </w:tc>
            </w:tr>
            <w:tr w14:paraId="0CB2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5CD354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地</w:t>
                  </w:r>
                  <w:r>
                    <w:rPr>
                      <w:rFonts w:hint="default" w:ascii="Times New Roman" w:hAnsi="Times New Roman" w:cs="Times New Roman"/>
                      <w:color w:val="000000" w:themeColor="text1"/>
                      <w:highlight w:val="none"/>
                      <w:lang w:val="en-US" w:eastAsia="zh-CN"/>
                      <w14:textFill>
                        <w14:solidFill>
                          <w14:schemeClr w14:val="tx1"/>
                        </w14:solidFill>
                      </w14:textFill>
                    </w:rPr>
                    <w:t>表</w:t>
                  </w:r>
                  <w:r>
                    <w:rPr>
                      <w:rFonts w:hint="default" w:ascii="Times New Roman" w:hAnsi="Times New Roman" w:cs="Times New Roman"/>
                      <w:color w:val="000000" w:themeColor="text1"/>
                      <w:highlight w:val="none"/>
                      <w14:textFill>
                        <w14:solidFill>
                          <w14:schemeClr w14:val="tx1"/>
                        </w14:solidFill>
                      </w14:textFill>
                    </w:rPr>
                    <w:t>水</w:t>
                  </w:r>
                </w:p>
              </w:tc>
              <w:tc>
                <w:tcPr>
                  <w:tcW w:w="2385" w:type="dxa"/>
                  <w:noWrap w:val="0"/>
                  <w:vAlign w:val="center"/>
                </w:tcPr>
                <w:p w14:paraId="3D42224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新增工业废水直排建设项目（槽罐车外送污水处理厂的除外）；新增废水直排的污水集中处理厂</w:t>
                  </w:r>
                </w:p>
              </w:tc>
              <w:tc>
                <w:tcPr>
                  <w:tcW w:w="2428" w:type="dxa"/>
                  <w:noWrap w:val="0"/>
                  <w:vAlign w:val="center"/>
                </w:tcPr>
                <w:p w14:paraId="7A7CF1CF">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本项目为固体废物综合治理，项目运营期</w:t>
                  </w:r>
                  <w:r>
                    <w:rPr>
                      <w:rFonts w:hint="eastAsia" w:cs="Times New Roman"/>
                      <w:color w:val="000000" w:themeColor="text1"/>
                      <w:highlight w:val="none"/>
                      <w:lang w:val="en-US" w:eastAsia="zh-CN"/>
                      <w14:textFill>
                        <w14:solidFill>
                          <w14:schemeClr w14:val="tx1"/>
                        </w14:solidFill>
                      </w14:textFill>
                    </w:rPr>
                    <w:t>不设水洗砂工艺，</w:t>
                  </w:r>
                  <w:r>
                    <w:rPr>
                      <w:rFonts w:hint="default" w:ascii="Times New Roman" w:hAnsi="Times New Roman" w:cs="Times New Roman"/>
                      <w:color w:val="000000" w:themeColor="text1"/>
                      <w:highlight w:val="none"/>
                      <w:lang w:val="en-US" w:eastAsia="zh-CN"/>
                      <w14:textFill>
                        <w14:solidFill>
                          <w14:schemeClr w14:val="tx1"/>
                        </w14:solidFill>
                      </w14:textFill>
                    </w:rPr>
                    <w:t>无生产废水，工作人员居住在中铁隧道局新建伊阿铁路SⅩ标段项目部，项目部与本项目直线距离约1.9km，项目部生活污水采用化粪池收集后定期拉运至巴音布鲁克污水处理厂处理。不涉及地表水专项类别</w:t>
                  </w:r>
                </w:p>
              </w:tc>
              <w:tc>
                <w:tcPr>
                  <w:tcW w:w="645" w:type="dxa"/>
                  <w:noWrap w:val="0"/>
                  <w:vAlign w:val="center"/>
                </w:tcPr>
                <w:p w14:paraId="34E3553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否</w:t>
                  </w:r>
                </w:p>
              </w:tc>
            </w:tr>
            <w:tr w14:paraId="1BE6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760CA2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环境风险</w:t>
                  </w:r>
                </w:p>
              </w:tc>
              <w:tc>
                <w:tcPr>
                  <w:tcW w:w="2385" w:type="dxa"/>
                  <w:noWrap w:val="0"/>
                  <w:vAlign w:val="center"/>
                </w:tcPr>
                <w:p w14:paraId="5154710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有毒有害和易燃易爆危险物质存储量超过临界量</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的建设项目</w:t>
                  </w:r>
                </w:p>
              </w:tc>
              <w:tc>
                <w:tcPr>
                  <w:tcW w:w="2428" w:type="dxa"/>
                  <w:noWrap w:val="0"/>
                  <w:vAlign w:val="center"/>
                </w:tcPr>
                <w:p w14:paraId="73548C2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本项目为固体废物综合治理，柴油最大储存量0.8</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lang w:val="en-US" w:eastAsia="zh-CN"/>
                      <w14:textFill>
                        <w14:solidFill>
                          <w14:schemeClr w14:val="tx1"/>
                        </w14:solidFill>
                      </w14:textFill>
                    </w:rPr>
                    <w:t>t，废润滑油最大储存量0.1t，均未超过临界量，不涉及环境风险专项类别</w:t>
                  </w:r>
                </w:p>
              </w:tc>
              <w:tc>
                <w:tcPr>
                  <w:tcW w:w="645" w:type="dxa"/>
                  <w:noWrap w:val="0"/>
                  <w:vAlign w:val="center"/>
                </w:tcPr>
                <w:p w14:paraId="49EEED8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否</w:t>
                  </w:r>
                </w:p>
              </w:tc>
            </w:tr>
            <w:tr w14:paraId="559D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3C894CC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生态</w:t>
                  </w:r>
                </w:p>
              </w:tc>
              <w:tc>
                <w:tcPr>
                  <w:tcW w:w="2385" w:type="dxa"/>
                  <w:noWrap w:val="0"/>
                  <w:vAlign w:val="center"/>
                </w:tcPr>
                <w:p w14:paraId="0BBF85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取水口下游500米范围内有重要水生生物的自然产卵场、索饵场、越冬场和洄游通道的新增河道取水的污染类建设项目</w:t>
                  </w:r>
                </w:p>
              </w:tc>
              <w:tc>
                <w:tcPr>
                  <w:tcW w:w="2428" w:type="dxa"/>
                  <w:noWrap w:val="0"/>
                  <w:vAlign w:val="center"/>
                </w:tcPr>
                <w:p w14:paraId="6DE84F4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本项目为固体废物综合治理，不在河道取水，洒水降尘用水从中铁隧道局新建伊阿铁路12#拌合站拉运（取水许可见附件3），不涉及生态专项类别</w:t>
                  </w:r>
                </w:p>
              </w:tc>
              <w:tc>
                <w:tcPr>
                  <w:tcW w:w="645" w:type="dxa"/>
                  <w:noWrap w:val="0"/>
                  <w:vAlign w:val="center"/>
                </w:tcPr>
                <w:p w14:paraId="76CEA4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否</w:t>
                  </w:r>
                </w:p>
              </w:tc>
            </w:tr>
            <w:tr w14:paraId="3443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2775100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海洋</w:t>
                  </w:r>
                </w:p>
              </w:tc>
              <w:tc>
                <w:tcPr>
                  <w:tcW w:w="2385" w:type="dxa"/>
                  <w:noWrap w:val="0"/>
                  <w:vAlign w:val="center"/>
                </w:tcPr>
                <w:p w14:paraId="4269949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直接向海排放污染物的海洋工程建设项目</w:t>
                  </w:r>
                </w:p>
              </w:tc>
              <w:tc>
                <w:tcPr>
                  <w:tcW w:w="2428" w:type="dxa"/>
                  <w:noWrap w:val="0"/>
                  <w:vAlign w:val="center"/>
                </w:tcPr>
                <w:p w14:paraId="6E5ED8D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本项目为固体废物综合治理，不涉及海洋专项类别</w:t>
                  </w:r>
                </w:p>
              </w:tc>
              <w:tc>
                <w:tcPr>
                  <w:tcW w:w="645" w:type="dxa"/>
                  <w:noWrap w:val="0"/>
                  <w:vAlign w:val="center"/>
                </w:tcPr>
                <w:p w14:paraId="21C00E0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否</w:t>
                  </w:r>
                </w:p>
              </w:tc>
            </w:tr>
            <w:tr w14:paraId="139A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2" w:type="dxa"/>
                  <w:gridSpan w:val="4"/>
                  <w:noWrap w:val="0"/>
                  <w:vAlign w:val="center"/>
                </w:tcPr>
                <w:p w14:paraId="2C42B6C1">
                  <w:pPr>
                    <w:pStyle w:val="16"/>
                    <w:bidi w:val="0"/>
                    <w:jc w:val="left"/>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注：1.废气中有毒有害污染物指纳入《有毒有害大气污染物名录</w:t>
                  </w:r>
                  <w:r>
                    <w:rPr>
                      <w:rFonts w:hint="eastAsia" w:cs="Times New Roman"/>
                      <w:color w:val="000000" w:themeColor="text1"/>
                      <w:highlight w:val="none"/>
                      <w:lang w:val="en-US" w:eastAsia="zh-CN"/>
                      <w14:textFill>
                        <w14:solidFill>
                          <w14:schemeClr w14:val="tx1"/>
                        </w14:solidFill>
                      </w14:textFill>
                    </w:rPr>
                    <w:t>（2018年版）</w:t>
                  </w:r>
                  <w:r>
                    <w:rPr>
                      <w:rFonts w:hint="default" w:ascii="Times New Roman" w:hAnsi="Times New Roman" w:cs="Times New Roman"/>
                      <w:color w:val="000000" w:themeColor="text1"/>
                      <w:highlight w:val="none"/>
                      <w:lang w:val="en-US" w:eastAsia="zh-CN"/>
                      <w14:textFill>
                        <w14:solidFill>
                          <w14:schemeClr w14:val="tx1"/>
                        </w14:solidFill>
                      </w14:textFill>
                    </w:rPr>
                    <w:t>》的污染物（不包括无排放标准的污染物）。</w:t>
                  </w:r>
                </w:p>
                <w:p w14:paraId="6C55A4BF">
                  <w:pPr>
                    <w:pStyle w:val="16"/>
                    <w:bidi w:val="0"/>
                    <w:jc w:val="left"/>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2.环境空气保护目标指自然保护区、风景名胜区、居住区、文化区和农村地区中人群较集中的区域。</w:t>
                  </w:r>
                </w:p>
                <w:p w14:paraId="72A185AB">
                  <w:pPr>
                    <w:pStyle w:val="16"/>
                    <w:bidi w:val="0"/>
                    <w:jc w:val="left"/>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3.临界量及其计算方法可参考《建设项目环境风险评价技术导则》（HJ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169</w:t>
                  </w:r>
                  <w:r>
                    <w:rPr>
                      <w:rFonts w:hint="eastAsia" w:cs="Times New Roman"/>
                      <w:color w:val="000000" w:themeColor="text1"/>
                      <w:highlight w:val="none"/>
                      <w:lang w:val="en-US" w:eastAsia="zh-CN"/>
                      <w14:textFill>
                        <w14:solidFill>
                          <w14:schemeClr w14:val="tx1"/>
                        </w14:solidFill>
                      </w14:textFill>
                    </w:rPr>
                    <w:t>-2018</w:t>
                  </w:r>
                  <w:r>
                    <w:rPr>
                      <w:rFonts w:hint="default" w:ascii="Times New Roman" w:hAnsi="Times New Roman" w:cs="Times New Roman"/>
                      <w:color w:val="000000" w:themeColor="text1"/>
                      <w:highlight w:val="none"/>
                      <w:lang w:val="en-US" w:eastAsia="zh-CN"/>
                      <w14:textFill>
                        <w14:solidFill>
                          <w14:schemeClr w14:val="tx1"/>
                        </w14:solidFill>
                      </w14:textFill>
                    </w:rPr>
                    <w:t>）附录B、附录C。</w:t>
                  </w:r>
                </w:p>
              </w:tc>
            </w:tr>
          </w:tbl>
          <w:p w14:paraId="2EB830F1">
            <w:pPr>
              <w:autoSpaceDE w:val="0"/>
              <w:autoSpaceDN w:val="0"/>
              <w:spacing w:line="240" w:lineRule="auto"/>
              <w:ind w:firstLine="480" w:firstLineChars="20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根据上表分析，本项目为</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四十七、生态保护和环境治理业103一般工业固体废物（含污水处理污泥）、建筑施工废弃物处置及综合利用-其他；</w:t>
            </w:r>
            <w:r>
              <w:rPr>
                <w:rFonts w:hint="default" w:ascii="Times New Roman" w:hAnsi="Times New Roman" w:cs="Times New Roman"/>
                <w:color w:val="000000" w:themeColor="text1"/>
                <w:highlight w:val="none"/>
                <w14:textFill>
                  <w14:solidFill>
                    <w14:schemeClr w14:val="tx1"/>
                  </w14:solidFill>
                </w14:textFill>
              </w:rPr>
              <w:t>二十七、非金属矿物制品业5</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砖瓦、石材等建筑材料制造303</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，无需开展专项评价工作。</w:t>
            </w:r>
          </w:p>
        </w:tc>
      </w:tr>
      <w:tr w14:paraId="4AED85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82" w:type="dxa"/>
            <w:gridSpan w:val="2"/>
            <w:vAlign w:val="center"/>
          </w:tcPr>
          <w:p w14:paraId="622000E1">
            <w:pPr>
              <w:autoSpaceDE w:val="0"/>
              <w:autoSpaceDN w:val="0"/>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规划情况</w:t>
            </w:r>
          </w:p>
        </w:tc>
        <w:tc>
          <w:tcPr>
            <w:tcW w:w="6488" w:type="dxa"/>
            <w:gridSpan w:val="3"/>
            <w:vAlign w:val="center"/>
          </w:tcPr>
          <w:p w14:paraId="5B0B532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w:t>
            </w:r>
          </w:p>
        </w:tc>
      </w:tr>
      <w:tr w14:paraId="00948C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382" w:type="dxa"/>
            <w:gridSpan w:val="2"/>
            <w:vAlign w:val="center"/>
          </w:tcPr>
          <w:p w14:paraId="7669E277">
            <w:pPr>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规划环境影响</w:t>
            </w:r>
          </w:p>
          <w:p w14:paraId="5D9EF46D">
            <w:pPr>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评价情况</w:t>
            </w:r>
          </w:p>
        </w:tc>
        <w:tc>
          <w:tcPr>
            <w:tcW w:w="6488" w:type="dxa"/>
            <w:gridSpan w:val="3"/>
            <w:vAlign w:val="center"/>
          </w:tcPr>
          <w:p w14:paraId="2CAEF029">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w:t>
            </w:r>
          </w:p>
        </w:tc>
      </w:tr>
      <w:tr w14:paraId="0E6BA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2382" w:type="dxa"/>
            <w:gridSpan w:val="2"/>
            <w:vAlign w:val="center"/>
          </w:tcPr>
          <w:p w14:paraId="16B5F93D">
            <w:pPr>
              <w:autoSpaceDE w:val="0"/>
              <w:autoSpaceDN w:val="0"/>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规划及规划环境</w:t>
            </w:r>
          </w:p>
          <w:p w14:paraId="1463D8D6">
            <w:pPr>
              <w:autoSpaceDE w:val="0"/>
              <w:autoSpaceDN w:val="0"/>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影响评价符合性分析</w:t>
            </w:r>
          </w:p>
        </w:tc>
        <w:tc>
          <w:tcPr>
            <w:tcW w:w="6488" w:type="dxa"/>
            <w:gridSpan w:val="3"/>
            <w:vAlign w:val="center"/>
          </w:tcPr>
          <w:p w14:paraId="4A5C1B16">
            <w:pPr>
              <w:keepNext w:val="0"/>
              <w:keepLines w:val="0"/>
              <w:pageBreakBefore w:val="0"/>
              <w:widowControl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无</w:t>
            </w:r>
          </w:p>
        </w:tc>
      </w:tr>
      <w:tr w14:paraId="08A4A5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378" w:type="dxa"/>
            <w:vAlign w:val="center"/>
          </w:tcPr>
          <w:p w14:paraId="3B2D2657">
            <w:pPr>
              <w:autoSpaceDE w:val="0"/>
              <w:autoSpaceDN w:val="0"/>
              <w:spacing w:line="24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其他符合性分析</w:t>
            </w:r>
          </w:p>
        </w:tc>
        <w:tc>
          <w:tcPr>
            <w:tcW w:w="8492" w:type="dxa"/>
            <w:gridSpan w:val="4"/>
            <w:vAlign w:val="center"/>
          </w:tcPr>
          <w:p w14:paraId="1A1AFB79">
            <w:pPr>
              <w:pStyle w:val="3"/>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1.1项目产业政策符合性分析</w:t>
            </w:r>
          </w:p>
          <w:p w14:paraId="3B1259C2">
            <w:pPr>
              <w:keepNext w:val="0"/>
              <w:keepLines w:val="0"/>
              <w:pageBreakBefore w:val="0"/>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highlight w:val="none"/>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本项目为新建伊阿铁路隧道弃渣固废综合利用项目，利用铁路隧道开挖产生的隧道废石加工生产砂石料，实现工程固废资源化处置，产出的砂石料回用于伊阿铁路工程建设。</w:t>
            </w:r>
            <w:r>
              <w:rPr>
                <w:rFonts w:hint="eastAsia" w:eastAsia="宋体" w:cs="Times New Roman"/>
                <w:color w:val="000000" w:themeColor="text1"/>
                <w:highlight w:val="none"/>
                <w:lang w:val="en-US" w:eastAsia="zh-CN"/>
                <w14:textFill>
                  <w14:solidFill>
                    <w14:schemeClr w14:val="tx1"/>
                  </w14:solidFill>
                </w14:textFill>
              </w:rPr>
              <w:t>对照</w:t>
            </w:r>
            <w:r>
              <w:rPr>
                <w:rFonts w:hint="default" w:ascii="Times New Roman" w:hAnsi="Times New Roman" w:cs="Times New Roman"/>
                <w:color w:val="000000" w:themeColor="text1"/>
                <w:highlight w:val="none"/>
                <w14:textFill>
                  <w14:solidFill>
                    <w14:schemeClr w14:val="tx1"/>
                  </w14:solidFill>
                </w14:textFill>
              </w:rPr>
              <w:t>《产业结构调整指导目录（2024年本）》</w:t>
            </w:r>
            <w:r>
              <w:rPr>
                <w:rFonts w:hint="eastAsia" w:cs="Times New Roman"/>
                <w:color w:val="000000" w:themeColor="text1"/>
                <w:highlight w:val="none"/>
                <w:lang w:val="en-US" w:eastAsia="zh-CN"/>
                <w14:textFill>
                  <w14:solidFill>
                    <w14:schemeClr w14:val="tx1"/>
                  </w14:solidFill>
                </w14:textFill>
              </w:rPr>
              <w:t>第一类</w:t>
            </w:r>
            <w:r>
              <w:rPr>
                <w:rFonts w:hint="default" w:ascii="Times New Roman" w:hAnsi="Times New Roman" w:cs="Times New Roman"/>
                <w:color w:val="000000" w:themeColor="text1"/>
                <w:highlight w:val="none"/>
                <w:lang w:val="en-US" w:eastAsia="zh-CN"/>
                <w14:textFill>
                  <w14:solidFill>
                    <w14:schemeClr w14:val="tx1"/>
                  </w14:solidFill>
                </w14:textFill>
              </w:rPr>
              <w:t>鼓励类</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四十二、环境保护与资源节约综合利用</w:t>
            </w:r>
            <w:r>
              <w:rPr>
                <w:rFonts w:hint="default" w:ascii="Times New Roman" w:hAnsi="Times New Roman" w:cs="Times New Roman"/>
                <w:color w:val="000000" w:themeColor="text1"/>
                <w:highlight w:val="none"/>
                <w:lang w:val="en-US" w:eastAsia="zh-CN"/>
                <w14:textFill>
                  <w14:solidFill>
                    <w14:schemeClr w14:val="tx1"/>
                  </w14:solidFill>
                </w14:textFill>
              </w:rPr>
              <w:t>8.废弃物循环利用</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，该条款包含：煤矸石、粉煤灰、尾矿（共伴生矿）、冶炼渣、工业副产石膏、赤泥、建筑垃圾等工业废弃物循环利用。</w:t>
            </w:r>
          </w:p>
          <w:p w14:paraId="13DC8016">
            <w:pPr>
              <w:pStyle w:val="8"/>
              <w:keepNext w:val="0"/>
              <w:keepLines w:val="0"/>
              <w:pageBreakBefore w:val="0"/>
              <w:kinsoku/>
              <w:wordWrap/>
              <w:overflowPunct/>
              <w:topLinePunct w:val="0"/>
              <w:autoSpaceDE/>
              <w:autoSpaceDN/>
              <w:bidi w:val="0"/>
              <w:adjustRightInd w:val="0"/>
              <w:snapToGrid w:val="0"/>
              <w:spacing w:after="0"/>
              <w:textAlignment w:val="auto"/>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本项目原料为铁路隧道施工产生的隧道废石，属于工程建设产生的一般工业类弃渣，属于条款中</w:t>
            </w:r>
            <w:r>
              <w:rPr>
                <w:rFonts w:hint="eastAsia"/>
                <w:color w:val="000000" w:themeColor="text1"/>
                <w:lang w:eastAsia="zh-CN"/>
                <w14:textFill>
                  <w14:solidFill>
                    <w14:schemeClr w14:val="tx1"/>
                  </w14:solidFill>
                </w14:textFill>
              </w:rPr>
              <w:t>“</w:t>
            </w:r>
            <w:r>
              <w:rPr>
                <w:rFonts w:hint="default"/>
                <w:color w:val="000000" w:themeColor="text1"/>
                <w14:textFill>
                  <w14:solidFill>
                    <w14:schemeClr w14:val="tx1"/>
                  </w14:solidFill>
                </w14:textFill>
              </w:rPr>
              <w:t>工业废弃物循环利用</w:t>
            </w:r>
            <w:r>
              <w:rPr>
                <w:rFonts w:hint="eastAsia"/>
                <w:color w:val="000000" w:themeColor="text1"/>
                <w:lang w:eastAsia="zh-CN"/>
                <w14:textFill>
                  <w14:solidFill>
                    <w14:schemeClr w14:val="tx1"/>
                  </w14:solidFill>
                </w14:textFill>
              </w:rPr>
              <w:t>”</w:t>
            </w:r>
            <w:r>
              <w:rPr>
                <w:rFonts w:hint="default"/>
                <w:color w:val="000000" w:themeColor="text1"/>
                <w14:textFill>
                  <w14:solidFill>
                    <w14:schemeClr w14:val="tx1"/>
                  </w14:solidFill>
                </w14:textFill>
              </w:rPr>
              <w:t>范畴；项目将原本需要堆存处置的隧道弃渣通过破碎、筛分加工为合格砂石料，变工程弃渣为工程建设原材料，减少弃渣堆存占地，降低弃渣场生态扰动，实现固废减量化、资源化利用，符合鼓励类</w:t>
            </w:r>
            <w:r>
              <w:rPr>
                <w:rFonts w:hint="eastAsia"/>
                <w:color w:val="000000" w:themeColor="text1"/>
                <w:lang w:eastAsia="zh-CN"/>
                <w14:textFill>
                  <w14:solidFill>
                    <w14:schemeClr w14:val="tx1"/>
                  </w14:solidFill>
                </w14:textFill>
              </w:rPr>
              <w:t>“</w:t>
            </w:r>
            <w:r>
              <w:rPr>
                <w:rFonts w:hint="default"/>
                <w:color w:val="000000" w:themeColor="text1"/>
                <w14:textFill>
                  <w14:solidFill>
                    <w14:schemeClr w14:val="tx1"/>
                  </w14:solidFill>
                </w14:textFill>
              </w:rPr>
              <w:t>废弃物循环利用</w:t>
            </w:r>
            <w:r>
              <w:rPr>
                <w:rFonts w:hint="eastAsia"/>
                <w:color w:val="000000" w:themeColor="text1"/>
                <w:lang w:eastAsia="zh-CN"/>
                <w14:textFill>
                  <w14:solidFill>
                    <w14:schemeClr w14:val="tx1"/>
                  </w14:solidFill>
                </w14:textFill>
              </w:rPr>
              <w:t>”</w:t>
            </w:r>
            <w:r>
              <w:rPr>
                <w:rFonts w:hint="default"/>
                <w:color w:val="000000" w:themeColor="text1"/>
                <w14:textFill>
                  <w14:solidFill>
                    <w14:schemeClr w14:val="tx1"/>
                  </w14:solidFill>
                </w14:textFill>
              </w:rPr>
              <w:t>条款的政策导向与适用情形。</w:t>
            </w:r>
          </w:p>
          <w:p w14:paraId="78ABE6FA">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本项目不属于《市场准入负面清单（2025年版）》中禁止</w:t>
            </w:r>
            <w:r>
              <w:rPr>
                <w:rFonts w:hint="default" w:ascii="Times New Roman" w:hAnsi="Times New Roman" w:cs="Times New Roman"/>
                <w:color w:val="000000" w:themeColor="text1"/>
                <w:highlight w:val="none"/>
                <w:lang w:eastAsia="zh-CN"/>
                <w14:textFill>
                  <w14:solidFill>
                    <w14:schemeClr w14:val="tx1"/>
                  </w14:solidFill>
                </w14:textFill>
              </w:rPr>
              <w:t>准入</w:t>
            </w:r>
            <w:r>
              <w:rPr>
                <w:rFonts w:hint="default" w:ascii="Times New Roman" w:hAnsi="Times New Roman" w:cs="Times New Roman"/>
                <w:color w:val="000000" w:themeColor="text1"/>
                <w:highlight w:val="none"/>
                <w14:textFill>
                  <w14:solidFill>
                    <w14:schemeClr w14:val="tx1"/>
                  </w14:solidFill>
                </w14:textFill>
              </w:rPr>
              <w:t>类或特定条件的许可准入类的负面清单范围。</w:t>
            </w:r>
          </w:p>
          <w:p w14:paraId="71FB673A">
            <w:pPr>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本项目于2026年8月18日取得和静县发展和改革委员会下发的备案证，备案证号：2608181800652827000235；项目代码：2608-652827-04-03-721907。</w:t>
            </w:r>
          </w:p>
          <w:p w14:paraId="44C0E9A9">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因此，本项目符合国家及地方相关产业政策。</w:t>
            </w:r>
          </w:p>
          <w:p w14:paraId="50F0D946">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1.2选址合理性分析</w:t>
            </w:r>
          </w:p>
          <w:p w14:paraId="4345B7F8">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本项目位于</w:t>
            </w:r>
            <w:r>
              <w:rPr>
                <w:rFonts w:hint="default" w:ascii="Times New Roman" w:hAnsi="Times New Roman" w:cs="Times New Roman"/>
                <w:color w:val="000000" w:themeColor="text1"/>
                <w:highlight w:val="none"/>
                <w:lang w:val="en-US" w:eastAsia="zh-CN"/>
                <w14:textFill>
                  <w14:solidFill>
                    <w14:schemeClr w14:val="tx1"/>
                  </w14:solidFill>
                </w14:textFill>
              </w:rPr>
              <w:t>新疆维吾尔自治区巴音郭楞蒙古自治州和静县巴音布鲁克乡东北方向，直线距离约55千米处</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项目位于已建成的伊阿铁路弃渣场内，弃渣场占地面积95亩（约63327m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）。项目地理位置图见附图1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项目区北侧、西侧均为空地，东侧为G217国道，南侧为S321省道。本项目未占用生态保护红线、永久基本农田</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评价范围内无居民、自然保护区等环境敏感目标。项目原料来源于新建伊宁至阿克苏铁路隧道在施工过程中产生的隧道废石，废石堆放至《新建铁路伊宁至阿克苏线环境影响报告书》中设计的独库公路左侧渣场1弃渣场，本项目砂石料加工生产线设置在独库</w:t>
            </w:r>
            <w:r>
              <w:rPr>
                <w:rFonts w:hint="eastAsia" w:cs="Times New Roman"/>
                <w:color w:val="000000" w:themeColor="text1"/>
                <w:highlight w:val="none"/>
                <w:lang w:val="en-US" w:eastAsia="zh-CN"/>
                <w14:textFill>
                  <w14:solidFill>
                    <w14:schemeClr w14:val="tx1"/>
                  </w14:solidFill>
                </w14:textFill>
              </w:rPr>
              <w:t>公路左侧</w:t>
            </w:r>
            <w:r>
              <w:rPr>
                <w:rFonts w:hint="default" w:ascii="Times New Roman" w:hAnsi="Times New Roman" w:cs="Times New Roman"/>
                <w:color w:val="000000" w:themeColor="text1"/>
                <w:highlight w:val="none"/>
                <w:lang w:val="en-US" w:eastAsia="zh-CN"/>
                <w14:textFill>
                  <w14:solidFill>
                    <w14:schemeClr w14:val="tx1"/>
                  </w14:solidFill>
                </w14:textFill>
              </w:rPr>
              <w:t>渣场1弃渣场内，减少转运环节，减少扬尘对周围环境的影响，经济方便。运输车辆篷布苫盖，运输道路定期洒水；原料及成品堆场全封闭；配套安装雾炮机洒水降尘；生产车间全封闭，破碎、筛分等各产排污节点上方安装集气装置，收集废气经脉冲式布袋除尘装置处理后经15m高排气筒（DA001）排放，除尘效率99%。通过采取上述措施，项目扬尘对周围环境的影响是可以接受的。项目50m范围内无声环境保护目标。</w:t>
            </w:r>
          </w:p>
          <w:p w14:paraId="2538995C">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综上，本项目规划功能布局全面，各类大气污染防控措施完善可靠，项目运营产生的扬尘对周边环境影响可控，环境可行性良好</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因此，项目选址可行，具备建设条件。</w:t>
            </w:r>
          </w:p>
          <w:p w14:paraId="146FEE04">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1.3与生态环境分区管控相符性分析</w:t>
            </w:r>
          </w:p>
          <w:p w14:paraId="14040B41">
            <w:pPr>
              <w:pStyle w:val="3"/>
              <w:bidi w:val="0"/>
              <w:rPr>
                <w:rFonts w:hint="default" w:ascii="Times New Roman" w:hAnsi="Times New Roman" w:eastAsia="宋体" w:cs="Times New Roman"/>
                <w:b/>
                <w:bCs/>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1与《新疆维吾尔自治区生态环境分区管控动态更新成果》（新环环评发〔2024〕157号）符合性分析</w:t>
            </w:r>
          </w:p>
          <w:p w14:paraId="04D5D54A">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2024年11月，新疆维吾尔自治区生态环境厅发布了《关于印发&lt;新疆维吾尔自治区生态环境分区管控动态更新成果＞的通知》（新环环评发〔2024〕157号），与其符合性分析内容见表1.</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-1。</w:t>
            </w:r>
          </w:p>
          <w:p w14:paraId="7A3093E4">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表1.3-1   与《新疆维吾尔自治区生态环境分区管控动态更新成果》符合性分析</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01"/>
              <w:gridCol w:w="426"/>
              <w:gridCol w:w="516"/>
              <w:gridCol w:w="4136"/>
              <w:gridCol w:w="2209"/>
              <w:gridCol w:w="578"/>
            </w:tblGrid>
            <w:tr w14:paraId="690A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tcBorders>
                    <w:tl2br w:val="nil"/>
                    <w:tr2bl w:val="nil"/>
                  </w:tcBorders>
                  <w:noWrap w:val="0"/>
                  <w:vAlign w:val="center"/>
                </w:tcPr>
                <w:p w14:paraId="4B9C8ED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3071" w:type="pct"/>
                  <w:gridSpan w:val="3"/>
                  <w:tcBorders>
                    <w:tl2br w:val="nil"/>
                    <w:tr2bl w:val="nil"/>
                  </w:tcBorders>
                  <w:noWrap w:val="0"/>
                  <w:vAlign w:val="center"/>
                </w:tcPr>
                <w:p w14:paraId="74D20F8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管控要求</w:t>
                  </w:r>
                </w:p>
              </w:tc>
              <w:tc>
                <w:tcPr>
                  <w:tcW w:w="1336" w:type="pct"/>
                  <w:tcBorders>
                    <w:tl2br w:val="nil"/>
                    <w:tr2bl w:val="nil"/>
                  </w:tcBorders>
                  <w:noWrap w:val="0"/>
                  <w:vAlign w:val="center"/>
                </w:tcPr>
                <w:p w14:paraId="2EBD578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拟建工程</w:t>
                  </w:r>
                </w:p>
              </w:tc>
              <w:tc>
                <w:tcPr>
                  <w:tcW w:w="349" w:type="pct"/>
                  <w:tcBorders>
                    <w:tl2br w:val="nil"/>
                    <w:tr2bl w:val="nil"/>
                  </w:tcBorders>
                  <w:noWrap w:val="0"/>
                  <w:vAlign w:val="center"/>
                </w:tcPr>
                <w:p w14:paraId="5D50EE7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符合性</w:t>
                  </w:r>
                </w:p>
              </w:tc>
            </w:tr>
            <w:tr w14:paraId="6D41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restart"/>
                  <w:tcBorders>
                    <w:tl2br w:val="nil"/>
                    <w:tr2bl w:val="nil"/>
                  </w:tcBorders>
                  <w:noWrap w:val="0"/>
                  <w:vAlign w:val="center"/>
                </w:tcPr>
                <w:p w14:paraId="0308F03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新疆维吾尔自治区总体管控要求</w:t>
                  </w:r>
                </w:p>
                <w:p w14:paraId="12AF461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restart"/>
                  <w:tcBorders>
                    <w:tl2br w:val="nil"/>
                    <w:tr2bl w:val="nil"/>
                  </w:tcBorders>
                  <w:noWrap w:val="0"/>
                  <w:vAlign w:val="center"/>
                </w:tcPr>
                <w:p w14:paraId="50DC9A6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A1空间布局约束</w:t>
                  </w:r>
                </w:p>
              </w:tc>
              <w:tc>
                <w:tcPr>
                  <w:tcW w:w="312" w:type="pct"/>
                  <w:vMerge w:val="restart"/>
                  <w:tcBorders>
                    <w:tl2br w:val="nil"/>
                    <w:tr2bl w:val="nil"/>
                  </w:tcBorders>
                  <w:noWrap w:val="0"/>
                  <w:vAlign w:val="center"/>
                </w:tcPr>
                <w:p w14:paraId="689C5F4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A1.1禁止开发建设的活动</w:t>
                  </w:r>
                </w:p>
              </w:tc>
              <w:tc>
                <w:tcPr>
                  <w:tcW w:w="2501" w:type="pct"/>
                  <w:tcBorders>
                    <w:tl2br w:val="nil"/>
                    <w:tr2bl w:val="nil"/>
                  </w:tcBorders>
                  <w:noWrap w:val="0"/>
                  <w:vAlign w:val="center"/>
                </w:tcPr>
                <w:p w14:paraId="3A37760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【A1.1-1】禁止新建、扩建《产业结构调整指导目录</w:t>
                  </w:r>
                  <w:r>
                    <w:rPr>
                      <w:rFonts w:hint="default" w:ascii="Times New Roman" w:hAnsi="Times New Roman" w:cs="Times New Roman"/>
                      <w:color w:val="000000" w:themeColor="text1"/>
                      <w:highlight w:val="none"/>
                      <w:lang w:val="en-US" w:eastAsia="zh-CN"/>
                      <w14:textFill>
                        <w14:solidFill>
                          <w14:schemeClr w14:val="tx1"/>
                        </w14:solidFill>
                      </w14:textFill>
                    </w:rPr>
                    <w:t>（2024年本）</w:t>
                  </w:r>
                  <w:r>
                    <w:rPr>
                      <w:rFonts w:hint="default" w:ascii="Times New Roman" w:hAnsi="Times New Roman" w:cs="Times New Roman"/>
                      <w:color w:val="000000" w:themeColor="text1"/>
                      <w:highlight w:val="none"/>
                      <w14:textFill>
                        <w14:solidFill>
                          <w14:schemeClr w14:val="tx1"/>
                        </w14:solidFill>
                      </w14:textFill>
                    </w:rPr>
                    <w:t>》中淘汰类项目。禁止引入《市场准入负面清单</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202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年版</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》禁止准入类事项。</w:t>
                  </w:r>
                </w:p>
              </w:tc>
              <w:tc>
                <w:tcPr>
                  <w:tcW w:w="1336" w:type="pct"/>
                  <w:tcBorders>
                    <w:tl2br w:val="nil"/>
                    <w:tr2bl w:val="nil"/>
                  </w:tcBorders>
                  <w:noWrap w:val="0"/>
                  <w:vAlign w:val="center"/>
                </w:tcPr>
                <w:p w14:paraId="3143420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本项目为建筑施工弃渣综合利用，项目工艺为破碎、筛分，属于《产业结构调整指导目录（2024年本）》</w:t>
                  </w:r>
                  <w:r>
                    <w:rPr>
                      <w:rFonts w:hint="default" w:ascii="Times New Roman" w:hAnsi="Times New Roman" w:cs="Times New Roman"/>
                      <w:color w:val="000000" w:themeColor="text1"/>
                      <w:highlight w:val="none"/>
                      <w14:textFill>
                        <w14:solidFill>
                          <w14:schemeClr w14:val="tx1"/>
                        </w14:solidFill>
                      </w14:textFill>
                    </w:rPr>
                    <w:t>中的</w:t>
                  </w:r>
                  <w:r>
                    <w:rPr>
                      <w:rFonts w:hint="default" w:ascii="Times New Roman" w:hAnsi="Times New Roman" w:cs="Times New Roman"/>
                      <w:color w:val="000000" w:themeColor="text1"/>
                      <w:highlight w:val="none"/>
                      <w:lang w:val="en-US" w:eastAsia="zh-CN"/>
                      <w14:textFill>
                        <w14:solidFill>
                          <w14:schemeClr w14:val="tx1"/>
                        </w14:solidFill>
                      </w14:textFill>
                    </w:rPr>
                    <w:t>鼓励类</w:t>
                  </w:r>
                  <w:r>
                    <w:rPr>
                      <w:rFonts w:hint="default" w:ascii="Times New Roman" w:hAnsi="Times New Roman" w:cs="Times New Roman"/>
                      <w:color w:val="000000" w:themeColor="text1"/>
                      <w:highlight w:val="none"/>
                      <w14:textFill>
                        <w14:solidFill>
                          <w14:schemeClr w14:val="tx1"/>
                        </w14:solidFill>
                      </w14:textFill>
                    </w:rPr>
                    <w:t>项目，符合国家当前产业政策要求；不属于《市场准入负面清单</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202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年版</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中禁止准入类项目</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03F10EC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36EA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5E4E731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720F43B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7AA14A6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652E504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【A1.1-2】禁止建设不符合国家和自治区环境保护标准的项目。</w:t>
                  </w:r>
                </w:p>
              </w:tc>
              <w:tc>
                <w:tcPr>
                  <w:tcW w:w="1336" w:type="pct"/>
                  <w:tcBorders>
                    <w:tl2br w:val="nil"/>
                    <w:tr2bl w:val="nil"/>
                  </w:tcBorders>
                  <w:noWrap w:val="0"/>
                  <w:vAlign w:val="center"/>
                </w:tcPr>
                <w:p w14:paraId="0C76DF4B">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执行标准符合国家和自治区环境保护标准</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71D0F48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2731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6557BBF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09B111B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2AF3D9F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69539EF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【A1.1-4】禁止在水源涵养区、地下水源、饮用水源、自然保护区、风景名胜区、森林公园、重要湿地及人群密集区等生态敏感区域内进行煤炭、石油、天然气开发。</w:t>
                  </w:r>
                </w:p>
              </w:tc>
              <w:tc>
                <w:tcPr>
                  <w:tcW w:w="1336" w:type="pct"/>
                  <w:tcBorders>
                    <w:tl2br w:val="nil"/>
                    <w:tr2bl w:val="nil"/>
                  </w:tcBorders>
                  <w:noWrap w:val="0"/>
                  <w:vAlign w:val="center"/>
                </w:tcPr>
                <w:p w14:paraId="25456DE2">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占地范围内不</w:t>
                  </w:r>
                  <w:r>
                    <w:rPr>
                      <w:rFonts w:hint="default" w:ascii="Times New Roman" w:hAnsi="Times New Roman" w:cs="Times New Roman"/>
                      <w:color w:val="000000" w:themeColor="text1"/>
                      <w:highlight w:val="none"/>
                      <w:lang w:eastAsia="zh-CN"/>
                      <w14:textFill>
                        <w14:solidFill>
                          <w14:schemeClr w14:val="tx1"/>
                        </w14:solidFill>
                      </w14:textFill>
                    </w:rPr>
                    <w:t>涉及</w:t>
                  </w:r>
                  <w:r>
                    <w:rPr>
                      <w:rFonts w:hint="default" w:ascii="Times New Roman" w:hAnsi="Times New Roman" w:cs="Times New Roman"/>
                      <w:color w:val="000000" w:themeColor="text1"/>
                      <w:highlight w:val="none"/>
                      <w14:textFill>
                        <w14:solidFill>
                          <w14:schemeClr w14:val="tx1"/>
                        </w14:solidFill>
                      </w14:textFill>
                    </w:rPr>
                    <w:t>水源涵养区、地下水源、饮用水源、自然保护区、风景名胜区、森林公园、重要湿地及人群密集区等生态敏感区域</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6293937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10E8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25D0C45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37BF1DF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4429452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2B7D981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【A1.2-2】建设项目用地原则上不得占用永久基本农田，确需占用永久基本农田的建设项目须符合《中华人民共和国基本农田保护条例》中相关要求，占用耕地、林地或</w:t>
                  </w:r>
                  <w:r>
                    <w:rPr>
                      <w:rFonts w:hint="default" w:ascii="Times New Roman" w:hAnsi="Times New Roman" w:cs="Times New Roman"/>
                      <w:color w:val="000000" w:themeColor="text1"/>
                      <w:highlight w:val="none"/>
                      <w:lang w:eastAsia="zh-CN"/>
                      <w14:textFill>
                        <w14:solidFill>
                          <w14:schemeClr w14:val="tx1"/>
                        </w14:solidFill>
                      </w14:textFill>
                    </w:rPr>
                    <w:t>天然牧草地</w:t>
                  </w:r>
                  <w:r>
                    <w:rPr>
                      <w:rFonts w:hint="default" w:ascii="Times New Roman" w:hAnsi="Times New Roman" w:cs="Times New Roman"/>
                      <w:color w:val="000000" w:themeColor="text1"/>
                      <w:highlight w:val="none"/>
                      <w14:textFill>
                        <w14:solidFill>
                          <w14:schemeClr w14:val="tx1"/>
                        </w14:solidFill>
                      </w14:textFill>
                    </w:rPr>
                    <w:t>的建设项目须按照国家、自治区相关补偿要求进行补偿。</w:t>
                  </w:r>
                </w:p>
              </w:tc>
              <w:tc>
                <w:tcPr>
                  <w:tcW w:w="1336" w:type="pct"/>
                  <w:tcBorders>
                    <w:tl2br w:val="nil"/>
                    <w:tr2bl w:val="nil"/>
                  </w:tcBorders>
                  <w:noWrap w:val="0"/>
                  <w:vAlign w:val="center"/>
                </w:tcPr>
                <w:p w14:paraId="1A746BB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不占用</w:t>
                  </w:r>
                  <w:r>
                    <w:rPr>
                      <w:rFonts w:hint="default" w:ascii="Times New Roman" w:hAnsi="Times New Roman" w:cs="Times New Roman"/>
                      <w:color w:val="000000" w:themeColor="text1"/>
                      <w:highlight w:val="none"/>
                      <w:lang w:val="en-US" w:eastAsia="zh-CN"/>
                      <w14:textFill>
                        <w14:solidFill>
                          <w14:schemeClr w14:val="tx1"/>
                        </w14:solidFill>
                      </w14:textFill>
                    </w:rPr>
                    <w:t>永久</w:t>
                  </w:r>
                  <w:r>
                    <w:rPr>
                      <w:rFonts w:hint="default" w:ascii="Times New Roman" w:hAnsi="Times New Roman" w:cs="Times New Roman"/>
                      <w:color w:val="000000" w:themeColor="text1"/>
                      <w:highlight w:val="none"/>
                      <w14:textFill>
                        <w14:solidFill>
                          <w14:schemeClr w14:val="tx1"/>
                        </w14:solidFill>
                      </w14:textFill>
                    </w:rPr>
                    <w:t>基本农田</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项目占地类型为草地，已办理临时用地手续并签订补偿协议（见附件1），项目服务期满后，严格遵循</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占补平衡</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对草地进行生态恢复。</w:t>
                  </w:r>
                </w:p>
              </w:tc>
              <w:tc>
                <w:tcPr>
                  <w:tcW w:w="349" w:type="pct"/>
                  <w:tcBorders>
                    <w:tl2br w:val="nil"/>
                    <w:tr2bl w:val="nil"/>
                  </w:tcBorders>
                  <w:noWrap w:val="0"/>
                  <w:vAlign w:val="center"/>
                </w:tcPr>
                <w:p w14:paraId="2C21AD5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46A5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535EBED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2D21CDF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3C8996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2D2586F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【A1.3-2】对不符合国家产业政策、严重污染水环境的生产项目全部予以取缔。</w:t>
                  </w:r>
                </w:p>
              </w:tc>
              <w:tc>
                <w:tcPr>
                  <w:tcW w:w="1336" w:type="pct"/>
                  <w:tcBorders>
                    <w:tl2br w:val="nil"/>
                    <w:tr2bl w:val="nil"/>
                  </w:tcBorders>
                  <w:noWrap w:val="0"/>
                  <w:vAlign w:val="center"/>
                </w:tcPr>
                <w:p w14:paraId="7F127A05">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不属于严重污染水环境的生产项目</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692E113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7C79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5E067B4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restart"/>
                  <w:tcBorders>
                    <w:tl2br w:val="nil"/>
                    <w:tr2bl w:val="nil"/>
                  </w:tcBorders>
                  <w:noWrap w:val="0"/>
                  <w:vAlign w:val="center"/>
                </w:tcPr>
                <w:p w14:paraId="41700EB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A2污染物排放管控</w:t>
                  </w:r>
                </w:p>
              </w:tc>
              <w:tc>
                <w:tcPr>
                  <w:tcW w:w="312" w:type="pct"/>
                  <w:vMerge w:val="restart"/>
                  <w:tcBorders>
                    <w:tl2br w:val="nil"/>
                    <w:tr2bl w:val="nil"/>
                  </w:tcBorders>
                  <w:noWrap w:val="0"/>
                  <w:vAlign w:val="center"/>
                </w:tcPr>
                <w:p w14:paraId="5B004D6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A2.1污染物削减/替代要求</w:t>
                  </w:r>
                </w:p>
              </w:tc>
              <w:tc>
                <w:tcPr>
                  <w:tcW w:w="2501" w:type="pct"/>
                  <w:tcBorders>
                    <w:tl2br w:val="nil"/>
                    <w:tr2bl w:val="nil"/>
                  </w:tcBorders>
                  <w:noWrap w:val="0"/>
                  <w:vAlign w:val="center"/>
                </w:tcPr>
                <w:p w14:paraId="23269DB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【A2.1-1】新、改、扩建重点行业建设项目应符合</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三线一单</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、产业政策、区域环评、规划环评和行业环境准入管控要求。重点区域的新、改、扩建重点行业建设项目应遵循重点重金属污染物排放</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减量替代</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原则。</w:t>
                  </w:r>
                </w:p>
              </w:tc>
              <w:tc>
                <w:tcPr>
                  <w:tcW w:w="1336" w:type="pct"/>
                  <w:tcBorders>
                    <w:tl2br w:val="nil"/>
                    <w:tr2bl w:val="nil"/>
                  </w:tcBorders>
                  <w:noWrap w:val="0"/>
                  <w:vAlign w:val="center"/>
                </w:tcPr>
                <w:p w14:paraId="578EEF1F">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本项目为新建项目，符合产业政策和行业环境准入管控要求；本项目</w:t>
                  </w:r>
                  <w:r>
                    <w:rPr>
                      <w:rFonts w:hint="default" w:ascii="Times New Roman" w:hAnsi="Times New Roman" w:cs="Times New Roman"/>
                      <w:color w:val="000000" w:themeColor="text1"/>
                      <w:highlight w:val="none"/>
                      <w14:textFill>
                        <w14:solidFill>
                          <w14:schemeClr w14:val="tx1"/>
                        </w14:solidFill>
                      </w14:textFill>
                    </w:rPr>
                    <w:t>不属于重点行业建设项目</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4BD7D88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5FD3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48A763A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1872EC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0E2CD2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64838D9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【A2.2-4】强化用水定额管理。推进地下水超采综合治理。开展河湖生态流量</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水量</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确定工作，强化生态用水保障。</w:t>
                  </w:r>
                </w:p>
              </w:tc>
              <w:tc>
                <w:tcPr>
                  <w:tcW w:w="1336" w:type="pct"/>
                  <w:tcBorders>
                    <w:tl2br w:val="nil"/>
                    <w:tr2bl w:val="nil"/>
                  </w:tcBorders>
                  <w:noWrap w:val="0"/>
                  <w:vAlign w:val="center"/>
                </w:tcPr>
                <w:p w14:paraId="15BB6801">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本项目不设置洗砂工艺，无生产废水产生，项目运营期间用水</w:t>
                  </w:r>
                  <w:r>
                    <w:rPr>
                      <w:rFonts w:hint="default" w:ascii="Times New Roman" w:hAnsi="Times New Roman" w:cs="Times New Roman"/>
                      <w:color w:val="000000" w:themeColor="text1"/>
                      <w:highlight w:val="none"/>
                      <w14:textFill>
                        <w14:solidFill>
                          <w14:schemeClr w14:val="tx1"/>
                        </w14:solidFill>
                      </w14:textFill>
                    </w:rPr>
                    <w:t>不会超过用水总量控制指标</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766E4B6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58F2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5D9F3DA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186805E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tcBorders>
                    <w:tl2br w:val="nil"/>
                    <w:tr2bl w:val="nil"/>
                  </w:tcBorders>
                  <w:noWrap w:val="0"/>
                  <w:vAlign w:val="center"/>
                </w:tcPr>
                <w:p w14:paraId="44661ED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A2.2污染控制措施要求</w:t>
                  </w:r>
                </w:p>
              </w:tc>
              <w:tc>
                <w:tcPr>
                  <w:tcW w:w="2501" w:type="pct"/>
                  <w:tcBorders>
                    <w:tl2br w:val="nil"/>
                    <w:tr2bl w:val="nil"/>
                  </w:tcBorders>
                  <w:noWrap w:val="0"/>
                  <w:vAlign w:val="center"/>
                </w:tcPr>
                <w:p w14:paraId="5AE5DB3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336" w:type="pct"/>
                  <w:tcBorders>
                    <w:tl2br w:val="nil"/>
                    <w:tr2bl w:val="nil"/>
                  </w:tcBorders>
                  <w:noWrap w:val="0"/>
                  <w:vAlign w:val="center"/>
                </w:tcPr>
                <w:p w14:paraId="4D94BEC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本项目为建筑施工弃渣综合利用，项目工艺为破碎、筛分，不属于重点行业、重点企业。项目不设置洗砂工艺，无生产废水产生，项目用水</w:t>
                  </w:r>
                  <w:r>
                    <w:rPr>
                      <w:rFonts w:hint="default" w:ascii="Times New Roman" w:hAnsi="Times New Roman" w:cs="Times New Roman"/>
                      <w:color w:val="000000" w:themeColor="text1"/>
                      <w:highlight w:val="none"/>
                      <w14:textFill>
                        <w14:solidFill>
                          <w14:schemeClr w14:val="tx1"/>
                        </w14:solidFill>
                      </w14:textFill>
                    </w:rPr>
                    <w:t>不会超过用水总量控制指标</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281F221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5D24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1C78986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restart"/>
                  <w:tcBorders>
                    <w:tl2br w:val="nil"/>
                    <w:tr2bl w:val="nil"/>
                  </w:tcBorders>
                  <w:noWrap w:val="0"/>
                  <w:vAlign w:val="center"/>
                </w:tcPr>
                <w:p w14:paraId="4733B31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A3环境风险防控</w:t>
                  </w:r>
                </w:p>
              </w:tc>
              <w:tc>
                <w:tcPr>
                  <w:tcW w:w="312" w:type="pct"/>
                  <w:vMerge w:val="restart"/>
                  <w:tcBorders>
                    <w:tl2br w:val="nil"/>
                    <w:tr2bl w:val="nil"/>
                  </w:tcBorders>
                  <w:noWrap w:val="0"/>
                  <w:vAlign w:val="center"/>
                </w:tcPr>
                <w:p w14:paraId="777C177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A3.2</w:t>
                  </w:r>
                </w:p>
                <w:p w14:paraId="703D8DF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联防联控要求</w:t>
                  </w:r>
                </w:p>
              </w:tc>
              <w:tc>
                <w:tcPr>
                  <w:tcW w:w="2501" w:type="pct"/>
                  <w:tcBorders>
                    <w:tl2br w:val="nil"/>
                    <w:tr2bl w:val="nil"/>
                  </w:tcBorders>
                  <w:noWrap w:val="0"/>
                  <w:vAlign w:val="center"/>
                </w:tcPr>
                <w:p w14:paraId="0C67A55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【A3.2-4】加强环境风险预警防控。加强涉危</w:t>
                  </w:r>
                  <w:r>
                    <w:rPr>
                      <w:rFonts w:hint="default" w:ascii="Times New Roman" w:hAnsi="Times New Roman" w:cs="Times New Roman"/>
                      <w:color w:val="000000" w:themeColor="text1"/>
                      <w:highlight w:val="none"/>
                      <w:lang w:eastAsia="zh-CN"/>
                      <w14:textFill>
                        <w14:solidFill>
                          <w14:schemeClr w14:val="tx1"/>
                        </w14:solidFill>
                      </w14:textFill>
                    </w:rPr>
                    <w:t>险废</w:t>
                  </w:r>
                  <w:r>
                    <w:rPr>
                      <w:rFonts w:hint="default" w:ascii="Times New Roman" w:hAnsi="Times New Roman" w:cs="Times New Roman"/>
                      <w:color w:val="000000" w:themeColor="text1"/>
                      <w:highlight w:val="none"/>
                      <w14:textFill>
                        <w14:solidFill>
                          <w14:schemeClr w14:val="tx1"/>
                        </w14:solidFill>
                      </w14:textFill>
                    </w:rPr>
                    <w:t>物企业、涉重金属企业、化工园区、集中式饮用水水源地及重点流域环境风险调查评估，实施分类分级风险管控，协同推进重点区域、流域生态环境污染综合防治、风险防控与生态修复。</w:t>
                  </w:r>
                </w:p>
              </w:tc>
              <w:tc>
                <w:tcPr>
                  <w:tcW w:w="1336" w:type="pct"/>
                  <w:vMerge w:val="restart"/>
                  <w:tcBorders>
                    <w:tl2br w:val="nil"/>
                    <w:tr2bl w:val="nil"/>
                  </w:tcBorders>
                  <w:noWrap w:val="0"/>
                  <w:vAlign w:val="center"/>
                </w:tcPr>
                <w:p w14:paraId="3C6C99A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本项目为建筑施工弃渣综合利用，项目工艺为破碎、筛分，不涉及制药、化工、造纸、采选、制革、印染、电镀、农药等重点行业，项目建成后应按要求编写</w:t>
                  </w:r>
                  <w:r>
                    <w:rPr>
                      <w:rFonts w:hint="default" w:ascii="Times New Roman" w:hAnsi="Times New Roman" w:cs="Times New Roman"/>
                      <w:color w:val="000000" w:themeColor="text1"/>
                      <w:highlight w:val="none"/>
                      <w14:textFill>
                        <w14:solidFill>
                          <w14:schemeClr w14:val="tx1"/>
                        </w14:solidFill>
                      </w14:textFill>
                    </w:rPr>
                    <w:t>突发环境事件</w:t>
                  </w:r>
                  <w:r>
                    <w:rPr>
                      <w:rFonts w:hint="default" w:ascii="Times New Roman" w:hAnsi="Times New Roman" w:cs="Times New Roman"/>
                      <w:color w:val="000000" w:themeColor="text1"/>
                      <w:highlight w:val="none"/>
                      <w:lang w:val="en-US" w:eastAsia="zh-CN"/>
                      <w14:textFill>
                        <w14:solidFill>
                          <w14:schemeClr w14:val="tx1"/>
                        </w14:solidFill>
                      </w14:textFill>
                    </w:rPr>
                    <w:t>应急预案，配合和静县应急响应，符合环境风险防控要求。</w:t>
                  </w:r>
                </w:p>
              </w:tc>
              <w:tc>
                <w:tcPr>
                  <w:tcW w:w="349" w:type="pct"/>
                  <w:tcBorders>
                    <w:tl2br w:val="nil"/>
                    <w:tr2bl w:val="nil"/>
                  </w:tcBorders>
                  <w:noWrap w:val="0"/>
                  <w:vAlign w:val="center"/>
                </w:tcPr>
                <w:p w14:paraId="2E119D0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015A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315B190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1ED6808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201D22C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62DABBE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336" w:type="pct"/>
                  <w:vMerge w:val="continue"/>
                  <w:tcBorders>
                    <w:tl2br w:val="nil"/>
                    <w:tr2bl w:val="nil"/>
                  </w:tcBorders>
                  <w:noWrap w:val="0"/>
                  <w:vAlign w:val="center"/>
                </w:tcPr>
                <w:p w14:paraId="38C3C50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49" w:type="pct"/>
                  <w:tcBorders>
                    <w:tl2br w:val="nil"/>
                    <w:tr2bl w:val="nil"/>
                  </w:tcBorders>
                  <w:noWrap w:val="0"/>
                  <w:vAlign w:val="center"/>
                </w:tcPr>
                <w:p w14:paraId="6FB9EFC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16D8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7A27046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restart"/>
                  <w:tcBorders>
                    <w:tl2br w:val="nil"/>
                    <w:tr2bl w:val="nil"/>
                  </w:tcBorders>
                  <w:noWrap w:val="0"/>
                  <w:vAlign w:val="center"/>
                </w:tcPr>
                <w:p w14:paraId="67138E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A4资源</w:t>
                  </w:r>
                  <w:r>
                    <w:rPr>
                      <w:rFonts w:hint="default" w:ascii="Times New Roman" w:hAnsi="Times New Roman" w:cs="Times New Roman"/>
                      <w:color w:val="000000" w:themeColor="text1"/>
                      <w:highlight w:val="none"/>
                      <w:lang w:val="en-US" w:eastAsia="zh-CN"/>
                      <w14:textFill>
                        <w14:solidFill>
                          <w14:schemeClr w14:val="tx1"/>
                        </w14:solidFill>
                      </w14:textFill>
                    </w:rPr>
                    <w:t>利用要求</w:t>
                  </w:r>
                </w:p>
              </w:tc>
              <w:tc>
                <w:tcPr>
                  <w:tcW w:w="312" w:type="pct"/>
                  <w:vMerge w:val="restart"/>
                  <w:tcBorders>
                    <w:tl2br w:val="nil"/>
                    <w:tr2bl w:val="nil"/>
                  </w:tcBorders>
                  <w:noWrap w:val="0"/>
                  <w:vAlign w:val="center"/>
                </w:tcPr>
                <w:p w14:paraId="5E887BD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A4.1</w:t>
                  </w:r>
                </w:p>
                <w:p w14:paraId="19AD72E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水资源</w:t>
                  </w:r>
                </w:p>
              </w:tc>
              <w:tc>
                <w:tcPr>
                  <w:tcW w:w="2501" w:type="pct"/>
                  <w:tcBorders>
                    <w:tl2br w:val="nil"/>
                    <w:tr2bl w:val="nil"/>
                  </w:tcBorders>
                  <w:noWrap w:val="0"/>
                  <w:vAlign w:val="center"/>
                </w:tcPr>
                <w:p w14:paraId="20DF6B8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【A4.1-1】自治区用水总量2025年、2030年控制在国家下达的指标内。</w:t>
                  </w:r>
                </w:p>
              </w:tc>
              <w:tc>
                <w:tcPr>
                  <w:tcW w:w="1336" w:type="pct"/>
                  <w:tcBorders>
                    <w:tl2br w:val="nil"/>
                    <w:tr2bl w:val="nil"/>
                  </w:tcBorders>
                  <w:noWrap w:val="0"/>
                  <w:vAlign w:val="center"/>
                </w:tcPr>
                <w:p w14:paraId="2309C7E0">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本项目不设置洗砂工艺，无生产废水产生，</w:t>
                  </w:r>
                  <w:r>
                    <w:rPr>
                      <w:rFonts w:hint="default" w:ascii="Times New Roman" w:hAnsi="Times New Roman" w:cs="Times New Roman"/>
                      <w:color w:val="000000" w:themeColor="text1"/>
                      <w:highlight w:val="none"/>
                      <w14:textFill>
                        <w14:solidFill>
                          <w14:schemeClr w14:val="tx1"/>
                        </w14:solidFill>
                      </w14:textFill>
                    </w:rPr>
                    <w:t>不会超过用水总量控制指标</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120C758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39D3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0C80E1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739B71F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vMerge w:val="continue"/>
                  <w:tcBorders>
                    <w:tl2br w:val="nil"/>
                    <w:tr2bl w:val="nil"/>
                  </w:tcBorders>
                  <w:noWrap w:val="0"/>
                  <w:vAlign w:val="center"/>
                </w:tcPr>
                <w:p w14:paraId="3DC6BCC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01" w:type="pct"/>
                  <w:tcBorders>
                    <w:tl2br w:val="nil"/>
                    <w:tr2bl w:val="nil"/>
                  </w:tcBorders>
                  <w:noWrap w:val="0"/>
                  <w:vAlign w:val="center"/>
                </w:tcPr>
                <w:p w14:paraId="4D0BBFD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【A4.1-3】地下水资源利用实行总量控制和水位控制。取用地下水资源，应当按照国家和自治区有关规定申请取水许可。地下水利用应当以浅层地下水为主。</w:t>
                  </w:r>
                </w:p>
              </w:tc>
              <w:tc>
                <w:tcPr>
                  <w:tcW w:w="1336" w:type="pct"/>
                  <w:tcBorders>
                    <w:tl2br w:val="nil"/>
                    <w:tr2bl w:val="nil"/>
                  </w:tcBorders>
                  <w:noWrap w:val="0"/>
                  <w:vAlign w:val="center"/>
                </w:tcPr>
                <w:p w14:paraId="5EF6DDFC">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本项目不使用地下水，洒水降尘用水从中铁隧道局新建伊阿铁路12#拌合站拉运（取水许可见附件3）</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51D7F56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4134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2" w:type="pct"/>
                  <w:vMerge w:val="continue"/>
                  <w:tcBorders>
                    <w:tl2br w:val="nil"/>
                    <w:tr2bl w:val="nil"/>
                  </w:tcBorders>
                  <w:noWrap w:val="0"/>
                  <w:vAlign w:val="center"/>
                </w:tcPr>
                <w:p w14:paraId="447FB4C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57" w:type="pct"/>
                  <w:vMerge w:val="continue"/>
                  <w:tcBorders>
                    <w:tl2br w:val="nil"/>
                    <w:tr2bl w:val="nil"/>
                  </w:tcBorders>
                  <w:noWrap w:val="0"/>
                  <w:vAlign w:val="center"/>
                </w:tcPr>
                <w:p w14:paraId="2A31FB6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2" w:type="pct"/>
                  <w:tcBorders>
                    <w:tl2br w:val="nil"/>
                    <w:tr2bl w:val="nil"/>
                  </w:tcBorders>
                  <w:noWrap w:val="0"/>
                  <w:vAlign w:val="center"/>
                </w:tcPr>
                <w:p w14:paraId="65C7500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A4.2土地资源</w:t>
                  </w:r>
                </w:p>
              </w:tc>
              <w:tc>
                <w:tcPr>
                  <w:tcW w:w="2501" w:type="pct"/>
                  <w:tcBorders>
                    <w:tl2br w:val="nil"/>
                    <w:tr2bl w:val="nil"/>
                  </w:tcBorders>
                  <w:noWrap w:val="0"/>
                  <w:vAlign w:val="center"/>
                </w:tcPr>
                <w:p w14:paraId="0DFFB58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【A4.2-1】土地资源上线指标控制在最终批复的国土空间规划控制指标内。</w:t>
                  </w:r>
                </w:p>
              </w:tc>
              <w:tc>
                <w:tcPr>
                  <w:tcW w:w="1336" w:type="pct"/>
                  <w:tcBorders>
                    <w:tl2br w:val="nil"/>
                    <w:tr2bl w:val="nil"/>
                  </w:tcBorders>
                  <w:noWrap w:val="0"/>
                  <w:vAlign w:val="center"/>
                </w:tcPr>
                <w:p w14:paraId="1169A6A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w:t>
                  </w:r>
                  <w:r>
                    <w:rPr>
                      <w:rFonts w:hint="default" w:ascii="Times New Roman" w:hAnsi="Times New Roman" w:cs="Times New Roman"/>
                      <w:color w:val="000000" w:themeColor="text1"/>
                      <w:highlight w:val="none"/>
                      <w14:textFill>
                        <w14:solidFill>
                          <w14:schemeClr w14:val="tx1"/>
                        </w14:solidFill>
                      </w14:textFill>
                    </w:rPr>
                    <w:t>对土地资源占用较少，土地资源消耗符合要求</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9" w:type="pct"/>
                  <w:tcBorders>
                    <w:tl2br w:val="nil"/>
                    <w:tr2bl w:val="nil"/>
                  </w:tcBorders>
                  <w:noWrap w:val="0"/>
                  <w:vAlign w:val="center"/>
                </w:tcPr>
                <w:p w14:paraId="15A103D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bl>
          <w:p w14:paraId="19E5909B">
            <w:pPr>
              <w:pStyle w:val="3"/>
              <w:bidi w:val="0"/>
              <w:rPr>
                <w:rFonts w:hint="default" w:ascii="Times New Roman" w:hAnsi="Times New Roman" w:cs="Times New Roman"/>
                <w:b/>
                <w:bCs/>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1.3.</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与《关于印发巴音郭楞蒙古自治州</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三线一单</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生态环境分区管控动态更新成果（2023年）的通知》（巴政办发〔2024〕32号）符合性分析</w:t>
            </w:r>
          </w:p>
          <w:p w14:paraId="19D8103E">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2024年12月9日，巴音郭楞蒙古自治州人民政府办公室发布《关于印发巴音郭楞蒙古自治州</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三线一单</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生态环境分区管控动态更新成果（2023年）的通知》（巴政办发〔2024〕32号），本项目为和静县一般管控单元（ZH65282730001）、和静县大气弱扩散区ZH65282720002。</w:t>
            </w:r>
          </w:p>
          <w:p w14:paraId="5E5620C3">
            <w:pPr>
              <w:bidi w:val="0"/>
              <w:rPr>
                <w:rFonts w:hint="default" w:ascii="Times New Roman" w:hAnsi="Times New Roman" w:cs="Times New Roman"/>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项目与《巴音郭楞蒙古自治州生态环境准入清单（2023年）》符合性分析见表1.3-</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，项目与自然保护区位置关系图见附图2，环境管控单元分类图详见附图3。</w:t>
            </w:r>
          </w:p>
          <w:p w14:paraId="45DED710">
            <w:pPr>
              <w:pStyle w:val="18"/>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表1.3-</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与《巴音郭楞蒙古自治州生态环境准入清单</w:t>
            </w:r>
            <w:r>
              <w:rPr>
                <w:rFonts w:hint="eastAsia" w:cs="Times New Roman"/>
                <w:color w:val="000000" w:themeColor="text1"/>
                <w:highlight w:val="none"/>
                <w:lang w:val="en-US" w:eastAsia="zh-CN"/>
                <w14:textFill>
                  <w14:solidFill>
                    <w14:schemeClr w14:val="tx1"/>
                  </w14:solidFill>
                </w14:textFill>
              </w:rPr>
              <w:t>（2023年）</w:t>
            </w:r>
            <w:r>
              <w:rPr>
                <w:rFonts w:hint="default" w:ascii="Times New Roman" w:hAnsi="Times New Roman" w:cs="Times New Roman"/>
                <w:color w:val="000000" w:themeColor="text1"/>
                <w:highlight w:val="none"/>
                <w:lang w:val="en-US" w:eastAsia="zh-CN"/>
                <w14:textFill>
                  <w14:solidFill>
                    <w14:schemeClr w14:val="tx1"/>
                  </w14:solidFill>
                </w14:textFill>
              </w:rPr>
              <w:t>》相符性分析</w:t>
            </w:r>
          </w:p>
          <w:tbl>
            <w:tblPr>
              <w:tblStyle w:val="24"/>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3"/>
              <w:gridCol w:w="316"/>
              <w:gridCol w:w="3846"/>
              <w:gridCol w:w="3101"/>
              <w:gridCol w:w="689"/>
            </w:tblGrid>
            <w:tr w14:paraId="2092C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80" w:type="pct"/>
                  <w:gridSpan w:val="2"/>
                  <w:tcBorders>
                    <w:tl2br w:val="nil"/>
                    <w:tr2bl w:val="nil"/>
                  </w:tcBorders>
                  <w:noWrap w:val="0"/>
                  <w:vAlign w:val="center"/>
                </w:tcPr>
                <w:p w14:paraId="1B5CE32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名称</w:t>
                  </w:r>
                </w:p>
              </w:tc>
              <w:tc>
                <w:tcPr>
                  <w:tcW w:w="2326" w:type="pct"/>
                  <w:tcBorders>
                    <w:tl2br w:val="nil"/>
                    <w:tr2bl w:val="nil"/>
                  </w:tcBorders>
                  <w:noWrap w:val="0"/>
                  <w:vAlign w:val="center"/>
                </w:tcPr>
                <w:p w14:paraId="3F4C438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管控要求</w:t>
                  </w:r>
                </w:p>
              </w:tc>
              <w:tc>
                <w:tcPr>
                  <w:tcW w:w="1875" w:type="pct"/>
                  <w:tcBorders>
                    <w:tl2br w:val="nil"/>
                    <w:tr2bl w:val="nil"/>
                  </w:tcBorders>
                  <w:noWrap w:val="0"/>
                  <w:vAlign w:val="center"/>
                </w:tcPr>
                <w:p w14:paraId="2436980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w:t>
                  </w:r>
                </w:p>
              </w:tc>
              <w:tc>
                <w:tcPr>
                  <w:tcW w:w="416" w:type="pct"/>
                  <w:tcBorders>
                    <w:tl2br w:val="nil"/>
                    <w:tr2bl w:val="nil"/>
                  </w:tcBorders>
                  <w:noWrap w:val="0"/>
                  <w:vAlign w:val="center"/>
                </w:tcPr>
                <w:p w14:paraId="1FF1E94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符合性</w:t>
                  </w:r>
                </w:p>
              </w:tc>
            </w:tr>
            <w:tr w14:paraId="0F462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restart"/>
                  <w:tcBorders>
                    <w:tl2br w:val="nil"/>
                    <w:tr2bl w:val="nil"/>
                  </w:tcBorders>
                  <w:noWrap w:val="0"/>
                  <w:vAlign w:val="center"/>
                </w:tcPr>
                <w:p w14:paraId="6C3DE936">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总体管控要求</w:t>
                  </w:r>
                </w:p>
              </w:tc>
              <w:tc>
                <w:tcPr>
                  <w:tcW w:w="191" w:type="pct"/>
                  <w:tcBorders>
                    <w:tl2br w:val="nil"/>
                    <w:tr2bl w:val="nil"/>
                  </w:tcBorders>
                  <w:noWrap w:val="0"/>
                  <w:vAlign w:val="center"/>
                </w:tcPr>
                <w:p w14:paraId="1E255804">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空间布局约束</w:t>
                  </w:r>
                </w:p>
              </w:tc>
              <w:tc>
                <w:tcPr>
                  <w:tcW w:w="2326" w:type="pct"/>
                  <w:tcBorders>
                    <w:tl2br w:val="nil"/>
                    <w:tr2bl w:val="nil"/>
                  </w:tcBorders>
                  <w:noWrap w:val="0"/>
                  <w:vAlign w:val="center"/>
                </w:tcPr>
                <w:p w14:paraId="72F2001D">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1.11 </w:t>
                  </w:r>
                  <w:r>
                    <w:rPr>
                      <w:rFonts w:hint="default" w:ascii="Times New Roman" w:hAnsi="Times New Roman" w:cs="Times New Roman"/>
                      <w:color w:val="000000" w:themeColor="text1"/>
                      <w:highlight w:val="none"/>
                      <w14:textFill>
                        <w14:solidFill>
                          <w14:schemeClr w14:val="tx1"/>
                        </w14:solidFill>
                      </w14:textFill>
                    </w:rPr>
                    <w:t>强化空间布局管控。严格执行相关行业企业布局选址要求，禁止在居民区、学校、医疗和养老机构等周边新建土壤环境重点监管行业企业；结合推进新型城镇化、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w:t>
                  </w:r>
                </w:p>
              </w:tc>
              <w:tc>
                <w:tcPr>
                  <w:tcW w:w="1875" w:type="pct"/>
                  <w:tcBorders>
                    <w:tl2br w:val="nil"/>
                    <w:tr2bl w:val="nil"/>
                  </w:tcBorders>
                  <w:noWrap w:val="0"/>
                  <w:vAlign w:val="center"/>
                </w:tcPr>
                <w:p w14:paraId="5A990EF5">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项目位于</w:t>
                  </w:r>
                  <w:r>
                    <w:rPr>
                      <w:rFonts w:hint="default" w:ascii="Times New Roman" w:hAnsi="Times New Roman" w:cs="Times New Roman"/>
                      <w:color w:val="000000" w:themeColor="text1"/>
                      <w:highlight w:val="none"/>
                      <w:lang w:val="en-US" w:eastAsia="zh-CN"/>
                      <w14:textFill>
                        <w14:solidFill>
                          <w14:schemeClr w14:val="tx1"/>
                        </w14:solidFill>
                      </w14:textFill>
                    </w:rPr>
                    <w:t>新疆维吾尔自治区巴音郭楞蒙古自治州</w:t>
                  </w:r>
                  <w:r>
                    <w:rPr>
                      <w:rFonts w:hint="default" w:ascii="Times New Roman" w:hAnsi="Times New Roman" w:eastAsia="宋体" w:cs="Times New Roman"/>
                      <w:color w:val="000000" w:themeColor="text1"/>
                      <w:highlight w:val="none"/>
                      <w:lang w:val="en-US" w:eastAsia="zh-CN"/>
                      <w14:textFill>
                        <w14:solidFill>
                          <w14:schemeClr w14:val="tx1"/>
                        </w14:solidFill>
                      </w14:textFill>
                    </w:rPr>
                    <w:t>和静县巴音布鲁克乡东北方向，直线距离约55千米处</w:t>
                  </w:r>
                  <w:r>
                    <w:rPr>
                      <w:rFonts w:hint="eastAsia" w:cs="Times New Roman"/>
                      <w:color w:val="000000" w:themeColor="text1"/>
                      <w:highlight w:val="none"/>
                      <w:lang w:val="en-US" w:eastAsia="zh-CN"/>
                      <w14:textFill>
                        <w14:solidFill>
                          <w14:schemeClr w14:val="tx1"/>
                        </w14:solidFill>
                      </w14:textFill>
                    </w:rPr>
                    <w:t>，项目选址远离居民区、学校、医疗和养老机构。本项目属于固废综合利用，将修建铁路产生的隧道弃渣进行破碎、筛分后资源化利用，工艺简单，不涉及水洗砂，不会对土壤造成污染。</w:t>
                  </w:r>
                </w:p>
              </w:tc>
              <w:tc>
                <w:tcPr>
                  <w:tcW w:w="416" w:type="pct"/>
                  <w:tcBorders>
                    <w:tl2br w:val="nil"/>
                    <w:tr2bl w:val="nil"/>
                  </w:tcBorders>
                  <w:noWrap w:val="0"/>
                  <w:vAlign w:val="center"/>
                </w:tcPr>
                <w:p w14:paraId="51EA9B32">
                  <w:pPr>
                    <w:pStyle w:val="1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01F5D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continue"/>
                  <w:tcBorders>
                    <w:tl2br w:val="nil"/>
                    <w:tr2bl w:val="nil"/>
                  </w:tcBorders>
                  <w:noWrap w:val="0"/>
                  <w:vAlign w:val="center"/>
                </w:tcPr>
                <w:p w14:paraId="2559A89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91" w:type="pct"/>
                  <w:tcBorders>
                    <w:tl2br w:val="nil"/>
                    <w:tr2bl w:val="nil"/>
                  </w:tcBorders>
                  <w:noWrap w:val="0"/>
                  <w:vAlign w:val="center"/>
                </w:tcPr>
                <w:p w14:paraId="55BAB343">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污染排放管控</w:t>
                  </w:r>
                </w:p>
              </w:tc>
              <w:tc>
                <w:tcPr>
                  <w:tcW w:w="2326" w:type="pct"/>
                  <w:tcBorders>
                    <w:tl2br w:val="nil"/>
                    <w:tr2bl w:val="nil"/>
                  </w:tcBorders>
                  <w:noWrap w:val="0"/>
                  <w:vAlign w:val="center"/>
                </w:tcPr>
                <w:p w14:paraId="251873FC">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2.9 所有排污单位必须依法实现全面达标排放。逐一排查工业企业排污情况，重点排污单位应按要求安装污染物在线监控设施，达标企业应采取措施确保稳定达标。定期抽查排污单位达标排放情况，结果向社会公布。加大综合惩处和处罚执行力度，建立环保领域非诉案件执行联动配合机制，对行政处罚、行政命令执行情况实施后督察。</w:t>
                  </w:r>
                </w:p>
              </w:tc>
              <w:tc>
                <w:tcPr>
                  <w:tcW w:w="1875" w:type="pct"/>
                  <w:tcBorders>
                    <w:tl2br w:val="nil"/>
                    <w:tr2bl w:val="nil"/>
                  </w:tcBorders>
                  <w:noWrap w:val="0"/>
                  <w:vAlign w:val="center"/>
                </w:tcPr>
                <w:p w14:paraId="3B6E779A">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本项目生产车间全封闭、安装脉冲式布袋除尘设备，处理后的废气通过15m高排气筒达标排放。</w:t>
                  </w:r>
                </w:p>
              </w:tc>
              <w:tc>
                <w:tcPr>
                  <w:tcW w:w="416" w:type="pct"/>
                  <w:tcBorders>
                    <w:tl2br w:val="nil"/>
                    <w:tr2bl w:val="nil"/>
                  </w:tcBorders>
                  <w:noWrap w:val="0"/>
                  <w:vAlign w:val="center"/>
                </w:tcPr>
                <w:p w14:paraId="775DBBB6">
                  <w:pPr>
                    <w:pStyle w:val="1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44982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continue"/>
                  <w:tcBorders>
                    <w:tl2br w:val="nil"/>
                    <w:tr2bl w:val="nil"/>
                  </w:tcBorders>
                  <w:noWrap w:val="0"/>
                  <w:vAlign w:val="center"/>
                </w:tcPr>
                <w:p w14:paraId="3AADC71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91" w:type="pct"/>
                  <w:tcBorders>
                    <w:tl2br w:val="nil"/>
                    <w:tr2bl w:val="nil"/>
                  </w:tcBorders>
                  <w:noWrap w:val="0"/>
                  <w:vAlign w:val="center"/>
                </w:tcPr>
                <w:p w14:paraId="5A584D94">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环境风险防控</w:t>
                  </w:r>
                </w:p>
              </w:tc>
              <w:tc>
                <w:tcPr>
                  <w:tcW w:w="2326" w:type="pct"/>
                  <w:tcBorders>
                    <w:tl2br w:val="nil"/>
                    <w:tr2bl w:val="nil"/>
                  </w:tcBorders>
                  <w:noWrap w:val="0"/>
                  <w:vAlign w:val="center"/>
                </w:tcPr>
                <w:p w14:paraId="4D82102F">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 提升空气质量预警预报能力。建立健全重污染天气会商制度，加强全州环境空气质量预警预报能力提升建设，逐步建立州、县市为骨干的空气环境质量预报预警体系，开展7天重污染天气监测预警、分析和研判，以及环境空气质量中长期趋势预测分析;完善重污染天气应急减排措施。完善或修订重污染天气应急预案，实施清单化管理。</w:t>
                  </w:r>
                </w:p>
                <w:p w14:paraId="67EFB6F7">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3.3 人民政府应当制定重污染天气应急预案，报上一级生态环境主管部门备案，并向社会公布。重污染天气应急预案应当根据实际需要和情势变化适时修订。重点排污单位应当根据所在地重污染天气应急预案，编制本单位重污染天气应急响应方案。医疗、教育、交通、应急管理等重点部门按照部门分预案开展应急管理工作，对发生或者可能发生危害人体健康和安全的重污染天气，应当启动应急方案。</w:t>
                  </w:r>
                </w:p>
                <w:p w14:paraId="0B3744B8">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3.4 自治州、各县（市）人民政府应当根据重污染天气的预警等级，及时启动重污染天气应急预案，并采取与预警等级对应的响应措施，相关单位和个人应当配合。</w:t>
                  </w:r>
                </w:p>
              </w:tc>
              <w:tc>
                <w:tcPr>
                  <w:tcW w:w="1875" w:type="pct"/>
                  <w:tcBorders>
                    <w:tl2br w:val="nil"/>
                    <w:tr2bl w:val="nil"/>
                  </w:tcBorders>
                  <w:noWrap w:val="0"/>
                  <w:vAlign w:val="center"/>
                </w:tcPr>
                <w:p w14:paraId="09273B0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本项目为建筑施工弃渣综合利用，本项目拟采取的环保措施为生产车间全封闭，各排污节点上方安装集气罩</w:t>
                  </w:r>
                  <w:r>
                    <w:rPr>
                      <w:rFonts w:hint="default" w:ascii="Times New Roman" w:hAnsi="Times New Roman" w:cs="Times New Roman"/>
                      <w:color w:val="000000" w:themeColor="text1"/>
                      <w:highlight w:val="none"/>
                      <w:lang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eastAsia="zh-CN"/>
                      <w14:textFill>
                        <w14:solidFill>
                          <w14:schemeClr w14:val="tx1"/>
                        </w14:solidFill>
                      </w14:textFill>
                    </w:rPr>
                    <w:t>布袋除尘装置处理后经15m高排气筒排放，除尘效率99%。</w:t>
                  </w:r>
                  <w:r>
                    <w:rPr>
                      <w:rFonts w:hint="eastAsia" w:cs="Times New Roman"/>
                      <w:color w:val="000000" w:themeColor="text1"/>
                      <w:highlight w:val="none"/>
                      <w:lang w:val="en-US" w:eastAsia="zh-CN"/>
                      <w14:textFill>
                        <w14:solidFill>
                          <w14:schemeClr w14:val="tx1"/>
                        </w14:solidFill>
                      </w14:textFill>
                    </w:rPr>
                    <w:t>项目建设完成后，按要求编制突发环境事件应急预案并备案。</w:t>
                  </w:r>
                </w:p>
              </w:tc>
              <w:tc>
                <w:tcPr>
                  <w:tcW w:w="416" w:type="pct"/>
                  <w:tcBorders>
                    <w:tl2br w:val="nil"/>
                    <w:tr2bl w:val="nil"/>
                  </w:tcBorders>
                  <w:noWrap w:val="0"/>
                  <w:vAlign w:val="center"/>
                </w:tcPr>
                <w:p w14:paraId="29603D95">
                  <w:pPr>
                    <w:pStyle w:val="1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5F9A7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tcBorders>
                    <w:tl2br w:val="nil"/>
                    <w:tr2bl w:val="nil"/>
                  </w:tcBorders>
                  <w:noWrap w:val="0"/>
                  <w:vAlign w:val="center"/>
                </w:tcPr>
                <w:p w14:paraId="00B1DBD3">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和静县</w:t>
                  </w:r>
                  <w:r>
                    <w:rPr>
                      <w:rFonts w:hint="default" w:ascii="Times New Roman" w:hAnsi="Times New Roman" w:cs="Times New Roman"/>
                      <w:color w:val="000000" w:themeColor="text1"/>
                      <w:highlight w:val="none"/>
                      <w:lang w:val="en-US" w:eastAsia="zh-CN"/>
                      <w14:textFill>
                        <w14:solidFill>
                          <w14:schemeClr w14:val="tx1"/>
                        </w14:solidFill>
                      </w14:textFill>
                    </w:rPr>
                    <w:t>一般管控单元</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ZH652827</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000</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191" w:type="pct"/>
                  <w:tcBorders>
                    <w:tl2br w:val="nil"/>
                    <w:tr2bl w:val="nil"/>
                  </w:tcBorders>
                  <w:noWrap w:val="0"/>
                  <w:vAlign w:val="center"/>
                </w:tcPr>
                <w:p w14:paraId="290A634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空间布局约束</w:t>
                  </w:r>
                </w:p>
              </w:tc>
              <w:tc>
                <w:tcPr>
                  <w:tcW w:w="2326" w:type="pct"/>
                  <w:tcBorders>
                    <w:tl2br w:val="nil"/>
                    <w:tr2bl w:val="nil"/>
                  </w:tcBorders>
                  <w:noWrap w:val="0"/>
                  <w:vAlign w:val="center"/>
                </w:tcPr>
                <w:p w14:paraId="013E22A4">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1.执行总体管控要求中关于自然保护地空间布局约束的准入要求。</w:t>
                  </w:r>
                </w:p>
                <w:p w14:paraId="26F56D42">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原则上按照不同的生态功能管控要求进行管理，以保护和修复生态环境、提供生态产品为首要任务，因地制宜地发展不影响主体功能定位的产业，在严格落实生态环境保护各项措施基础上，允许发展符合国土空间规划、矿产资源开发利用规划、旅游规划等各项规划、环评、开发审批要求的基层政权建设、优势矿产资源勘探及综合利用、新能源基地建设、水利基础设施、园区基础设施、特色优势旅游资源开发利用、交通基础设施、生态旅游、休闲农业等项目。</w:t>
                  </w:r>
                </w:p>
                <w:p w14:paraId="519E66DD">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在天山自然遗产地外，在不破坏生态环境、不污染环境的前提下，按照国家和自治区有关法律法规的规定，科学决策，可以实施矿山资源开放、道路交通建设、水资源合理利用、旅游发展和乡村振兴战略等建设项目。</w:t>
                  </w:r>
                </w:p>
              </w:tc>
              <w:tc>
                <w:tcPr>
                  <w:tcW w:w="1875" w:type="pct"/>
                  <w:tcBorders>
                    <w:tl2br w:val="nil"/>
                    <w:tr2bl w:val="nil"/>
                  </w:tcBorders>
                  <w:noWrap w:val="0"/>
                  <w:vAlign w:val="center"/>
                </w:tcPr>
                <w:p w14:paraId="0C298990">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本项目为建筑施工弃渣综合利用，项目生产工艺为破碎、筛分，</w:t>
                  </w:r>
                  <w:r>
                    <w:rPr>
                      <w:rFonts w:hint="default" w:ascii="Times New Roman" w:hAnsi="Times New Roman" w:cs="Times New Roman"/>
                      <w:color w:val="000000" w:themeColor="text1"/>
                      <w:highlight w:val="none"/>
                      <w:lang w:val="en-US" w:eastAsia="zh-CN"/>
                      <w14:textFill>
                        <w14:solidFill>
                          <w14:schemeClr w14:val="tx1"/>
                        </w14:solidFill>
                      </w14:textFill>
                    </w:rPr>
                    <w:t>项目原料为新建铁路伊宁至阿克苏线独库左侧渣场1弃渣场隧道废石，项目建设属于资源再利用，符合生态修复要求。</w:t>
                  </w:r>
                </w:p>
              </w:tc>
              <w:tc>
                <w:tcPr>
                  <w:tcW w:w="416" w:type="pct"/>
                  <w:tcBorders>
                    <w:tl2br w:val="nil"/>
                    <w:tr2bl w:val="nil"/>
                  </w:tcBorders>
                  <w:noWrap w:val="0"/>
                  <w:vAlign w:val="center"/>
                </w:tcPr>
                <w:p w14:paraId="0CFBAE6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1CC1D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restart"/>
                  <w:tcBorders>
                    <w:tl2br w:val="nil"/>
                    <w:tr2bl w:val="nil"/>
                  </w:tcBorders>
                  <w:noWrap w:val="0"/>
                  <w:vAlign w:val="center"/>
                </w:tcPr>
                <w:p w14:paraId="5EF9C2C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和静县大气</w:t>
                  </w:r>
                  <w:r>
                    <w:rPr>
                      <w:rFonts w:hint="default" w:ascii="Times New Roman" w:hAnsi="Times New Roman" w:cs="Times New Roman"/>
                      <w:color w:val="000000" w:themeColor="text1"/>
                      <w:highlight w:val="none"/>
                      <w:lang w:val="en-US" w:eastAsia="zh-CN"/>
                      <w14:textFill>
                        <w14:solidFill>
                          <w14:schemeClr w14:val="tx1"/>
                        </w14:solidFill>
                      </w14:textFill>
                    </w:rPr>
                    <w:t>弱</w:t>
                  </w:r>
                  <w:r>
                    <w:rPr>
                      <w:rFonts w:hint="default" w:ascii="Times New Roman" w:hAnsi="Times New Roman" w:cs="Times New Roman"/>
                      <w:color w:val="000000" w:themeColor="text1"/>
                      <w:highlight w:val="none"/>
                      <w14:textFill>
                        <w14:solidFill>
                          <w14:schemeClr w14:val="tx1"/>
                        </w14:solidFill>
                      </w14:textFill>
                    </w:rPr>
                    <w:t>扩散区ZH65282720002</w:t>
                  </w:r>
                </w:p>
              </w:tc>
              <w:tc>
                <w:tcPr>
                  <w:tcW w:w="191" w:type="pct"/>
                  <w:tcBorders>
                    <w:tl2br w:val="nil"/>
                    <w:tr2bl w:val="nil"/>
                  </w:tcBorders>
                  <w:noWrap w:val="0"/>
                  <w:vAlign w:val="center"/>
                </w:tcPr>
                <w:p w14:paraId="791355C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空间布局约束</w:t>
                  </w:r>
                </w:p>
              </w:tc>
              <w:tc>
                <w:tcPr>
                  <w:tcW w:w="2326" w:type="pct"/>
                  <w:tcBorders>
                    <w:tl2br w:val="nil"/>
                    <w:tr2bl w:val="nil"/>
                  </w:tcBorders>
                  <w:noWrap w:val="0"/>
                  <w:vAlign w:val="center"/>
                </w:tcPr>
                <w:p w14:paraId="3B0EDA02">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严格建设项目节能环保准入，涉及大气污染物排放的，执行国家大气污染物排放限值，待地方大气污染物排放标准出台后一并执行。</w:t>
                  </w:r>
                </w:p>
              </w:tc>
              <w:tc>
                <w:tcPr>
                  <w:tcW w:w="1875" w:type="pct"/>
                  <w:tcBorders>
                    <w:tl2br w:val="nil"/>
                    <w:tr2bl w:val="nil"/>
                  </w:tcBorders>
                  <w:noWrap w:val="0"/>
                  <w:vAlign w:val="center"/>
                </w:tcPr>
                <w:p w14:paraId="333B93DD">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本项目不属于</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三高</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项目，项目排放的污染物为颗粒物，通过采取密闭车间、</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布袋除尘器除尘后排放，符合国家大气污染物排放限值要求。</w:t>
                  </w:r>
                </w:p>
              </w:tc>
              <w:tc>
                <w:tcPr>
                  <w:tcW w:w="416" w:type="pct"/>
                  <w:tcBorders>
                    <w:tl2br w:val="nil"/>
                    <w:tr2bl w:val="nil"/>
                  </w:tcBorders>
                  <w:noWrap w:val="0"/>
                  <w:vAlign w:val="center"/>
                </w:tcPr>
                <w:p w14:paraId="1BB69E6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7B7AB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continue"/>
                  <w:tcBorders>
                    <w:tl2br w:val="nil"/>
                    <w:tr2bl w:val="nil"/>
                  </w:tcBorders>
                  <w:noWrap w:val="0"/>
                  <w:vAlign w:val="center"/>
                </w:tcPr>
                <w:p w14:paraId="0C9CDB9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91" w:type="pct"/>
                  <w:tcBorders>
                    <w:tl2br w:val="nil"/>
                    <w:tr2bl w:val="nil"/>
                  </w:tcBorders>
                  <w:noWrap w:val="0"/>
                  <w:vAlign w:val="center"/>
                </w:tcPr>
                <w:p w14:paraId="31B1570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污染物排</w:t>
                  </w:r>
                </w:p>
                <w:p w14:paraId="1DB60B4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放管控</w:t>
                  </w:r>
                </w:p>
              </w:tc>
              <w:tc>
                <w:tcPr>
                  <w:tcW w:w="2326" w:type="pct"/>
                  <w:tcBorders>
                    <w:tl2br w:val="nil"/>
                    <w:tr2bl w:val="nil"/>
                  </w:tcBorders>
                  <w:noWrap w:val="0"/>
                  <w:vAlign w:val="center"/>
                </w:tcPr>
                <w:p w14:paraId="46DC84C5">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执行环境空气质量二级标准。</w:t>
                  </w:r>
                </w:p>
              </w:tc>
              <w:tc>
                <w:tcPr>
                  <w:tcW w:w="1875" w:type="pct"/>
                  <w:tcBorders>
                    <w:tl2br w:val="nil"/>
                    <w:tr2bl w:val="nil"/>
                  </w:tcBorders>
                  <w:noWrap w:val="0"/>
                  <w:vAlign w:val="center"/>
                </w:tcPr>
                <w:p w14:paraId="4C2F17F6">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本项目环境空气执行</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环境空气质量标准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3095-2026</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过渡阶段二级标准。</w:t>
                  </w:r>
                </w:p>
              </w:tc>
              <w:tc>
                <w:tcPr>
                  <w:tcW w:w="416" w:type="pct"/>
                  <w:tcBorders>
                    <w:tl2br w:val="nil"/>
                    <w:tr2bl w:val="nil"/>
                  </w:tcBorders>
                  <w:noWrap w:val="0"/>
                  <w:vAlign w:val="center"/>
                </w:tcPr>
                <w:p w14:paraId="0245616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36903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continue"/>
                  <w:tcBorders>
                    <w:tl2br w:val="nil"/>
                    <w:tr2bl w:val="nil"/>
                  </w:tcBorders>
                  <w:noWrap w:val="0"/>
                  <w:vAlign w:val="center"/>
                </w:tcPr>
                <w:p w14:paraId="4AEB643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91" w:type="pct"/>
                  <w:tcBorders>
                    <w:tl2br w:val="nil"/>
                    <w:tr2bl w:val="nil"/>
                  </w:tcBorders>
                  <w:noWrap w:val="0"/>
                  <w:vAlign w:val="center"/>
                </w:tcPr>
                <w:p w14:paraId="361E0CF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环境风险</w:t>
                  </w:r>
                </w:p>
                <w:p w14:paraId="63A0257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防控</w:t>
                  </w:r>
                </w:p>
              </w:tc>
              <w:tc>
                <w:tcPr>
                  <w:tcW w:w="2326" w:type="pct"/>
                  <w:tcBorders>
                    <w:tl2br w:val="nil"/>
                    <w:tr2bl w:val="nil"/>
                  </w:tcBorders>
                  <w:noWrap w:val="0"/>
                  <w:vAlign w:val="center"/>
                </w:tcPr>
                <w:p w14:paraId="5F6E039C">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1.生态环境主管部门应当会同气象部门建立重污染天气监测预警、会商和信息通报等机制，进行大气环境质量预报。</w:t>
                  </w:r>
                </w:p>
                <w:p w14:paraId="552F4C3A">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2.政府应当根据重污染天气的预警等级，及时启动重污染天气应急预案，并采取与预警等级对应的响应措施，相关单位和个人应当配合。</w:t>
                  </w:r>
                </w:p>
              </w:tc>
              <w:tc>
                <w:tcPr>
                  <w:tcW w:w="1875" w:type="pct"/>
                  <w:tcBorders>
                    <w:tl2br w:val="nil"/>
                    <w:tr2bl w:val="nil"/>
                  </w:tcBorders>
                  <w:noWrap w:val="0"/>
                  <w:vAlign w:val="center"/>
                </w:tcPr>
                <w:p w14:paraId="61580F08">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环评要求本项目建成后立即编制突发环境事件应急预案，与上级部门联动</w:t>
                  </w:r>
                  <w:r>
                    <w:rPr>
                      <w:rFonts w:hint="eastAsia" w:cs="Times New Roman"/>
                      <w:color w:val="000000" w:themeColor="text1"/>
                      <w:highlight w:val="none"/>
                      <w:lang w:val="en-US" w:eastAsia="zh-CN"/>
                      <w14:textFill>
                        <w14:solidFill>
                          <w14:schemeClr w14:val="tx1"/>
                        </w14:solidFill>
                      </w14:textFill>
                    </w:rPr>
                    <w:t>，在</w:t>
                  </w:r>
                  <w:r>
                    <w:rPr>
                      <w:rFonts w:hint="default" w:ascii="Times New Roman" w:hAnsi="Times New Roman" w:cs="Times New Roman"/>
                      <w:color w:val="000000" w:themeColor="text1"/>
                      <w:highlight w:val="none"/>
                      <w:lang w:val="en-US" w:eastAsia="zh-CN"/>
                      <w14:textFill>
                        <w14:solidFill>
                          <w14:schemeClr w14:val="tx1"/>
                        </w14:solidFill>
                      </w14:textFill>
                    </w:rPr>
                    <w:t>重污染天气时积极响应，给予配合。</w:t>
                  </w:r>
                </w:p>
              </w:tc>
              <w:tc>
                <w:tcPr>
                  <w:tcW w:w="416" w:type="pct"/>
                  <w:tcBorders>
                    <w:tl2br w:val="nil"/>
                    <w:tr2bl w:val="nil"/>
                  </w:tcBorders>
                  <w:noWrap w:val="0"/>
                  <w:vAlign w:val="center"/>
                </w:tcPr>
                <w:p w14:paraId="20FE746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14551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89" w:type="pct"/>
                  <w:vMerge w:val="continue"/>
                  <w:tcBorders>
                    <w:tl2br w:val="nil"/>
                    <w:tr2bl w:val="nil"/>
                  </w:tcBorders>
                  <w:noWrap w:val="0"/>
                  <w:vAlign w:val="center"/>
                </w:tcPr>
                <w:p w14:paraId="38CF067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91" w:type="pct"/>
                  <w:tcBorders>
                    <w:tl2br w:val="nil"/>
                    <w:tr2bl w:val="nil"/>
                  </w:tcBorders>
                  <w:noWrap w:val="0"/>
                  <w:vAlign w:val="center"/>
                </w:tcPr>
                <w:p w14:paraId="38670C2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资源利用</w:t>
                  </w:r>
                </w:p>
                <w:p w14:paraId="58E22DB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效率</w:t>
                  </w:r>
                </w:p>
              </w:tc>
              <w:tc>
                <w:tcPr>
                  <w:tcW w:w="2326" w:type="pct"/>
                  <w:tcBorders>
                    <w:tl2br w:val="nil"/>
                    <w:tr2bl w:val="nil"/>
                  </w:tcBorders>
                  <w:noWrap w:val="0"/>
                  <w:vAlign w:val="center"/>
                </w:tcPr>
                <w:p w14:paraId="05B35E75">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在集中供热未覆盖的区域，鼓励使用清洁能源替代，推广使用高效节能环保型锅炉。</w:t>
                  </w:r>
                </w:p>
              </w:tc>
              <w:tc>
                <w:tcPr>
                  <w:tcW w:w="1875" w:type="pct"/>
                  <w:tcBorders>
                    <w:tl2br w:val="nil"/>
                    <w:tr2bl w:val="nil"/>
                  </w:tcBorders>
                  <w:noWrap w:val="0"/>
                  <w:vAlign w:val="center"/>
                </w:tcPr>
                <w:p w14:paraId="2F436F3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工作人员居住在中铁隧道局新建伊阿铁路SⅩ标段项目部，采暖设施依托项目部。</w:t>
                  </w:r>
                </w:p>
              </w:tc>
              <w:tc>
                <w:tcPr>
                  <w:tcW w:w="416" w:type="pct"/>
                  <w:tcBorders>
                    <w:tl2br w:val="nil"/>
                    <w:tr2bl w:val="nil"/>
                  </w:tcBorders>
                  <w:noWrap w:val="0"/>
                  <w:vAlign w:val="center"/>
                </w:tcPr>
                <w:p w14:paraId="01C7DC8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bl>
          <w:p w14:paraId="479176EA">
            <w:pPr>
              <w:pStyle w:val="3"/>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1.4与生态功能区划的符合性分析</w:t>
            </w:r>
          </w:p>
          <w:p w14:paraId="5CBAD5BD">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根据《新疆生态功能区划》，本项目评价区域属于Ⅲ天山山地温性草原、森林生态区—Ⅲ3天山南坡草原牧业、绿洲农业生态亚区-42.托木尔峰和天山南坡中段冰雪水源及生物多样性保护生态功能区。具体见表</w:t>
            </w:r>
            <w:r>
              <w:rPr>
                <w:rFonts w:hint="eastAsia" w:cs="Times New Roman"/>
                <w:color w:val="000000" w:themeColor="text1"/>
                <w:highlight w:val="none"/>
                <w:lang w:val="en-US" w:eastAsia="zh-CN"/>
                <w14:textFill>
                  <w14:solidFill>
                    <w14:schemeClr w14:val="tx1"/>
                  </w14:solidFill>
                </w14:textFill>
              </w:rPr>
              <w:t>1.4</w:t>
            </w:r>
            <w:r>
              <w:rPr>
                <w:rFonts w:hint="default" w:ascii="Times New Roman" w:hAnsi="Times New Roman" w:cs="Times New Roman"/>
                <w:color w:val="000000" w:themeColor="text1"/>
                <w:highlight w:val="none"/>
                <w:lang w:val="en-US" w:eastAsia="zh-CN"/>
                <w14:textFill>
                  <w14:solidFill>
                    <w14:schemeClr w14:val="tx1"/>
                  </w14:solidFill>
                </w14:textFill>
              </w:rPr>
              <w:t>-1。</w:t>
            </w:r>
          </w:p>
          <w:p w14:paraId="1EBFD793">
            <w:pPr>
              <w:pStyle w:val="18"/>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w:t>
            </w:r>
            <w:r>
              <w:rPr>
                <w:rFonts w:hint="eastAsia" w:cs="Times New Roman"/>
                <w:color w:val="000000" w:themeColor="text1"/>
                <w:highlight w:val="none"/>
                <w:lang w:val="en-US" w:eastAsia="zh-CN"/>
                <w14:textFill>
                  <w14:solidFill>
                    <w14:schemeClr w14:val="tx1"/>
                  </w14:solidFill>
                </w14:textFill>
              </w:rPr>
              <w:t>1.4</w:t>
            </w:r>
            <w:r>
              <w:rPr>
                <w:rFonts w:hint="default" w:ascii="Times New Roman" w:hAnsi="Times New Roman" w:cs="Times New Roman"/>
                <w:color w:val="000000" w:themeColor="text1"/>
                <w:highlight w:val="none"/>
                <w:lang w:val="en-US" w:eastAsia="zh-CN"/>
                <w14:textFill>
                  <w14:solidFill>
                    <w14:schemeClr w14:val="tx1"/>
                  </w14:solidFill>
                </w14:textFill>
              </w:rPr>
              <w:t>-1   生态功能区划</w:t>
            </w:r>
          </w:p>
          <w:tbl>
            <w:tblPr>
              <w:tblStyle w:val="11"/>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25"/>
              <w:gridCol w:w="1219"/>
              <w:gridCol w:w="1233"/>
              <w:gridCol w:w="1339"/>
              <w:gridCol w:w="957"/>
              <w:gridCol w:w="1076"/>
            </w:tblGrid>
            <w:tr w14:paraId="1FFC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812" w:type="pct"/>
                  <w:tcBorders>
                    <w:tl2br w:val="nil"/>
                    <w:tr2bl w:val="nil"/>
                  </w:tcBorders>
                  <w:noWrap w:val="0"/>
                  <w:vAlign w:val="center"/>
                </w:tcPr>
                <w:p w14:paraId="6AD1357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生态功能区名称</w:t>
                  </w:r>
                </w:p>
              </w:tc>
              <w:tc>
                <w:tcPr>
                  <w:tcW w:w="727" w:type="pct"/>
                  <w:tcBorders>
                    <w:tl2br w:val="nil"/>
                    <w:tr2bl w:val="nil"/>
                  </w:tcBorders>
                  <w:noWrap w:val="0"/>
                  <w:vAlign w:val="center"/>
                </w:tcPr>
                <w:p w14:paraId="16BDF0C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主要生态服务功能</w:t>
                  </w:r>
                </w:p>
              </w:tc>
              <w:tc>
                <w:tcPr>
                  <w:tcW w:w="724" w:type="pct"/>
                  <w:tcBorders>
                    <w:tl2br w:val="nil"/>
                    <w:tr2bl w:val="nil"/>
                  </w:tcBorders>
                  <w:noWrap w:val="0"/>
                  <w:vAlign w:val="center"/>
                </w:tcPr>
                <w:p w14:paraId="63B6F65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主要生态环境问题</w:t>
                  </w:r>
                </w:p>
              </w:tc>
              <w:tc>
                <w:tcPr>
                  <w:tcW w:w="732" w:type="pct"/>
                  <w:tcBorders>
                    <w:tl2br w:val="nil"/>
                    <w:tr2bl w:val="nil"/>
                  </w:tcBorders>
                  <w:noWrap w:val="0"/>
                  <w:vAlign w:val="center"/>
                </w:tcPr>
                <w:p w14:paraId="5874785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生态敏感因子敏感程度</w:t>
                  </w:r>
                </w:p>
              </w:tc>
              <w:tc>
                <w:tcPr>
                  <w:tcW w:w="795" w:type="pct"/>
                  <w:tcBorders>
                    <w:tl2br w:val="nil"/>
                    <w:tr2bl w:val="nil"/>
                  </w:tcBorders>
                  <w:noWrap w:val="0"/>
                  <w:vAlign w:val="center"/>
                </w:tcPr>
                <w:p w14:paraId="6CD15CA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保护目标</w:t>
                  </w:r>
                </w:p>
              </w:tc>
              <w:tc>
                <w:tcPr>
                  <w:tcW w:w="568" w:type="pct"/>
                  <w:tcBorders>
                    <w:tl2br w:val="nil"/>
                    <w:tr2bl w:val="nil"/>
                  </w:tcBorders>
                  <w:noWrap w:val="0"/>
                  <w:vAlign w:val="center"/>
                </w:tcPr>
                <w:p w14:paraId="51C1544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保护措施</w:t>
                  </w:r>
                </w:p>
              </w:tc>
              <w:tc>
                <w:tcPr>
                  <w:tcW w:w="639" w:type="pct"/>
                  <w:tcBorders>
                    <w:tl2br w:val="nil"/>
                    <w:tr2bl w:val="nil"/>
                  </w:tcBorders>
                  <w:noWrap w:val="0"/>
                  <w:vAlign w:val="center"/>
                </w:tcPr>
                <w:p w14:paraId="0F916E2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发展方向</w:t>
                  </w:r>
                </w:p>
              </w:tc>
            </w:tr>
            <w:tr w14:paraId="3864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1" w:hRule="atLeast"/>
                <w:jc w:val="center"/>
              </w:trPr>
              <w:tc>
                <w:tcPr>
                  <w:tcW w:w="812" w:type="pct"/>
                  <w:tcBorders>
                    <w:tl2br w:val="nil"/>
                    <w:tr2bl w:val="nil"/>
                  </w:tcBorders>
                  <w:noWrap w:val="0"/>
                  <w:vAlign w:val="center"/>
                </w:tcPr>
                <w:p w14:paraId="66CBC38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42.托木尔峰和天山南坡中段冰雪水源及生物多样性保护生态功能区</w:t>
                  </w:r>
                </w:p>
              </w:tc>
              <w:tc>
                <w:tcPr>
                  <w:tcW w:w="727" w:type="pct"/>
                  <w:tcBorders>
                    <w:tl2br w:val="nil"/>
                    <w:tr2bl w:val="nil"/>
                  </w:tcBorders>
                  <w:noWrap w:val="0"/>
                  <w:vAlign w:val="center"/>
                </w:tcPr>
                <w:p w14:paraId="597E79C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水源补给、生物多样性维护、</w:t>
                  </w:r>
                  <w:r>
                    <w:rPr>
                      <w:rFonts w:hint="default" w:ascii="Times New Roman" w:hAnsi="Times New Roman" w:cs="Times New Roman"/>
                      <w:color w:val="000000" w:themeColor="text1"/>
                      <w:highlight w:val="none"/>
                      <w:lang w:val="en-US" w:eastAsia="zh-CN"/>
                      <w14:textFill>
                        <w14:solidFill>
                          <w14:schemeClr w14:val="tx1"/>
                        </w14:solidFill>
                      </w14:textFill>
                    </w:rPr>
                    <w:t>土</w:t>
                  </w:r>
                  <w:r>
                    <w:rPr>
                      <w:rFonts w:hint="default" w:ascii="Times New Roman" w:hAnsi="Times New Roman" w:cs="Times New Roman"/>
                      <w:color w:val="000000" w:themeColor="text1"/>
                      <w:highlight w:val="none"/>
                      <w14:textFill>
                        <w14:solidFill>
                          <w14:schemeClr w14:val="tx1"/>
                        </w14:solidFill>
                      </w14:textFill>
                    </w:rPr>
                    <w:t>壤保持</w:t>
                  </w:r>
                </w:p>
              </w:tc>
              <w:tc>
                <w:tcPr>
                  <w:tcW w:w="724" w:type="pct"/>
                  <w:tcBorders>
                    <w:tl2br w:val="nil"/>
                    <w:tr2bl w:val="nil"/>
                  </w:tcBorders>
                  <w:noWrap w:val="0"/>
                  <w:vAlign w:val="center"/>
                </w:tcPr>
                <w:p w14:paraId="7822988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水土流失、野生动物减少、土壤侵蚀、森林破坏</w:t>
                  </w:r>
                </w:p>
              </w:tc>
              <w:tc>
                <w:tcPr>
                  <w:tcW w:w="732" w:type="pct"/>
                  <w:tcBorders>
                    <w:tl2br w:val="nil"/>
                    <w:tr2bl w:val="nil"/>
                  </w:tcBorders>
                  <w:noWrap w:val="0"/>
                  <w:vAlign w:val="center"/>
                </w:tcPr>
                <w:p w14:paraId="2966032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生物多样性和生境极度敏感，土壤侵蚀轻度敏感、不敏感。土地沙漠化、土壤盐渍化不敏感</w:t>
                  </w:r>
                </w:p>
              </w:tc>
              <w:tc>
                <w:tcPr>
                  <w:tcW w:w="795" w:type="pct"/>
                  <w:tcBorders>
                    <w:tl2br w:val="nil"/>
                    <w:tr2bl w:val="nil"/>
                  </w:tcBorders>
                  <w:noWrap w:val="0"/>
                  <w:vAlign w:val="center"/>
                </w:tcPr>
                <w:p w14:paraId="48B669D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保护托木尔峰自然景观、保护高山冰川、保护野生动物、保护森林和草原</w:t>
                  </w:r>
                </w:p>
              </w:tc>
              <w:tc>
                <w:tcPr>
                  <w:tcW w:w="568" w:type="pct"/>
                  <w:tcBorders>
                    <w:tl2br w:val="nil"/>
                    <w:tr2bl w:val="nil"/>
                  </w:tcBorders>
                  <w:noWrap w:val="0"/>
                  <w:vAlign w:val="center"/>
                </w:tcPr>
                <w:p w14:paraId="51BD743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天然牧草地</w:t>
                  </w:r>
                  <w:r>
                    <w:rPr>
                      <w:rFonts w:hint="default" w:ascii="Times New Roman" w:hAnsi="Times New Roman" w:cs="Times New Roman"/>
                      <w:color w:val="000000" w:themeColor="text1"/>
                      <w:highlight w:val="none"/>
                      <w14:textFill>
                        <w14:solidFill>
                          <w14:schemeClr w14:val="tx1"/>
                        </w14:solidFill>
                      </w14:textFill>
                    </w:rPr>
                    <w:t>减牧、森林禁伐、禁猎、加强保护区管理</w:t>
                  </w:r>
                </w:p>
              </w:tc>
              <w:tc>
                <w:tcPr>
                  <w:tcW w:w="639" w:type="pct"/>
                  <w:tcBorders>
                    <w:tl2br w:val="nil"/>
                    <w:tr2bl w:val="nil"/>
                  </w:tcBorders>
                  <w:noWrap w:val="0"/>
                  <w:vAlign w:val="center"/>
                </w:tcPr>
                <w:p w14:paraId="5785B528">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合理利用天然牧草地，维护自然景观和生物多样性。</w:t>
                  </w:r>
                </w:p>
              </w:tc>
            </w:tr>
          </w:tbl>
          <w:p w14:paraId="6A20A47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为伊阿铁路隧道弃渣固废综合利用项目，生产线布置在已批复的伊阿铁路独库公路左侧渣场1弃渣场用地范围内，不新增额外占地，不占用冰川、森林等重要生态斑块，不在自然保护区、生态保护红线范围内。项目占地现状为高寒草甸草地，现场调查范围内未发现国家及自治区重点保护野生植物，大型保护野生动物已迁徙至远离工程区的深山区域，评价范围内无保护动物集中栖息、繁殖地。</w:t>
            </w:r>
          </w:p>
          <w:p w14:paraId="2FFA153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项目运营期严格控制作业边界，不随意扩大扰动范围；生产车间、堆场封闭，采取洒水降尘等措施，减少扬尘对周边草地影响；</w:t>
            </w:r>
            <w:r>
              <w:rPr>
                <w:rFonts w:hint="eastAsia"/>
                <w:color w:val="000000" w:themeColor="text1"/>
                <w:lang w:val="en-US" w:eastAsia="zh-CN"/>
                <w14:textFill>
                  <w14:solidFill>
                    <w14:schemeClr w14:val="tx1"/>
                  </w14:solidFill>
                </w14:textFill>
              </w:rPr>
              <w:t>降尘用水自然蒸发，车辆冲洗废水沉淀池收集后循环使用</w:t>
            </w:r>
            <w:r>
              <w:rPr>
                <w:rFonts w:hint="default"/>
                <w:color w:val="000000" w:themeColor="text1"/>
                <w:lang w:val="en-US" w:eastAsia="zh-CN"/>
                <w14:textFill>
                  <w14:solidFill>
                    <w14:schemeClr w14:val="tx1"/>
                  </w14:solidFill>
                </w14:textFill>
              </w:rPr>
              <w:t>不外排；固废全部资源化或合规处置，避免土壤、水体污染加剧水土流失。项目服务期满后，拆除全部生产设施，回覆原剥离草地表土，选用紫花针茅、扁穗冰草等本地乡土草种开展草地植被恢复，恢复原有高寒草甸生态功能，降低工程对区域土壤保持、草地生态系统的扰动影响。</w:t>
            </w:r>
          </w:p>
          <w:p w14:paraId="0C0510C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属于铁路配套固废资源化利用工程，不是大规模开荒、矿产开采类开发活动，通过严格落实生态管控及后期植被恢复措施，不会破坏区域水源补给、生物多样性维护、土壤保持的主导生态功能，与《新疆生态功能区划》相关保护要求相符合。</w:t>
            </w:r>
          </w:p>
          <w:p w14:paraId="60540E90">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其他符合性分析</w:t>
            </w:r>
          </w:p>
          <w:p w14:paraId="7D7333AF">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本项目与其他相关规划、政策符合性分析见表1</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p>
          <w:p w14:paraId="18C33DF8">
            <w:pPr>
              <w:keepNext w:val="0"/>
              <w:keepLines w:val="0"/>
              <w:pageBreakBefore w:val="0"/>
              <w:widowControl w:val="0"/>
              <w:kinsoku/>
              <w:wordWrap/>
              <w:overflowPunct/>
              <w:topLinePunct w:val="0"/>
              <w:autoSpaceDE w:val="0"/>
              <w:autoSpaceDN w:val="0"/>
              <w:bidi w:val="0"/>
              <w:adjustRightInd w:val="0"/>
              <w:snapToGrid w:val="0"/>
              <w:spacing w:line="240" w:lineRule="auto"/>
              <w:ind w:firstLine="211" w:firstLineChars="100"/>
              <w:jc w:val="center"/>
              <w:textAlignment w:val="auto"/>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Style w:val="25"/>
                <w:rFonts w:hint="default" w:ascii="Times New Roman" w:hAnsi="Times New Roman" w:cs="Times New Roman"/>
                <w:color w:val="000000" w:themeColor="text1"/>
                <w:highlight w:val="none"/>
                <w14:textFill>
                  <w14:solidFill>
                    <w14:schemeClr w14:val="tx1"/>
                  </w14:solidFill>
                </w14:textFill>
              </w:rPr>
              <w:t>表1</w:t>
            </w:r>
            <w:r>
              <w:rPr>
                <w:rStyle w:val="25"/>
                <w:rFonts w:hint="default" w:ascii="Times New Roman" w:hAnsi="Times New Roman" w:cs="Times New Roman"/>
                <w:color w:val="000000" w:themeColor="text1"/>
                <w:highlight w:val="none"/>
                <w:lang w:val="en-US" w:eastAsia="zh-CN"/>
                <w14:textFill>
                  <w14:solidFill>
                    <w14:schemeClr w14:val="tx1"/>
                  </w14:solidFill>
                </w14:textFill>
              </w:rPr>
              <w:t>.</w:t>
            </w:r>
            <w:r>
              <w:rPr>
                <w:rStyle w:val="25"/>
                <w:rFonts w:hint="eastAsia" w:cs="Times New Roman"/>
                <w:color w:val="000000" w:themeColor="text1"/>
                <w:highlight w:val="none"/>
                <w:lang w:val="en-US" w:eastAsia="zh-CN"/>
                <w14:textFill>
                  <w14:solidFill>
                    <w14:schemeClr w14:val="tx1"/>
                  </w14:solidFill>
                </w14:textFill>
              </w:rPr>
              <w:t>5</w:t>
            </w:r>
            <w:r>
              <w:rPr>
                <w:rStyle w:val="25"/>
                <w:rFonts w:hint="default" w:ascii="Times New Roman" w:hAnsi="Times New Roman" w:cs="Times New Roman"/>
                <w:color w:val="000000" w:themeColor="text1"/>
                <w:highlight w:val="none"/>
                <w:lang w:val="en-US" w:eastAsia="zh-CN"/>
                <w14:textFill>
                  <w14:solidFill>
                    <w14:schemeClr w14:val="tx1"/>
                  </w14:solidFill>
                </w14:textFill>
              </w:rPr>
              <w:t>-1</w:t>
            </w:r>
            <w:r>
              <w:rPr>
                <w:rStyle w:val="25"/>
                <w:rFonts w:hint="default" w:ascii="Times New Roman" w:hAnsi="Times New Roman" w:cs="Times New Roman"/>
                <w:color w:val="000000" w:themeColor="text1"/>
                <w:highlight w:val="none"/>
                <w14:textFill>
                  <w14:solidFill>
                    <w14:schemeClr w14:val="tx1"/>
                  </w14:solidFill>
                </w14:textFill>
              </w:rPr>
              <w:t xml:space="preserve">  </w:t>
            </w:r>
            <w:r>
              <w:rPr>
                <w:rStyle w:val="25"/>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Style w:val="25"/>
                <w:rFonts w:hint="default" w:ascii="Times New Roman" w:hAnsi="Times New Roman" w:cs="Times New Roman"/>
                <w:color w:val="000000" w:themeColor="text1"/>
                <w:highlight w:val="none"/>
                <w14:textFill>
                  <w14:solidFill>
                    <w14:schemeClr w14:val="tx1"/>
                  </w14:solidFill>
                </w14:textFill>
              </w:rPr>
              <w:t>其他符合性分析表</w:t>
            </w:r>
          </w:p>
          <w:tbl>
            <w:tblPr>
              <w:tblStyle w:val="11"/>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700"/>
              <w:gridCol w:w="2708"/>
              <w:gridCol w:w="2661"/>
              <w:gridCol w:w="426"/>
            </w:tblGrid>
            <w:tr w14:paraId="37B7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vAlign w:val="center"/>
                </w:tcPr>
                <w:p w14:paraId="62A5B17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相关政策</w:t>
                  </w:r>
                </w:p>
              </w:tc>
              <w:tc>
                <w:tcPr>
                  <w:tcW w:w="3408" w:type="dxa"/>
                  <w:gridSpan w:val="2"/>
                  <w:tcBorders>
                    <w:tl2br w:val="nil"/>
                    <w:tr2bl w:val="nil"/>
                  </w:tcBorders>
                  <w:vAlign w:val="center"/>
                </w:tcPr>
                <w:p w14:paraId="225F388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政策要求</w:t>
                  </w:r>
                </w:p>
              </w:tc>
              <w:tc>
                <w:tcPr>
                  <w:tcW w:w="2661" w:type="dxa"/>
                  <w:tcBorders>
                    <w:tl2br w:val="nil"/>
                    <w:tr2bl w:val="nil"/>
                  </w:tcBorders>
                  <w:vAlign w:val="center"/>
                </w:tcPr>
                <w:p w14:paraId="1AD6A9D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本项目情况</w:t>
                  </w:r>
                </w:p>
              </w:tc>
              <w:tc>
                <w:tcPr>
                  <w:tcW w:w="426" w:type="dxa"/>
                  <w:tcBorders>
                    <w:tl2br w:val="nil"/>
                    <w:tr2bl w:val="nil"/>
                  </w:tcBorders>
                  <w:vAlign w:val="center"/>
                </w:tcPr>
                <w:p w14:paraId="1105B1E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符合性</w:t>
                  </w:r>
                </w:p>
              </w:tc>
            </w:tr>
            <w:tr w14:paraId="4F8C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244228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《新疆维吾尔自治区国民经济和社会发展第十五个五年规划纲要》（2026年1月31日新疆维吾尔自治区第十四届人民代表大会第四次会议通过）</w:t>
                  </w:r>
                </w:p>
              </w:tc>
              <w:tc>
                <w:tcPr>
                  <w:tcW w:w="3408" w:type="dxa"/>
                  <w:gridSpan w:val="2"/>
                  <w:tcBorders>
                    <w:tl2br w:val="nil"/>
                    <w:tr2bl w:val="nil"/>
                  </w:tcBorders>
                  <w:shd w:val="clear" w:color="auto" w:fill="auto"/>
                  <w:vAlign w:val="center"/>
                </w:tcPr>
                <w:p w14:paraId="3934AA09">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第十一篇 加快经济社会发展全面绿色转型 建设美丽新疆。</w:t>
                  </w:r>
                  <w:r>
                    <w:rPr>
                      <w:rFonts w:hint="default" w:ascii="Times New Roman" w:hAnsi="Times New Roman" w:cs="Times New Roman"/>
                      <w:color w:val="000000" w:themeColor="text1"/>
                      <w:highlight w:val="none"/>
                      <w14:textFill>
                        <w14:solidFill>
                          <w14:schemeClr w14:val="tx1"/>
                        </w14:solidFill>
                      </w14:textFill>
                    </w:rPr>
                    <w:t>加强固体废物和新污染物治理。实施固体废物综合治理行动，积极推进源头减量和综合利用，提升固体废物处置规范管控水平。</w:t>
                  </w:r>
                </w:p>
              </w:tc>
              <w:tc>
                <w:tcPr>
                  <w:tcW w:w="2661" w:type="dxa"/>
                  <w:tcBorders>
                    <w:tl2br w:val="nil"/>
                    <w:tr2bl w:val="nil"/>
                  </w:tcBorders>
                  <w:shd w:val="clear" w:color="auto" w:fill="auto"/>
                  <w:vAlign w:val="center"/>
                </w:tcPr>
                <w:p w14:paraId="03B92D59">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w:t>
                  </w:r>
                  <w:r>
                    <w:rPr>
                      <w:rFonts w:hint="default" w:ascii="Times New Roman" w:hAnsi="Times New Roman" w:cs="Times New Roman"/>
                      <w:color w:val="000000" w:themeColor="text1"/>
                      <w:highlight w:val="none"/>
                      <w:lang w:val="en-US" w:eastAsia="zh-CN"/>
                      <w14:textFill>
                        <w14:solidFill>
                          <w14:schemeClr w14:val="tx1"/>
                        </w14:solidFill>
                      </w14:textFill>
                    </w:rPr>
                    <w:t>属于固体废物综合治理。</w:t>
                  </w:r>
                  <w:r>
                    <w:rPr>
                      <w:rFonts w:hint="default" w:ascii="Times New Roman" w:hAnsi="Times New Roman" w:cs="Times New Roman"/>
                      <w:color w:val="000000" w:themeColor="text1"/>
                      <w:highlight w:val="none"/>
                      <w:lang w:eastAsia="zh-CN"/>
                      <w14:textFill>
                        <w14:solidFill>
                          <w14:schemeClr w14:val="tx1"/>
                        </w14:solidFill>
                      </w14:textFill>
                    </w:rPr>
                    <w:t>项目生产工艺为破碎、筛分，在严格落实各项污染防治措施的前提下，项目建设对环境影响较小。</w:t>
                  </w:r>
                </w:p>
              </w:tc>
              <w:tc>
                <w:tcPr>
                  <w:tcW w:w="426" w:type="dxa"/>
                  <w:tcBorders>
                    <w:tl2br w:val="nil"/>
                    <w:tr2bl w:val="nil"/>
                  </w:tcBorders>
                  <w:vAlign w:val="center"/>
                </w:tcPr>
                <w:p w14:paraId="04E425D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7CC3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4D7B655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《新疆维吾尔自治区环境保护条例》</w:t>
                  </w:r>
                  <w:r>
                    <w:rPr>
                      <w:rFonts w:hint="eastAsia" w:cs="Times New Roman"/>
                      <w:color w:val="000000" w:themeColor="text1"/>
                      <w:highlight w:val="none"/>
                      <w:lang w:val="en-US" w:eastAsia="zh-CN"/>
                      <w14:textFill>
                        <w14:solidFill>
                          <w14:schemeClr w14:val="tx1"/>
                        </w14:solidFill>
                      </w14:textFill>
                    </w:rPr>
                    <w:t>（2018年9月）</w:t>
                  </w:r>
                </w:p>
              </w:tc>
              <w:tc>
                <w:tcPr>
                  <w:tcW w:w="3408" w:type="dxa"/>
                  <w:gridSpan w:val="2"/>
                  <w:tcBorders>
                    <w:tl2br w:val="nil"/>
                    <w:tr2bl w:val="nil"/>
                  </w:tcBorders>
                  <w:shd w:val="clear" w:color="auto" w:fill="auto"/>
                  <w:vAlign w:val="center"/>
                </w:tcPr>
                <w:p w14:paraId="5BCDD6A7">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第四条环境保护应当坚持保护优先、预防为主、综合治理、公众参与、损害担责的原则，推进绿色、循环、低碳发展，使经济社会发展与环境保护相协调。</w:t>
                  </w:r>
                </w:p>
              </w:tc>
              <w:tc>
                <w:tcPr>
                  <w:tcW w:w="2661" w:type="dxa"/>
                  <w:tcBorders>
                    <w:tl2br w:val="nil"/>
                    <w:tr2bl w:val="nil"/>
                  </w:tcBorders>
                  <w:shd w:val="clear" w:color="auto" w:fill="auto"/>
                  <w:vAlign w:val="center"/>
                </w:tcPr>
                <w:p w14:paraId="1947AD13">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本项目为建筑施工弃渣综合利用，项目生产工艺为破碎、筛分，</w:t>
                  </w:r>
                  <w:r>
                    <w:rPr>
                      <w:rFonts w:hint="default" w:ascii="Times New Roman" w:hAnsi="Times New Roman" w:cs="Times New Roman"/>
                      <w:color w:val="000000" w:themeColor="text1"/>
                      <w:highlight w:val="none"/>
                      <w:lang w:eastAsia="zh-CN"/>
                      <w14:textFill>
                        <w14:solidFill>
                          <w14:schemeClr w14:val="tx1"/>
                        </w14:solidFill>
                      </w14:textFill>
                    </w:rPr>
                    <w:t>本项目砂石料经过</w:t>
                  </w:r>
                  <w:r>
                    <w:rPr>
                      <w:rFonts w:hint="default" w:ascii="Times New Roman" w:hAnsi="Times New Roman" w:cs="Times New Roman"/>
                      <w:color w:val="000000" w:themeColor="text1"/>
                      <w:highlight w:val="none"/>
                      <w:lang w:val="en-US" w:eastAsia="zh-CN"/>
                      <w14:textFill>
                        <w14:solidFill>
                          <w14:schemeClr w14:val="tx1"/>
                        </w14:solidFill>
                      </w14:textFill>
                    </w:rPr>
                    <w:t>破碎筛分后用于伊宁至阿克苏铁路建设</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本项目拟采取的环保措施为生产车间全封闭，各排污节点上方安装集气罩</w:t>
                  </w:r>
                  <w:r>
                    <w:rPr>
                      <w:rFonts w:hint="default" w:ascii="Times New Roman" w:hAnsi="Times New Roman" w:cs="Times New Roman"/>
                      <w:color w:val="000000" w:themeColor="text1"/>
                      <w:highlight w:val="none"/>
                      <w:lang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eastAsia="zh-CN"/>
                      <w14:textFill>
                        <w14:solidFill>
                          <w14:schemeClr w14:val="tx1"/>
                        </w14:solidFill>
                      </w14:textFill>
                    </w:rPr>
                    <w:t>布袋除尘装置处理后经15m高排气筒排放，除尘效率99%。</w:t>
                  </w:r>
                  <w:r>
                    <w:rPr>
                      <w:rFonts w:hint="default" w:ascii="Times New Roman" w:hAnsi="Times New Roman" w:cs="Times New Roman"/>
                      <w:color w:val="000000" w:themeColor="text1"/>
                      <w:highlight w:val="none"/>
                      <w:lang w:val="en-US" w:eastAsia="zh-CN"/>
                      <w14:textFill>
                        <w14:solidFill>
                          <w14:schemeClr w14:val="tx1"/>
                        </w14:solidFill>
                      </w14:textFill>
                    </w:rPr>
                    <w:t>本项目机械设备产生少量二氧化硫、氮氧化物，符合污染物排放管控要求；本项目不设置洗砂工艺，无生产废水产生；工作人员居住在中铁隧道局新建伊阿铁路SⅩ标段项目部，项目部与本项目直线距离约1.9km，项目部生活污水采用化粪池收集后定期拉运至巴音布鲁克污水处理厂处理。</w:t>
                  </w:r>
                </w:p>
              </w:tc>
              <w:tc>
                <w:tcPr>
                  <w:tcW w:w="426" w:type="dxa"/>
                  <w:tcBorders>
                    <w:tl2br w:val="nil"/>
                    <w:tr2bl w:val="nil"/>
                  </w:tcBorders>
                  <w:vAlign w:val="center"/>
                </w:tcPr>
                <w:p w14:paraId="526A99A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792A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0B92D5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《巴音郭楞蒙古自治州国民经济和社会发展第十五个五年规划纲要》（</w:t>
                  </w:r>
                  <w:r>
                    <w:rPr>
                      <w:rFonts w:hint="default" w:ascii="Times New Roman" w:hAnsi="Times New Roman" w:cs="Times New Roman"/>
                      <w:color w:val="000000" w:themeColor="text1"/>
                      <w:highlight w:val="none"/>
                      <w:lang w:val="en-US" w:eastAsia="zh-CN"/>
                      <w14:textFill>
                        <w14:solidFill>
                          <w14:schemeClr w14:val="tx1"/>
                        </w14:solidFill>
                      </w14:textFill>
                    </w:rPr>
                    <w:t>巴音郭楞蒙古自治州</w:t>
                  </w:r>
                  <w:r>
                    <w:rPr>
                      <w:rFonts w:hint="default" w:ascii="Times New Roman" w:hAnsi="Times New Roman" w:cs="Times New Roman"/>
                      <w:color w:val="000000" w:themeColor="text1"/>
                      <w:highlight w:val="none"/>
                      <w:lang w:eastAsia="zh-CN"/>
                      <w14:textFill>
                        <w14:solidFill>
                          <w14:schemeClr w14:val="tx1"/>
                        </w14:solidFill>
                      </w14:textFill>
                    </w:rPr>
                    <w:t>发展和改革委员会2026年7月22日）</w:t>
                  </w:r>
                </w:p>
              </w:tc>
              <w:tc>
                <w:tcPr>
                  <w:tcW w:w="3408" w:type="dxa"/>
                  <w:gridSpan w:val="2"/>
                  <w:tcBorders>
                    <w:tl2br w:val="nil"/>
                    <w:tr2bl w:val="nil"/>
                  </w:tcBorders>
                  <w:shd w:val="clear" w:color="auto" w:fill="auto"/>
                  <w:vAlign w:val="center"/>
                </w:tcPr>
                <w:p w14:paraId="22BBED9F">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严守生态保护红线，建立分类管控机制和监督体系，强化自然保护地、生态保护红线等重要生态空间监管。加强生态环境分区管控，健全覆盖全域生态环境分区管控制度。加快落实以排污许可制为核心的固定污染源监管制度，因地制宜探索开展排污权交易。健全生态保护补偿制度，严格落实生态环境损害赔偿制度和企业环境信息依法披露制度，推动地区间横向补偿落地;创新生态补偿方式，设立联合治理、定向补偿和考核奖惩制度。加快生态产品价值实现，推行生态产业收益反哺保护投入，鼓励生态环境保护修复与生态产品经营开发权益挂钩，积极稳妥、规范有序推进生态环境导向的开发(EOD)模式创新。落实节能环保税收优惠政策，建立生态修复产权激励机制，引导社会资本参与生态修复。开展生态环境数据治理，推进资源环境权益市场化交易。推进生态文明示范创建，开展美丽城市、美丽乡村、美丽河湖、幸福河湖建设。构建现代化环境监测体系，完善生态环境评价和考核。加强生态环境保护执法和人才队伍建设，全面提升生态环境治理综合能力。</w:t>
                  </w:r>
                </w:p>
              </w:tc>
              <w:tc>
                <w:tcPr>
                  <w:tcW w:w="2661" w:type="dxa"/>
                  <w:tcBorders>
                    <w:tl2br w:val="nil"/>
                    <w:tr2bl w:val="nil"/>
                  </w:tcBorders>
                  <w:shd w:val="clear" w:color="auto" w:fill="auto"/>
                  <w:vAlign w:val="center"/>
                </w:tcPr>
                <w:p w14:paraId="2C54D617">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w:t>
                  </w:r>
                  <w:r>
                    <w:rPr>
                      <w:rFonts w:hint="default" w:ascii="Times New Roman" w:hAnsi="Times New Roman" w:cs="Times New Roman"/>
                      <w:color w:val="000000" w:themeColor="text1"/>
                      <w:highlight w:val="none"/>
                      <w:lang w:val="en-US" w:eastAsia="zh-CN"/>
                      <w14:textFill>
                        <w14:solidFill>
                          <w14:schemeClr w14:val="tx1"/>
                        </w14:solidFill>
                      </w14:textFill>
                    </w:rPr>
                    <w:t>属于生态环境治理。项目占地范围不涉及生态保护红线，</w:t>
                  </w:r>
                  <w:r>
                    <w:rPr>
                      <w:rFonts w:hint="default" w:ascii="Times New Roman" w:hAnsi="Times New Roman" w:cs="Times New Roman"/>
                      <w:color w:val="000000" w:themeColor="text1"/>
                      <w:highlight w:val="none"/>
                      <w:lang w:eastAsia="zh-CN"/>
                      <w14:textFill>
                        <w14:solidFill>
                          <w14:schemeClr w14:val="tx1"/>
                        </w14:solidFill>
                      </w14:textFill>
                    </w:rPr>
                    <w:t>附近无地表水及地下水保护目标，</w:t>
                  </w:r>
                  <w:r>
                    <w:rPr>
                      <w:rFonts w:hint="default" w:ascii="Times New Roman" w:hAnsi="Times New Roman" w:cs="Times New Roman"/>
                      <w:color w:val="000000" w:themeColor="text1"/>
                      <w:highlight w:val="none"/>
                      <w:lang w:val="en-US" w:eastAsia="zh-CN"/>
                      <w14:textFill>
                        <w14:solidFill>
                          <w14:schemeClr w14:val="tx1"/>
                        </w14:solidFill>
                      </w14:textFill>
                    </w:rPr>
                    <w:t>项目建设不会对生态环境造成影响</w:t>
                  </w:r>
                  <w:r>
                    <w:rPr>
                      <w:rFonts w:hint="default" w:ascii="Times New Roman" w:hAnsi="Times New Roman" w:cs="Times New Roman"/>
                      <w:color w:val="000000" w:themeColor="text1"/>
                      <w:highlight w:val="none"/>
                      <w:lang w:eastAsia="zh-CN"/>
                      <w14:textFill>
                        <w14:solidFill>
                          <w14:schemeClr w14:val="tx1"/>
                        </w14:solidFill>
                      </w14:textFill>
                    </w:rPr>
                    <w:t>，因此本项目符合《纲要》的要求。</w:t>
                  </w:r>
                </w:p>
              </w:tc>
              <w:tc>
                <w:tcPr>
                  <w:tcW w:w="426" w:type="dxa"/>
                  <w:tcBorders>
                    <w:tl2br w:val="nil"/>
                    <w:tr2bl w:val="nil"/>
                  </w:tcBorders>
                  <w:vAlign w:val="center"/>
                </w:tcPr>
                <w:p w14:paraId="65BFFF6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6B47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1771" w:type="dxa"/>
                  <w:tcBorders>
                    <w:tl2br w:val="nil"/>
                    <w:tr2bl w:val="nil"/>
                  </w:tcBorders>
                  <w:shd w:val="clear" w:color="auto" w:fill="auto"/>
                  <w:vAlign w:val="center"/>
                </w:tcPr>
                <w:p w14:paraId="52B24F9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《和静</w:t>
                  </w:r>
                  <w:r>
                    <w:rPr>
                      <w:rFonts w:hint="default" w:ascii="Times New Roman" w:hAnsi="Times New Roman" w:cs="Times New Roman"/>
                      <w:color w:val="000000" w:themeColor="text1"/>
                      <w:highlight w:val="none"/>
                      <w14:textFill>
                        <w14:solidFill>
                          <w14:schemeClr w14:val="tx1"/>
                        </w14:solidFill>
                      </w14:textFill>
                    </w:rPr>
                    <w:t>县国民经济和社会发展第十四个五年规划和2035年远景目标</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08" w:type="dxa"/>
                  <w:gridSpan w:val="2"/>
                  <w:tcBorders>
                    <w:tl2br w:val="nil"/>
                    <w:tr2bl w:val="nil"/>
                  </w:tcBorders>
                  <w:shd w:val="clear" w:color="auto" w:fill="auto"/>
                  <w:vAlign w:val="center"/>
                </w:tcPr>
                <w:p w14:paraId="397BC41F">
                  <w:pPr>
                    <w:pStyle w:val="16"/>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第五章第一节 </w:t>
                  </w:r>
                  <w:r>
                    <w:rPr>
                      <w:rFonts w:hint="default" w:ascii="Times New Roman" w:hAnsi="Times New Roman" w:cs="Times New Roman"/>
                      <w:color w:val="000000" w:themeColor="text1"/>
                      <w:highlight w:val="none"/>
                      <w14:textFill>
                        <w14:solidFill>
                          <w14:schemeClr w14:val="tx1"/>
                        </w14:solidFill>
                      </w14:textFill>
                    </w:rPr>
                    <w:t>坚持人与自然和谐共生，深化污染防治、低碳发展，提升环境治理能力和生态保护、修复水平，全面改善环境质量，切实维护群众环境权益和保障环境安全。</w:t>
                  </w:r>
                </w:p>
                <w:p w14:paraId="5D33396B">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持续推进大气污染防治。深化多污染源治理，减少污染源头排放。重点做好工业污染防治、移动源污染防治、强化面源污染防控等工作。加快调整能源结构，控制煤炭消费总量，推进清洁能源高效利用。强化大气同防同治，统筹推进区域治理。大力推行兵地大气污染联防联控区域同防同治，强化源头管控。严格环境准入，完善预警应急体系，积极应对重污染天气。</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十四五</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期间，全县城市空气质量优良天数比例持续上升，重度污染天数持续下降。</w:t>
                  </w:r>
                </w:p>
              </w:tc>
              <w:tc>
                <w:tcPr>
                  <w:tcW w:w="2661" w:type="dxa"/>
                  <w:tcBorders>
                    <w:tl2br w:val="nil"/>
                    <w:tr2bl w:val="nil"/>
                  </w:tcBorders>
                  <w:shd w:val="clear" w:color="auto" w:fill="auto"/>
                  <w:vAlign w:val="center"/>
                </w:tcPr>
                <w:p w14:paraId="2BFD79E7">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本项目为建筑施工弃渣综合利用，项目生产工艺为破碎、筛分，本项目砂石料经过破碎筛分后用于</w:t>
                  </w:r>
                  <w:r>
                    <w:rPr>
                      <w:rFonts w:hint="default" w:ascii="Times New Roman" w:hAnsi="Times New Roman" w:cs="Times New Roman"/>
                      <w:color w:val="000000" w:themeColor="text1"/>
                      <w:highlight w:val="none"/>
                      <w:lang w:val="en-US" w:eastAsia="zh-CN"/>
                      <w14:textFill>
                        <w14:solidFill>
                          <w14:schemeClr w14:val="tx1"/>
                        </w14:solidFill>
                      </w14:textFill>
                    </w:rPr>
                    <w:t>伊宁至阿克苏铁路建设</w:t>
                  </w:r>
                  <w:r>
                    <w:rPr>
                      <w:rFonts w:hint="default" w:ascii="Times New Roman" w:hAnsi="Times New Roman" w:cs="Times New Roman"/>
                      <w:color w:val="000000" w:themeColor="text1"/>
                      <w:highlight w:val="none"/>
                      <w:lang w:eastAsia="zh-CN"/>
                      <w14:textFill>
                        <w14:solidFill>
                          <w14:schemeClr w14:val="tx1"/>
                        </w14:solidFill>
                      </w14:textFill>
                    </w:rPr>
                    <w:t>；本项目拟采取的</w:t>
                  </w:r>
                  <w:r>
                    <w:rPr>
                      <w:rFonts w:hint="default" w:ascii="Times New Roman" w:hAnsi="Times New Roman" w:cs="Times New Roman"/>
                      <w:color w:val="000000" w:themeColor="text1"/>
                      <w:highlight w:val="none"/>
                      <w:lang w:val="en-US" w:eastAsia="zh-CN"/>
                      <w14:textFill>
                        <w14:solidFill>
                          <w14:schemeClr w14:val="tx1"/>
                        </w14:solidFill>
                      </w14:textFill>
                    </w:rPr>
                    <w:t>大气污染防治</w:t>
                  </w:r>
                  <w:r>
                    <w:rPr>
                      <w:rFonts w:hint="default" w:ascii="Times New Roman" w:hAnsi="Times New Roman" w:cs="Times New Roman"/>
                      <w:color w:val="000000" w:themeColor="text1"/>
                      <w:highlight w:val="none"/>
                      <w:lang w:eastAsia="zh-CN"/>
                      <w14:textFill>
                        <w14:solidFill>
                          <w14:schemeClr w14:val="tx1"/>
                        </w14:solidFill>
                      </w14:textFill>
                    </w:rPr>
                    <w:t>措施为</w:t>
                  </w:r>
                  <w:r>
                    <w:rPr>
                      <w:rFonts w:hint="default"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lang w:eastAsia="zh-CN"/>
                      <w14:textFill>
                        <w14:solidFill>
                          <w14:schemeClr w14:val="tx1"/>
                        </w14:solidFill>
                      </w14:textFill>
                    </w:rPr>
                    <w:t>车间全封闭，</w:t>
                  </w:r>
                  <w:r>
                    <w:rPr>
                      <w:rFonts w:hint="default" w:ascii="Times New Roman" w:hAnsi="Times New Roman" w:cs="Times New Roman"/>
                      <w:color w:val="000000" w:themeColor="text1"/>
                      <w:highlight w:val="none"/>
                      <w:lang w:val="en-US" w:eastAsia="zh-CN"/>
                      <w14:textFill>
                        <w14:solidFill>
                          <w14:schemeClr w14:val="tx1"/>
                        </w14:solidFill>
                      </w14:textFill>
                    </w:rPr>
                    <w:t>各排污节点上方安装集气罩</w:t>
                  </w:r>
                  <w:r>
                    <w:rPr>
                      <w:rFonts w:hint="default" w:ascii="Times New Roman" w:hAnsi="Times New Roman" w:cs="Times New Roman"/>
                      <w:color w:val="000000" w:themeColor="text1"/>
                      <w:highlight w:val="none"/>
                      <w:lang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eastAsia="zh-CN"/>
                      <w14:textFill>
                        <w14:solidFill>
                          <w14:schemeClr w14:val="tx1"/>
                        </w14:solidFill>
                      </w14:textFill>
                    </w:rPr>
                    <w:t>布袋除尘装置处理后经15m高排气筒排放，除尘效率99%。本项目机械设备产生少量二氧化硫、氮氧化物，符合污染物排放管控要求。本项目</w:t>
                  </w:r>
                  <w:r>
                    <w:rPr>
                      <w:rFonts w:hint="default" w:ascii="Times New Roman" w:hAnsi="Times New Roman" w:cs="Times New Roman"/>
                      <w:color w:val="000000" w:themeColor="text1"/>
                      <w:highlight w:val="none"/>
                      <w:lang w:val="en-US" w:eastAsia="zh-CN"/>
                      <w14:textFill>
                        <w14:solidFill>
                          <w14:schemeClr w14:val="tx1"/>
                        </w14:solidFill>
                      </w14:textFill>
                    </w:rPr>
                    <w:t>不设置洗砂工艺，无生产废水产生，</w:t>
                  </w:r>
                  <w:r>
                    <w:rPr>
                      <w:rFonts w:hint="default" w:ascii="Times New Roman" w:hAnsi="Times New Roman" w:cs="Times New Roman"/>
                      <w:color w:val="000000" w:themeColor="text1"/>
                      <w:highlight w:val="none"/>
                      <w:lang w:eastAsia="zh-CN"/>
                      <w14:textFill>
                        <w14:solidFill>
                          <w14:schemeClr w14:val="tx1"/>
                        </w14:solidFill>
                      </w14:textFill>
                    </w:rPr>
                    <w:t>工作人员居住在中铁隧道局新建伊阿铁路SⅩ标段项目部，项目部与本项目直线距离约1.9km，项目部生活污水采用化粪池收集后定期拉运至巴音布鲁克污水处理厂处理。</w:t>
                  </w:r>
                </w:p>
              </w:tc>
              <w:tc>
                <w:tcPr>
                  <w:tcW w:w="426" w:type="dxa"/>
                  <w:tcBorders>
                    <w:tl2br w:val="nil"/>
                    <w:tr2bl w:val="nil"/>
                  </w:tcBorders>
                  <w:vAlign w:val="center"/>
                </w:tcPr>
                <w:p w14:paraId="1BF8016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1C14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restart"/>
                  <w:tcBorders>
                    <w:tl2br w:val="nil"/>
                    <w:tr2bl w:val="nil"/>
                  </w:tcBorders>
                  <w:shd w:val="clear" w:color="auto" w:fill="auto"/>
                  <w:vAlign w:val="center"/>
                </w:tcPr>
                <w:p w14:paraId="79A879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新疆生态环境保护</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十四五</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规划</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3408" w:type="dxa"/>
                  <w:gridSpan w:val="2"/>
                  <w:tcBorders>
                    <w:tl2br w:val="nil"/>
                    <w:tr2bl w:val="nil"/>
                  </w:tcBorders>
                  <w:shd w:val="clear" w:color="auto" w:fill="auto"/>
                  <w:vAlign w:val="center"/>
                </w:tcPr>
                <w:p w14:paraId="75963220">
                  <w:pPr>
                    <w:pStyle w:val="16"/>
                    <w:bidi w:val="0"/>
                    <w:jc w:val="both"/>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推进扬尘精细化管控。全面推行绿色施工，城市建成区建筑工地扬尘防控标准化管理全覆盖；加强城市道路清扫保洁和洒水抑尘，渣土车实施硬覆盖；推进低尘机械化作业水平，控制道路扬尘污染；强化非道路移动源综合治理；充分运用新型、高效的防尘、降尘、除尘技术，加强矿山粉尘治理。</w:t>
                  </w:r>
                </w:p>
                <w:p w14:paraId="366D9BD4">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661" w:type="dxa"/>
                  <w:tcBorders>
                    <w:tl2br w:val="nil"/>
                    <w:tr2bl w:val="nil"/>
                  </w:tcBorders>
                  <w:shd w:val="clear" w:color="auto" w:fill="auto"/>
                  <w:vAlign w:val="center"/>
                </w:tcPr>
                <w:p w14:paraId="539E4E24">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本项目拟采取的大气污染防治措施为</w:t>
                  </w:r>
                  <w:r>
                    <w:rPr>
                      <w:rFonts w:hint="default"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14:textFill>
                        <w14:solidFill>
                          <w14:schemeClr w14:val="tx1"/>
                        </w14:solidFill>
                      </w14:textFill>
                    </w:rPr>
                    <w:t>车间全封闭，</w:t>
                  </w:r>
                  <w:r>
                    <w:rPr>
                      <w:rFonts w:hint="default" w:ascii="Times New Roman" w:hAnsi="Times New Roman" w:cs="Times New Roman"/>
                      <w:color w:val="000000" w:themeColor="text1"/>
                      <w:highlight w:val="none"/>
                      <w:lang w:val="en-US" w:eastAsia="zh-CN"/>
                      <w14:textFill>
                        <w14:solidFill>
                          <w14:schemeClr w14:val="tx1"/>
                        </w14:solidFill>
                      </w14:textFill>
                    </w:rPr>
                    <w:t>排污节点上方安装集气罩</w:t>
                  </w:r>
                  <w:r>
                    <w:rPr>
                      <w:rFonts w:hint="default" w:ascii="Times New Roman" w:hAnsi="Times New Roman" w:cs="Times New Roman"/>
                      <w:color w:val="000000" w:themeColor="text1"/>
                      <w:highlight w:val="none"/>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14:textFill>
                        <w14:solidFill>
                          <w14:schemeClr w14:val="tx1"/>
                        </w14:solidFill>
                      </w14:textFill>
                    </w:rPr>
                    <w:t>布袋除尘装置处理后经15m高排气筒排放，除尘效率99%</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符合要求。</w:t>
                  </w:r>
                </w:p>
              </w:tc>
              <w:tc>
                <w:tcPr>
                  <w:tcW w:w="426" w:type="dxa"/>
                  <w:tcBorders>
                    <w:tl2br w:val="nil"/>
                    <w:tr2bl w:val="nil"/>
                  </w:tcBorders>
                  <w:vAlign w:val="center"/>
                </w:tcPr>
                <w:p w14:paraId="18EBCE5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符合</w:t>
                  </w:r>
                </w:p>
              </w:tc>
            </w:tr>
            <w:tr w14:paraId="2942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vAlign w:val="center"/>
                </w:tcPr>
                <w:p w14:paraId="335D0BE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408" w:type="dxa"/>
                  <w:gridSpan w:val="2"/>
                  <w:tcBorders>
                    <w:tl2br w:val="nil"/>
                    <w:tr2bl w:val="nil"/>
                  </w:tcBorders>
                  <w:shd w:val="clear" w:color="auto" w:fill="auto"/>
                  <w:vAlign w:val="center"/>
                </w:tcPr>
                <w:p w14:paraId="7BC550AE">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加强环境噪声污染防控。加强噪声污染源监管，继续强化和深入推进交通运输噪声</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建筑施工噪声、社会生活噪声、工业企业、机场周边噪声污染防治，推进工业企业噪声纳入排污许可管理。</w:t>
                  </w:r>
                </w:p>
              </w:tc>
              <w:tc>
                <w:tcPr>
                  <w:tcW w:w="2661" w:type="dxa"/>
                  <w:tcBorders>
                    <w:tl2br w:val="nil"/>
                    <w:tr2bl w:val="nil"/>
                  </w:tcBorders>
                  <w:shd w:val="clear" w:color="auto" w:fill="auto"/>
                  <w:vAlign w:val="center"/>
                </w:tcPr>
                <w:p w14:paraId="65F5CA38">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本项目选用低噪声生产机械和设备，合理安排施工时间，对高噪声机械设备操作人员采取个人防护措施，</w:t>
                  </w:r>
                  <w:r>
                    <w:rPr>
                      <w:rFonts w:hint="default" w:ascii="Times New Roman" w:hAnsi="Times New Roman" w:cs="Times New Roman"/>
                      <w:color w:val="000000" w:themeColor="text1"/>
                      <w:highlight w:val="none"/>
                      <w:lang w:eastAsia="zh-CN"/>
                      <w14:textFill>
                        <w14:solidFill>
                          <w14:schemeClr w14:val="tx1"/>
                        </w14:solidFill>
                      </w14:textFill>
                    </w:rPr>
                    <w:t>佩戴</w:t>
                  </w:r>
                  <w:r>
                    <w:rPr>
                      <w:rFonts w:hint="default" w:ascii="Times New Roman" w:hAnsi="Times New Roman" w:cs="Times New Roman"/>
                      <w:color w:val="000000" w:themeColor="text1"/>
                      <w:highlight w:val="none"/>
                      <w14:textFill>
                        <w14:solidFill>
                          <w14:schemeClr w14:val="tx1"/>
                        </w14:solidFill>
                      </w14:textFill>
                    </w:rPr>
                    <w:t>耳塞等。</w:t>
                  </w:r>
                </w:p>
              </w:tc>
              <w:tc>
                <w:tcPr>
                  <w:tcW w:w="426" w:type="dxa"/>
                  <w:tcBorders>
                    <w:tl2br w:val="nil"/>
                    <w:tr2bl w:val="nil"/>
                  </w:tcBorders>
                  <w:vAlign w:val="center"/>
                </w:tcPr>
                <w:p w14:paraId="74B7A19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0291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2F6D4D1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《新疆维吾尔自治区大气污染防治条例》</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2019年1月1日实施</w:t>
                  </w:r>
                  <w:r>
                    <w:rPr>
                      <w:rFonts w:hint="eastAsia" w:cs="Times New Roman"/>
                      <w:color w:val="000000" w:themeColor="text1"/>
                      <w:highlight w:val="none"/>
                      <w:lang w:eastAsia="zh-CN"/>
                      <w14:textFill>
                        <w14:solidFill>
                          <w14:schemeClr w14:val="tx1"/>
                        </w14:solidFill>
                      </w14:textFill>
                    </w:rPr>
                    <w:t>）</w:t>
                  </w:r>
                </w:p>
              </w:tc>
              <w:tc>
                <w:tcPr>
                  <w:tcW w:w="3408" w:type="dxa"/>
                  <w:gridSpan w:val="2"/>
                  <w:tcBorders>
                    <w:tl2br w:val="nil"/>
                    <w:tr2bl w:val="nil"/>
                  </w:tcBorders>
                  <w:shd w:val="clear" w:color="auto" w:fill="auto"/>
                  <w:vAlign w:val="center"/>
                </w:tcPr>
                <w:p w14:paraId="211F25B4">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各级人民政府应当加强对建设施工、矿产资源开采、物料运输的扬尘和沙尘污染的治理，保持道路清洁、控制料堆和渣土堆放，科学合理扩大绿地、水面、湿地、地面铺装和防风固沙绿化面积，防治扬尘污染</w:t>
                  </w:r>
                </w:p>
              </w:tc>
              <w:tc>
                <w:tcPr>
                  <w:tcW w:w="2661" w:type="dxa"/>
                  <w:tcBorders>
                    <w:tl2br w:val="nil"/>
                    <w:tr2bl w:val="nil"/>
                  </w:tcBorders>
                  <w:shd w:val="clear" w:color="auto" w:fill="auto"/>
                  <w:vAlign w:val="center"/>
                </w:tcPr>
                <w:p w14:paraId="0AE5825C">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生产车间全封闭</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原料及成品</w:t>
                  </w:r>
                  <w:r>
                    <w:rPr>
                      <w:rFonts w:hint="default" w:ascii="Times New Roman" w:hAnsi="Times New Roman" w:cs="Times New Roman"/>
                      <w:color w:val="000000" w:themeColor="text1"/>
                      <w:highlight w:val="none"/>
                      <w14:textFill>
                        <w14:solidFill>
                          <w14:schemeClr w14:val="tx1"/>
                        </w14:solidFill>
                      </w14:textFill>
                    </w:rPr>
                    <w:t>堆</w:t>
                  </w:r>
                  <w:r>
                    <w:rPr>
                      <w:rFonts w:hint="default" w:ascii="Times New Roman" w:hAnsi="Times New Roman" w:cs="Times New Roman"/>
                      <w:color w:val="000000" w:themeColor="text1"/>
                      <w:highlight w:val="none"/>
                      <w:lang w:val="en-US" w:eastAsia="zh-CN"/>
                      <w14:textFill>
                        <w14:solidFill>
                          <w14:schemeClr w14:val="tx1"/>
                        </w14:solidFill>
                      </w14:textFill>
                    </w:rPr>
                    <w:t>场全封闭，配备雾炮机</w:t>
                  </w:r>
                  <w:r>
                    <w:rPr>
                      <w:rFonts w:hint="default" w:ascii="Times New Roman" w:hAnsi="Times New Roman" w:cs="Times New Roman"/>
                      <w:color w:val="000000" w:themeColor="text1"/>
                      <w:highlight w:val="none"/>
                      <w14:textFill>
                        <w14:solidFill>
                          <w14:schemeClr w14:val="tx1"/>
                        </w14:solidFill>
                      </w14:textFill>
                    </w:rPr>
                    <w:t>等措施防治无组织粉尘排放，合理规划运输路线，符合《条例》相关要求。</w:t>
                  </w:r>
                </w:p>
              </w:tc>
              <w:tc>
                <w:tcPr>
                  <w:tcW w:w="426" w:type="dxa"/>
                  <w:tcBorders>
                    <w:tl2br w:val="nil"/>
                    <w:tr2bl w:val="nil"/>
                  </w:tcBorders>
                  <w:shd w:val="clear" w:color="auto" w:fill="auto"/>
                  <w:vAlign w:val="center"/>
                </w:tcPr>
                <w:p w14:paraId="28F2D1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781A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02F408E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《中华人民共和国草原法》</w:t>
                  </w:r>
                  <w:r>
                    <w:rPr>
                      <w:rFonts w:hint="eastAsia" w:cs="Times New Roman"/>
                      <w:color w:val="000000" w:themeColor="text1"/>
                      <w:highlight w:val="none"/>
                      <w:lang w:val="en-US" w:eastAsia="zh-CN"/>
                      <w14:textFill>
                        <w14:solidFill>
                          <w14:schemeClr w14:val="tx1"/>
                        </w14:solidFill>
                      </w14:textFill>
                    </w:rPr>
                    <w:t>（2021年4月修订）</w:t>
                  </w:r>
                </w:p>
              </w:tc>
              <w:tc>
                <w:tcPr>
                  <w:tcW w:w="3408" w:type="dxa"/>
                  <w:gridSpan w:val="2"/>
                  <w:tcBorders>
                    <w:tl2br w:val="nil"/>
                    <w:tr2bl w:val="nil"/>
                  </w:tcBorders>
                  <w:shd w:val="clear" w:color="auto" w:fill="auto"/>
                  <w:vAlign w:val="center"/>
                </w:tcPr>
                <w:p w14:paraId="2BF4730B">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第四十条 需要临时占用草原的，应当经县级以上地方人民政府草原行政主管部门审核同意。临时占用草原的期限不得超过两年，并不得在临时占用的草原上修建永久性建筑物、构筑物；占用期满，用地单位必须恢复草原植被并及时退还。</w:t>
                  </w:r>
                </w:p>
              </w:tc>
              <w:tc>
                <w:tcPr>
                  <w:tcW w:w="2661" w:type="dxa"/>
                  <w:tcBorders>
                    <w:tl2br w:val="nil"/>
                    <w:tr2bl w:val="nil"/>
                  </w:tcBorders>
                  <w:shd w:val="clear" w:color="auto" w:fill="auto"/>
                  <w:vAlign w:val="center"/>
                </w:tcPr>
                <w:p w14:paraId="6D42BDDB">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本项目生产的砂石料供伊宁至阿克苏铁路建设使用，项目临时占用草地，已办理临时征地手续并签订草原补偿协议（详见附件1），项目不在占用的草地上修建永久建筑物。</w:t>
                  </w:r>
                </w:p>
              </w:tc>
              <w:tc>
                <w:tcPr>
                  <w:tcW w:w="426" w:type="dxa"/>
                  <w:tcBorders>
                    <w:tl2br w:val="nil"/>
                    <w:tr2bl w:val="nil"/>
                  </w:tcBorders>
                  <w:shd w:val="clear" w:color="auto" w:fill="auto"/>
                  <w:vAlign w:val="center"/>
                </w:tcPr>
                <w:p w14:paraId="2E6DFF9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7C38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restart"/>
                  <w:tcBorders>
                    <w:tl2br w:val="nil"/>
                    <w:tr2bl w:val="nil"/>
                  </w:tcBorders>
                  <w:shd w:val="clear" w:color="auto" w:fill="auto"/>
                  <w:vAlign w:val="center"/>
                </w:tcPr>
                <w:p w14:paraId="795841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《工业料堆场扬尘整治规范》（DB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65/T4061-2017）</w:t>
                  </w:r>
                </w:p>
              </w:tc>
              <w:tc>
                <w:tcPr>
                  <w:tcW w:w="3408" w:type="dxa"/>
                  <w:gridSpan w:val="2"/>
                  <w:tcBorders>
                    <w:tl2br w:val="nil"/>
                    <w:tr2bl w:val="nil"/>
                  </w:tcBorders>
                  <w:shd w:val="clear" w:color="auto" w:fill="auto"/>
                  <w:vAlign w:val="center"/>
                </w:tcPr>
                <w:p w14:paraId="180BFDEA">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各企业应建立工业料堆场扬尘污染控制管理制度和工业料堆场作业相关操作规程，落实专人负责本单位的工业料堆场扬尘污染控制工作。</w:t>
                  </w:r>
                </w:p>
              </w:tc>
              <w:tc>
                <w:tcPr>
                  <w:tcW w:w="2661" w:type="dxa"/>
                  <w:tcBorders>
                    <w:tl2br w:val="nil"/>
                    <w:tr2bl w:val="nil"/>
                  </w:tcBorders>
                  <w:shd w:val="clear" w:color="auto" w:fill="auto"/>
                  <w:vAlign w:val="center"/>
                </w:tcPr>
                <w:p w14:paraId="0FE2C5B6">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本项目贯彻</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安全第一，预防为主</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的安全生产方针。相关作业人员进行专业培训，持证上岗。</w:t>
                  </w:r>
                </w:p>
              </w:tc>
              <w:tc>
                <w:tcPr>
                  <w:tcW w:w="426" w:type="dxa"/>
                  <w:tcBorders>
                    <w:tl2br w:val="nil"/>
                    <w:tr2bl w:val="nil"/>
                  </w:tcBorders>
                  <w:shd w:val="clear" w:color="auto" w:fill="auto"/>
                  <w:vAlign w:val="center"/>
                </w:tcPr>
                <w:p w14:paraId="6973CED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5786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161F463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3408" w:type="dxa"/>
                  <w:gridSpan w:val="2"/>
                  <w:tcBorders>
                    <w:tl2br w:val="nil"/>
                    <w:tr2bl w:val="nil"/>
                  </w:tcBorders>
                  <w:shd w:val="clear" w:color="auto" w:fill="auto"/>
                  <w:vAlign w:val="center"/>
                </w:tcPr>
                <w:p w14:paraId="33294406">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工业料堆场的污染防治应从源头控制，减少堆存量，通过优化生产原料配置、厂区布置，提高管理水平、改善污染防治技术工艺、加强综合利用等措施减少环境污染。</w:t>
                  </w:r>
                </w:p>
              </w:tc>
              <w:tc>
                <w:tcPr>
                  <w:tcW w:w="2661" w:type="dxa"/>
                  <w:tcBorders>
                    <w:tl2br w:val="nil"/>
                    <w:tr2bl w:val="nil"/>
                  </w:tcBorders>
                  <w:shd w:val="clear" w:color="auto" w:fill="auto"/>
                  <w:vAlign w:val="center"/>
                </w:tcPr>
                <w:p w14:paraId="0972EF8A">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本项目生产车间全封闭，砂石料上料、输送、破碎、筛分等粉尘产生工序设置集气罩，收集的粉尘经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布袋除尘器处理后通过15m高排气筒（DA001）排放，除尘效率99%。配备雾炮机、水喷淋等洒水抑尘设施，合理规划物料堆场及运输路线，符合《规范》相关要求。</w:t>
                  </w:r>
                </w:p>
              </w:tc>
              <w:tc>
                <w:tcPr>
                  <w:tcW w:w="426" w:type="dxa"/>
                  <w:tcBorders>
                    <w:tl2br w:val="nil"/>
                    <w:tr2bl w:val="nil"/>
                  </w:tcBorders>
                  <w:shd w:val="clear" w:color="auto" w:fill="auto"/>
                  <w:vAlign w:val="center"/>
                </w:tcPr>
                <w:p w14:paraId="3537DE1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7A97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249D76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3408" w:type="dxa"/>
                  <w:gridSpan w:val="2"/>
                  <w:tcBorders>
                    <w:tl2br w:val="nil"/>
                    <w:tr2bl w:val="nil"/>
                  </w:tcBorders>
                  <w:shd w:val="clear" w:color="auto" w:fill="auto"/>
                  <w:vAlign w:val="center"/>
                </w:tcPr>
                <w:p w14:paraId="08C5D358">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对工业料堆场内装卸、运输等作业过程中，易产生扬尘污染的物料必须采取封闭、遮盖、洒水降尘措施，密闭输送物料必须在装料、卸料处配备吸尘、喷淋防尘措施。</w:t>
                  </w:r>
                </w:p>
              </w:tc>
              <w:tc>
                <w:tcPr>
                  <w:tcW w:w="2661" w:type="dxa"/>
                  <w:tcBorders>
                    <w:tl2br w:val="nil"/>
                    <w:tr2bl w:val="nil"/>
                  </w:tcBorders>
                  <w:shd w:val="clear" w:color="auto" w:fill="auto"/>
                  <w:vAlign w:val="center"/>
                </w:tcPr>
                <w:p w14:paraId="36733FA0">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项目区运输道路采取洒水降尘，安排专人每天对运输过程中洒落的粉尘进行清扫和收集，砂石料外运控制装卸量，采用洒水加湿后加盖篷布运输，合理规划物料运输路线。</w:t>
                  </w:r>
                </w:p>
              </w:tc>
              <w:tc>
                <w:tcPr>
                  <w:tcW w:w="426" w:type="dxa"/>
                  <w:tcBorders>
                    <w:tl2br w:val="nil"/>
                    <w:tr2bl w:val="nil"/>
                  </w:tcBorders>
                  <w:shd w:val="clear" w:color="auto" w:fill="auto"/>
                  <w:vAlign w:val="center"/>
                </w:tcPr>
                <w:p w14:paraId="75030E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12D5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17DA6D0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《关于推进机制砂石行业高质量发展的若干意见》（工信部联原〔2019〕239号）</w:t>
                  </w:r>
                </w:p>
              </w:tc>
              <w:tc>
                <w:tcPr>
                  <w:tcW w:w="3408" w:type="dxa"/>
                  <w:gridSpan w:val="2"/>
                  <w:tcBorders>
                    <w:tl2br w:val="nil"/>
                    <w:tr2bl w:val="nil"/>
                  </w:tcBorders>
                  <w:shd w:val="clear" w:color="auto" w:fill="auto"/>
                  <w:vAlign w:val="center"/>
                </w:tcPr>
                <w:p w14:paraId="40C26D9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机制砂石企业要坚持绿色低碳循环发展，按照相关规范要求建设绿色矿山。生产线配套建设抑尘收尘、水处理和降噪等污染防治以及水土保持设施，对设备、产品采取棚化密封或其他有效覆盖措施，推进清洁生产，严控无组织排放，满足达标排放等环保要求。对工艺废水、细粉和沉淀泥浆等加强回收再利用，鼓励利用生产过程中的伴生石粉生产绿色建材，实现近零排放。提高设备整体能效、节水水平，降低单位产品的综合能耗、水耗，鼓励有条件的企业实施输送带势能发电、开展合同节水管理。</w:t>
                  </w:r>
                </w:p>
              </w:tc>
              <w:tc>
                <w:tcPr>
                  <w:tcW w:w="2661" w:type="dxa"/>
                  <w:tcBorders>
                    <w:tl2br w:val="nil"/>
                    <w:tr2bl w:val="nil"/>
                  </w:tcBorders>
                  <w:shd w:val="clear" w:color="auto" w:fill="auto"/>
                  <w:vAlign w:val="center"/>
                </w:tcPr>
                <w:p w14:paraId="3F9ED01C">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本项目砂石料经过破碎筛分后用于伊宁至阿克苏铁路建设，项目区道路定期洒水降尘；生产车间全封闭，砂石料破碎、筛分等粉尘产生工序设置集气罩，收集的粉尘经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布袋除尘器处理后通过15m高排气筒（DA001）排放，配备雾炮机、水喷淋等洒水抑尘设施，除尘效率99%。本项目不产生生产废水，符合污染物排放管控要求。</w:t>
                  </w:r>
                </w:p>
              </w:tc>
              <w:tc>
                <w:tcPr>
                  <w:tcW w:w="426" w:type="dxa"/>
                  <w:tcBorders>
                    <w:tl2br w:val="nil"/>
                    <w:tr2bl w:val="nil"/>
                  </w:tcBorders>
                  <w:shd w:val="clear" w:color="auto" w:fill="auto"/>
                  <w:vAlign w:val="center"/>
                </w:tcPr>
                <w:p w14:paraId="58BDF43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r w14:paraId="2EF6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restart"/>
                  <w:tcBorders>
                    <w:tl2br w:val="nil"/>
                    <w:tr2bl w:val="nil"/>
                  </w:tcBorders>
                  <w:shd w:val="clear" w:color="auto" w:fill="auto"/>
                  <w:vAlign w:val="center"/>
                </w:tcPr>
                <w:p w14:paraId="2F7CDB0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《新疆维吾尔自治区2025年空气质量持续改善行动实施方案》（新政办发〔2024〕58号）</w:t>
                  </w:r>
                </w:p>
              </w:tc>
              <w:tc>
                <w:tcPr>
                  <w:tcW w:w="3408" w:type="dxa"/>
                  <w:gridSpan w:val="2"/>
                  <w:tcBorders>
                    <w:tl2br w:val="nil"/>
                    <w:tr2bl w:val="nil"/>
                  </w:tcBorders>
                  <w:shd w:val="clear" w:color="auto" w:fill="auto"/>
                  <w:vAlign w:val="center"/>
                </w:tcPr>
                <w:p w14:paraId="0951798E">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2661" w:type="dxa"/>
                  <w:tcBorders>
                    <w:tl2br w:val="nil"/>
                    <w:tr2bl w:val="nil"/>
                  </w:tcBorders>
                  <w:shd w:val="clear" w:color="auto" w:fill="auto"/>
                  <w:vAlign w:val="center"/>
                </w:tcPr>
                <w:p w14:paraId="369A0E6E">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本项目为建筑施工弃渣综合利用，项目工艺为破碎、筛分，不属于</w:t>
                  </w:r>
                  <w:r>
                    <w:rPr>
                      <w:rFonts w:hint="default" w:ascii="Times New Roman" w:hAnsi="Times New Roman" w:cs="Times New Roman"/>
                      <w:color w:val="000000" w:themeColor="text1"/>
                      <w:highlight w:val="none"/>
                      <w:lang w:eastAsia="zh-CN"/>
                      <w14:textFill>
                        <w14:solidFill>
                          <w14:schemeClr w14:val="tx1"/>
                        </w14:solidFill>
                      </w14:textFill>
                    </w:rPr>
                    <w:t>高耗能、高排放</w:t>
                  </w:r>
                  <w:r>
                    <w:rPr>
                      <w:rFonts w:hint="default" w:ascii="Times New Roman" w:hAnsi="Times New Roman" w:cs="Times New Roman"/>
                      <w:color w:val="000000" w:themeColor="text1"/>
                      <w:highlight w:val="none"/>
                      <w:lang w:val="en-US" w:eastAsia="zh-CN"/>
                      <w14:textFill>
                        <w14:solidFill>
                          <w14:schemeClr w14:val="tx1"/>
                        </w14:solidFill>
                      </w14:textFill>
                    </w:rPr>
                    <w:t>项目。</w:t>
                  </w:r>
                </w:p>
              </w:tc>
              <w:tc>
                <w:tcPr>
                  <w:tcW w:w="426" w:type="dxa"/>
                  <w:tcBorders>
                    <w:tl2br w:val="nil"/>
                    <w:tr2bl w:val="nil"/>
                  </w:tcBorders>
                  <w:shd w:val="clear" w:color="auto" w:fill="auto"/>
                  <w:vAlign w:val="center"/>
                </w:tcPr>
                <w:p w14:paraId="605C504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r w14:paraId="45C3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5D8B851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3408" w:type="dxa"/>
                  <w:gridSpan w:val="2"/>
                  <w:tcBorders>
                    <w:tl2br w:val="nil"/>
                    <w:tr2bl w:val="nil"/>
                  </w:tcBorders>
                  <w:shd w:val="clear" w:color="auto" w:fill="auto"/>
                  <w:vAlign w:val="center"/>
                </w:tcPr>
                <w:p w14:paraId="19A21D8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强化非道路移动源综合治理。建立非道路移动机械排放清单。加快推进铁路货场、物流园区、机场、工矿企业内部作业车辆和机械新能源更新改造。</w:t>
                  </w:r>
                </w:p>
              </w:tc>
              <w:tc>
                <w:tcPr>
                  <w:tcW w:w="2661" w:type="dxa"/>
                  <w:tcBorders>
                    <w:tl2br w:val="nil"/>
                    <w:tr2bl w:val="nil"/>
                  </w:tcBorders>
                  <w:shd w:val="clear" w:color="auto" w:fill="auto"/>
                  <w:vAlign w:val="center"/>
                </w:tcPr>
                <w:p w14:paraId="18F5B0F7">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施工车辆定期维修养护，使用正品燃油，减少尾气排放。</w:t>
                  </w:r>
                </w:p>
              </w:tc>
              <w:tc>
                <w:tcPr>
                  <w:tcW w:w="426" w:type="dxa"/>
                  <w:tcBorders>
                    <w:tl2br w:val="nil"/>
                    <w:tr2bl w:val="nil"/>
                  </w:tcBorders>
                  <w:shd w:val="clear" w:color="auto" w:fill="auto"/>
                  <w:vAlign w:val="center"/>
                </w:tcPr>
                <w:p w14:paraId="30D64C1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r w14:paraId="7ABE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4EBD5C0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《关于促进砂石行业健康有序发展的指导意见》（发改价格〔2020〕473号）</w:t>
                  </w:r>
                </w:p>
              </w:tc>
              <w:tc>
                <w:tcPr>
                  <w:tcW w:w="3408" w:type="dxa"/>
                  <w:gridSpan w:val="2"/>
                  <w:tcBorders>
                    <w:tl2br w:val="nil"/>
                    <w:tr2bl w:val="nil"/>
                  </w:tcBorders>
                  <w:shd w:val="clear" w:color="auto" w:fill="auto"/>
                  <w:vAlign w:val="center"/>
                </w:tcPr>
                <w:p w14:paraId="4EB46434">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（十二）鼓励利用固废资源制造再生砂石。鼓励利用建筑拆除垃圾等固废资源生产砂石替代材料，清理不合理的区域限制措施，增加再生砂石供给。</w:t>
                  </w:r>
                </w:p>
              </w:tc>
              <w:tc>
                <w:tcPr>
                  <w:tcW w:w="2661" w:type="dxa"/>
                  <w:tcBorders>
                    <w:tl2br w:val="nil"/>
                    <w:tr2bl w:val="nil"/>
                  </w:tcBorders>
                  <w:shd w:val="clear" w:color="auto" w:fill="auto"/>
                  <w:vAlign w:val="center"/>
                </w:tcPr>
                <w:p w14:paraId="57233702">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项目原料来源于新建伊宁至阿克苏铁路隧道在施工过程中产生的隧道废石，本项目为建筑施工弃渣综合利用，项目工艺为破碎、筛分，本项目砂石料经过破碎筛分后用于伊宁至阿克苏铁路建设。</w:t>
                  </w:r>
                </w:p>
              </w:tc>
              <w:tc>
                <w:tcPr>
                  <w:tcW w:w="426" w:type="dxa"/>
                  <w:tcBorders>
                    <w:tl2br w:val="nil"/>
                    <w:tr2bl w:val="nil"/>
                  </w:tcBorders>
                  <w:shd w:val="clear" w:color="auto" w:fill="auto"/>
                  <w:vAlign w:val="center"/>
                </w:tcPr>
                <w:p w14:paraId="6C3A9A0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210C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6C29302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国务院关于印发《固体废物综合治理行动计划》的通知国发〔2025〕14号</w:t>
                  </w:r>
                </w:p>
              </w:tc>
              <w:tc>
                <w:tcPr>
                  <w:tcW w:w="3408" w:type="dxa"/>
                  <w:gridSpan w:val="2"/>
                  <w:tcBorders>
                    <w:tl2br w:val="nil"/>
                    <w:tr2bl w:val="nil"/>
                  </w:tcBorders>
                  <w:shd w:val="clear" w:color="auto" w:fill="auto"/>
                  <w:vAlign w:val="center"/>
                </w:tcPr>
                <w:p w14:paraId="4E29ABF5">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四、提升资源化利用水平</w:t>
                  </w:r>
                </w:p>
                <w:p w14:paraId="30FE1BF7">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（七）加强大宗固体废弃物综合利用。提升冶炼渣、尾矿、共伴生矿、赤泥、建筑垃圾综合利用能力，加强有价组分高效提取及整体利用，因地制宜推动煤矸石多元化利用。</w:t>
                  </w:r>
                </w:p>
                <w:p w14:paraId="4BB85E07">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（十四）深入推进建筑垃圾专项整治。加快建筑垃圾利用和处置设施规划建设。</w:t>
                  </w:r>
                </w:p>
              </w:tc>
              <w:tc>
                <w:tcPr>
                  <w:tcW w:w="2661" w:type="dxa"/>
                  <w:tcBorders>
                    <w:tl2br w:val="nil"/>
                    <w:tr2bl w:val="nil"/>
                  </w:tcBorders>
                  <w:shd w:val="clear" w:color="auto" w:fill="auto"/>
                  <w:vAlign w:val="center"/>
                </w:tcPr>
                <w:p w14:paraId="205764C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本项目为建筑施工弃渣综合利用，项目工艺为破碎、筛分，本项目砂石料经过破碎筛分后用于伊宁至阿克苏铁路建设。</w:t>
                  </w:r>
                </w:p>
              </w:tc>
              <w:tc>
                <w:tcPr>
                  <w:tcW w:w="426" w:type="dxa"/>
                  <w:tcBorders>
                    <w:tl2br w:val="nil"/>
                    <w:tr2bl w:val="nil"/>
                  </w:tcBorders>
                  <w:shd w:val="clear" w:color="auto" w:fill="auto"/>
                  <w:vAlign w:val="center"/>
                </w:tcPr>
                <w:p w14:paraId="1AEDEED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24D4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restart"/>
                  <w:tcBorders>
                    <w:tl2br w:val="nil"/>
                    <w:tr2bl w:val="nil"/>
                  </w:tcBorders>
                  <w:shd w:val="clear" w:color="auto" w:fill="auto"/>
                  <w:vAlign w:val="center"/>
                </w:tcPr>
                <w:p w14:paraId="1E9F69D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《生态环境法典》（2026年8月15日实施）</w:t>
                  </w:r>
                </w:p>
              </w:tc>
              <w:tc>
                <w:tcPr>
                  <w:tcW w:w="700" w:type="dxa"/>
                  <w:tcBorders>
                    <w:tl2br w:val="nil"/>
                    <w:tr2bl w:val="nil"/>
                  </w:tcBorders>
                  <w:shd w:val="clear" w:color="auto" w:fill="auto"/>
                  <w:vAlign w:val="center"/>
                </w:tcPr>
                <w:p w14:paraId="5EC5BC4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第一章总则第五章生态环境影响评价</w:t>
                  </w:r>
                </w:p>
              </w:tc>
              <w:tc>
                <w:tcPr>
                  <w:tcW w:w="2708" w:type="dxa"/>
                  <w:tcBorders>
                    <w:tl2br w:val="nil"/>
                    <w:tr2bl w:val="nil"/>
                  </w:tcBorders>
                  <w:shd w:val="clear" w:color="auto" w:fill="auto"/>
                  <w:vAlign w:val="center"/>
                </w:tcPr>
                <w:p w14:paraId="2EDF2AF8">
                  <w:pPr>
                    <w:pStyle w:val="16"/>
                    <w:bidi w:val="0"/>
                    <w:ind w:firstLine="0" w:firstLineChars="0"/>
                    <w:jc w:val="both"/>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第一百三十五条 国家推广先进适用技术、工艺、设备，减少资源消耗和污染物、温室气体的产生、排放，促进废弃物综合利用和污染物无害化处理。</w:t>
                  </w:r>
                </w:p>
              </w:tc>
              <w:tc>
                <w:tcPr>
                  <w:tcW w:w="2661" w:type="dxa"/>
                  <w:tcBorders>
                    <w:tl2br w:val="nil"/>
                    <w:tr2bl w:val="nil"/>
                  </w:tcBorders>
                  <w:shd w:val="clear" w:color="auto" w:fill="auto"/>
                  <w:vAlign w:val="center"/>
                </w:tcPr>
                <w:p w14:paraId="038B502A">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w:t>
                  </w:r>
                  <w:r>
                    <w:rPr>
                      <w:rFonts w:hint="eastAsia" w:cs="Times New Roman"/>
                      <w:color w:val="000000" w:themeColor="text1"/>
                      <w:highlight w:val="none"/>
                      <w:lang w:val="en-US" w:eastAsia="zh-CN"/>
                      <w14:textFill>
                        <w14:solidFill>
                          <w14:schemeClr w14:val="tx1"/>
                        </w14:solidFill>
                      </w14:textFill>
                    </w:rPr>
                    <w:t>符合</w:t>
                  </w:r>
                  <w:r>
                    <w:rPr>
                      <w:rFonts w:hint="default" w:ascii="Times New Roman" w:hAnsi="Times New Roman" w:cs="Times New Roman"/>
                      <w:color w:val="000000" w:themeColor="text1"/>
                      <w:highlight w:val="none"/>
                      <w:lang w:val="en-US" w:eastAsia="zh-CN"/>
                      <w14:textFill>
                        <w14:solidFill>
                          <w14:schemeClr w14:val="tx1"/>
                        </w14:solidFill>
                      </w14:textFill>
                    </w:rPr>
                    <w:t>促进废弃物综合利用和污染物无害化处理。</w:t>
                  </w:r>
                </w:p>
              </w:tc>
              <w:tc>
                <w:tcPr>
                  <w:tcW w:w="426" w:type="dxa"/>
                  <w:vMerge w:val="restart"/>
                  <w:tcBorders>
                    <w:tl2br w:val="nil"/>
                    <w:tr2bl w:val="nil"/>
                  </w:tcBorders>
                  <w:shd w:val="clear" w:color="auto" w:fill="auto"/>
                  <w:vAlign w:val="center"/>
                </w:tcPr>
                <w:p w14:paraId="479F65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24F8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328040C2">
                  <w:pPr>
                    <w:pStyle w:val="16"/>
                    <w:bidi w:val="0"/>
                    <w:rPr>
                      <w:rFonts w:hint="eastAsia" w:cs="Times New Roman"/>
                      <w:color w:val="000000" w:themeColor="text1"/>
                      <w:highlight w:val="none"/>
                      <w:lang w:val="en-US" w:eastAsia="zh-CN"/>
                      <w14:textFill>
                        <w14:solidFill>
                          <w14:schemeClr w14:val="tx1"/>
                        </w14:solidFill>
                      </w14:textFill>
                    </w:rPr>
                  </w:pPr>
                </w:p>
              </w:tc>
              <w:tc>
                <w:tcPr>
                  <w:tcW w:w="700" w:type="dxa"/>
                  <w:vMerge w:val="restart"/>
                  <w:tcBorders>
                    <w:tl2br w:val="nil"/>
                    <w:tr2bl w:val="nil"/>
                  </w:tcBorders>
                  <w:shd w:val="clear" w:color="auto" w:fill="auto"/>
                  <w:vAlign w:val="center"/>
                </w:tcPr>
                <w:p w14:paraId="471600B2">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第二分编大气污染防治</w:t>
                  </w:r>
                </w:p>
              </w:tc>
              <w:tc>
                <w:tcPr>
                  <w:tcW w:w="2708" w:type="dxa"/>
                  <w:tcBorders>
                    <w:tl2br w:val="nil"/>
                    <w:tr2bl w:val="nil"/>
                  </w:tcBorders>
                  <w:shd w:val="clear" w:color="auto" w:fill="auto"/>
                  <w:vAlign w:val="center"/>
                </w:tcPr>
                <w:p w14:paraId="6AC3683E">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第二百一十七条钢铁、建材、有色金属、石油、化工、制药、矿产开采企业和其他工业生产企业，应当加强精细化管理，采取集中收集处理等措施，严格控制粉尘和气态污染物的排放。</w:t>
                  </w:r>
                </w:p>
                <w:p w14:paraId="52D1B736">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工业生产企业应当采取密闭、围挡、遮盖、清扫、洒水等措施，减少内部物料的堆存、传输、装卸等环节产生的粉尘和气态污染物的排放。</w:t>
                  </w:r>
                </w:p>
              </w:tc>
              <w:tc>
                <w:tcPr>
                  <w:tcW w:w="2661" w:type="dxa"/>
                  <w:tcBorders>
                    <w:tl2br w:val="nil"/>
                    <w:tr2bl w:val="nil"/>
                  </w:tcBorders>
                  <w:shd w:val="clear" w:color="auto" w:fill="auto"/>
                  <w:vAlign w:val="center"/>
                </w:tcPr>
                <w:p w14:paraId="1157A176">
                  <w:pPr>
                    <w:pStyle w:val="16"/>
                    <w:bidi w:val="0"/>
                    <w:jc w:val="both"/>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本项目为建筑施工弃渣综合利用，项目生产工艺为破碎、筛分，本项目砂石料经过破碎筛分后用于</w:t>
                  </w:r>
                  <w:r>
                    <w:rPr>
                      <w:rFonts w:hint="default" w:ascii="Times New Roman" w:hAnsi="Times New Roman" w:cs="Times New Roman"/>
                      <w:color w:val="000000" w:themeColor="text1"/>
                      <w:highlight w:val="none"/>
                      <w:lang w:val="en-US" w:eastAsia="zh-CN"/>
                      <w14:textFill>
                        <w14:solidFill>
                          <w14:schemeClr w14:val="tx1"/>
                        </w14:solidFill>
                      </w14:textFill>
                    </w:rPr>
                    <w:t>伊宁至阿克苏铁路建设</w:t>
                  </w:r>
                  <w:r>
                    <w:rPr>
                      <w:rFonts w:hint="default" w:ascii="Times New Roman" w:hAnsi="Times New Roman" w:cs="Times New Roman"/>
                      <w:color w:val="000000" w:themeColor="text1"/>
                      <w:highlight w:val="none"/>
                      <w:lang w:eastAsia="zh-CN"/>
                      <w14:textFill>
                        <w14:solidFill>
                          <w14:schemeClr w14:val="tx1"/>
                        </w14:solidFill>
                      </w14:textFill>
                    </w:rPr>
                    <w:t>；本项目拟采取的</w:t>
                  </w:r>
                  <w:r>
                    <w:rPr>
                      <w:rFonts w:hint="default" w:ascii="Times New Roman" w:hAnsi="Times New Roman" w:cs="Times New Roman"/>
                      <w:color w:val="000000" w:themeColor="text1"/>
                      <w:highlight w:val="none"/>
                      <w:lang w:val="en-US" w:eastAsia="zh-CN"/>
                      <w14:textFill>
                        <w14:solidFill>
                          <w14:schemeClr w14:val="tx1"/>
                        </w14:solidFill>
                      </w14:textFill>
                    </w:rPr>
                    <w:t>大气污染防治</w:t>
                  </w:r>
                  <w:r>
                    <w:rPr>
                      <w:rFonts w:hint="default" w:ascii="Times New Roman" w:hAnsi="Times New Roman" w:cs="Times New Roman"/>
                      <w:color w:val="000000" w:themeColor="text1"/>
                      <w:highlight w:val="none"/>
                      <w:lang w:eastAsia="zh-CN"/>
                      <w14:textFill>
                        <w14:solidFill>
                          <w14:schemeClr w14:val="tx1"/>
                        </w14:solidFill>
                      </w14:textFill>
                    </w:rPr>
                    <w:t>措施为</w:t>
                  </w:r>
                  <w:r>
                    <w:rPr>
                      <w:rFonts w:hint="default"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lang w:eastAsia="zh-CN"/>
                      <w14:textFill>
                        <w14:solidFill>
                          <w14:schemeClr w14:val="tx1"/>
                        </w14:solidFill>
                      </w14:textFill>
                    </w:rPr>
                    <w:t>车间全封闭，</w:t>
                  </w:r>
                  <w:r>
                    <w:rPr>
                      <w:rFonts w:hint="default" w:ascii="Times New Roman" w:hAnsi="Times New Roman" w:cs="Times New Roman"/>
                      <w:color w:val="000000" w:themeColor="text1"/>
                      <w:highlight w:val="none"/>
                      <w:lang w:val="en-US" w:eastAsia="zh-CN"/>
                      <w14:textFill>
                        <w14:solidFill>
                          <w14:schemeClr w14:val="tx1"/>
                        </w14:solidFill>
                      </w14:textFill>
                    </w:rPr>
                    <w:t>各排污节点上方安装集气罩</w:t>
                  </w:r>
                  <w:r>
                    <w:rPr>
                      <w:rFonts w:hint="default" w:ascii="Times New Roman" w:hAnsi="Times New Roman" w:cs="Times New Roman"/>
                      <w:color w:val="000000" w:themeColor="text1"/>
                      <w:highlight w:val="none"/>
                      <w:lang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eastAsia="zh-CN"/>
                      <w14:textFill>
                        <w14:solidFill>
                          <w14:schemeClr w14:val="tx1"/>
                        </w14:solidFill>
                      </w14:textFill>
                    </w:rPr>
                    <w:t>布袋除尘装置处理后经15m高排气筒排放，除尘效率99%。</w:t>
                  </w:r>
                </w:p>
              </w:tc>
              <w:tc>
                <w:tcPr>
                  <w:tcW w:w="426" w:type="dxa"/>
                  <w:vMerge w:val="continue"/>
                  <w:tcBorders>
                    <w:tl2br w:val="nil"/>
                    <w:tr2bl w:val="nil"/>
                  </w:tcBorders>
                  <w:shd w:val="clear" w:color="auto" w:fill="auto"/>
                  <w:vAlign w:val="center"/>
                </w:tcPr>
                <w:p w14:paraId="49F647E1">
                  <w:pPr>
                    <w:pStyle w:val="16"/>
                    <w:bidi w:val="0"/>
                    <w:rPr>
                      <w:rFonts w:hint="eastAsia" w:cs="Times New Roman"/>
                      <w:color w:val="000000" w:themeColor="text1"/>
                      <w:highlight w:val="none"/>
                      <w:lang w:val="en-US" w:eastAsia="zh-CN"/>
                      <w14:textFill>
                        <w14:solidFill>
                          <w14:schemeClr w14:val="tx1"/>
                        </w14:solidFill>
                      </w14:textFill>
                    </w:rPr>
                  </w:pPr>
                </w:p>
              </w:tc>
            </w:tr>
            <w:tr w14:paraId="70D2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09CFFC37">
                  <w:pPr>
                    <w:pStyle w:val="16"/>
                    <w:bidi w:val="0"/>
                    <w:rPr>
                      <w:rFonts w:hint="eastAsia" w:cs="Times New Roman"/>
                      <w:color w:val="000000" w:themeColor="text1"/>
                      <w:highlight w:val="none"/>
                      <w:lang w:val="en-US" w:eastAsia="zh-CN"/>
                      <w14:textFill>
                        <w14:solidFill>
                          <w14:schemeClr w14:val="tx1"/>
                        </w14:solidFill>
                      </w14:textFill>
                    </w:rPr>
                  </w:pPr>
                </w:p>
              </w:tc>
              <w:tc>
                <w:tcPr>
                  <w:tcW w:w="700" w:type="dxa"/>
                  <w:vMerge w:val="continue"/>
                  <w:tcBorders>
                    <w:tl2br w:val="nil"/>
                    <w:tr2bl w:val="nil"/>
                  </w:tcBorders>
                  <w:shd w:val="clear" w:color="auto" w:fill="auto"/>
                  <w:vAlign w:val="center"/>
                </w:tcPr>
                <w:p w14:paraId="74DAF33C">
                  <w:pPr>
                    <w:pStyle w:val="16"/>
                    <w:bidi w:val="0"/>
                    <w:jc w:val="both"/>
                    <w:rPr>
                      <w:rFonts w:hint="eastAsia" w:cs="Times New Roman"/>
                      <w:color w:val="000000" w:themeColor="text1"/>
                      <w:highlight w:val="none"/>
                      <w:lang w:val="en-US" w:eastAsia="zh-CN"/>
                      <w14:textFill>
                        <w14:solidFill>
                          <w14:schemeClr w14:val="tx1"/>
                        </w14:solidFill>
                      </w14:textFill>
                    </w:rPr>
                  </w:pPr>
                </w:p>
              </w:tc>
              <w:tc>
                <w:tcPr>
                  <w:tcW w:w="2708" w:type="dxa"/>
                  <w:tcBorders>
                    <w:tl2br w:val="nil"/>
                    <w:tr2bl w:val="nil"/>
                  </w:tcBorders>
                  <w:shd w:val="clear" w:color="auto" w:fill="auto"/>
                  <w:vAlign w:val="center"/>
                </w:tcPr>
                <w:p w14:paraId="743A66B5">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第二百四十三条贮存煤炭、煤矸石、煤渣、煤灰、水泥、石灰、石膏、砂土、铁矿石等易产生扬尘的物料应当密闭；不能密闭的，应当设置不低于堆放物高度的严密围挡，并采取有效覆盖措施防治扬尘污染。</w:t>
                  </w:r>
                </w:p>
              </w:tc>
              <w:tc>
                <w:tcPr>
                  <w:tcW w:w="2661" w:type="dxa"/>
                  <w:tcBorders>
                    <w:tl2br w:val="nil"/>
                    <w:tr2bl w:val="nil"/>
                  </w:tcBorders>
                  <w:shd w:val="clear" w:color="auto" w:fill="auto"/>
                  <w:vAlign w:val="center"/>
                </w:tcPr>
                <w:p w14:paraId="5A349EB5">
                  <w:pPr>
                    <w:pStyle w:val="16"/>
                    <w:bidi w:val="0"/>
                    <w:jc w:val="both"/>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本项目砂石料经过破碎筛分后用于</w:t>
                  </w:r>
                  <w:r>
                    <w:rPr>
                      <w:rFonts w:hint="default" w:ascii="Times New Roman" w:hAnsi="Times New Roman" w:cs="Times New Roman"/>
                      <w:color w:val="000000" w:themeColor="text1"/>
                      <w:highlight w:val="none"/>
                      <w:lang w:val="en-US" w:eastAsia="zh-CN"/>
                      <w14:textFill>
                        <w14:solidFill>
                          <w14:schemeClr w14:val="tx1"/>
                        </w14:solidFill>
                      </w14:textFill>
                    </w:rPr>
                    <w:t>伊宁至阿克苏铁路建设</w:t>
                  </w:r>
                  <w:r>
                    <w:rPr>
                      <w:rFonts w:hint="default" w:ascii="Times New Roman" w:hAnsi="Times New Roman" w:cs="Times New Roman"/>
                      <w:color w:val="000000" w:themeColor="text1"/>
                      <w:highlight w:val="none"/>
                      <w:lang w:eastAsia="zh-CN"/>
                      <w14:textFill>
                        <w14:solidFill>
                          <w14:schemeClr w14:val="tx1"/>
                        </w14:solidFill>
                      </w14:textFill>
                    </w:rPr>
                    <w:t>；本项目拟采取的</w:t>
                  </w:r>
                  <w:r>
                    <w:rPr>
                      <w:rFonts w:hint="default" w:ascii="Times New Roman" w:hAnsi="Times New Roman" w:cs="Times New Roman"/>
                      <w:color w:val="000000" w:themeColor="text1"/>
                      <w:highlight w:val="none"/>
                      <w:lang w:val="en-US" w:eastAsia="zh-CN"/>
                      <w14:textFill>
                        <w14:solidFill>
                          <w14:schemeClr w14:val="tx1"/>
                        </w14:solidFill>
                      </w14:textFill>
                    </w:rPr>
                    <w:t>大气污染防治</w:t>
                  </w:r>
                  <w:r>
                    <w:rPr>
                      <w:rFonts w:hint="default" w:ascii="Times New Roman" w:hAnsi="Times New Roman" w:cs="Times New Roman"/>
                      <w:color w:val="000000" w:themeColor="text1"/>
                      <w:highlight w:val="none"/>
                      <w:lang w:eastAsia="zh-CN"/>
                      <w14:textFill>
                        <w14:solidFill>
                          <w14:schemeClr w14:val="tx1"/>
                        </w14:solidFill>
                      </w14:textFill>
                    </w:rPr>
                    <w:t>措施为</w:t>
                  </w:r>
                  <w:r>
                    <w:rPr>
                      <w:rFonts w:hint="default"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lang w:eastAsia="zh-CN"/>
                      <w14:textFill>
                        <w14:solidFill>
                          <w14:schemeClr w14:val="tx1"/>
                        </w14:solidFill>
                      </w14:textFill>
                    </w:rPr>
                    <w:t>车间</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堆场</w:t>
                  </w:r>
                  <w:r>
                    <w:rPr>
                      <w:rFonts w:hint="default" w:ascii="Times New Roman" w:hAnsi="Times New Roman" w:cs="Times New Roman"/>
                      <w:color w:val="000000" w:themeColor="text1"/>
                      <w:highlight w:val="none"/>
                      <w:lang w:eastAsia="zh-CN"/>
                      <w14:textFill>
                        <w14:solidFill>
                          <w14:schemeClr w14:val="tx1"/>
                        </w14:solidFill>
                      </w14:textFill>
                    </w:rPr>
                    <w:t>全封闭，</w:t>
                  </w:r>
                  <w:r>
                    <w:rPr>
                      <w:rFonts w:hint="default" w:ascii="Times New Roman" w:hAnsi="Times New Roman" w:cs="Times New Roman"/>
                      <w:color w:val="000000" w:themeColor="text1"/>
                      <w:highlight w:val="none"/>
                      <w:lang w:val="en-US" w:eastAsia="zh-CN"/>
                      <w14:textFill>
                        <w14:solidFill>
                          <w14:schemeClr w14:val="tx1"/>
                        </w14:solidFill>
                      </w14:textFill>
                    </w:rPr>
                    <w:t>各排污节点上方安装集气罩</w:t>
                  </w:r>
                  <w:r>
                    <w:rPr>
                      <w:rFonts w:hint="default" w:ascii="Times New Roman" w:hAnsi="Times New Roman" w:cs="Times New Roman"/>
                      <w:color w:val="000000" w:themeColor="text1"/>
                      <w:highlight w:val="none"/>
                      <w:lang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eastAsia="zh-CN"/>
                      <w14:textFill>
                        <w14:solidFill>
                          <w14:schemeClr w14:val="tx1"/>
                        </w14:solidFill>
                      </w14:textFill>
                    </w:rPr>
                    <w:t>布袋除尘装置处理后经15m高排气筒排放，除尘效率99%。</w:t>
                  </w:r>
                </w:p>
              </w:tc>
              <w:tc>
                <w:tcPr>
                  <w:tcW w:w="426" w:type="dxa"/>
                  <w:vMerge w:val="continue"/>
                  <w:tcBorders>
                    <w:tl2br w:val="nil"/>
                    <w:tr2bl w:val="nil"/>
                  </w:tcBorders>
                  <w:shd w:val="clear" w:color="auto" w:fill="auto"/>
                  <w:vAlign w:val="center"/>
                </w:tcPr>
                <w:p w14:paraId="69BBF519">
                  <w:pPr>
                    <w:pStyle w:val="16"/>
                    <w:bidi w:val="0"/>
                    <w:rPr>
                      <w:rFonts w:hint="eastAsia" w:cs="Times New Roman"/>
                      <w:color w:val="000000" w:themeColor="text1"/>
                      <w:highlight w:val="none"/>
                      <w:lang w:val="en-US" w:eastAsia="zh-CN"/>
                      <w14:textFill>
                        <w14:solidFill>
                          <w14:schemeClr w14:val="tx1"/>
                        </w14:solidFill>
                      </w14:textFill>
                    </w:rPr>
                  </w:pPr>
                </w:p>
              </w:tc>
            </w:tr>
            <w:tr w14:paraId="325D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6A0C3D77">
                  <w:pPr>
                    <w:pStyle w:val="16"/>
                    <w:bidi w:val="0"/>
                    <w:rPr>
                      <w:rFonts w:hint="eastAsia" w:cs="Times New Roman"/>
                      <w:color w:val="000000" w:themeColor="text1"/>
                      <w:highlight w:val="none"/>
                      <w:lang w:val="en-US" w:eastAsia="zh-CN"/>
                      <w14:textFill>
                        <w14:solidFill>
                          <w14:schemeClr w14:val="tx1"/>
                        </w14:solidFill>
                      </w14:textFill>
                    </w:rPr>
                  </w:pPr>
                </w:p>
              </w:tc>
              <w:tc>
                <w:tcPr>
                  <w:tcW w:w="700" w:type="dxa"/>
                  <w:vMerge w:val="restart"/>
                  <w:tcBorders>
                    <w:tl2br w:val="nil"/>
                    <w:tr2bl w:val="nil"/>
                  </w:tcBorders>
                  <w:shd w:val="clear" w:color="auto" w:fill="auto"/>
                  <w:vAlign w:val="center"/>
                </w:tcPr>
                <w:p w14:paraId="6D32DDA1">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第六分编固体废物污染防治</w:t>
                  </w:r>
                </w:p>
              </w:tc>
              <w:tc>
                <w:tcPr>
                  <w:tcW w:w="2708" w:type="dxa"/>
                  <w:tcBorders>
                    <w:tl2br w:val="nil"/>
                    <w:tr2bl w:val="nil"/>
                  </w:tcBorders>
                  <w:shd w:val="clear" w:color="auto" w:fill="auto"/>
                  <w:vAlign w:val="center"/>
                </w:tcPr>
                <w:p w14:paraId="42F1F795">
                  <w:pPr>
                    <w:pStyle w:val="16"/>
                    <w:bidi w:val="0"/>
                    <w:ind w:firstLine="0" w:firstLineChars="0"/>
                    <w:jc w:val="both"/>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第四百六十六条 固体废物污染防治坚持减量化、资源化和无害化的原则，加强产生、收集、贮存、运输、利用、处置等全过程管控。</w:t>
                  </w:r>
                </w:p>
              </w:tc>
              <w:tc>
                <w:tcPr>
                  <w:tcW w:w="2661" w:type="dxa"/>
                  <w:vMerge w:val="restart"/>
                  <w:tcBorders>
                    <w:tl2br w:val="nil"/>
                    <w:tr2bl w:val="nil"/>
                  </w:tcBorders>
                  <w:shd w:val="clear" w:color="auto" w:fill="auto"/>
                  <w:vAlign w:val="center"/>
                </w:tcPr>
                <w:p w14:paraId="56EE5D2F">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w:t>
                  </w:r>
                  <w:r>
                    <w:rPr>
                      <w:rFonts w:hint="eastAsia" w:cs="Times New Roman"/>
                      <w:color w:val="000000" w:themeColor="text1"/>
                      <w:highlight w:val="none"/>
                      <w:lang w:val="en-US" w:eastAsia="zh-CN"/>
                      <w14:textFill>
                        <w14:solidFill>
                          <w14:schemeClr w14:val="tx1"/>
                        </w14:solidFill>
                      </w14:textFill>
                    </w:rPr>
                    <w:t>属于</w:t>
                  </w:r>
                  <w:r>
                    <w:rPr>
                      <w:rFonts w:hint="default" w:ascii="Times New Roman" w:hAnsi="Times New Roman" w:cs="Times New Roman"/>
                      <w:color w:val="000000" w:themeColor="text1"/>
                      <w:highlight w:val="none"/>
                      <w:lang w:val="en-US" w:eastAsia="zh-CN"/>
                      <w14:textFill>
                        <w14:solidFill>
                          <w14:schemeClr w14:val="tx1"/>
                        </w14:solidFill>
                      </w14:textFill>
                    </w:rPr>
                    <w:t>废弃物综合利用和污染物无害化处理。</w:t>
                  </w:r>
                </w:p>
              </w:tc>
              <w:tc>
                <w:tcPr>
                  <w:tcW w:w="426" w:type="dxa"/>
                  <w:vMerge w:val="continue"/>
                  <w:tcBorders>
                    <w:tl2br w:val="nil"/>
                    <w:tr2bl w:val="nil"/>
                  </w:tcBorders>
                  <w:shd w:val="clear" w:color="auto" w:fill="auto"/>
                  <w:vAlign w:val="center"/>
                </w:tcPr>
                <w:p w14:paraId="4669920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7710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6D6250DD">
                  <w:pPr>
                    <w:pStyle w:val="16"/>
                    <w:bidi w:val="0"/>
                    <w:rPr>
                      <w:rFonts w:hint="eastAsia" w:cs="Times New Roman"/>
                      <w:color w:val="000000" w:themeColor="text1"/>
                      <w:highlight w:val="none"/>
                      <w:lang w:val="en-US" w:eastAsia="zh-CN"/>
                      <w14:textFill>
                        <w14:solidFill>
                          <w14:schemeClr w14:val="tx1"/>
                        </w14:solidFill>
                      </w14:textFill>
                    </w:rPr>
                  </w:pPr>
                </w:p>
              </w:tc>
              <w:tc>
                <w:tcPr>
                  <w:tcW w:w="700" w:type="dxa"/>
                  <w:vMerge w:val="continue"/>
                  <w:tcBorders>
                    <w:tl2br w:val="nil"/>
                    <w:tr2bl w:val="nil"/>
                  </w:tcBorders>
                  <w:shd w:val="clear" w:color="auto" w:fill="auto"/>
                  <w:vAlign w:val="center"/>
                </w:tcPr>
                <w:p w14:paraId="6BF6ABB4">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708" w:type="dxa"/>
                  <w:tcBorders>
                    <w:tl2br w:val="nil"/>
                    <w:tr2bl w:val="nil"/>
                  </w:tcBorders>
                  <w:shd w:val="clear" w:color="auto" w:fill="auto"/>
                  <w:vAlign w:val="center"/>
                </w:tcPr>
                <w:p w14:paraId="1E070435">
                  <w:pPr>
                    <w:pStyle w:val="16"/>
                    <w:bidi w:val="0"/>
                    <w:jc w:val="both"/>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第四百六十七条 国家采取有效措施加强固体废物综合治理，推进城乡固体废物源头减量和资源化充分利用，最大限度降低固体废物填埋量。任何单位和个人都应当采取有效措施，减少固体废物的产生量，促进固体废物的综合利用，降低固体废物的危害性。</w:t>
                  </w:r>
                </w:p>
              </w:tc>
              <w:tc>
                <w:tcPr>
                  <w:tcW w:w="2661" w:type="dxa"/>
                  <w:vMerge w:val="continue"/>
                  <w:tcBorders>
                    <w:tl2br w:val="nil"/>
                    <w:tr2bl w:val="nil"/>
                  </w:tcBorders>
                  <w:shd w:val="clear" w:color="auto" w:fill="auto"/>
                  <w:vAlign w:val="center"/>
                </w:tcPr>
                <w:p w14:paraId="5F3D242F">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426" w:type="dxa"/>
                  <w:vMerge w:val="continue"/>
                  <w:tcBorders>
                    <w:tl2br w:val="nil"/>
                    <w:tr2bl w:val="nil"/>
                  </w:tcBorders>
                  <w:shd w:val="clear" w:color="auto" w:fill="auto"/>
                  <w:vAlign w:val="center"/>
                </w:tcPr>
                <w:p w14:paraId="5F11D0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51C0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tcBorders>
                    <w:tl2br w:val="nil"/>
                    <w:tr2bl w:val="nil"/>
                  </w:tcBorders>
                  <w:shd w:val="clear" w:color="auto" w:fill="auto"/>
                  <w:vAlign w:val="center"/>
                </w:tcPr>
                <w:p w14:paraId="19467242">
                  <w:pPr>
                    <w:pStyle w:val="16"/>
                    <w:bidi w:val="0"/>
                    <w:rPr>
                      <w:rFonts w:hint="eastAsia" w:cs="Times New Roman"/>
                      <w:color w:val="000000" w:themeColor="text1"/>
                      <w:highlight w:val="none"/>
                      <w:lang w:val="en-US" w:eastAsia="zh-CN"/>
                      <w14:textFill>
                        <w14:solidFill>
                          <w14:schemeClr w14:val="tx1"/>
                        </w14:solidFill>
                      </w14:textFill>
                    </w:rPr>
                  </w:pPr>
                </w:p>
              </w:tc>
              <w:tc>
                <w:tcPr>
                  <w:tcW w:w="700" w:type="dxa"/>
                  <w:vMerge w:val="continue"/>
                  <w:tcBorders>
                    <w:tl2br w:val="nil"/>
                    <w:tr2bl w:val="nil"/>
                  </w:tcBorders>
                  <w:shd w:val="clear" w:color="auto" w:fill="auto"/>
                  <w:vAlign w:val="center"/>
                </w:tcPr>
                <w:p w14:paraId="77A5F70D">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708" w:type="dxa"/>
                  <w:tcBorders>
                    <w:tl2br w:val="nil"/>
                    <w:tr2bl w:val="nil"/>
                  </w:tcBorders>
                  <w:shd w:val="clear" w:color="auto" w:fill="auto"/>
                  <w:vAlign w:val="center"/>
                </w:tcPr>
                <w:p w14:paraId="08B8D7B9">
                  <w:pPr>
                    <w:pStyle w:val="16"/>
                    <w:bidi w:val="0"/>
                    <w:ind w:firstLine="0" w:firstLineChars="0"/>
                    <w:jc w:val="both"/>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第四百六十八条 产生</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收集</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贮存</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运输</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利用</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处置固体废物的单位和个人应当采取有效措施防止或者减少固体废物污染</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对所造成的污染依法承担责任</w:t>
                  </w:r>
                  <w:r>
                    <w:rPr>
                      <w:rFonts w:hint="eastAsia" w:ascii="Times New Roman" w:hAnsi="Times New Roman" w:cs="Times New Roman"/>
                      <w:color w:val="000000" w:themeColor="text1"/>
                      <w:highlight w:val="none"/>
                      <w:lang w:val="en-US" w:eastAsia="zh-CN"/>
                      <w14:textFill>
                        <w14:solidFill>
                          <w14:schemeClr w14:val="tx1"/>
                        </w14:solidFill>
                      </w14:textFill>
                    </w:rPr>
                    <w:t>。</w:t>
                  </w:r>
                </w:p>
              </w:tc>
              <w:tc>
                <w:tcPr>
                  <w:tcW w:w="2661" w:type="dxa"/>
                  <w:vMerge w:val="continue"/>
                  <w:tcBorders>
                    <w:tl2br w:val="nil"/>
                    <w:tr2bl w:val="nil"/>
                  </w:tcBorders>
                  <w:shd w:val="clear" w:color="auto" w:fill="auto"/>
                  <w:vAlign w:val="center"/>
                </w:tcPr>
                <w:p w14:paraId="34E47928">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426" w:type="dxa"/>
                  <w:vMerge w:val="continue"/>
                  <w:tcBorders>
                    <w:tl2br w:val="nil"/>
                    <w:tr2bl w:val="nil"/>
                  </w:tcBorders>
                  <w:shd w:val="clear" w:color="auto" w:fill="auto"/>
                  <w:vAlign w:val="center"/>
                </w:tcPr>
                <w:p w14:paraId="468671E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5674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48C61CC0">
                  <w:pPr>
                    <w:pStyle w:val="16"/>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《中华人民共和国水土保持法》</w:t>
                  </w:r>
                </w:p>
              </w:tc>
              <w:tc>
                <w:tcPr>
                  <w:tcW w:w="3408" w:type="dxa"/>
                  <w:gridSpan w:val="2"/>
                  <w:tcBorders>
                    <w:tl2br w:val="nil"/>
                    <w:tr2bl w:val="nil"/>
                  </w:tcBorders>
                  <w:shd w:val="clear" w:color="auto" w:fill="auto"/>
                  <w:vAlign w:val="center"/>
                </w:tcPr>
                <w:p w14:paraId="7CA72FD8">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第三十八条对生产建设活动所占用土地的地表土应当进行分层剥离、保存和利用</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做到土石方挖填平衡</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减少地表扰动范围</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对废弃的砂、石、土、矸石、尾矿、废渣等存放地</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应当采取拦挡、坡面防护、防洪排导等措施.生产建设活动结束后</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应当及时在取土场、开挖面和存放地的裸露土地上植树种草、恢复植被</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对闭库的尾矿库进行复垦</w:t>
                  </w:r>
                  <w:r>
                    <w:rPr>
                      <w:rFonts w:hint="eastAsia" w:ascii="Times New Roman" w:hAnsi="Times New Roman" w:cs="Times New Roman"/>
                      <w:color w:val="000000" w:themeColor="text1"/>
                      <w:highlight w:val="none"/>
                      <w:lang w:val="en-US" w:eastAsia="zh-CN"/>
                      <w14:textFill>
                        <w14:solidFill>
                          <w14:schemeClr w14:val="tx1"/>
                        </w14:solidFill>
                      </w14:textFill>
                    </w:rPr>
                    <w:t>。</w:t>
                  </w:r>
                </w:p>
              </w:tc>
              <w:tc>
                <w:tcPr>
                  <w:tcW w:w="2661" w:type="dxa"/>
                  <w:tcBorders>
                    <w:tl2br w:val="nil"/>
                    <w:tr2bl w:val="nil"/>
                  </w:tcBorders>
                  <w:shd w:val="clear" w:color="auto" w:fill="auto"/>
                  <w:vAlign w:val="center"/>
                </w:tcPr>
                <w:p w14:paraId="03107A39">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本项目涉及的弃渣场已进行表土剥离，堆放的弃渣进行防尘网覆盖，项目施工结束后对弃渣场进行生态恢复</w:t>
                  </w:r>
                </w:p>
              </w:tc>
              <w:tc>
                <w:tcPr>
                  <w:tcW w:w="426" w:type="dxa"/>
                  <w:tcBorders>
                    <w:tl2br w:val="nil"/>
                    <w:tr2bl w:val="nil"/>
                  </w:tcBorders>
                  <w:shd w:val="clear" w:color="auto" w:fill="auto"/>
                  <w:vAlign w:val="center"/>
                </w:tcPr>
                <w:p w14:paraId="297716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6DCE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5221894D">
                  <w:pPr>
                    <w:pStyle w:val="16"/>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《中华人民共和国防沙治沙法》</w:t>
                  </w:r>
                </w:p>
              </w:tc>
              <w:tc>
                <w:tcPr>
                  <w:tcW w:w="3408" w:type="dxa"/>
                  <w:gridSpan w:val="2"/>
                  <w:tcBorders>
                    <w:tl2br w:val="nil"/>
                    <w:tr2bl w:val="nil"/>
                  </w:tcBorders>
                  <w:shd w:val="clear" w:color="auto" w:fill="auto"/>
                  <w:vAlign w:val="center"/>
                </w:tcPr>
                <w:p w14:paraId="141B864F">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第二十条</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沙化土地所在地区的县级以上地方人民政府，不得批准在沙漠边缘地带和林地、草原开垦耕地；已经开垦并对生态产生不良影响的，应当有计划地组织退耕还林还草。</w:t>
                  </w:r>
                </w:p>
                <w:p w14:paraId="2ABFA587">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第二十一条</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在沙化土地范围内从事开发建设活动的，必须事先就该项目可能对当地及相关地区生态产生的影响进行环境影响评价，依法提交环境影响报告；环境影响报告应当包括有关防沙治沙的内容。</w:t>
                  </w:r>
                </w:p>
                <w:p w14:paraId="53769974">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第二十二条</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在沙化土地封禁保护区范围内，禁止一切破坏植被的活动。</w:t>
                  </w:r>
                </w:p>
                <w:p w14:paraId="613D3051">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禁止在沙化土地封禁保护区范围内安置移民。对沙化土地封禁保护区范围内的农牧民，县级以上地方人民政府应当有计划地组织迁出，并妥善安置。沙化土地封禁保护区范围内尚未迁出的农牧民的生产生活，由沙化土地封禁保护区主管部门妥善安排。</w:t>
                  </w:r>
                </w:p>
                <w:p w14:paraId="11154A97">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未经国务院或者国务院指定的部门同意，不得在沙化土地封禁保护区范围内进行修建铁路、公路等建设活动。</w:t>
                  </w:r>
                </w:p>
              </w:tc>
              <w:tc>
                <w:tcPr>
                  <w:tcW w:w="2661" w:type="dxa"/>
                  <w:tcBorders>
                    <w:tl2br w:val="nil"/>
                    <w:tr2bl w:val="nil"/>
                  </w:tcBorders>
                  <w:shd w:val="clear" w:color="auto" w:fill="auto"/>
                  <w:vAlign w:val="center"/>
                </w:tcPr>
                <w:p w14:paraId="341A795D">
                  <w:pPr>
                    <w:pStyle w:val="16"/>
                    <w:bidi w:val="0"/>
                    <w:jc w:val="both"/>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根据附图12判断可知，本项目占地不属于沙化土地。项目占地类型为草地，已取得临时占用草地的用地手续，待项目施工结束后，按照要求对占地进行复垦。</w:t>
                  </w:r>
                </w:p>
              </w:tc>
              <w:tc>
                <w:tcPr>
                  <w:tcW w:w="426" w:type="dxa"/>
                  <w:tcBorders>
                    <w:tl2br w:val="nil"/>
                    <w:tr2bl w:val="nil"/>
                  </w:tcBorders>
                  <w:shd w:val="clear" w:color="auto" w:fill="auto"/>
                  <w:vAlign w:val="center"/>
                </w:tcPr>
                <w:p w14:paraId="68386CEE">
                  <w:pPr>
                    <w:pStyle w:val="16"/>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4C17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168BB71E">
                  <w:pPr>
                    <w:pStyle w:val="16"/>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《关于“十四五”大宗固体废弃物综合利用的指导意见》（发改环资〔2021〕381号）</w:t>
                  </w:r>
                </w:p>
              </w:tc>
              <w:tc>
                <w:tcPr>
                  <w:tcW w:w="3408" w:type="dxa"/>
                  <w:gridSpan w:val="2"/>
                  <w:tcBorders>
                    <w:tl2br w:val="nil"/>
                    <w:tr2bl w:val="nil"/>
                  </w:tcBorders>
                  <w:shd w:val="clear" w:color="auto" w:fill="auto"/>
                  <w:vAlign w:val="center"/>
                </w:tcPr>
                <w:p w14:paraId="5A172A2F">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坚持规模利用与高值利用相结合。积极拓宽大宗固废综合利用渠道，进一步扩大利用规模，力争吃干榨尽，不断提高资源综合利用产品附加值，增强产业核心竞争力。</w:t>
                  </w:r>
                </w:p>
                <w:p w14:paraId="783B176C">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坚持消纳存量与控制增量相结合。依法依规、科学有序消纳存量大宗固废；因地制宜、综合施策，有效降低大宗固废产排强度，加大综合利用力度，严控新增大宗固废堆存量。</w:t>
                  </w:r>
                </w:p>
                <w:p w14:paraId="1EC430FD">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坚持突出重点与系统治理相结合。加强大宗固废综合利用全过程管理，协同推进产废、利废和规范处置各环节，严守大宗固废综合利用和安全处置的环境底线。</w:t>
                  </w:r>
                </w:p>
                <w:p w14:paraId="6B6400F1">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加强建筑垃圾分类处理和回收利用，规范建筑垃圾堆存、中转和资源化利用场所建设和运营，推动建筑垃圾综合利用产品应用。鼓励建筑垃圾再生骨料及制品在建筑工程和道路工程中的应用，以及将建筑垃圾用于土方平衡、林业用土、环境治理、烧结制品及回填等，不断提高利用质量、扩大资源化利用规模。</w:t>
                  </w:r>
                </w:p>
              </w:tc>
              <w:tc>
                <w:tcPr>
                  <w:tcW w:w="2661" w:type="dxa"/>
                  <w:tcBorders>
                    <w:tl2br w:val="nil"/>
                    <w:tr2bl w:val="nil"/>
                  </w:tcBorders>
                  <w:shd w:val="clear" w:color="auto" w:fill="auto"/>
                  <w:vAlign w:val="center"/>
                </w:tcPr>
                <w:p w14:paraId="59DAA40F">
                  <w:pPr>
                    <w:pStyle w:val="16"/>
                    <w:bidi w:val="0"/>
                    <w:jc w:val="both"/>
                    <w:rPr>
                      <w:rFonts w:hint="default"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本项目为建筑施工弃渣综合利用，项目生产工艺为破碎、筛分，本项目砂石料经过破碎筛分后用于</w:t>
                  </w:r>
                  <w:r>
                    <w:rPr>
                      <w:rFonts w:hint="default" w:ascii="Times New Roman" w:hAnsi="Times New Roman" w:cs="Times New Roman"/>
                      <w:color w:val="000000" w:themeColor="text1"/>
                      <w:highlight w:val="none"/>
                      <w:lang w:val="en-US" w:eastAsia="zh-CN"/>
                      <w14:textFill>
                        <w14:solidFill>
                          <w14:schemeClr w14:val="tx1"/>
                        </w14:solidFill>
                      </w14:textFill>
                    </w:rPr>
                    <w:t>伊宁至阿克苏铁路建设</w:t>
                  </w:r>
                  <w:r>
                    <w:rPr>
                      <w:rFonts w:hint="eastAsia" w:ascii="Times New Roman" w:hAnsi="Times New Roman" w:cs="Times New Roman"/>
                      <w:color w:val="000000" w:themeColor="text1"/>
                      <w:highlight w:val="none"/>
                      <w:lang w:val="en-US" w:eastAsia="zh-CN"/>
                      <w14:textFill>
                        <w14:solidFill>
                          <w14:schemeClr w14:val="tx1"/>
                        </w14:solidFill>
                      </w14:textFill>
                    </w:rPr>
                    <w:t>。</w:t>
                  </w:r>
                </w:p>
              </w:tc>
              <w:tc>
                <w:tcPr>
                  <w:tcW w:w="426" w:type="dxa"/>
                  <w:tcBorders>
                    <w:tl2br w:val="nil"/>
                    <w:tr2bl w:val="nil"/>
                  </w:tcBorders>
                  <w:shd w:val="clear" w:color="auto" w:fill="auto"/>
                  <w:vAlign w:val="center"/>
                </w:tcPr>
                <w:p w14:paraId="394E8E45">
                  <w:pPr>
                    <w:pStyle w:val="16"/>
                    <w:bidi w:val="0"/>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符合</w:t>
                  </w:r>
                </w:p>
              </w:tc>
            </w:tr>
            <w:tr w14:paraId="0A9F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06A36916">
                  <w:pPr>
                    <w:pStyle w:val="16"/>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《自然资源部关于规范临时用地管理的通知》（自然资规〔2021〕2号）</w:t>
                  </w:r>
                </w:p>
              </w:tc>
              <w:tc>
                <w:tcPr>
                  <w:tcW w:w="3408" w:type="dxa"/>
                  <w:gridSpan w:val="2"/>
                  <w:tcBorders>
                    <w:tl2br w:val="nil"/>
                    <w:tr2bl w:val="nil"/>
                  </w:tcBorders>
                  <w:shd w:val="clear" w:color="auto" w:fill="auto"/>
                  <w:vAlign w:val="center"/>
                </w:tcPr>
                <w:p w14:paraId="3488EBB0">
                  <w:pPr>
                    <w:pStyle w:val="16"/>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临时用地是指建设项目施工、地质勘查等临时使用，不修建永久性建（构）筑物，使用后可恢复的土地（通过复垦可恢复原地类或者达到可供利用状态）。临时用地具有临时性和可恢复性等特点，与建设项目施工、地质勘查等无关的用地，使用后无法恢复到原地类或者复垦达不到可供利用状态的用地，不得使用临时用地。临时用地的范围包括：</w:t>
                  </w:r>
                </w:p>
                <w:p w14:paraId="7DAE89D6">
                  <w:pPr>
                    <w:pStyle w:val="16"/>
                    <w:numPr>
                      <w:ilvl w:val="0"/>
                      <w:numId w:val="0"/>
                    </w:numPr>
                    <w:bidi w:val="0"/>
                    <w:ind w:firstLine="0" w:firstLineChars="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lang w:val="en-US" w:eastAsia="zh-CN" w:bidi="ar-SA"/>
                      <w14:textFill>
                        <w14:solidFill>
                          <w14:schemeClr w14:val="tx1"/>
                        </w14:solidFill>
                      </w14:textFill>
                      <w14:ligatures w14:val="standardContextual"/>
                    </w:rPr>
                    <w:t>（一）</w:t>
                  </w:r>
                  <w:r>
                    <w:rPr>
                      <w:rFonts w:hint="default" w:ascii="Times New Roman" w:hAnsi="Times New Roman" w:cs="Times New Roman"/>
                      <w:color w:val="000000" w:themeColor="text1"/>
                      <w:highlight w:val="none"/>
                      <w:lang w:val="en-US" w:eastAsia="zh-CN"/>
                      <w14:textFill>
                        <w14:solidFill>
                          <w14:schemeClr w14:val="tx1"/>
                        </w14:solidFill>
                      </w14:textFill>
                    </w:rPr>
                    <w:t>建设项目施工过程中建设的直接服务于施工人员的临时办公和生活用房，包括临时办公用房、生活用房、工棚等使用的土地；直接服务于工程施工的项目自用辅助工程，包括农用地表土剥离堆放场、材料堆场、制梁场、拌合站、钢筋加工厂、施工便道、运输便道、地上线路架设、地下管线敷设作业，以及能源、交通、水利等基础设施项目的取土场、弃土（渣）场等使用的土地。</w:t>
                  </w:r>
                </w:p>
                <w:p w14:paraId="3FDCAA2C">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临时用地使用期限一般不超过两年。建设周期较长的能源、交通、水利等基础设施建设项目施工使用的临时用地，期限不超过四年。城镇开发边界内临时建设用地规划许可、临时建设工程规划许可的期限应当与临时用地期限相衔接。临时用地使用期限，从批准之日起算。</w:t>
                  </w:r>
                </w:p>
              </w:tc>
              <w:tc>
                <w:tcPr>
                  <w:tcW w:w="2661" w:type="dxa"/>
                  <w:tcBorders>
                    <w:tl2br w:val="nil"/>
                    <w:tr2bl w:val="nil"/>
                  </w:tcBorders>
                  <w:shd w:val="clear" w:color="auto" w:fill="auto"/>
                  <w:vAlign w:val="center"/>
                </w:tcPr>
                <w:p w14:paraId="05D41D40">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本项目占地属于新建伊阿铁路的临时用地，占地类型为草地，已办理临时用地手续，临时用地结束后，严格按照要求对临时用地进行复垦。</w:t>
                  </w:r>
                </w:p>
              </w:tc>
              <w:tc>
                <w:tcPr>
                  <w:tcW w:w="426" w:type="dxa"/>
                  <w:tcBorders>
                    <w:tl2br w:val="nil"/>
                    <w:tr2bl w:val="nil"/>
                  </w:tcBorders>
                  <w:shd w:val="clear" w:color="auto" w:fill="auto"/>
                  <w:vAlign w:val="center"/>
                </w:tcPr>
                <w:p w14:paraId="2305EB0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符合</w:t>
                  </w:r>
                </w:p>
              </w:tc>
            </w:tr>
            <w:tr w14:paraId="36EA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25CE1364">
                  <w:pPr>
                    <w:pStyle w:val="16"/>
                    <w:bidi w:val="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《新疆维吾尔自治区天山自然遗产地保护条例（2020年修正）》</w:t>
                  </w:r>
                </w:p>
              </w:tc>
              <w:tc>
                <w:tcPr>
                  <w:tcW w:w="3408" w:type="dxa"/>
                  <w:gridSpan w:val="2"/>
                  <w:tcBorders>
                    <w:tl2br w:val="nil"/>
                    <w:tr2bl w:val="nil"/>
                  </w:tcBorders>
                  <w:shd w:val="clear" w:color="auto" w:fill="auto"/>
                  <w:vAlign w:val="center"/>
                </w:tcPr>
                <w:p w14:paraId="4F2ACBB0">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第三条本条例所称天山自然遗产地，是指天山托木尔群峰、博格达群峰、天山中段山脉中按照法定程序划出并公布的自然景观、生态系统、物种栖息地和自然遗产地区域。</w:t>
                  </w:r>
                </w:p>
                <w:p w14:paraId="7D2E2212">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第二十一条在天山自然遗产地缓冲区内进行开发、建设、生产、经营等活动的，应当确保自然遗产价值不因人为活动受到不良影响。</w:t>
                  </w:r>
                </w:p>
              </w:tc>
              <w:tc>
                <w:tcPr>
                  <w:tcW w:w="2661" w:type="dxa"/>
                  <w:tcBorders>
                    <w:tl2br w:val="nil"/>
                    <w:tr2bl w:val="nil"/>
                  </w:tcBorders>
                  <w:shd w:val="clear" w:color="auto" w:fill="auto"/>
                  <w:vAlign w:val="center"/>
                </w:tcPr>
                <w:p w14:paraId="094D241E">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本项目位于新疆维吾尔自治区巴音郭楞蒙古自治州和静县巴音布鲁克乡，项目占地不在天山</w:t>
                  </w:r>
                  <w:r>
                    <w:rPr>
                      <w:rFonts w:hint="default" w:ascii="Times New Roman" w:hAnsi="Times New Roman" w:cs="Times New Roman"/>
                      <w:color w:val="000000" w:themeColor="text1"/>
                      <w:highlight w:val="none"/>
                      <w:lang w:val="en-US" w:eastAsia="zh-CN"/>
                      <w14:textFill>
                        <w14:solidFill>
                          <w14:schemeClr w14:val="tx1"/>
                        </w14:solidFill>
                      </w14:textFill>
                    </w:rPr>
                    <w:t>自然遗产地</w:t>
                  </w:r>
                  <w:r>
                    <w:rPr>
                      <w:rFonts w:hint="eastAsia" w:ascii="Times New Roman" w:hAnsi="Times New Roman" w:cs="Times New Roman"/>
                      <w:color w:val="000000" w:themeColor="text1"/>
                      <w:highlight w:val="none"/>
                      <w:lang w:val="en-US" w:eastAsia="zh-CN"/>
                      <w14:textFill>
                        <w14:solidFill>
                          <w14:schemeClr w14:val="tx1"/>
                        </w14:solidFill>
                      </w14:textFill>
                    </w:rPr>
                    <w:t>所列的</w:t>
                  </w:r>
                  <w:r>
                    <w:rPr>
                      <w:rFonts w:hint="default" w:ascii="Times New Roman" w:hAnsi="Times New Roman" w:cs="Times New Roman"/>
                      <w:color w:val="000000" w:themeColor="text1"/>
                      <w:highlight w:val="none"/>
                      <w:lang w:val="en-US" w:eastAsia="zh-CN"/>
                      <w14:textFill>
                        <w14:solidFill>
                          <w14:schemeClr w14:val="tx1"/>
                        </w14:solidFill>
                      </w14:textFill>
                    </w:rPr>
                    <w:t>自然景观、生态系统、物种栖息地和自然遗产地区域</w:t>
                  </w:r>
                  <w:r>
                    <w:rPr>
                      <w:rFonts w:hint="eastAsia" w:ascii="Times New Roman" w:hAnsi="Times New Roman" w:cs="Times New Roman"/>
                      <w:color w:val="000000" w:themeColor="text1"/>
                      <w:highlight w:val="none"/>
                      <w:lang w:val="en-US" w:eastAsia="zh-CN"/>
                      <w14:textFill>
                        <w14:solidFill>
                          <w14:schemeClr w14:val="tx1"/>
                        </w14:solidFill>
                      </w14:textFill>
                    </w:rPr>
                    <w:t>。</w:t>
                  </w:r>
                </w:p>
              </w:tc>
              <w:tc>
                <w:tcPr>
                  <w:tcW w:w="426" w:type="dxa"/>
                  <w:tcBorders>
                    <w:tl2br w:val="nil"/>
                    <w:tr2bl w:val="nil"/>
                  </w:tcBorders>
                  <w:shd w:val="clear" w:color="auto" w:fill="auto"/>
                  <w:vAlign w:val="center"/>
                </w:tcPr>
                <w:p w14:paraId="211BEC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符合</w:t>
                  </w:r>
                </w:p>
              </w:tc>
            </w:tr>
            <w:tr w14:paraId="020A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3446614F">
                  <w:pPr>
                    <w:pStyle w:val="16"/>
                    <w:bidi w:val="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《开都河流域生态环境保护条例》（2019年自治区人大常委会批准）</w:t>
                  </w:r>
                </w:p>
              </w:tc>
              <w:tc>
                <w:tcPr>
                  <w:tcW w:w="3408" w:type="dxa"/>
                  <w:gridSpan w:val="2"/>
                  <w:tcBorders>
                    <w:tl2br w:val="nil"/>
                    <w:tr2bl w:val="nil"/>
                  </w:tcBorders>
                  <w:shd w:val="clear" w:color="auto" w:fill="auto"/>
                  <w:vAlign w:val="center"/>
                </w:tcPr>
                <w:p w14:paraId="6CAC1D5B">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第十六条 禁止在饮用水水源保护区、河流、湖泊、灌排渠设置排污口，兴建与水资源保护无关的建设项目，已设置的排污口应当限期拆除。</w:t>
                  </w:r>
                </w:p>
                <w:p w14:paraId="4B879BD4">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第十七条 禁止向流域内水体倾倒矿渣、有毒有害物质、垃圾、农业投入品废弃物以及其他污染水体的废弃物，禁止向水体丢弃禽畜动物尸体和排放油类或者含病原体的污水及残液。</w:t>
                  </w:r>
                </w:p>
              </w:tc>
              <w:tc>
                <w:tcPr>
                  <w:tcW w:w="2661" w:type="dxa"/>
                  <w:tcBorders>
                    <w:tl2br w:val="nil"/>
                    <w:tr2bl w:val="nil"/>
                  </w:tcBorders>
                  <w:shd w:val="clear" w:color="auto" w:fill="auto"/>
                  <w:vAlign w:val="center"/>
                </w:tcPr>
                <w:p w14:paraId="09862069">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w:t>
                  </w:r>
                  <w:r>
                    <w:rPr>
                      <w:rFonts w:hint="eastAsia" w:ascii="Times New Roman" w:hAnsi="Times New Roman" w:cs="Times New Roman"/>
                      <w:color w:val="000000" w:themeColor="text1"/>
                      <w:highlight w:val="none"/>
                      <w:lang w:val="en-US" w:eastAsia="zh-CN"/>
                      <w14:textFill>
                        <w14:solidFill>
                          <w14:schemeClr w14:val="tx1"/>
                        </w14:solidFill>
                      </w14:textFill>
                    </w:rPr>
                    <w:t>工作人员居住在中铁隧道局新建伊阿铁路SⅩ标段项目部，项目部与本项目直线距离约1.9km，项目部生活污水采用化粪池收集后定期拉运至巴音布鲁克污水处理厂处理；生活垃圾集中收集后统一交由环保部门处置不外排。</w:t>
                  </w:r>
                </w:p>
              </w:tc>
              <w:tc>
                <w:tcPr>
                  <w:tcW w:w="426" w:type="dxa"/>
                  <w:tcBorders>
                    <w:tl2br w:val="nil"/>
                    <w:tr2bl w:val="nil"/>
                  </w:tcBorders>
                  <w:shd w:val="clear" w:color="auto" w:fill="auto"/>
                  <w:vAlign w:val="center"/>
                </w:tcPr>
                <w:p w14:paraId="32AD552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符合</w:t>
                  </w:r>
                </w:p>
              </w:tc>
            </w:tr>
            <w:tr w14:paraId="15BA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16BDECB2">
                  <w:pPr>
                    <w:pStyle w:val="16"/>
                    <w:bidi w:val="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《中华人民共和国防洪法》</w:t>
                  </w:r>
                </w:p>
              </w:tc>
              <w:tc>
                <w:tcPr>
                  <w:tcW w:w="3408" w:type="dxa"/>
                  <w:gridSpan w:val="2"/>
                  <w:tcBorders>
                    <w:tl2br w:val="nil"/>
                    <w:tr2bl w:val="nil"/>
                  </w:tcBorders>
                  <w:shd w:val="clear" w:color="auto" w:fill="auto"/>
                  <w:vAlign w:val="center"/>
                </w:tcPr>
                <w:p w14:paraId="1673ADBE">
                  <w:pPr>
                    <w:pStyle w:val="16"/>
                    <w:numPr>
                      <w:ilvl w:val="0"/>
                      <w:numId w:val="1"/>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山洪可能诱发山体滑坡、崩塌和泥石流的地区以及其他山洪多发地区的县级以上地方人民政府，应当组织负责地质矿产管理工作的部门、水行政主管部门和其他有关部门对山体滑坡、崩塌和泥石流隐患进行全面调查，划定重点防治区，采取防治措施。</w:t>
                  </w:r>
                </w:p>
                <w:p w14:paraId="7D55A109">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城市、村镇和其他居民点以及工厂、矿山、铁路和公路干线的布局，应当避开山洪威胁；已经建在受山洪威胁的地方的，应当采取防御措施。</w:t>
                  </w:r>
                </w:p>
              </w:tc>
              <w:tc>
                <w:tcPr>
                  <w:tcW w:w="2661" w:type="dxa"/>
                  <w:tcBorders>
                    <w:tl2br w:val="nil"/>
                    <w:tr2bl w:val="nil"/>
                  </w:tcBorders>
                  <w:shd w:val="clear" w:color="auto" w:fill="auto"/>
                  <w:vAlign w:val="center"/>
                </w:tcPr>
                <w:p w14:paraId="0D9FCD6D">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本项目属于新建伊阿铁路的临时工程，该弃渣场是伊阿铁路环境影响报告书中设计的弃渣场，选址经过充分论证，已避开山洪多发地。</w:t>
                  </w:r>
                </w:p>
              </w:tc>
              <w:tc>
                <w:tcPr>
                  <w:tcW w:w="426" w:type="dxa"/>
                  <w:tcBorders>
                    <w:tl2br w:val="nil"/>
                    <w:tr2bl w:val="nil"/>
                  </w:tcBorders>
                  <w:shd w:val="clear" w:color="auto" w:fill="auto"/>
                  <w:vAlign w:val="center"/>
                </w:tcPr>
                <w:p w14:paraId="095832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符合</w:t>
                  </w:r>
                </w:p>
              </w:tc>
            </w:tr>
            <w:tr w14:paraId="7225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tcBorders>
                    <w:tl2br w:val="nil"/>
                    <w:tr2bl w:val="nil"/>
                  </w:tcBorders>
                  <w:shd w:val="clear" w:color="auto" w:fill="auto"/>
                  <w:vAlign w:val="center"/>
                </w:tcPr>
                <w:p w14:paraId="13334AF1">
                  <w:pPr>
                    <w:pStyle w:val="16"/>
                    <w:bidi w:val="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《中华人民共和国河道管理条例》</w:t>
                  </w:r>
                </w:p>
              </w:tc>
              <w:tc>
                <w:tcPr>
                  <w:tcW w:w="3408" w:type="dxa"/>
                  <w:gridSpan w:val="2"/>
                  <w:tcBorders>
                    <w:tl2br w:val="nil"/>
                    <w:tr2bl w:val="nil"/>
                  </w:tcBorders>
                  <w:shd w:val="clear" w:color="auto" w:fill="auto"/>
                  <w:vAlign w:val="center"/>
                </w:tcPr>
                <w:p w14:paraId="7629753C">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第二十五条</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在河道管理范围内进行下列活动，必须报经河道主管机关批准；涉及其他部门的，由河道主管机关会同有关部门批准：</w:t>
                  </w:r>
                </w:p>
                <w:p w14:paraId="62F7FD2F">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（一）</w:t>
                  </w:r>
                  <w:r>
                    <w:rPr>
                      <w:rFonts w:hint="default" w:ascii="Times New Roman" w:hAnsi="Times New Roman" w:cs="Times New Roman"/>
                      <w:color w:val="000000" w:themeColor="text1"/>
                      <w:highlight w:val="none"/>
                      <w:lang w:val="en-US" w:eastAsia="zh-CN"/>
                      <w14:textFill>
                        <w14:solidFill>
                          <w14:schemeClr w14:val="tx1"/>
                        </w14:solidFill>
                      </w14:textFill>
                    </w:rPr>
                    <w:t>采砂、取土、淘金、弃置砂石或者淤泥；</w:t>
                  </w:r>
                </w:p>
                <w:p w14:paraId="2C6350B3">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（二）</w:t>
                  </w:r>
                  <w:r>
                    <w:rPr>
                      <w:rFonts w:hint="default" w:ascii="Times New Roman" w:hAnsi="Times New Roman" w:cs="Times New Roman"/>
                      <w:color w:val="000000" w:themeColor="text1"/>
                      <w:highlight w:val="none"/>
                      <w:lang w:val="en-US" w:eastAsia="zh-CN"/>
                      <w14:textFill>
                        <w14:solidFill>
                          <w14:schemeClr w14:val="tx1"/>
                        </w14:solidFill>
                      </w14:textFill>
                    </w:rPr>
                    <w:t>爆破、钻探、挖筑鱼塘；</w:t>
                  </w:r>
                </w:p>
                <w:p w14:paraId="1ADA61DF">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（三）</w:t>
                  </w:r>
                  <w:r>
                    <w:rPr>
                      <w:rFonts w:hint="default" w:ascii="Times New Roman" w:hAnsi="Times New Roman" w:cs="Times New Roman"/>
                      <w:color w:val="000000" w:themeColor="text1"/>
                      <w:highlight w:val="none"/>
                      <w:lang w:val="en-US" w:eastAsia="zh-CN"/>
                      <w14:textFill>
                        <w14:solidFill>
                          <w14:schemeClr w14:val="tx1"/>
                        </w14:solidFill>
                      </w14:textFill>
                    </w:rPr>
                    <w:t>在河道滩地存放物料、修建厂房或者其他建筑设施；</w:t>
                  </w:r>
                </w:p>
                <w:p w14:paraId="09362485">
                  <w:pPr>
                    <w:pStyle w:val="16"/>
                    <w:numPr>
                      <w:ilvl w:val="0"/>
                      <w:numId w:val="0"/>
                    </w:num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（四）</w:t>
                  </w:r>
                  <w:r>
                    <w:rPr>
                      <w:rFonts w:hint="default" w:ascii="Times New Roman" w:hAnsi="Times New Roman" w:cs="Times New Roman"/>
                      <w:color w:val="000000" w:themeColor="text1"/>
                      <w:highlight w:val="none"/>
                      <w:lang w:val="en-US" w:eastAsia="zh-CN"/>
                      <w14:textFill>
                        <w14:solidFill>
                          <w14:schemeClr w14:val="tx1"/>
                        </w14:solidFill>
                      </w14:textFill>
                    </w:rPr>
                    <w:t>在河道滩地开采地下资源及进行考古发掘。</w:t>
                  </w:r>
                </w:p>
              </w:tc>
              <w:tc>
                <w:tcPr>
                  <w:tcW w:w="2661" w:type="dxa"/>
                  <w:tcBorders>
                    <w:tl2br w:val="nil"/>
                    <w:tr2bl w:val="nil"/>
                  </w:tcBorders>
                  <w:shd w:val="clear" w:color="auto" w:fill="auto"/>
                  <w:vAlign w:val="center"/>
                </w:tcPr>
                <w:p w14:paraId="2A0FD8B3">
                  <w:pPr>
                    <w:pStyle w:val="16"/>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本项目为建筑施工弃渣综合利用，</w:t>
                  </w:r>
                  <w:r>
                    <w:rPr>
                      <w:rFonts w:hint="default" w:ascii="Times New Roman" w:hAnsi="Times New Roman" w:cs="Times New Roman"/>
                      <w:color w:val="000000" w:themeColor="text1"/>
                      <w:highlight w:val="none"/>
                      <w:lang w:val="en-US" w:eastAsia="zh-CN"/>
                      <w14:textFill>
                        <w14:solidFill>
                          <w14:schemeClr w14:val="tx1"/>
                        </w14:solidFill>
                      </w14:textFill>
                    </w:rPr>
                    <w:t>开都河位于项目区南侧，距离本项目2.6km，拉尔敦赫尔萨拉河位于项目区东北侧，距离本项目0.34km</w:t>
                  </w:r>
                  <w:r>
                    <w:rPr>
                      <w:rFonts w:hint="eastAsia" w:cs="Times New Roman"/>
                      <w:color w:val="000000" w:themeColor="text1"/>
                      <w:highlight w:val="none"/>
                      <w:lang w:val="en-US" w:eastAsia="zh-CN"/>
                      <w14:textFill>
                        <w14:solidFill>
                          <w14:schemeClr w14:val="tx1"/>
                        </w14:solidFill>
                      </w14:textFill>
                    </w:rPr>
                    <w:t>。不涉及在河道采砂、取土、淘金，不在河道堆存物料修建厂房。</w:t>
                  </w:r>
                </w:p>
              </w:tc>
              <w:tc>
                <w:tcPr>
                  <w:tcW w:w="426" w:type="dxa"/>
                  <w:tcBorders>
                    <w:tl2br w:val="nil"/>
                    <w:tr2bl w:val="nil"/>
                  </w:tcBorders>
                  <w:shd w:val="clear" w:color="auto" w:fill="auto"/>
                  <w:vAlign w:val="center"/>
                </w:tcPr>
                <w:p w14:paraId="43E15F3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符合</w:t>
                  </w:r>
                </w:p>
              </w:tc>
            </w:tr>
          </w:tbl>
          <w:p w14:paraId="40C23B74">
            <w:pPr>
              <w:autoSpaceDE w:val="0"/>
              <w:autoSpaceDN w:val="0"/>
              <w:rPr>
                <w:rFonts w:hint="default" w:ascii="Times New Roman" w:hAnsi="Times New Roman" w:cs="Times New Roman"/>
                <w:bCs/>
                <w:color w:val="000000" w:themeColor="text1"/>
                <w:highlight w:val="none"/>
                <w14:textFill>
                  <w14:solidFill>
                    <w14:schemeClr w14:val="tx1"/>
                  </w14:solidFill>
                </w14:textFill>
              </w:rPr>
            </w:pPr>
          </w:p>
        </w:tc>
      </w:tr>
    </w:tbl>
    <w:p w14:paraId="139A840B">
      <w:pPr>
        <w:outlineLvl w:val="0"/>
        <w:rPr>
          <w:rFonts w:hint="default" w:ascii="Times New Roman" w:hAnsi="Times New Roman" w:eastAsia="黑体" w:cs="Times New Roman"/>
          <w:color w:val="000000" w:themeColor="text1"/>
          <w:sz w:val="30"/>
          <w:highlight w:val="none"/>
          <w14:textFill>
            <w14:solidFill>
              <w14:schemeClr w14:val="tx1"/>
            </w14:solidFill>
          </w14:textFill>
        </w:rPr>
        <w:sectPr>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4C831668">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eastAsia="黑体" w:cs="Times New Roman"/>
          <w:color w:val="000000" w:themeColor="text1"/>
          <w:sz w:val="30"/>
          <w:szCs w:val="30"/>
          <w:highlight w:val="none"/>
          <w14:textFill>
            <w14:solidFill>
              <w14:schemeClr w14:val="tx1"/>
            </w14:solidFill>
          </w14:textFill>
        </w:rPr>
        <w:t>二、建设项目工程分析</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5"/>
        <w:gridCol w:w="8499"/>
      </w:tblGrid>
      <w:tr w14:paraId="26AEBD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5" w:type="dxa"/>
            <w:vAlign w:val="center"/>
          </w:tcPr>
          <w:p w14:paraId="57A0F3B9">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w:t>
            </w:r>
            <w:r>
              <w:rPr>
                <w:rFonts w:hint="eastAsia" w:cs="Times New Roman"/>
                <w:color w:val="000000" w:themeColor="text1"/>
                <w:highlight w:val="none"/>
                <w:lang w:val="en-US" w:eastAsia="zh-CN"/>
                <w14:textFill>
                  <w14:solidFill>
                    <w14:schemeClr w14:val="tx1"/>
                  </w14:solidFill>
                </w14:textFill>
              </w:rPr>
              <w:t>建</w:t>
            </w:r>
            <w:r>
              <w:rPr>
                <w:rFonts w:hint="default" w:ascii="Times New Roman" w:hAnsi="Times New Roman" w:cs="Times New Roman"/>
                <w:color w:val="000000" w:themeColor="text1"/>
                <w:highlight w:val="none"/>
                <w14:textFill>
                  <w14:solidFill>
                    <w14:schemeClr w14:val="tx1"/>
                  </w14:solidFill>
                </w14:textFill>
              </w:rPr>
              <w:t>设内容</w:t>
            </w:r>
          </w:p>
        </w:tc>
        <w:tc>
          <w:tcPr>
            <w:tcW w:w="8499" w:type="dxa"/>
          </w:tcPr>
          <w:p w14:paraId="23FEB3B1">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2.1建设内容</w:t>
            </w:r>
          </w:p>
          <w:p w14:paraId="543B7222">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2.1.1项目背景</w:t>
            </w:r>
          </w:p>
          <w:p w14:paraId="7E866499">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（一）建设背景</w:t>
            </w:r>
          </w:p>
          <w:p w14:paraId="7C467A26">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新建伊宁至阿克苏铁路在施工过程中产生隧道废石，堆放至《新建铁路伊宁至阿克苏线环境影响报告书》中设计的独库左侧渣场1弃渣场。弃渣场废石有再利用价值，可用于生产砂石料，回用于伊宁至阿克苏铁路建设。建设单位购置破碎生产线1条，安装破碎、筛分、输送等设备，配套安装附属设施等，年生产砂石料4.6万t，生产原料为伊宁至阿克苏铁路在施工过程中产生隧道废石，生产工艺为破碎、筛分，最终得到成品砂石料。</w:t>
            </w:r>
          </w:p>
          <w:p w14:paraId="6F5F8B89">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根据《建设项目环境保护管理条例》（国务院令〔2017〕第682号）中的有关规定，本项目需进行环境影响评价。根据《建设项目环境影响评价分类管理名录（2021年版）》，本项目属于</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四十七、生态保护和环境治理业103一般工业固体废物（含污水处理污泥）、建筑施工废弃物处置及综合利用－其他；二十七、非金属矿物制品业-56砖瓦、石材等建筑材料制造303</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中的</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其他建筑材料制造</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，需编制环境影响报告表。为此，建设单位特委托新疆玖和生态环境科技有限公司（以下简称</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我公司</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）承担项目环境影响评价工作。我公司接受委托后进行现场踏勘，进行环境影响评价报告表编制工作。</w:t>
            </w:r>
          </w:p>
          <w:p w14:paraId="3BDBCFFC">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根据业主提供资料，项目年生产砂石料4.6万t，待铁路建成后，建设单位将废石处理完毕需对弃渣场生产设备进行拆除，对弃渣场进行生态恢复。</w:t>
            </w:r>
          </w:p>
          <w:p w14:paraId="33E1C34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（二）弃渣来源</w:t>
            </w:r>
          </w:p>
          <w:p w14:paraId="6D37DE25">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eastAsia"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本项目加工原料为新建伊宁</w:t>
            </w:r>
            <w:r>
              <w:rPr>
                <w:rFonts w:hint="eastAsia"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至</w:t>
            </w:r>
            <w:r>
              <w:rPr>
                <w:rFonts w:hint="default"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阿克苏铁路</w:t>
            </w:r>
            <w:r>
              <w:rPr>
                <w:rFonts w:hint="eastAsia"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和静县巴音布鲁克段隧道开挖产生的废石，隧道掘进产生的废石由铁路施工运输车辆直接转运至伊阿铁路环评批复的独库公路左侧渣场1弃渣场堆存，本砂石加工生产线即布置在该已批复弃渣场场内，不新增外部取料场。</w:t>
            </w:r>
          </w:p>
          <w:p w14:paraId="058335BD">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通过查阅《新建铁路伊宁至阿克苏线环境影响报告书》，该铁路沿线主要分布有新生界、中生界、古生界、元古界的沉积岩、岩浆岩、变质岩和构造岩及各种成因的松散堆积层，本项目涉及的弃渣场堆存的隧道废石属于志留系（S）上-顶统巴音布鲁克组（S3-4b），该段岩性特征分为上下两段，其下段以火山岩为主，岩性为深灰色~灰绿色厚层~块状凝灰岩、灰黑色、灰绿色、灰紫色厚层~块状安山岩、夹灰色块状石英岩、中~厚层状灰岩、砂岩；上段以碎屑岩为主，岩性为深灰色、灰黑色、灰绿色中薄层状砂岩、板岩、薄层灰岩，均为普通山体岩石，不属于放射性异常、有毒有害岩体</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657D7AF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14:ligatures w14:val="none"/>
              </w:rPr>
              <w:t>（三）</w:t>
            </w:r>
            <w:r>
              <w:rPr>
                <w:rFonts w:hint="eastAsia" w:ascii="宋体" w:hAnsi="宋体" w:eastAsia="宋体" w:cs="宋体"/>
                <w:color w:val="000000" w:themeColor="text1"/>
                <w:sz w:val="24"/>
                <w:szCs w:val="24"/>
                <w:highlight w:val="none"/>
                <w:lang w:val="en-US" w:eastAsia="zh-CN"/>
                <w14:textFill>
                  <w14:solidFill>
                    <w14:schemeClr w14:val="tx1"/>
                  </w14:solidFill>
                </w14:textFill>
              </w:rPr>
              <w:t>用地来源及用地手续情况说明</w:t>
            </w:r>
          </w:p>
          <w:p w14:paraId="0721F1F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《新建铁路伊宁至阿克苏线环境影响报告书》（新环审〔2025〕159号）中设计弃渣场35处，本项目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使用的弃渣场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是该报告书中设计的独库左侧弃渣场1（报告书P139）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该弃渣场属于新建伊宁至阿克苏铁路SX标项目部，2025年10月14日，项目部取得这处弃渣场的草原临时占用审核审批同意书</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同意书中所说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转渣场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就是《新建铁路伊宁至阿克苏线环境影响报告书》设计的独库左侧弃渣场1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F04D7E1">
            <w:pPr>
              <w:pStyle w:val="3"/>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2.1.</w:t>
            </w:r>
            <w:r>
              <w:rPr>
                <w:rFonts w:hint="default" w:ascii="Times New Roman" w:hAnsi="Times New Roman"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14:textFill>
                  <w14:solidFill>
                    <w14:schemeClr w14:val="tx1"/>
                  </w14:solidFill>
                </w14:textFill>
              </w:rPr>
              <w:t>建设内容及规模</w:t>
            </w:r>
          </w:p>
          <w:p w14:paraId="32E56225">
            <w:pPr>
              <w:bidi w:val="0"/>
              <w:rPr>
                <w:rFonts w:hint="default" w:ascii="Times New Roman" w:hAnsi="Times New Roman" w:eastAsia="宋体" w:cs="Times New Roman"/>
                <w:bCs/>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弃渣场总占地面积63327</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95亩</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本项目设置在弃渣场内，生产车间占地面积2000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，原料及成品堆场，占地面积500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项目建成后</w:t>
            </w:r>
            <w:r>
              <w:rPr>
                <w:rFonts w:hint="default" w:ascii="Times New Roman" w:hAnsi="Times New Roman" w:cs="Times New Roman"/>
                <w:color w:val="000000" w:themeColor="text1"/>
                <w:highlight w:val="none"/>
                <w14:textFill>
                  <w14:solidFill>
                    <w14:schemeClr w14:val="tx1"/>
                  </w14:solidFill>
                </w14:textFill>
              </w:rPr>
              <w:t>设计年产</w:t>
            </w:r>
            <w:r>
              <w:rPr>
                <w:rFonts w:hint="default" w:ascii="Times New Roman" w:hAnsi="Times New Roman" w:cs="Times New Roman"/>
                <w:color w:val="000000" w:themeColor="text1"/>
                <w:highlight w:val="none"/>
                <w:lang w:val="en-US" w:eastAsia="zh-CN"/>
                <w14:textFill>
                  <w14:solidFill>
                    <w14:schemeClr w14:val="tx1"/>
                  </w14:solidFill>
                </w14:textFill>
              </w:rPr>
              <w:t>砂石料4.6</w:t>
            </w:r>
            <w:r>
              <w:rPr>
                <w:rFonts w:hint="default" w:ascii="Times New Roman" w:hAnsi="Times New Roman" w:cs="Times New Roman"/>
                <w:color w:val="000000" w:themeColor="text1"/>
                <w:highlight w:val="none"/>
                <w14:textFill>
                  <w14:solidFill>
                    <w14:schemeClr w14:val="tx1"/>
                  </w14:solidFill>
                </w14:textFill>
              </w:rPr>
              <w:t>万</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w:t>
            </w:r>
          </w:p>
          <w:p w14:paraId="524BEEFC">
            <w:pPr>
              <w:pStyle w:val="18"/>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 xml:space="preserve">-1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项目工程组成一览表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8"/>
              <w:gridCol w:w="487"/>
              <w:gridCol w:w="1564"/>
              <w:gridCol w:w="4960"/>
              <w:gridCol w:w="754"/>
            </w:tblGrid>
            <w:tr w14:paraId="6992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559" w:type="dxa"/>
                  <w:gridSpan w:val="3"/>
                  <w:tcBorders>
                    <w:tl2br w:val="nil"/>
                    <w:tr2bl w:val="nil"/>
                  </w:tcBorders>
                  <w:vAlign w:val="center"/>
                </w:tcPr>
                <w:p w14:paraId="2AEA26FD">
                  <w:pPr>
                    <w:pStyle w:val="16"/>
                    <w:bidi w:val="0"/>
                    <w:rPr>
                      <w:rFonts w:hint="default" w:ascii="Times New Roman" w:hAnsi="Times New Roman" w:cs="Times New Roman"/>
                      <w:color w:val="000000" w:themeColor="text1"/>
                      <w:highlight w:val="none"/>
                      <w14:textFill>
                        <w14:solidFill>
                          <w14:schemeClr w14:val="tx1"/>
                        </w14:solidFill>
                      </w14:textFill>
                    </w:rPr>
                  </w:pPr>
                  <w:bookmarkStart w:id="2" w:name="_Hlk71572411"/>
                  <w:r>
                    <w:rPr>
                      <w:rFonts w:hint="default" w:ascii="Times New Roman" w:hAnsi="Times New Roman" w:cs="Times New Roman"/>
                      <w:color w:val="000000" w:themeColor="text1"/>
                      <w:highlight w:val="none"/>
                      <w14:textFill>
                        <w14:solidFill>
                          <w14:schemeClr w14:val="tx1"/>
                        </w14:solidFill>
                      </w14:textFill>
                    </w:rPr>
                    <w:t>组成</w:t>
                  </w:r>
                </w:p>
              </w:tc>
              <w:tc>
                <w:tcPr>
                  <w:tcW w:w="4960" w:type="dxa"/>
                  <w:tcBorders>
                    <w:tl2br w:val="nil"/>
                    <w:tr2bl w:val="nil"/>
                  </w:tcBorders>
                  <w:vAlign w:val="center"/>
                </w:tcPr>
                <w:p w14:paraId="5F3652A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建设内容</w:t>
                  </w:r>
                </w:p>
              </w:tc>
              <w:tc>
                <w:tcPr>
                  <w:tcW w:w="754" w:type="dxa"/>
                  <w:tcBorders>
                    <w:tl2br w:val="nil"/>
                    <w:tr2bl w:val="nil"/>
                  </w:tcBorders>
                  <w:vAlign w:val="center"/>
                </w:tcPr>
                <w:p w14:paraId="408475E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备注</w:t>
                  </w:r>
                </w:p>
              </w:tc>
            </w:tr>
            <w:tr w14:paraId="3FF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7" w:hRule="atLeast"/>
                <w:jc w:val="center"/>
              </w:trPr>
              <w:tc>
                <w:tcPr>
                  <w:tcW w:w="508" w:type="dxa"/>
                  <w:tcBorders>
                    <w:tl2br w:val="nil"/>
                    <w:tr2bl w:val="nil"/>
                  </w:tcBorders>
                  <w:vAlign w:val="center"/>
                </w:tcPr>
                <w:p w14:paraId="775DD5D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主体工程</w:t>
                  </w:r>
                </w:p>
              </w:tc>
              <w:tc>
                <w:tcPr>
                  <w:tcW w:w="2051" w:type="dxa"/>
                  <w:gridSpan w:val="2"/>
                  <w:tcBorders>
                    <w:tl2br w:val="nil"/>
                    <w:tr2bl w:val="nil"/>
                  </w:tcBorders>
                  <w:vAlign w:val="center"/>
                </w:tcPr>
                <w:p w14:paraId="324BF9A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生产车间</w:t>
                  </w:r>
                </w:p>
              </w:tc>
              <w:tc>
                <w:tcPr>
                  <w:tcW w:w="4960" w:type="dxa"/>
                  <w:tcBorders>
                    <w:tl2br w:val="nil"/>
                    <w:tr2bl w:val="nil"/>
                  </w:tcBorders>
                  <w:vAlign w:val="center"/>
                </w:tcPr>
                <w:p w14:paraId="7D0677F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位于厂区北侧，占地面积2000m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，设置全封闭破碎筛分车间，破碎生产线1条。</w:t>
                  </w:r>
                </w:p>
              </w:tc>
              <w:tc>
                <w:tcPr>
                  <w:tcW w:w="754" w:type="dxa"/>
                  <w:tcBorders>
                    <w:tl2br w:val="nil"/>
                    <w:tr2bl w:val="nil"/>
                  </w:tcBorders>
                  <w:vAlign w:val="center"/>
                </w:tcPr>
                <w:p w14:paraId="2F151E8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7C40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4" w:hRule="atLeast"/>
                <w:jc w:val="center"/>
              </w:trPr>
              <w:tc>
                <w:tcPr>
                  <w:tcW w:w="508" w:type="dxa"/>
                  <w:vMerge w:val="restart"/>
                  <w:tcBorders>
                    <w:tl2br w:val="nil"/>
                    <w:tr2bl w:val="nil"/>
                  </w:tcBorders>
                  <w:vAlign w:val="center"/>
                </w:tcPr>
                <w:p w14:paraId="6124470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储运工程</w:t>
                  </w:r>
                </w:p>
              </w:tc>
              <w:tc>
                <w:tcPr>
                  <w:tcW w:w="2051" w:type="dxa"/>
                  <w:gridSpan w:val="2"/>
                  <w:tcBorders>
                    <w:tl2br w:val="nil"/>
                    <w:tr2bl w:val="nil"/>
                  </w:tcBorders>
                  <w:vAlign w:val="center"/>
                </w:tcPr>
                <w:p w14:paraId="60E777E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原料及成品堆场</w:t>
                  </w:r>
                </w:p>
              </w:tc>
              <w:tc>
                <w:tcPr>
                  <w:tcW w:w="4960" w:type="dxa"/>
                  <w:tcBorders>
                    <w:tl2br w:val="nil"/>
                    <w:tr2bl w:val="nil"/>
                  </w:tcBorders>
                  <w:vAlign w:val="center"/>
                </w:tcPr>
                <w:p w14:paraId="70A91A5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全封闭，占地面积500m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，配套设置移动式雾炮机。</w:t>
                  </w:r>
                </w:p>
              </w:tc>
              <w:tc>
                <w:tcPr>
                  <w:tcW w:w="754" w:type="dxa"/>
                  <w:tcBorders>
                    <w:tl2br w:val="nil"/>
                    <w:tr2bl w:val="nil"/>
                  </w:tcBorders>
                  <w:vAlign w:val="center"/>
                </w:tcPr>
                <w:p w14:paraId="3B9DEE3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5527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4" w:hRule="atLeast"/>
                <w:jc w:val="center"/>
              </w:trPr>
              <w:tc>
                <w:tcPr>
                  <w:tcW w:w="508" w:type="dxa"/>
                  <w:vMerge w:val="continue"/>
                  <w:tcBorders>
                    <w:tl2br w:val="nil"/>
                    <w:tr2bl w:val="nil"/>
                  </w:tcBorders>
                  <w:vAlign w:val="center"/>
                </w:tcPr>
                <w:p w14:paraId="36CE8A4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051" w:type="dxa"/>
                  <w:gridSpan w:val="2"/>
                  <w:tcBorders>
                    <w:tl2br w:val="nil"/>
                    <w:tr2bl w:val="nil"/>
                  </w:tcBorders>
                  <w:shd w:val="clear" w:color="auto" w:fill="auto"/>
                  <w:vAlign w:val="center"/>
                </w:tcPr>
                <w:p w14:paraId="04E746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道路</w:t>
                  </w:r>
                </w:p>
              </w:tc>
              <w:tc>
                <w:tcPr>
                  <w:tcW w:w="4960" w:type="dxa"/>
                  <w:tcBorders>
                    <w:tl2br w:val="nil"/>
                    <w:tr2bl w:val="nil"/>
                  </w:tcBorders>
                  <w:shd w:val="clear" w:color="auto" w:fill="auto"/>
                  <w:vAlign w:val="center"/>
                </w:tcPr>
                <w:p w14:paraId="4F9A0617">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进场道路：长291m，宽4m</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泥结碎石路面；场内道路长50m，宽4m，泥结碎石路面。</w:t>
                  </w:r>
                </w:p>
              </w:tc>
              <w:tc>
                <w:tcPr>
                  <w:tcW w:w="754" w:type="dxa"/>
                  <w:tcBorders>
                    <w:tl2br w:val="nil"/>
                    <w:tr2bl w:val="nil"/>
                  </w:tcBorders>
                  <w:vAlign w:val="center"/>
                </w:tcPr>
                <w:p w14:paraId="1E6526A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0796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4" w:hRule="atLeast"/>
                <w:jc w:val="center"/>
              </w:trPr>
              <w:tc>
                <w:tcPr>
                  <w:tcW w:w="508" w:type="dxa"/>
                  <w:vMerge w:val="continue"/>
                  <w:tcBorders>
                    <w:tl2br w:val="nil"/>
                    <w:tr2bl w:val="nil"/>
                  </w:tcBorders>
                  <w:vAlign w:val="center"/>
                </w:tcPr>
                <w:p w14:paraId="0879FA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051" w:type="dxa"/>
                  <w:gridSpan w:val="2"/>
                  <w:tcBorders>
                    <w:tl2br w:val="nil"/>
                    <w:tr2bl w:val="nil"/>
                  </w:tcBorders>
                  <w:shd w:val="clear" w:color="auto" w:fill="auto"/>
                  <w:vAlign w:val="center"/>
                </w:tcPr>
                <w:p w14:paraId="4A9DD41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柴油储运方式</w:t>
                  </w:r>
                </w:p>
              </w:tc>
              <w:tc>
                <w:tcPr>
                  <w:tcW w:w="4960" w:type="dxa"/>
                  <w:tcBorders>
                    <w:tl2br w:val="nil"/>
                    <w:tr2bl w:val="nil"/>
                  </w:tcBorders>
                  <w:shd w:val="clear" w:color="auto" w:fill="auto"/>
                  <w:vAlign w:val="center"/>
                </w:tcPr>
                <w:p w14:paraId="0BBEDCE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项目区设柴油储存区（10m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），生产用油外购，采用柴油桶装（柴油桶</w:t>
                  </w:r>
                  <w:r>
                    <w:rPr>
                      <w:rFonts w:hint="eastAsia" w:cs="Times New Roman"/>
                      <w:color w:val="000000" w:themeColor="text1"/>
                      <w:highlight w:val="none"/>
                      <w:lang w:val="en-US" w:eastAsia="zh-CN"/>
                      <w14:textFill>
                        <w14:solidFill>
                          <w14:schemeClr w14:val="tx1"/>
                        </w14:solidFill>
                      </w14:textFill>
                    </w:rPr>
                    <w:t>容积</w:t>
                  </w:r>
                  <w:r>
                    <w:rPr>
                      <w:rFonts w:hint="default" w:ascii="Times New Roman" w:hAnsi="Times New Roman" w:cs="Times New Roman"/>
                      <w:color w:val="000000" w:themeColor="text1"/>
                      <w:highlight w:val="none"/>
                      <w:lang w:val="en-US" w:eastAsia="zh-CN"/>
                      <w14:textFill>
                        <w14:solidFill>
                          <w14:schemeClr w14:val="tx1"/>
                        </w14:solidFill>
                      </w14:textFill>
                    </w:rPr>
                    <w:t>200L</w:t>
                  </w:r>
                  <w:r>
                    <w:rPr>
                      <w:rFonts w:hint="eastAsia" w:cs="Times New Roman"/>
                      <w:color w:val="000000" w:themeColor="text1"/>
                      <w:highlight w:val="none"/>
                      <w:lang w:val="en-US" w:eastAsia="zh-CN"/>
                      <w14:textFill>
                        <w14:solidFill>
                          <w14:schemeClr w14:val="tx1"/>
                        </w14:solidFill>
                      </w14:textFill>
                    </w:rPr>
                    <w:t>，柴油密度取0.84</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t/m</w:t>
                  </w:r>
                  <w:r>
                    <w:rPr>
                      <w:rFonts w:hint="eastAsia" w:ascii="Times New Roman" w:hAnsi="Times New Roman" w:eastAsia="宋体" w:cs="Times New Roman"/>
                      <w:b w:val="0"/>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）运输至项目区柴油储存区堆放（并铺设防渗膜对储存区域进行防渗处理），放置5个柴油储油桶，柴油发电机也放在此处。四周设置围堰，配套建设事故油收集池（有效容积0.5m³）</w:t>
                  </w:r>
                </w:p>
              </w:tc>
              <w:tc>
                <w:tcPr>
                  <w:tcW w:w="754" w:type="dxa"/>
                  <w:tcBorders>
                    <w:tl2br w:val="nil"/>
                    <w:tr2bl w:val="nil"/>
                  </w:tcBorders>
                  <w:vAlign w:val="center"/>
                </w:tcPr>
                <w:p w14:paraId="47CD428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C90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0" w:hRule="atLeast"/>
                <w:jc w:val="center"/>
              </w:trPr>
              <w:tc>
                <w:tcPr>
                  <w:tcW w:w="508" w:type="dxa"/>
                  <w:vMerge w:val="restart"/>
                  <w:tcBorders>
                    <w:tl2br w:val="nil"/>
                    <w:tr2bl w:val="nil"/>
                  </w:tcBorders>
                  <w:vAlign w:val="center"/>
                </w:tcPr>
                <w:p w14:paraId="5463EF9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辅助工程</w:t>
                  </w:r>
                </w:p>
              </w:tc>
              <w:tc>
                <w:tcPr>
                  <w:tcW w:w="2051" w:type="dxa"/>
                  <w:gridSpan w:val="2"/>
                  <w:tcBorders>
                    <w:tl2br w:val="nil"/>
                    <w:tr2bl w:val="nil"/>
                  </w:tcBorders>
                  <w:vAlign w:val="center"/>
                </w:tcPr>
                <w:p w14:paraId="1AC48F8B">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办公用房</w:t>
                  </w:r>
                </w:p>
              </w:tc>
              <w:tc>
                <w:tcPr>
                  <w:tcW w:w="4960" w:type="dxa"/>
                  <w:tcBorders>
                    <w:tl2br w:val="nil"/>
                    <w:tr2bl w:val="nil"/>
                  </w:tcBorders>
                  <w:vAlign w:val="center"/>
                </w:tcPr>
                <w:p w14:paraId="35B8475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不在此居住，仅作为办公场所使用。</w:t>
                  </w:r>
                </w:p>
              </w:tc>
              <w:tc>
                <w:tcPr>
                  <w:tcW w:w="754" w:type="dxa"/>
                  <w:tcBorders>
                    <w:tl2br w:val="nil"/>
                    <w:tr2bl w:val="nil"/>
                  </w:tcBorders>
                  <w:vAlign w:val="center"/>
                </w:tcPr>
                <w:p w14:paraId="4157FD3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6A09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0" w:hRule="atLeast"/>
                <w:jc w:val="center"/>
              </w:trPr>
              <w:tc>
                <w:tcPr>
                  <w:tcW w:w="508" w:type="dxa"/>
                  <w:vMerge w:val="continue"/>
                  <w:tcBorders>
                    <w:tl2br w:val="nil"/>
                    <w:tr2bl w:val="nil"/>
                  </w:tcBorders>
                  <w:vAlign w:val="center"/>
                </w:tcPr>
                <w:p w14:paraId="676570E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051" w:type="dxa"/>
                  <w:gridSpan w:val="2"/>
                  <w:tcBorders>
                    <w:tl2br w:val="nil"/>
                    <w:tr2bl w:val="nil"/>
                  </w:tcBorders>
                  <w:vAlign w:val="center"/>
                </w:tcPr>
                <w:p w14:paraId="41BE5B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生活区</w:t>
                  </w:r>
                </w:p>
              </w:tc>
              <w:tc>
                <w:tcPr>
                  <w:tcW w:w="4960" w:type="dxa"/>
                  <w:tcBorders>
                    <w:tl2br w:val="nil"/>
                    <w:tr2bl w:val="nil"/>
                  </w:tcBorders>
                  <w:vAlign w:val="center"/>
                </w:tcPr>
                <w:p w14:paraId="60424E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弃渣场内不设置生活区，工作人员生活依托SX标项目部，位于弃渣场南侧，距离1.9km。</w:t>
                  </w:r>
                </w:p>
              </w:tc>
              <w:tc>
                <w:tcPr>
                  <w:tcW w:w="754" w:type="dxa"/>
                  <w:tcBorders>
                    <w:tl2br w:val="nil"/>
                    <w:tr2bl w:val="nil"/>
                  </w:tcBorders>
                  <w:vAlign w:val="center"/>
                </w:tcPr>
                <w:p w14:paraId="28A3D9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6DD3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0" w:hRule="atLeast"/>
                <w:jc w:val="center"/>
              </w:trPr>
              <w:tc>
                <w:tcPr>
                  <w:tcW w:w="508" w:type="dxa"/>
                  <w:vMerge w:val="continue"/>
                  <w:tcBorders>
                    <w:tl2br w:val="nil"/>
                    <w:tr2bl w:val="nil"/>
                  </w:tcBorders>
                  <w:vAlign w:val="center"/>
                </w:tcPr>
                <w:p w14:paraId="127A15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051" w:type="dxa"/>
                  <w:gridSpan w:val="2"/>
                  <w:tcBorders>
                    <w:tl2br w:val="nil"/>
                    <w:tr2bl w:val="nil"/>
                  </w:tcBorders>
                  <w:vAlign w:val="center"/>
                </w:tcPr>
                <w:p w14:paraId="03B221A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配电房</w:t>
                  </w:r>
                </w:p>
              </w:tc>
              <w:tc>
                <w:tcPr>
                  <w:tcW w:w="4960" w:type="dxa"/>
                  <w:tcBorders>
                    <w:tl2br w:val="nil"/>
                    <w:tr2bl w:val="nil"/>
                  </w:tcBorders>
                  <w:vAlign w:val="center"/>
                </w:tcPr>
                <w:p w14:paraId="37DCDA0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占地面积10m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54" w:type="dxa"/>
                  <w:tcBorders>
                    <w:tl2br w:val="nil"/>
                    <w:tr2bl w:val="nil"/>
                  </w:tcBorders>
                  <w:vAlign w:val="center"/>
                </w:tcPr>
                <w:p w14:paraId="4FA5D69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53A1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4" w:hRule="atLeast"/>
                <w:jc w:val="center"/>
              </w:trPr>
              <w:tc>
                <w:tcPr>
                  <w:tcW w:w="508" w:type="dxa"/>
                  <w:vMerge w:val="continue"/>
                  <w:tcBorders>
                    <w:tl2br w:val="nil"/>
                    <w:tr2bl w:val="nil"/>
                  </w:tcBorders>
                  <w:vAlign w:val="center"/>
                </w:tcPr>
                <w:p w14:paraId="0FD9BA8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051" w:type="dxa"/>
                  <w:gridSpan w:val="2"/>
                  <w:tcBorders>
                    <w:tl2br w:val="nil"/>
                    <w:tr2bl w:val="nil"/>
                  </w:tcBorders>
                  <w:vAlign w:val="center"/>
                </w:tcPr>
                <w:p w14:paraId="108D98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沉淀池</w:t>
                  </w:r>
                </w:p>
              </w:tc>
              <w:tc>
                <w:tcPr>
                  <w:tcW w:w="4960" w:type="dxa"/>
                  <w:tcBorders>
                    <w:tl2br w:val="nil"/>
                    <w:tr2bl w:val="nil"/>
                  </w:tcBorders>
                  <w:shd w:val="clear" w:color="auto" w:fill="auto"/>
                  <w:vAlign w:val="center"/>
                </w:tcPr>
                <w:p w14:paraId="75761C4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弃渣场入口处设置洗车平台，配套设置沉淀池（容积10m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54" w:type="dxa"/>
                  <w:tcBorders>
                    <w:tl2br w:val="nil"/>
                    <w:tr2bl w:val="nil"/>
                  </w:tcBorders>
                  <w:vAlign w:val="center"/>
                </w:tcPr>
                <w:p w14:paraId="220E791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bookmarkEnd w:id="2"/>
            <w:tr w14:paraId="0DFA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4" w:hRule="atLeast"/>
                <w:jc w:val="center"/>
              </w:trPr>
              <w:tc>
                <w:tcPr>
                  <w:tcW w:w="508" w:type="dxa"/>
                  <w:vMerge w:val="restart"/>
                  <w:tcBorders>
                    <w:tl2br w:val="nil"/>
                    <w:tr2bl w:val="nil"/>
                  </w:tcBorders>
                  <w:vAlign w:val="center"/>
                </w:tcPr>
                <w:p w14:paraId="6148A1A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公用工程</w:t>
                  </w:r>
                </w:p>
              </w:tc>
              <w:tc>
                <w:tcPr>
                  <w:tcW w:w="2051" w:type="dxa"/>
                  <w:gridSpan w:val="2"/>
                  <w:tcBorders>
                    <w:tl2br w:val="nil"/>
                    <w:tr2bl w:val="nil"/>
                  </w:tcBorders>
                  <w:shd w:val="clear" w:color="auto" w:fill="auto"/>
                  <w:vAlign w:val="center"/>
                </w:tcPr>
                <w:p w14:paraId="4997043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供水</w:t>
                  </w:r>
                </w:p>
              </w:tc>
              <w:tc>
                <w:tcPr>
                  <w:tcW w:w="4960" w:type="dxa"/>
                  <w:tcBorders>
                    <w:tl2br w:val="nil"/>
                    <w:tr2bl w:val="nil"/>
                  </w:tcBorders>
                  <w:shd w:val="clear" w:color="auto" w:fill="auto"/>
                  <w:vAlign w:val="center"/>
                </w:tcPr>
                <w:p w14:paraId="238EEF7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用水从中铁隧道局新建伊阿铁路12#拌合站拉运</w:t>
                  </w:r>
                  <w:r>
                    <w:rPr>
                      <w:rFonts w:hint="default" w:ascii="Times New Roman" w:hAnsi="Times New Roman" w:cs="Times New Roman"/>
                      <w:color w:val="000000" w:themeColor="text1"/>
                      <w:highlight w:val="none"/>
                      <w:lang w:val="en-US" w:eastAsia="zh-CN"/>
                      <w14:textFill>
                        <w14:solidFill>
                          <w14:schemeClr w14:val="tx1"/>
                        </w14:solidFill>
                      </w14:textFill>
                    </w:rPr>
                    <w:t>，运距1.6km，</w:t>
                  </w:r>
                  <w:r>
                    <w:rPr>
                      <w:rFonts w:hint="default" w:ascii="Times New Roman" w:hAnsi="Times New Roman" w:cs="Times New Roman"/>
                      <w:color w:val="000000" w:themeColor="text1"/>
                      <w:highlight w:val="none"/>
                      <w:lang w:eastAsia="zh-CN"/>
                      <w14:textFill>
                        <w14:solidFill>
                          <w14:schemeClr w14:val="tx1"/>
                        </w14:solidFill>
                      </w14:textFill>
                    </w:rPr>
                    <w:t>配备1台20m</w:t>
                  </w:r>
                  <w:r>
                    <w:rPr>
                      <w:rFonts w:hint="default" w:ascii="Times New Roman" w:hAnsi="Times New Roman" w:cs="Times New Roman"/>
                      <w:color w:val="000000" w:themeColor="text1"/>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水车。</w:t>
                  </w:r>
                </w:p>
              </w:tc>
              <w:tc>
                <w:tcPr>
                  <w:tcW w:w="754" w:type="dxa"/>
                  <w:tcBorders>
                    <w:tl2br w:val="nil"/>
                    <w:tr2bl w:val="nil"/>
                  </w:tcBorders>
                  <w:vAlign w:val="center"/>
                </w:tcPr>
                <w:p w14:paraId="60607CD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r w14:paraId="1785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4" w:hRule="atLeast"/>
                <w:jc w:val="center"/>
              </w:trPr>
              <w:tc>
                <w:tcPr>
                  <w:tcW w:w="508" w:type="dxa"/>
                  <w:vMerge w:val="continue"/>
                  <w:tcBorders>
                    <w:tl2br w:val="nil"/>
                    <w:tr2bl w:val="nil"/>
                  </w:tcBorders>
                  <w:vAlign w:val="center"/>
                </w:tcPr>
                <w:p w14:paraId="57ECD07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051" w:type="dxa"/>
                  <w:gridSpan w:val="2"/>
                  <w:tcBorders>
                    <w:tl2br w:val="nil"/>
                    <w:tr2bl w:val="nil"/>
                  </w:tcBorders>
                  <w:shd w:val="clear" w:color="auto" w:fill="auto"/>
                  <w:vAlign w:val="center"/>
                </w:tcPr>
                <w:p w14:paraId="5D7511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排水</w:t>
                  </w:r>
                </w:p>
              </w:tc>
              <w:tc>
                <w:tcPr>
                  <w:tcW w:w="4960" w:type="dxa"/>
                  <w:tcBorders>
                    <w:tl2br w:val="nil"/>
                    <w:tr2bl w:val="nil"/>
                  </w:tcBorders>
                  <w:shd w:val="clear" w:color="auto" w:fill="auto"/>
                  <w:vAlign w:val="center"/>
                </w:tcPr>
                <w:p w14:paraId="2E854644">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项目不生产水洗砂，故无生产废水产生。车辆冲洗废水采用沉淀池收集，沉淀后循环使用不外排</w:t>
                  </w:r>
                  <w:r>
                    <w:rPr>
                      <w:rFonts w:hint="default" w:ascii="Times New Roman" w:hAnsi="Times New Roman" w:cs="Times New Roman"/>
                      <w:color w:val="000000" w:themeColor="text1"/>
                      <w:highlight w:val="none"/>
                      <w14:textFill>
                        <w14:solidFill>
                          <w14:schemeClr w14:val="tx1"/>
                        </w14:solidFill>
                      </w14:textFill>
                    </w:rPr>
                    <w:t>；工作人员居住在中铁隧道局新建伊阿铁路SⅩ标段项目部，</w:t>
                  </w:r>
                  <w:r>
                    <w:rPr>
                      <w:rFonts w:hint="eastAsia" w:cs="Times New Roman"/>
                      <w:color w:val="000000" w:themeColor="text1"/>
                      <w:highlight w:val="none"/>
                      <w:lang w:val="en-US" w:eastAsia="zh-CN"/>
                      <w14:textFill>
                        <w14:solidFill>
                          <w14:schemeClr w14:val="tx1"/>
                        </w14:solidFill>
                      </w14:textFill>
                    </w:rPr>
                    <w:t>项目部与本项目直线</w:t>
                  </w:r>
                  <w:r>
                    <w:rPr>
                      <w:rFonts w:hint="default" w:ascii="Times New Roman" w:hAnsi="Times New Roman" w:cs="Times New Roman"/>
                      <w:color w:val="000000" w:themeColor="text1"/>
                      <w:highlight w:val="none"/>
                      <w14:textFill>
                        <w14:solidFill>
                          <w14:schemeClr w14:val="tx1"/>
                        </w14:solidFill>
                      </w14:textFill>
                    </w:rPr>
                    <w:t>距离约1</w:t>
                  </w:r>
                  <w:r>
                    <w:rPr>
                      <w:rFonts w:hint="default" w:ascii="Times New Roman" w:hAnsi="Times New Roman"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km，</w:t>
                  </w:r>
                  <w:r>
                    <w:rPr>
                      <w:rFonts w:hint="eastAsia" w:cs="Times New Roman"/>
                      <w:color w:val="000000" w:themeColor="text1"/>
                      <w:highlight w:val="none"/>
                      <w:lang w:val="en-US" w:eastAsia="zh-CN"/>
                      <w14:textFill>
                        <w14:solidFill>
                          <w14:schemeClr w14:val="tx1"/>
                        </w14:solidFill>
                      </w14:textFill>
                    </w:rPr>
                    <w:t>项目部</w:t>
                  </w:r>
                  <w:r>
                    <w:rPr>
                      <w:rFonts w:hint="default" w:ascii="Times New Roman" w:hAnsi="Times New Roman" w:cs="Times New Roman"/>
                      <w:color w:val="000000" w:themeColor="text1"/>
                      <w:highlight w:val="none"/>
                      <w:lang w:val="en-US" w:eastAsia="zh-CN"/>
                      <w14:textFill>
                        <w14:solidFill>
                          <w14:schemeClr w14:val="tx1"/>
                        </w14:solidFill>
                      </w14:textFill>
                    </w:rPr>
                    <w:t>生活污水</w:t>
                  </w:r>
                  <w:r>
                    <w:rPr>
                      <w:rFonts w:hint="eastAsia" w:cs="Times New Roman"/>
                      <w:color w:val="000000" w:themeColor="text1"/>
                      <w:highlight w:val="none"/>
                      <w:lang w:val="en-US" w:eastAsia="zh-CN"/>
                      <w14:textFill>
                        <w14:solidFill>
                          <w14:schemeClr w14:val="tx1"/>
                        </w14:solidFill>
                      </w14:textFill>
                    </w:rPr>
                    <w:t>采用化粪池收集后定期拉运至巴音布鲁克污水处理厂处理</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754" w:type="dxa"/>
                  <w:tcBorders>
                    <w:tl2br w:val="nil"/>
                    <w:tr2bl w:val="nil"/>
                  </w:tcBorders>
                  <w:vAlign w:val="center"/>
                </w:tcPr>
                <w:p w14:paraId="5B64AC7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r w14:paraId="1E45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8" w:type="dxa"/>
                  <w:vMerge w:val="continue"/>
                  <w:tcBorders>
                    <w:tl2br w:val="nil"/>
                    <w:tr2bl w:val="nil"/>
                  </w:tcBorders>
                  <w:vAlign w:val="center"/>
                </w:tcPr>
                <w:p w14:paraId="155FE0D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051" w:type="dxa"/>
                  <w:gridSpan w:val="2"/>
                  <w:tcBorders>
                    <w:tl2br w:val="nil"/>
                    <w:tr2bl w:val="nil"/>
                  </w:tcBorders>
                  <w:shd w:val="clear" w:color="auto" w:fill="auto"/>
                  <w:vAlign w:val="center"/>
                </w:tcPr>
                <w:p w14:paraId="1C23B48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供电</w:t>
                  </w:r>
                </w:p>
              </w:tc>
              <w:tc>
                <w:tcPr>
                  <w:tcW w:w="4960" w:type="dxa"/>
                  <w:tcBorders>
                    <w:tl2br w:val="nil"/>
                    <w:tr2bl w:val="nil"/>
                  </w:tcBorders>
                  <w:shd w:val="clear" w:color="auto" w:fill="auto"/>
                  <w:vAlign w:val="center"/>
                </w:tcPr>
                <w:p w14:paraId="5B0AAE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从中铁隧道局新建伊阿铁路SⅩ标段项目部接入。配备1台柴油发电机作为备用电源，发电机油箱300L。</w:t>
                  </w:r>
                </w:p>
              </w:tc>
              <w:tc>
                <w:tcPr>
                  <w:tcW w:w="754" w:type="dxa"/>
                  <w:tcBorders>
                    <w:tl2br w:val="nil"/>
                    <w:tr2bl w:val="nil"/>
                  </w:tcBorders>
                  <w:vAlign w:val="center"/>
                </w:tcPr>
                <w:p w14:paraId="05AFCCE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4FA8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508" w:type="dxa"/>
                  <w:vMerge w:val="continue"/>
                  <w:tcBorders>
                    <w:tl2br w:val="nil"/>
                    <w:tr2bl w:val="nil"/>
                  </w:tcBorders>
                  <w:vAlign w:val="center"/>
                </w:tcPr>
                <w:p w14:paraId="044BF1E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051" w:type="dxa"/>
                  <w:gridSpan w:val="2"/>
                  <w:tcBorders>
                    <w:tl2br w:val="nil"/>
                    <w:tr2bl w:val="nil"/>
                  </w:tcBorders>
                  <w:shd w:val="clear" w:color="auto" w:fill="auto"/>
                  <w:vAlign w:val="center"/>
                </w:tcPr>
                <w:p w14:paraId="3D0814F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供热</w:t>
                  </w:r>
                </w:p>
              </w:tc>
              <w:tc>
                <w:tcPr>
                  <w:tcW w:w="4960" w:type="dxa"/>
                  <w:tcBorders>
                    <w:tl2br w:val="nil"/>
                    <w:tr2bl w:val="nil"/>
                  </w:tcBorders>
                  <w:shd w:val="clear" w:color="auto" w:fill="auto"/>
                  <w:vAlign w:val="center"/>
                </w:tcPr>
                <w:p w14:paraId="0D67D67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工作人员居住在中铁隧道局新建伊阿铁路SⅩ标段项目部，</w:t>
                  </w:r>
                  <w:r>
                    <w:rPr>
                      <w:rFonts w:hint="default" w:ascii="Times New Roman" w:hAnsi="Times New Roman" w:cs="Times New Roman"/>
                      <w:color w:val="000000" w:themeColor="text1"/>
                      <w:highlight w:val="none"/>
                      <w:lang w:val="en-US" w:eastAsia="zh-CN"/>
                      <w14:textFill>
                        <w14:solidFill>
                          <w14:schemeClr w14:val="tx1"/>
                        </w14:solidFill>
                      </w14:textFill>
                    </w:rPr>
                    <w:t>采暖设施依托项目部</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754" w:type="dxa"/>
                  <w:tcBorders>
                    <w:tl2br w:val="nil"/>
                    <w:tr2bl w:val="nil"/>
                  </w:tcBorders>
                  <w:vAlign w:val="center"/>
                </w:tcPr>
                <w:p w14:paraId="44081D9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r w14:paraId="5E44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7" w:hRule="atLeast"/>
                <w:jc w:val="center"/>
              </w:trPr>
              <w:tc>
                <w:tcPr>
                  <w:tcW w:w="508" w:type="dxa"/>
                  <w:vMerge w:val="restart"/>
                  <w:tcBorders>
                    <w:tl2br w:val="nil"/>
                    <w:tr2bl w:val="nil"/>
                  </w:tcBorders>
                  <w:vAlign w:val="center"/>
                </w:tcPr>
                <w:p w14:paraId="2E6695C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环保工程</w:t>
                  </w:r>
                </w:p>
              </w:tc>
              <w:tc>
                <w:tcPr>
                  <w:tcW w:w="487" w:type="dxa"/>
                  <w:vMerge w:val="restart"/>
                  <w:tcBorders>
                    <w:tl2br w:val="nil"/>
                    <w:tr2bl w:val="nil"/>
                  </w:tcBorders>
                  <w:vAlign w:val="center"/>
                </w:tcPr>
                <w:p w14:paraId="48A5AA7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废气治理</w:t>
                  </w:r>
                </w:p>
              </w:tc>
              <w:tc>
                <w:tcPr>
                  <w:tcW w:w="1564" w:type="dxa"/>
                  <w:tcBorders>
                    <w:tl2br w:val="nil"/>
                    <w:tr2bl w:val="nil"/>
                  </w:tcBorders>
                  <w:shd w:val="clear" w:color="auto" w:fill="auto"/>
                  <w:vAlign w:val="center"/>
                </w:tcPr>
                <w:p w14:paraId="113C5F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一级粗破</w:t>
                  </w:r>
                </w:p>
              </w:tc>
              <w:tc>
                <w:tcPr>
                  <w:tcW w:w="4960" w:type="dxa"/>
                  <w:tcBorders>
                    <w:tl2br w:val="nil"/>
                    <w:tr2bl w:val="nil"/>
                  </w:tcBorders>
                  <w:shd w:val="clear" w:color="auto" w:fill="auto"/>
                  <w:vAlign w:val="center"/>
                </w:tcPr>
                <w:p w14:paraId="226E7BF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车间全封闭、进出料口上方安装密闭集气罩</w:t>
                  </w:r>
                  <w:r>
                    <w:rPr>
                      <w:rFonts w:hint="eastAsia" w:cs="Times New Roman"/>
                      <w:color w:val="000000" w:themeColor="text1"/>
                      <w:highlight w:val="none"/>
                      <w:lang w:val="en-US" w:eastAsia="zh-CN"/>
                      <w14:textFill>
                        <w14:solidFill>
                          <w14:schemeClr w14:val="tx1"/>
                        </w14:solidFill>
                      </w14:textFill>
                    </w:rPr>
                    <w:t>（风量50000m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/h）</w:t>
                  </w:r>
                  <w:r>
                    <w:rPr>
                      <w:rFonts w:hint="default" w:ascii="Times New Roman" w:hAnsi="Times New Roman" w:cs="Times New Roman"/>
                      <w:color w:val="000000" w:themeColor="text1"/>
                      <w:highlight w:val="none"/>
                      <w:lang w:val="en-US"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布袋除尘装置处理后经15m高排气筒（DA001）排放，除尘效率99%</w:t>
                  </w:r>
                </w:p>
              </w:tc>
              <w:tc>
                <w:tcPr>
                  <w:tcW w:w="754" w:type="dxa"/>
                  <w:tcBorders>
                    <w:tl2br w:val="nil"/>
                    <w:tr2bl w:val="nil"/>
                  </w:tcBorders>
                  <w:vAlign w:val="center"/>
                </w:tcPr>
                <w:p w14:paraId="23534A0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1A74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5" w:hRule="atLeast"/>
                <w:jc w:val="center"/>
              </w:trPr>
              <w:tc>
                <w:tcPr>
                  <w:tcW w:w="508" w:type="dxa"/>
                  <w:vMerge w:val="continue"/>
                  <w:tcBorders>
                    <w:tl2br w:val="nil"/>
                    <w:tr2bl w:val="nil"/>
                  </w:tcBorders>
                  <w:vAlign w:val="center"/>
                </w:tcPr>
                <w:p w14:paraId="31EA857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011E32A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779CF8E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无动力脱粉</w:t>
                  </w:r>
                </w:p>
              </w:tc>
              <w:tc>
                <w:tcPr>
                  <w:tcW w:w="4960" w:type="dxa"/>
                  <w:tcBorders>
                    <w:tl2br w:val="nil"/>
                    <w:tr2bl w:val="nil"/>
                  </w:tcBorders>
                  <w:shd w:val="clear" w:color="auto" w:fill="auto"/>
                  <w:vAlign w:val="center"/>
                </w:tcPr>
                <w:p w14:paraId="056C535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除尘风管收集，经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布袋除尘装置处理后经15m高排气筒（DA001）排放，除尘效率99%。</w:t>
                  </w:r>
                </w:p>
              </w:tc>
              <w:tc>
                <w:tcPr>
                  <w:tcW w:w="754" w:type="dxa"/>
                  <w:tcBorders>
                    <w:tl2br w:val="nil"/>
                    <w:tr2bl w:val="nil"/>
                  </w:tcBorders>
                  <w:vAlign w:val="center"/>
                </w:tcPr>
                <w:p w14:paraId="198DC5E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4F5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2" w:hRule="atLeast"/>
                <w:jc w:val="center"/>
              </w:trPr>
              <w:tc>
                <w:tcPr>
                  <w:tcW w:w="508" w:type="dxa"/>
                  <w:vMerge w:val="continue"/>
                  <w:tcBorders>
                    <w:tl2br w:val="nil"/>
                    <w:tr2bl w:val="nil"/>
                  </w:tcBorders>
                  <w:vAlign w:val="center"/>
                </w:tcPr>
                <w:p w14:paraId="2668BFF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5F74CAF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533F07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中转</w:t>
                  </w:r>
                </w:p>
              </w:tc>
              <w:tc>
                <w:tcPr>
                  <w:tcW w:w="4960" w:type="dxa"/>
                  <w:tcBorders>
                    <w:tl2br w:val="nil"/>
                    <w:tr2bl w:val="nil"/>
                  </w:tcBorders>
                  <w:shd w:val="clear" w:color="auto" w:fill="auto"/>
                  <w:vAlign w:val="center"/>
                </w:tcPr>
                <w:p w14:paraId="2AACF4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全封闭中转仓。</w:t>
                  </w:r>
                </w:p>
              </w:tc>
              <w:tc>
                <w:tcPr>
                  <w:tcW w:w="754" w:type="dxa"/>
                  <w:tcBorders>
                    <w:tl2br w:val="nil"/>
                    <w:tr2bl w:val="nil"/>
                  </w:tcBorders>
                  <w:vAlign w:val="center"/>
                </w:tcPr>
                <w:p w14:paraId="5B4B31F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DFC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1" w:hRule="atLeast"/>
                <w:jc w:val="center"/>
              </w:trPr>
              <w:tc>
                <w:tcPr>
                  <w:tcW w:w="508" w:type="dxa"/>
                  <w:vMerge w:val="continue"/>
                  <w:tcBorders>
                    <w:tl2br w:val="nil"/>
                    <w:tr2bl w:val="nil"/>
                  </w:tcBorders>
                  <w:vAlign w:val="center"/>
                </w:tcPr>
                <w:p w14:paraId="4F9F4F1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29BE0AF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36EDFF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二次破碎</w:t>
                  </w:r>
                </w:p>
              </w:tc>
              <w:tc>
                <w:tcPr>
                  <w:tcW w:w="4960" w:type="dxa"/>
                  <w:tcBorders>
                    <w:tl2br w:val="nil"/>
                    <w:tr2bl w:val="nil"/>
                  </w:tcBorders>
                  <w:shd w:val="clear" w:color="auto" w:fill="auto"/>
                  <w:vAlign w:val="center"/>
                </w:tcPr>
                <w:p w14:paraId="4F109EC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破碎筛分车间全封闭，进出料口上方安装密闭集气罩</w:t>
                  </w:r>
                  <w:r>
                    <w:rPr>
                      <w:rFonts w:hint="eastAsia" w:cs="Times New Roman"/>
                      <w:color w:val="000000" w:themeColor="text1"/>
                      <w:highlight w:val="none"/>
                      <w:lang w:val="en-US" w:eastAsia="zh-CN"/>
                      <w14:textFill>
                        <w14:solidFill>
                          <w14:schemeClr w14:val="tx1"/>
                        </w14:solidFill>
                      </w14:textFill>
                    </w:rPr>
                    <w:t>（风量50000m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/h）</w:t>
                  </w:r>
                  <w:r>
                    <w:rPr>
                      <w:rFonts w:hint="default" w:ascii="Times New Roman" w:hAnsi="Times New Roman" w:cs="Times New Roman"/>
                      <w:color w:val="000000" w:themeColor="text1"/>
                      <w:highlight w:val="none"/>
                      <w:lang w:val="en-US" w:eastAsia="zh-CN"/>
                      <w14:textFill>
                        <w14:solidFill>
                          <w14:schemeClr w14:val="tx1"/>
                        </w14:solidFill>
                      </w14:textFill>
                    </w:rPr>
                    <w:t>，收集废气经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布袋除尘装置处理后经15m高排气筒（DA001）排放，除尘效率99%。</w:t>
                  </w:r>
                </w:p>
              </w:tc>
              <w:tc>
                <w:tcPr>
                  <w:tcW w:w="754" w:type="dxa"/>
                  <w:tcBorders>
                    <w:tl2br w:val="nil"/>
                    <w:tr2bl w:val="nil"/>
                  </w:tcBorders>
                  <w:vAlign w:val="center"/>
                </w:tcPr>
                <w:p w14:paraId="02C6DEE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845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1" w:hRule="atLeast"/>
                <w:jc w:val="center"/>
              </w:trPr>
              <w:tc>
                <w:tcPr>
                  <w:tcW w:w="508" w:type="dxa"/>
                  <w:vMerge w:val="continue"/>
                  <w:tcBorders>
                    <w:tl2br w:val="nil"/>
                    <w:tr2bl w:val="nil"/>
                  </w:tcBorders>
                  <w:vAlign w:val="center"/>
                </w:tcPr>
                <w:p w14:paraId="70D6ED0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2AE296A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065E467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上料粉尘</w:t>
                  </w:r>
                </w:p>
              </w:tc>
              <w:tc>
                <w:tcPr>
                  <w:tcW w:w="4960" w:type="dxa"/>
                  <w:tcBorders>
                    <w:tl2br w:val="nil"/>
                    <w:tr2bl w:val="nil"/>
                  </w:tcBorders>
                  <w:shd w:val="clear" w:color="auto" w:fill="auto"/>
                  <w:vAlign w:val="center"/>
                </w:tcPr>
                <w:p w14:paraId="7E8159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车间全封闭，进料口上方安装密闭集气罩。</w:t>
                  </w:r>
                </w:p>
              </w:tc>
              <w:tc>
                <w:tcPr>
                  <w:tcW w:w="754" w:type="dxa"/>
                  <w:tcBorders>
                    <w:tl2br w:val="nil"/>
                    <w:tr2bl w:val="nil"/>
                  </w:tcBorders>
                  <w:vAlign w:val="center"/>
                </w:tcPr>
                <w:p w14:paraId="1CD11FF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65E9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1" w:hRule="atLeast"/>
                <w:jc w:val="center"/>
              </w:trPr>
              <w:tc>
                <w:tcPr>
                  <w:tcW w:w="508" w:type="dxa"/>
                  <w:vMerge w:val="continue"/>
                  <w:tcBorders>
                    <w:tl2br w:val="nil"/>
                    <w:tr2bl w:val="nil"/>
                  </w:tcBorders>
                  <w:vAlign w:val="center"/>
                </w:tcPr>
                <w:p w14:paraId="179C520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16B215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3C35DDF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分级筛分</w:t>
                  </w:r>
                </w:p>
              </w:tc>
              <w:tc>
                <w:tcPr>
                  <w:tcW w:w="4960" w:type="dxa"/>
                  <w:tcBorders>
                    <w:tl2br w:val="nil"/>
                    <w:tr2bl w:val="nil"/>
                  </w:tcBorders>
                  <w:shd w:val="clear" w:color="auto" w:fill="auto"/>
                  <w:vAlign w:val="center"/>
                </w:tcPr>
                <w:p w14:paraId="09399F7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筛机整体密封，进料、筛床、筛下落料点处扬尘点位全部设置集气罩，接入</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布袋除尘器处理后经15m高排气筒（DA001）排放，除尘效率99%。</w:t>
                  </w:r>
                </w:p>
              </w:tc>
              <w:tc>
                <w:tcPr>
                  <w:tcW w:w="754" w:type="dxa"/>
                  <w:tcBorders>
                    <w:tl2br w:val="nil"/>
                    <w:tr2bl w:val="nil"/>
                  </w:tcBorders>
                  <w:vAlign w:val="center"/>
                </w:tcPr>
                <w:p w14:paraId="1B3AF2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6FFE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7" w:hRule="atLeast"/>
                <w:jc w:val="center"/>
              </w:trPr>
              <w:tc>
                <w:tcPr>
                  <w:tcW w:w="508" w:type="dxa"/>
                  <w:vMerge w:val="continue"/>
                  <w:tcBorders>
                    <w:tl2br w:val="nil"/>
                    <w:tr2bl w:val="nil"/>
                  </w:tcBorders>
                  <w:vAlign w:val="center"/>
                </w:tcPr>
                <w:p w14:paraId="2D96A8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33A852E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3FDECF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堆场扬尘</w:t>
                  </w:r>
                </w:p>
              </w:tc>
              <w:tc>
                <w:tcPr>
                  <w:tcW w:w="4960" w:type="dxa"/>
                  <w:tcBorders>
                    <w:tl2br w:val="nil"/>
                    <w:tr2bl w:val="nil"/>
                  </w:tcBorders>
                  <w:shd w:val="clear" w:color="auto" w:fill="auto"/>
                  <w:vAlign w:val="center"/>
                </w:tcPr>
                <w:p w14:paraId="1803A79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全封闭成品堆场，雾炮机定时喷淋保湿抑尘。</w:t>
                  </w:r>
                </w:p>
              </w:tc>
              <w:tc>
                <w:tcPr>
                  <w:tcW w:w="754" w:type="dxa"/>
                  <w:tcBorders>
                    <w:tl2br w:val="nil"/>
                    <w:tr2bl w:val="nil"/>
                  </w:tcBorders>
                  <w:vAlign w:val="center"/>
                </w:tcPr>
                <w:p w14:paraId="576684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7E0B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1" w:hRule="atLeast"/>
                <w:jc w:val="center"/>
              </w:trPr>
              <w:tc>
                <w:tcPr>
                  <w:tcW w:w="508" w:type="dxa"/>
                  <w:vMerge w:val="continue"/>
                  <w:tcBorders>
                    <w:tl2br w:val="nil"/>
                    <w:tr2bl w:val="nil"/>
                  </w:tcBorders>
                  <w:vAlign w:val="center"/>
                </w:tcPr>
                <w:p w14:paraId="1C75108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3571A44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47A701C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上料粉尘</w:t>
                  </w:r>
                </w:p>
              </w:tc>
              <w:tc>
                <w:tcPr>
                  <w:tcW w:w="4960" w:type="dxa"/>
                  <w:tcBorders>
                    <w:tl2br w:val="nil"/>
                    <w:tr2bl w:val="nil"/>
                  </w:tcBorders>
                  <w:shd w:val="clear" w:color="auto" w:fill="auto"/>
                  <w:vAlign w:val="center"/>
                </w:tcPr>
                <w:p w14:paraId="524F5E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车间全封闭，上料口密闭集气罩。</w:t>
                  </w:r>
                </w:p>
              </w:tc>
              <w:tc>
                <w:tcPr>
                  <w:tcW w:w="754" w:type="dxa"/>
                  <w:tcBorders>
                    <w:tl2br w:val="nil"/>
                    <w:tr2bl w:val="nil"/>
                  </w:tcBorders>
                  <w:vAlign w:val="center"/>
                </w:tcPr>
                <w:p w14:paraId="64261CB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5831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1" w:hRule="atLeast"/>
                <w:jc w:val="center"/>
              </w:trPr>
              <w:tc>
                <w:tcPr>
                  <w:tcW w:w="508" w:type="dxa"/>
                  <w:vMerge w:val="continue"/>
                  <w:tcBorders>
                    <w:tl2br w:val="nil"/>
                    <w:tr2bl w:val="nil"/>
                  </w:tcBorders>
                  <w:vAlign w:val="center"/>
                </w:tcPr>
                <w:p w14:paraId="61BDBDC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3DBB0FE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454025E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车辆运输</w:t>
                  </w:r>
                </w:p>
              </w:tc>
              <w:tc>
                <w:tcPr>
                  <w:tcW w:w="4960" w:type="dxa"/>
                  <w:tcBorders>
                    <w:tl2br w:val="nil"/>
                    <w:tr2bl w:val="nil"/>
                  </w:tcBorders>
                  <w:shd w:val="clear" w:color="auto" w:fill="auto"/>
                  <w:vAlign w:val="center"/>
                </w:tcPr>
                <w:p w14:paraId="2C8DE7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路面采取洒水降尘，砂石料外运控制装卸量，采用洒水加湿后加盖篷布运输，控制车速，进出车辆冲洗。</w:t>
                  </w:r>
                </w:p>
              </w:tc>
              <w:tc>
                <w:tcPr>
                  <w:tcW w:w="754" w:type="dxa"/>
                  <w:tcBorders>
                    <w:tl2br w:val="nil"/>
                    <w:tr2bl w:val="nil"/>
                  </w:tcBorders>
                  <w:vAlign w:val="center"/>
                </w:tcPr>
                <w:p w14:paraId="48814CE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61A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1" w:hRule="atLeast"/>
                <w:jc w:val="center"/>
              </w:trPr>
              <w:tc>
                <w:tcPr>
                  <w:tcW w:w="508" w:type="dxa"/>
                  <w:vMerge w:val="continue"/>
                  <w:tcBorders>
                    <w:tl2br w:val="nil"/>
                    <w:tr2bl w:val="nil"/>
                  </w:tcBorders>
                  <w:vAlign w:val="center"/>
                </w:tcPr>
                <w:p w14:paraId="147E342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2AE79F9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66860D1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皮带运输粉尘</w:t>
                  </w:r>
                </w:p>
              </w:tc>
              <w:tc>
                <w:tcPr>
                  <w:tcW w:w="4960" w:type="dxa"/>
                  <w:tcBorders>
                    <w:tl2br w:val="nil"/>
                    <w:tr2bl w:val="nil"/>
                  </w:tcBorders>
                  <w:shd w:val="clear" w:color="auto" w:fill="auto"/>
                  <w:vAlign w:val="center"/>
                </w:tcPr>
                <w:p w14:paraId="2E33EE7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全封闭皮带输送。</w:t>
                  </w:r>
                </w:p>
              </w:tc>
              <w:tc>
                <w:tcPr>
                  <w:tcW w:w="754" w:type="dxa"/>
                  <w:tcBorders>
                    <w:tl2br w:val="nil"/>
                    <w:tr2bl w:val="nil"/>
                  </w:tcBorders>
                  <w:vAlign w:val="center"/>
                </w:tcPr>
                <w:p w14:paraId="4746DC9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F57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1" w:hRule="atLeast"/>
                <w:jc w:val="center"/>
              </w:trPr>
              <w:tc>
                <w:tcPr>
                  <w:tcW w:w="508" w:type="dxa"/>
                  <w:vMerge w:val="continue"/>
                  <w:tcBorders>
                    <w:tl2br w:val="nil"/>
                    <w:tr2bl w:val="nil"/>
                  </w:tcBorders>
                  <w:vAlign w:val="center"/>
                </w:tcPr>
                <w:p w14:paraId="7CD58D7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2B2935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0239BE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机械设备燃料废气</w:t>
                  </w:r>
                </w:p>
              </w:tc>
              <w:tc>
                <w:tcPr>
                  <w:tcW w:w="4960" w:type="dxa"/>
                  <w:tcBorders>
                    <w:tl2br w:val="nil"/>
                    <w:tr2bl w:val="nil"/>
                  </w:tcBorders>
                  <w:shd w:val="clear" w:color="auto" w:fill="auto"/>
                  <w:vAlign w:val="center"/>
                </w:tcPr>
                <w:p w14:paraId="7B7D796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采用较好的燃油设备，充分燃烧，自然扩散。</w:t>
                  </w:r>
                </w:p>
              </w:tc>
              <w:tc>
                <w:tcPr>
                  <w:tcW w:w="754" w:type="dxa"/>
                  <w:tcBorders>
                    <w:tl2br w:val="nil"/>
                    <w:tr2bl w:val="nil"/>
                  </w:tcBorders>
                  <w:vAlign w:val="center"/>
                </w:tcPr>
                <w:p w14:paraId="08CF779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6804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1" w:hRule="atLeast"/>
                <w:jc w:val="center"/>
              </w:trPr>
              <w:tc>
                <w:tcPr>
                  <w:tcW w:w="508" w:type="dxa"/>
                  <w:vMerge w:val="continue"/>
                  <w:tcBorders>
                    <w:tl2br w:val="nil"/>
                    <w:tr2bl w:val="nil"/>
                  </w:tcBorders>
                  <w:vAlign w:val="center"/>
                </w:tcPr>
                <w:p w14:paraId="0A90636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7B04951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731BC3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柴油储存区废气</w:t>
                  </w:r>
                </w:p>
              </w:tc>
              <w:tc>
                <w:tcPr>
                  <w:tcW w:w="4960" w:type="dxa"/>
                  <w:tcBorders>
                    <w:tl2br w:val="nil"/>
                    <w:tr2bl w:val="nil"/>
                  </w:tcBorders>
                  <w:shd w:val="clear" w:color="auto" w:fill="auto"/>
                  <w:vAlign w:val="center"/>
                </w:tcPr>
                <w:p w14:paraId="2A7DC6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采用密封性好的柴油桶进行储存。</w:t>
                  </w:r>
                </w:p>
              </w:tc>
              <w:tc>
                <w:tcPr>
                  <w:tcW w:w="754" w:type="dxa"/>
                  <w:tcBorders>
                    <w:tl2br w:val="nil"/>
                    <w:tr2bl w:val="nil"/>
                  </w:tcBorders>
                  <w:vAlign w:val="center"/>
                </w:tcPr>
                <w:p w14:paraId="23C61F8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591D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0" w:hRule="atLeast"/>
                <w:jc w:val="center"/>
              </w:trPr>
              <w:tc>
                <w:tcPr>
                  <w:tcW w:w="508" w:type="dxa"/>
                  <w:vMerge w:val="continue"/>
                  <w:tcBorders>
                    <w:tl2br w:val="nil"/>
                    <w:tr2bl w:val="nil"/>
                  </w:tcBorders>
                  <w:vAlign w:val="center"/>
                </w:tcPr>
                <w:p w14:paraId="222EAF0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49FCC12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shd w:val="clear" w:color="auto" w:fill="auto"/>
                  <w:vAlign w:val="center"/>
                </w:tcPr>
                <w:p w14:paraId="33E73F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装卸扬尘</w:t>
                  </w:r>
                </w:p>
              </w:tc>
              <w:tc>
                <w:tcPr>
                  <w:tcW w:w="4960" w:type="dxa"/>
                  <w:tcBorders>
                    <w:tl2br w:val="nil"/>
                    <w:tr2bl w:val="nil"/>
                  </w:tcBorders>
                  <w:shd w:val="clear" w:color="auto" w:fill="auto"/>
                  <w:vAlign w:val="center"/>
                </w:tcPr>
                <w:p w14:paraId="2C7765D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雾炮机定时喷淋保湿抑尘。</w:t>
                  </w:r>
                </w:p>
              </w:tc>
              <w:tc>
                <w:tcPr>
                  <w:tcW w:w="754" w:type="dxa"/>
                  <w:tcBorders>
                    <w:tl2br w:val="nil"/>
                    <w:tr2bl w:val="nil"/>
                  </w:tcBorders>
                  <w:vAlign w:val="center"/>
                </w:tcPr>
                <w:p w14:paraId="79CAAED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5B79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dxa"/>
                  <w:vMerge w:val="continue"/>
                  <w:tcBorders>
                    <w:tl2br w:val="nil"/>
                    <w:tr2bl w:val="nil"/>
                  </w:tcBorders>
                  <w:vAlign w:val="center"/>
                </w:tcPr>
                <w:p w14:paraId="5874834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restart"/>
                  <w:tcBorders>
                    <w:tl2br w:val="nil"/>
                    <w:tr2bl w:val="nil"/>
                  </w:tcBorders>
                  <w:vAlign w:val="center"/>
                </w:tcPr>
                <w:p w14:paraId="14BA8DC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废水治理</w:t>
                  </w:r>
                </w:p>
              </w:tc>
              <w:tc>
                <w:tcPr>
                  <w:tcW w:w="1564" w:type="dxa"/>
                  <w:tcBorders>
                    <w:tl2br w:val="nil"/>
                    <w:tr2bl w:val="nil"/>
                  </w:tcBorders>
                  <w:vAlign w:val="center"/>
                </w:tcPr>
                <w:p w14:paraId="203B8A3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生产废水</w:t>
                  </w:r>
                </w:p>
              </w:tc>
              <w:tc>
                <w:tcPr>
                  <w:tcW w:w="4960" w:type="dxa"/>
                  <w:tcBorders>
                    <w:tl2br w:val="nil"/>
                    <w:tr2bl w:val="nil"/>
                  </w:tcBorders>
                  <w:vAlign w:val="center"/>
                </w:tcPr>
                <w:p w14:paraId="7809233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项目不生产水洗砂，故无生产废水产生，车辆冲洗废水采用沉淀池收集，沉淀后循环使用不外排。</w:t>
                  </w:r>
                </w:p>
              </w:tc>
              <w:tc>
                <w:tcPr>
                  <w:tcW w:w="754" w:type="dxa"/>
                  <w:tcBorders>
                    <w:tl2br w:val="nil"/>
                    <w:tr2bl w:val="nil"/>
                  </w:tcBorders>
                  <w:vAlign w:val="center"/>
                </w:tcPr>
                <w:p w14:paraId="20189899">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7AE8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1" w:hRule="atLeast"/>
                <w:jc w:val="center"/>
              </w:trPr>
              <w:tc>
                <w:tcPr>
                  <w:tcW w:w="508" w:type="dxa"/>
                  <w:vMerge w:val="continue"/>
                  <w:tcBorders>
                    <w:tl2br w:val="nil"/>
                    <w:tr2bl w:val="nil"/>
                  </w:tcBorders>
                  <w:vAlign w:val="center"/>
                </w:tcPr>
                <w:p w14:paraId="5EF9DFC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03D7092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vAlign w:val="center"/>
                </w:tcPr>
                <w:p w14:paraId="7DC81FD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生活污水</w:t>
                  </w:r>
                </w:p>
              </w:tc>
              <w:tc>
                <w:tcPr>
                  <w:tcW w:w="4960" w:type="dxa"/>
                  <w:tcBorders>
                    <w:tl2br w:val="nil"/>
                    <w:tr2bl w:val="nil"/>
                  </w:tcBorders>
                  <w:vAlign w:val="center"/>
                </w:tcPr>
                <w:p w14:paraId="1D4F67F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工作人员居住在中铁隧道局新建伊阿铁路SⅩ标段项目部，</w:t>
                  </w:r>
                  <w:r>
                    <w:rPr>
                      <w:rFonts w:hint="eastAsia" w:cs="Times New Roman"/>
                      <w:color w:val="000000" w:themeColor="text1"/>
                      <w:highlight w:val="none"/>
                      <w:lang w:val="en-US" w:eastAsia="zh-CN"/>
                      <w14:textFill>
                        <w14:solidFill>
                          <w14:schemeClr w14:val="tx1"/>
                        </w14:solidFill>
                      </w14:textFill>
                    </w:rPr>
                    <w:t>项目部</w:t>
                  </w:r>
                  <w:r>
                    <w:rPr>
                      <w:rFonts w:hint="default" w:ascii="Times New Roman" w:hAnsi="Times New Roman" w:cs="Times New Roman"/>
                      <w:color w:val="000000" w:themeColor="text1"/>
                      <w:highlight w:val="none"/>
                      <w:lang w:val="en-US" w:eastAsia="zh-CN"/>
                      <w14:textFill>
                        <w14:solidFill>
                          <w14:schemeClr w14:val="tx1"/>
                        </w14:solidFill>
                      </w14:textFill>
                    </w:rPr>
                    <w:t>与本项目直线距离约1.9km，项目部生活污水采用化粪池收集后定期使用吸污车拉运至</w:t>
                  </w:r>
                  <w:r>
                    <w:rPr>
                      <w:rFonts w:hint="eastAsia" w:cs="Times New Roman"/>
                      <w:color w:val="000000" w:themeColor="text1"/>
                      <w:highlight w:val="none"/>
                      <w:lang w:val="en-US" w:eastAsia="zh-CN"/>
                      <w14:textFill>
                        <w14:solidFill>
                          <w14:schemeClr w14:val="tx1"/>
                        </w14:solidFill>
                      </w14:textFill>
                    </w:rPr>
                    <w:t>巴音布鲁克污水处理厂处理</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54" w:type="dxa"/>
                  <w:tcBorders>
                    <w:tl2br w:val="nil"/>
                    <w:tr2bl w:val="nil"/>
                  </w:tcBorders>
                  <w:vAlign w:val="center"/>
                </w:tcPr>
                <w:p w14:paraId="3113ED1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4892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7" w:hRule="atLeast"/>
                <w:jc w:val="center"/>
              </w:trPr>
              <w:tc>
                <w:tcPr>
                  <w:tcW w:w="508" w:type="dxa"/>
                  <w:vMerge w:val="continue"/>
                  <w:tcBorders>
                    <w:tl2br w:val="nil"/>
                    <w:tr2bl w:val="nil"/>
                  </w:tcBorders>
                  <w:vAlign w:val="center"/>
                </w:tcPr>
                <w:p w14:paraId="4BAF01B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tcBorders>
                    <w:tl2br w:val="nil"/>
                    <w:tr2bl w:val="nil"/>
                  </w:tcBorders>
                  <w:vAlign w:val="center"/>
                </w:tcPr>
                <w:p w14:paraId="2228DE6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噪声治理</w:t>
                  </w:r>
                </w:p>
              </w:tc>
              <w:tc>
                <w:tcPr>
                  <w:tcW w:w="1564" w:type="dxa"/>
                  <w:tcBorders>
                    <w:tl2br w:val="nil"/>
                    <w:tr2bl w:val="nil"/>
                  </w:tcBorders>
                  <w:vAlign w:val="center"/>
                </w:tcPr>
                <w:p w14:paraId="79ACF66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设备噪声</w:t>
                  </w:r>
                </w:p>
              </w:tc>
              <w:tc>
                <w:tcPr>
                  <w:tcW w:w="4960" w:type="dxa"/>
                  <w:tcBorders>
                    <w:tl2br w:val="nil"/>
                    <w:tr2bl w:val="nil"/>
                  </w:tcBorders>
                  <w:vAlign w:val="center"/>
                </w:tcPr>
                <w:p w14:paraId="03D554E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选用低噪声设备，并对高噪声设备进行基础隔声、减振</w:t>
                  </w:r>
                </w:p>
                <w:p w14:paraId="1A4ECBCB">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措施</w:t>
                  </w:r>
                </w:p>
              </w:tc>
              <w:tc>
                <w:tcPr>
                  <w:tcW w:w="754" w:type="dxa"/>
                  <w:tcBorders>
                    <w:tl2br w:val="nil"/>
                    <w:tr2bl w:val="nil"/>
                  </w:tcBorders>
                  <w:vAlign w:val="center"/>
                </w:tcPr>
                <w:p w14:paraId="12B46D5F">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C73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7" w:hRule="atLeast"/>
                <w:jc w:val="center"/>
              </w:trPr>
              <w:tc>
                <w:tcPr>
                  <w:tcW w:w="508" w:type="dxa"/>
                  <w:vMerge w:val="continue"/>
                  <w:tcBorders>
                    <w:tl2br w:val="nil"/>
                    <w:tr2bl w:val="nil"/>
                  </w:tcBorders>
                  <w:vAlign w:val="center"/>
                </w:tcPr>
                <w:p w14:paraId="56B5E2A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restart"/>
                  <w:tcBorders>
                    <w:tl2br w:val="nil"/>
                    <w:tr2bl w:val="nil"/>
                  </w:tcBorders>
                  <w:vAlign w:val="center"/>
                </w:tcPr>
                <w:p w14:paraId="33A7552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固废治理</w:t>
                  </w:r>
                </w:p>
              </w:tc>
              <w:tc>
                <w:tcPr>
                  <w:tcW w:w="1564" w:type="dxa"/>
                  <w:tcBorders>
                    <w:tl2br w:val="nil"/>
                    <w:tr2bl w:val="nil"/>
                  </w:tcBorders>
                  <w:vAlign w:val="center"/>
                </w:tcPr>
                <w:p w14:paraId="71C9E72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生活垃圾</w:t>
                  </w:r>
                </w:p>
              </w:tc>
              <w:tc>
                <w:tcPr>
                  <w:tcW w:w="4960" w:type="dxa"/>
                  <w:tcBorders>
                    <w:tl2br w:val="nil"/>
                    <w:tr2bl w:val="nil"/>
                  </w:tcBorders>
                  <w:vAlign w:val="center"/>
                </w:tcPr>
                <w:p w14:paraId="3564D8DE">
                  <w:pPr>
                    <w:pStyle w:val="1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工作人员居住在中铁隧道局新建伊阿铁路SⅩ标段项目部，与本项目直线距离约1.9km</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工作人员生活垃圾依托项目部垃圾收集设施</w:t>
                  </w:r>
                  <w:r>
                    <w:rPr>
                      <w:rFonts w:hint="eastAsia" w:cs="Times New Roman"/>
                      <w:color w:val="000000" w:themeColor="text1"/>
                      <w:highlight w:val="none"/>
                      <w:lang w:val="en-US" w:eastAsia="zh-CN"/>
                      <w14:textFill>
                        <w14:solidFill>
                          <w14:schemeClr w14:val="tx1"/>
                        </w14:solidFill>
                      </w14:textFill>
                    </w:rPr>
                    <w:t>处理。</w:t>
                  </w:r>
                </w:p>
              </w:tc>
              <w:tc>
                <w:tcPr>
                  <w:tcW w:w="754" w:type="dxa"/>
                  <w:tcBorders>
                    <w:tl2br w:val="nil"/>
                    <w:tr2bl w:val="nil"/>
                  </w:tcBorders>
                  <w:vAlign w:val="center"/>
                </w:tcPr>
                <w:p w14:paraId="35D07765">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65F8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508" w:type="dxa"/>
                  <w:vMerge w:val="continue"/>
                  <w:tcBorders>
                    <w:tl2br w:val="nil"/>
                    <w:tr2bl w:val="nil"/>
                  </w:tcBorders>
                  <w:vAlign w:val="center"/>
                </w:tcPr>
                <w:p w14:paraId="3A1A95A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039FDDF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vAlign w:val="center"/>
                </w:tcPr>
                <w:p w14:paraId="168D30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除尘系统收集的粉尘</w:t>
                  </w:r>
                </w:p>
              </w:tc>
              <w:tc>
                <w:tcPr>
                  <w:tcW w:w="4960" w:type="dxa"/>
                  <w:tcBorders>
                    <w:tl2br w:val="nil"/>
                    <w:tr2bl w:val="nil"/>
                  </w:tcBorders>
                  <w:vAlign w:val="center"/>
                </w:tcPr>
                <w:p w14:paraId="58B0B80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集中收集暂存于弃渣场，待服务期满后用于场地平整</w:t>
                  </w:r>
                  <w:r>
                    <w:rPr>
                      <w:rFonts w:hint="default" w:ascii="Times New Roman" w:hAnsi="Times New Roman" w:cs="Times New Roman"/>
                      <w:color w:val="000000" w:themeColor="text1"/>
                      <w:highlight w:val="none"/>
                      <w14:textFill>
                        <w14:solidFill>
                          <w14:schemeClr w14:val="tx1"/>
                        </w14:solidFill>
                      </w14:textFill>
                    </w:rPr>
                    <w:t>。</w:t>
                  </w:r>
                </w:p>
              </w:tc>
              <w:tc>
                <w:tcPr>
                  <w:tcW w:w="754" w:type="dxa"/>
                  <w:tcBorders>
                    <w:tl2br w:val="nil"/>
                    <w:tr2bl w:val="nil"/>
                  </w:tcBorders>
                  <w:vAlign w:val="center"/>
                </w:tcPr>
                <w:p w14:paraId="47905E28">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D16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7" w:hRule="atLeast"/>
                <w:jc w:val="center"/>
              </w:trPr>
              <w:tc>
                <w:tcPr>
                  <w:tcW w:w="508" w:type="dxa"/>
                  <w:vMerge w:val="continue"/>
                  <w:tcBorders>
                    <w:tl2br w:val="nil"/>
                    <w:tr2bl w:val="nil"/>
                  </w:tcBorders>
                  <w:vAlign w:val="center"/>
                </w:tcPr>
                <w:p w14:paraId="2AB66CC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4411BD4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vAlign w:val="center"/>
                </w:tcPr>
                <w:p w14:paraId="0E1F7DB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除尘器废布袋</w:t>
                  </w:r>
                </w:p>
              </w:tc>
              <w:tc>
                <w:tcPr>
                  <w:tcW w:w="4960" w:type="dxa"/>
                  <w:tcBorders>
                    <w:tl2br w:val="nil"/>
                    <w:tr2bl w:val="nil"/>
                  </w:tcBorders>
                  <w:vAlign w:val="center"/>
                </w:tcPr>
                <w:p w14:paraId="555915F4">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除尘器产生的废布袋交由厂家回收处理</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754" w:type="dxa"/>
                  <w:tcBorders>
                    <w:tl2br w:val="nil"/>
                    <w:tr2bl w:val="nil"/>
                  </w:tcBorders>
                  <w:vAlign w:val="center"/>
                </w:tcPr>
                <w:p w14:paraId="4B299D4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r w14:paraId="5A2A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7" w:hRule="atLeast"/>
                <w:jc w:val="center"/>
              </w:trPr>
              <w:tc>
                <w:tcPr>
                  <w:tcW w:w="508" w:type="dxa"/>
                  <w:vMerge w:val="continue"/>
                  <w:tcBorders>
                    <w:tl2br w:val="nil"/>
                    <w:tr2bl w:val="nil"/>
                  </w:tcBorders>
                  <w:vAlign w:val="center"/>
                </w:tcPr>
                <w:p w14:paraId="4721E5D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436B13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vAlign w:val="center"/>
                </w:tcPr>
                <w:p w14:paraId="3DB110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不合格产品</w:t>
                  </w:r>
                </w:p>
              </w:tc>
              <w:tc>
                <w:tcPr>
                  <w:tcW w:w="4960" w:type="dxa"/>
                  <w:tcBorders>
                    <w:tl2br w:val="nil"/>
                    <w:tr2bl w:val="nil"/>
                  </w:tcBorders>
                  <w:vAlign w:val="center"/>
                </w:tcPr>
                <w:p w14:paraId="758E0FE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项⽬破碎、筛分中产生的不合格品及原料中含有的泥土、风化层等杂质作为不合格产品，集中收集暂存于弃渣场，待服务期满后用于场地平整。</w:t>
                  </w:r>
                </w:p>
              </w:tc>
              <w:tc>
                <w:tcPr>
                  <w:tcW w:w="754" w:type="dxa"/>
                  <w:tcBorders>
                    <w:tl2br w:val="nil"/>
                    <w:tr2bl w:val="nil"/>
                  </w:tcBorders>
                  <w:vAlign w:val="center"/>
                </w:tcPr>
                <w:p w14:paraId="4E3C367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F62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7" w:hRule="atLeast"/>
                <w:jc w:val="center"/>
              </w:trPr>
              <w:tc>
                <w:tcPr>
                  <w:tcW w:w="508" w:type="dxa"/>
                  <w:vMerge w:val="continue"/>
                  <w:tcBorders>
                    <w:tl2br w:val="nil"/>
                    <w:tr2bl w:val="nil"/>
                  </w:tcBorders>
                  <w:vAlign w:val="center"/>
                </w:tcPr>
                <w:p w14:paraId="463B5ED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7" w:type="dxa"/>
                  <w:vMerge w:val="continue"/>
                  <w:tcBorders>
                    <w:tl2br w:val="nil"/>
                    <w:tr2bl w:val="nil"/>
                  </w:tcBorders>
                  <w:vAlign w:val="center"/>
                </w:tcPr>
                <w:p w14:paraId="776B1E9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564" w:type="dxa"/>
                  <w:tcBorders>
                    <w:tl2br w:val="nil"/>
                    <w:tr2bl w:val="nil"/>
                  </w:tcBorders>
                  <w:vAlign w:val="center"/>
                </w:tcPr>
                <w:p w14:paraId="3758974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设备保养</w:t>
                  </w:r>
                </w:p>
              </w:tc>
              <w:tc>
                <w:tcPr>
                  <w:tcW w:w="4960" w:type="dxa"/>
                  <w:tcBorders>
                    <w:tl2br w:val="nil"/>
                    <w:tr2bl w:val="nil"/>
                  </w:tcBorders>
                  <w:vAlign w:val="center"/>
                </w:tcPr>
                <w:p w14:paraId="268AE69F">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设置5m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的</w:t>
                  </w:r>
                  <w:r>
                    <w:rPr>
                      <w:rFonts w:hint="eastAsia" w:ascii="Times New Roman" w:hAnsi="Times New Roman"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，用于储存项目运行过程中产生的危险废物。</w:t>
                  </w:r>
                  <w:r>
                    <w:rPr>
                      <w:rFonts w:hint="default" w:ascii="Times New Roman" w:hAnsi="Times New Roman" w:cs="Times New Roman"/>
                      <w:color w:val="000000" w:themeColor="text1"/>
                      <w:highlight w:val="none"/>
                      <w14:textFill>
                        <w14:solidFill>
                          <w14:schemeClr w14:val="tx1"/>
                        </w14:solidFill>
                      </w14:textFill>
                    </w:rPr>
                    <w:t>废防渗膜、废</w:t>
                  </w:r>
                  <w:r>
                    <w:rPr>
                      <w:rFonts w:hint="default" w:ascii="Times New Roman" w:hAnsi="Times New Roman" w:cs="Times New Roman"/>
                      <w:color w:val="000000" w:themeColor="text1"/>
                      <w:highlight w:val="none"/>
                      <w:lang w:val="en-US" w:eastAsia="zh-CN"/>
                      <w14:textFill>
                        <w14:solidFill>
                          <w14:schemeClr w14:val="tx1"/>
                        </w14:solidFill>
                      </w14:textFill>
                    </w:rPr>
                    <w:t>润滑</w:t>
                  </w:r>
                  <w:r>
                    <w:rPr>
                      <w:rFonts w:hint="default" w:ascii="Times New Roman" w:hAnsi="Times New Roman" w:cs="Times New Roman"/>
                      <w:color w:val="000000" w:themeColor="text1"/>
                      <w:highlight w:val="none"/>
                      <w14:textFill>
                        <w14:solidFill>
                          <w14:schemeClr w14:val="tx1"/>
                        </w14:solidFill>
                      </w14:textFill>
                    </w:rPr>
                    <w:t>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废油桶</w:t>
                  </w:r>
                  <w:r>
                    <w:rPr>
                      <w:rFonts w:hint="default" w:ascii="Times New Roman" w:hAnsi="Times New Roman" w:cs="Times New Roman"/>
                      <w:color w:val="000000" w:themeColor="text1"/>
                      <w:highlight w:val="none"/>
                      <w14:textFill>
                        <w14:solidFill>
                          <w14:schemeClr w14:val="tx1"/>
                        </w14:solidFill>
                      </w14:textFill>
                    </w:rPr>
                    <w:t>暂存在</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，委托有资质的单位统一处理。</w:t>
                  </w:r>
                </w:p>
              </w:tc>
              <w:tc>
                <w:tcPr>
                  <w:tcW w:w="754" w:type="dxa"/>
                  <w:tcBorders>
                    <w:tl2br w:val="nil"/>
                    <w:tr2bl w:val="nil"/>
                  </w:tcBorders>
                  <w:vAlign w:val="center"/>
                </w:tcPr>
                <w:p w14:paraId="16E809C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3B5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7" w:hRule="atLeast"/>
                <w:jc w:val="center"/>
              </w:trPr>
              <w:tc>
                <w:tcPr>
                  <w:tcW w:w="508" w:type="dxa"/>
                  <w:tcBorders>
                    <w:tl2br w:val="nil"/>
                    <w:tr2bl w:val="nil"/>
                  </w:tcBorders>
                  <w:vAlign w:val="center"/>
                </w:tcPr>
                <w:p w14:paraId="7D75EF7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依托工程</w:t>
                  </w:r>
                </w:p>
              </w:tc>
              <w:tc>
                <w:tcPr>
                  <w:tcW w:w="2051" w:type="dxa"/>
                  <w:gridSpan w:val="2"/>
                  <w:tcBorders>
                    <w:tl2br w:val="nil"/>
                    <w:tr2bl w:val="nil"/>
                  </w:tcBorders>
                  <w:vAlign w:val="center"/>
                </w:tcPr>
                <w:p w14:paraId="59CF190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中铁隧道局新建伊阿铁路SⅩ标段项目部</w:t>
                  </w:r>
                </w:p>
              </w:tc>
              <w:tc>
                <w:tcPr>
                  <w:tcW w:w="4960" w:type="dxa"/>
                  <w:tcBorders>
                    <w:tl2br w:val="nil"/>
                    <w:tr2bl w:val="nil"/>
                  </w:tcBorders>
                  <w:vAlign w:val="center"/>
                </w:tcPr>
                <w:p w14:paraId="3E84E35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2025年6月中国铁路乌鲁木齐集团有限公司库尔勒铁路建设指挥部委托中环联新（北京）环境保护有限公司编制完成《新建铁路伊宁至阿克苏线环境影响报告书》上报新疆维吾尔自治区生态环境厅审批，于2025年7月1日取得《关于新建铁路伊宁至阿克苏线环境影响报告书的批复》（新环审〔2025〕159号）。中铁隧道局新建伊阿铁路SⅩ标段项目部属于《新建铁路伊宁至阿克苏线环境影响报告书》中施工期工程。</w:t>
                  </w:r>
                </w:p>
              </w:tc>
              <w:tc>
                <w:tcPr>
                  <w:tcW w:w="754" w:type="dxa"/>
                  <w:tcBorders>
                    <w:tl2br w:val="nil"/>
                    <w:tr2bl w:val="nil"/>
                  </w:tcBorders>
                  <w:vAlign w:val="center"/>
                </w:tcPr>
                <w:p w14:paraId="1D0EB7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依托</w:t>
                  </w:r>
                </w:p>
              </w:tc>
            </w:tr>
          </w:tbl>
          <w:p w14:paraId="19CE257B">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2.1.</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主要设备</w:t>
            </w:r>
          </w:p>
          <w:p w14:paraId="54DEA4FE">
            <w:pPr>
              <w:bidi w:val="0"/>
              <w:rPr>
                <w:rFonts w:hint="default" w:ascii="Times New Roman" w:hAnsi="Times New Roman" w:eastAsia="宋体" w:cs="Times New Roman"/>
                <w:b/>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w:t>
            </w:r>
            <w:r>
              <w:rPr>
                <w:rFonts w:hint="default" w:ascii="Times New Roman" w:hAnsi="Times New Roman" w:cs="Times New Roman"/>
                <w:color w:val="000000" w:themeColor="text1"/>
                <w:highlight w:val="none"/>
                <w:lang w:val="en-US" w:eastAsia="zh-CN"/>
                <w14:textFill>
                  <w14:solidFill>
                    <w14:schemeClr w14:val="tx1"/>
                  </w14:solidFill>
                </w14:textFill>
              </w:rPr>
              <w:t>砂石料</w:t>
            </w:r>
            <w:r>
              <w:rPr>
                <w:rFonts w:hint="default" w:ascii="Times New Roman" w:hAnsi="Times New Roman" w:cs="Times New Roman"/>
                <w:color w:val="000000" w:themeColor="text1"/>
                <w:highlight w:val="none"/>
                <w14:textFill>
                  <w14:solidFill>
                    <w14:schemeClr w14:val="tx1"/>
                  </w14:solidFill>
                </w14:textFill>
              </w:rPr>
              <w:t>生产线主要生产设备</w:t>
            </w:r>
            <w:r>
              <w:rPr>
                <w:rFonts w:hint="default" w:ascii="Times New Roman" w:hAnsi="Times New Roman" w:cs="Times New Roman"/>
                <w:color w:val="000000" w:themeColor="text1"/>
                <w:highlight w:val="none"/>
                <w:lang w:eastAsia="zh-CN"/>
                <w14:textFill>
                  <w14:solidFill>
                    <w14:schemeClr w14:val="tx1"/>
                  </w14:solidFill>
                </w14:textFill>
              </w:rPr>
              <w:t>见下</w:t>
            </w: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-2：</w:t>
            </w:r>
          </w:p>
          <w:p w14:paraId="0AD8D494">
            <w:pPr>
              <w:keepNext w:val="0"/>
              <w:keepLines w:val="0"/>
              <w:pageBreakBefore w:val="0"/>
              <w:widowControl w:val="0"/>
              <w:shd w:val="clear"/>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Style w:val="25"/>
                <w:rFonts w:hint="default" w:ascii="Times New Roman" w:hAnsi="Times New Roman" w:cs="Times New Roman"/>
                <w:color w:val="000000" w:themeColor="text1"/>
                <w:highlight w:val="none"/>
                <w14:textFill>
                  <w14:solidFill>
                    <w14:schemeClr w14:val="tx1"/>
                  </w14:solidFill>
                </w14:textFill>
              </w:rPr>
              <w:t>表2</w:t>
            </w:r>
            <w:r>
              <w:rPr>
                <w:rStyle w:val="25"/>
                <w:rFonts w:hint="default" w:ascii="Times New Roman" w:hAnsi="Times New Roman" w:cs="Times New Roman"/>
                <w:color w:val="000000" w:themeColor="text1"/>
                <w:highlight w:val="none"/>
                <w:lang w:val="en-US" w:eastAsia="zh-CN"/>
                <w14:textFill>
                  <w14:solidFill>
                    <w14:schemeClr w14:val="tx1"/>
                  </w14:solidFill>
                </w14:textFill>
              </w:rPr>
              <w:t>.1</w:t>
            </w:r>
            <w:r>
              <w:rPr>
                <w:rStyle w:val="25"/>
                <w:rFonts w:hint="default" w:ascii="Times New Roman" w:hAnsi="Times New Roman" w:cs="Times New Roman"/>
                <w:color w:val="000000" w:themeColor="text1"/>
                <w:highlight w:val="none"/>
                <w14:textFill>
                  <w14:solidFill>
                    <w14:schemeClr w14:val="tx1"/>
                  </w14:solidFill>
                </w14:textFill>
              </w:rPr>
              <w:t>-2  砂石料生产线主要生产设备一览表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2670"/>
              <w:gridCol w:w="2116"/>
              <w:gridCol w:w="907"/>
              <w:gridCol w:w="951"/>
              <w:gridCol w:w="951"/>
            </w:tblGrid>
            <w:tr w14:paraId="3E8C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09" w:type="pct"/>
                  <w:tcBorders>
                    <w:tl2br w:val="nil"/>
                    <w:tr2bl w:val="nil"/>
                  </w:tcBorders>
                  <w:noWrap w:val="0"/>
                  <w:vAlign w:val="center"/>
                </w:tcPr>
                <w:p w14:paraId="5344ED5F">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1613" w:type="pct"/>
                  <w:tcBorders>
                    <w:tl2br w:val="nil"/>
                    <w:tr2bl w:val="nil"/>
                  </w:tcBorders>
                  <w:noWrap w:val="0"/>
                  <w:vAlign w:val="center"/>
                </w:tcPr>
                <w:p w14:paraId="58CF328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设备名称</w:t>
                  </w:r>
                </w:p>
              </w:tc>
              <w:tc>
                <w:tcPr>
                  <w:tcW w:w="1278" w:type="pct"/>
                  <w:tcBorders>
                    <w:tl2br w:val="nil"/>
                    <w:tr2bl w:val="nil"/>
                  </w:tcBorders>
                  <w:noWrap w:val="0"/>
                  <w:vAlign w:val="center"/>
                </w:tcPr>
                <w:p w14:paraId="1901EF0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规格型号</w:t>
                  </w:r>
                </w:p>
              </w:tc>
              <w:tc>
                <w:tcPr>
                  <w:tcW w:w="548" w:type="pct"/>
                  <w:tcBorders>
                    <w:tl2br w:val="nil"/>
                    <w:tr2bl w:val="nil"/>
                  </w:tcBorders>
                  <w:noWrap w:val="0"/>
                  <w:vAlign w:val="center"/>
                </w:tcPr>
                <w:p w14:paraId="6797D44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单位</w:t>
                  </w:r>
                </w:p>
              </w:tc>
              <w:tc>
                <w:tcPr>
                  <w:tcW w:w="574" w:type="pct"/>
                  <w:tcBorders>
                    <w:tl2br w:val="nil"/>
                    <w:tr2bl w:val="nil"/>
                  </w:tcBorders>
                  <w:noWrap w:val="0"/>
                  <w:vAlign w:val="center"/>
                </w:tcPr>
                <w:p w14:paraId="440A2D0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数量</w:t>
                  </w:r>
                </w:p>
              </w:tc>
              <w:tc>
                <w:tcPr>
                  <w:tcW w:w="574" w:type="pct"/>
                  <w:tcBorders>
                    <w:tl2br w:val="nil"/>
                    <w:tr2bl w:val="nil"/>
                  </w:tcBorders>
                  <w:noWrap w:val="0"/>
                  <w:vAlign w:val="center"/>
                </w:tcPr>
                <w:p w14:paraId="098AFD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备注</w:t>
                  </w:r>
                </w:p>
              </w:tc>
            </w:tr>
            <w:tr w14:paraId="47DC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noWrap w:val="0"/>
                  <w:vAlign w:val="center"/>
                </w:tcPr>
                <w:p w14:paraId="0D1DBD56">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14:textFill>
                        <w14:solidFill>
                          <w14:schemeClr w14:val="tx1"/>
                        </w14:solidFill>
                      </w14:textFill>
                    </w:rPr>
                  </w:pPr>
                </w:p>
              </w:tc>
              <w:tc>
                <w:tcPr>
                  <w:tcW w:w="1613" w:type="pct"/>
                  <w:tcBorders>
                    <w:tl2br w:val="nil"/>
                    <w:tr2bl w:val="nil"/>
                  </w:tcBorders>
                  <w:noWrap w:val="0"/>
                  <w:vAlign w:val="center"/>
                </w:tcPr>
                <w:p w14:paraId="00A8411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自卸汽车</w:t>
                  </w:r>
                </w:p>
              </w:tc>
              <w:tc>
                <w:tcPr>
                  <w:tcW w:w="1278" w:type="pct"/>
                  <w:tcBorders>
                    <w:tl2br w:val="nil"/>
                    <w:tr2bl w:val="nil"/>
                  </w:tcBorders>
                  <w:noWrap w:val="0"/>
                  <w:vAlign w:val="center"/>
                </w:tcPr>
                <w:p w14:paraId="3C6E287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德龙F3000</w:t>
                  </w:r>
                </w:p>
              </w:tc>
              <w:tc>
                <w:tcPr>
                  <w:tcW w:w="548" w:type="pct"/>
                  <w:tcBorders>
                    <w:tl2br w:val="nil"/>
                    <w:tr2bl w:val="nil"/>
                  </w:tcBorders>
                  <w:noWrap w:val="0"/>
                  <w:vAlign w:val="center"/>
                </w:tcPr>
                <w:p w14:paraId="7796305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辆</w:t>
                  </w:r>
                </w:p>
              </w:tc>
              <w:tc>
                <w:tcPr>
                  <w:tcW w:w="574" w:type="pct"/>
                  <w:tcBorders>
                    <w:tl2br w:val="nil"/>
                    <w:tr2bl w:val="nil"/>
                  </w:tcBorders>
                  <w:noWrap w:val="0"/>
                  <w:vAlign w:val="center"/>
                </w:tcPr>
                <w:p w14:paraId="4974E30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574" w:type="pct"/>
                  <w:tcBorders>
                    <w:tl2br w:val="nil"/>
                    <w:tr2bl w:val="nil"/>
                  </w:tcBorders>
                  <w:noWrap w:val="0"/>
                  <w:vAlign w:val="center"/>
                </w:tcPr>
                <w:p w14:paraId="59D879F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B45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noWrap w:val="0"/>
                  <w:vAlign w:val="center"/>
                </w:tcPr>
                <w:p w14:paraId="72A2E43B">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noWrap w:val="0"/>
                  <w:vAlign w:val="center"/>
                </w:tcPr>
                <w:p w14:paraId="01C2874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轮式</w:t>
                  </w:r>
                  <w:r>
                    <w:rPr>
                      <w:rFonts w:hint="default" w:ascii="Times New Roman" w:hAnsi="Times New Roman" w:cs="Times New Roman"/>
                      <w:color w:val="000000" w:themeColor="text1"/>
                      <w:highlight w:val="none"/>
                      <w14:textFill>
                        <w14:solidFill>
                          <w14:schemeClr w14:val="tx1"/>
                        </w14:solidFill>
                      </w14:textFill>
                    </w:rPr>
                    <w:t>装载机</w:t>
                  </w:r>
                </w:p>
              </w:tc>
              <w:tc>
                <w:tcPr>
                  <w:tcW w:w="1278" w:type="pct"/>
                  <w:tcBorders>
                    <w:tl2br w:val="nil"/>
                    <w:tr2bl w:val="nil"/>
                  </w:tcBorders>
                  <w:noWrap w:val="0"/>
                  <w:vAlign w:val="center"/>
                </w:tcPr>
                <w:p w14:paraId="3C91C39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ZL-50</w:t>
                  </w:r>
                </w:p>
              </w:tc>
              <w:tc>
                <w:tcPr>
                  <w:tcW w:w="548" w:type="pct"/>
                  <w:tcBorders>
                    <w:tl2br w:val="nil"/>
                    <w:tr2bl w:val="nil"/>
                  </w:tcBorders>
                  <w:noWrap w:val="0"/>
                  <w:vAlign w:val="center"/>
                </w:tcPr>
                <w:p w14:paraId="571F63A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zh-CN"/>
                      <w14:textFill>
                        <w14:solidFill>
                          <w14:schemeClr w14:val="tx1"/>
                        </w14:solidFill>
                      </w14:textFill>
                    </w:rPr>
                    <w:t>台</w:t>
                  </w:r>
                </w:p>
              </w:tc>
              <w:tc>
                <w:tcPr>
                  <w:tcW w:w="574" w:type="pct"/>
                  <w:tcBorders>
                    <w:tl2br w:val="nil"/>
                    <w:tr2bl w:val="nil"/>
                  </w:tcBorders>
                  <w:noWrap w:val="0"/>
                  <w:vAlign w:val="center"/>
                </w:tcPr>
                <w:p w14:paraId="24E3D01A">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574" w:type="pct"/>
                  <w:tcBorders>
                    <w:tl2br w:val="nil"/>
                    <w:tr2bl w:val="nil"/>
                  </w:tcBorders>
                  <w:noWrap w:val="0"/>
                  <w:vAlign w:val="center"/>
                </w:tcPr>
                <w:p w14:paraId="0878CDC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DC4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0005DB7B">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60C6E0CD">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颚式破碎机</w:t>
                  </w:r>
                </w:p>
              </w:tc>
              <w:tc>
                <w:tcPr>
                  <w:tcW w:w="1278" w:type="pct"/>
                  <w:tcBorders>
                    <w:tl2br w:val="nil"/>
                    <w:tr2bl w:val="nil"/>
                  </w:tcBorders>
                  <w:shd w:val="clear" w:color="auto" w:fill="auto"/>
                  <w:noWrap w:val="0"/>
                  <w:vAlign w:val="center"/>
                </w:tcPr>
                <w:p w14:paraId="71C57A4E">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PE600×900</w:t>
                  </w:r>
                </w:p>
              </w:tc>
              <w:tc>
                <w:tcPr>
                  <w:tcW w:w="548" w:type="pct"/>
                  <w:tcBorders>
                    <w:tl2br w:val="nil"/>
                    <w:tr2bl w:val="nil"/>
                  </w:tcBorders>
                  <w:shd w:val="clear" w:color="auto" w:fill="auto"/>
                  <w:noWrap w:val="0"/>
                  <w:vAlign w:val="center"/>
                </w:tcPr>
                <w:p w14:paraId="6B5B31E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620189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5AF4ABD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11F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35D46E5A">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1B01C3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圆锥破碎机</w:t>
                  </w:r>
                </w:p>
              </w:tc>
              <w:tc>
                <w:tcPr>
                  <w:tcW w:w="1278" w:type="pct"/>
                  <w:tcBorders>
                    <w:tl2br w:val="nil"/>
                    <w:tr2bl w:val="nil"/>
                  </w:tcBorders>
                  <w:shd w:val="clear" w:color="auto" w:fill="auto"/>
                  <w:noWrap w:val="0"/>
                  <w:vAlign w:val="center"/>
                </w:tcPr>
                <w:p w14:paraId="534595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PYB1750</w:t>
                  </w:r>
                </w:p>
              </w:tc>
              <w:tc>
                <w:tcPr>
                  <w:tcW w:w="548" w:type="pct"/>
                  <w:tcBorders>
                    <w:tl2br w:val="nil"/>
                    <w:tr2bl w:val="nil"/>
                  </w:tcBorders>
                  <w:shd w:val="clear" w:color="auto" w:fill="auto"/>
                  <w:noWrap w:val="0"/>
                  <w:vAlign w:val="center"/>
                </w:tcPr>
                <w:p w14:paraId="333E46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70F95DE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1186ADD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DEC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202F723A">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69202AAB">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三层振动筛</w:t>
                  </w:r>
                </w:p>
              </w:tc>
              <w:tc>
                <w:tcPr>
                  <w:tcW w:w="1278" w:type="pct"/>
                  <w:tcBorders>
                    <w:tl2br w:val="nil"/>
                    <w:tr2bl w:val="nil"/>
                  </w:tcBorders>
                  <w:shd w:val="clear" w:color="auto" w:fill="auto"/>
                  <w:noWrap w:val="0"/>
                  <w:vAlign w:val="center"/>
                </w:tcPr>
                <w:p w14:paraId="6C831524">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3YK2160</w:t>
                  </w:r>
                </w:p>
              </w:tc>
              <w:tc>
                <w:tcPr>
                  <w:tcW w:w="548" w:type="pct"/>
                  <w:tcBorders>
                    <w:tl2br w:val="nil"/>
                    <w:tr2bl w:val="nil"/>
                  </w:tcBorders>
                  <w:shd w:val="clear" w:color="auto" w:fill="auto"/>
                  <w:noWrap w:val="0"/>
                  <w:vAlign w:val="center"/>
                </w:tcPr>
                <w:p w14:paraId="5601CE9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194ACBB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5944328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002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2499F291">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206385AF">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二层振动筛</w:t>
                  </w:r>
                </w:p>
              </w:tc>
              <w:tc>
                <w:tcPr>
                  <w:tcW w:w="1278" w:type="pct"/>
                  <w:tcBorders>
                    <w:tl2br w:val="nil"/>
                    <w:tr2bl w:val="nil"/>
                  </w:tcBorders>
                  <w:shd w:val="clear" w:color="auto" w:fill="auto"/>
                  <w:noWrap w:val="0"/>
                  <w:vAlign w:val="center"/>
                </w:tcPr>
                <w:p w14:paraId="6490A243">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2YK1860</w:t>
                  </w:r>
                </w:p>
              </w:tc>
              <w:tc>
                <w:tcPr>
                  <w:tcW w:w="548" w:type="pct"/>
                  <w:tcBorders>
                    <w:tl2br w:val="nil"/>
                    <w:tr2bl w:val="nil"/>
                  </w:tcBorders>
                  <w:shd w:val="clear" w:color="auto" w:fill="auto"/>
                  <w:noWrap w:val="0"/>
                  <w:vAlign w:val="center"/>
                </w:tcPr>
                <w:p w14:paraId="0115E54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286355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205529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47D4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77838717">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511185B8">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FY无动力砂石脱粉机</w:t>
                  </w:r>
                </w:p>
              </w:tc>
              <w:tc>
                <w:tcPr>
                  <w:tcW w:w="1278" w:type="pct"/>
                  <w:tcBorders>
                    <w:tl2br w:val="nil"/>
                    <w:tr2bl w:val="nil"/>
                  </w:tcBorders>
                  <w:shd w:val="clear" w:color="auto" w:fill="auto"/>
                  <w:noWrap w:val="0"/>
                  <w:vAlign w:val="center"/>
                </w:tcPr>
                <w:p w14:paraId="2540AA50">
                  <w:pPr>
                    <w:pStyle w:val="16"/>
                    <w:bidi w:val="0"/>
                    <w:rPr>
                      <w:rFonts w:hint="default" w:ascii="Times New Roman" w:hAnsi="Times New Roman" w:cs="Times New Roman"/>
                      <w:color w:val="000000" w:themeColor="text1"/>
                      <w:highlight w:val="none"/>
                      <w:lang w:val="zh-CN"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FY-200型</w:t>
                  </w:r>
                </w:p>
              </w:tc>
              <w:tc>
                <w:tcPr>
                  <w:tcW w:w="548" w:type="pct"/>
                  <w:tcBorders>
                    <w:tl2br w:val="nil"/>
                    <w:tr2bl w:val="nil"/>
                  </w:tcBorders>
                  <w:shd w:val="clear" w:color="auto" w:fill="auto"/>
                  <w:noWrap w:val="0"/>
                  <w:vAlign w:val="center"/>
                </w:tcPr>
                <w:p w14:paraId="1B7E9AF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1FFC1B0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574" w:type="pct"/>
                  <w:tcBorders>
                    <w:tl2br w:val="nil"/>
                    <w:tr2bl w:val="nil"/>
                  </w:tcBorders>
                  <w:noWrap w:val="0"/>
                  <w:vAlign w:val="center"/>
                </w:tcPr>
                <w:p w14:paraId="6F6B409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7788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4B5665C6">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3F6085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DMC500脉冲布袋除尘器</w:t>
                  </w:r>
                </w:p>
              </w:tc>
              <w:tc>
                <w:tcPr>
                  <w:tcW w:w="1278" w:type="pct"/>
                  <w:tcBorders>
                    <w:tl2br w:val="nil"/>
                    <w:tr2bl w:val="nil"/>
                  </w:tcBorders>
                  <w:shd w:val="clear" w:color="auto" w:fill="auto"/>
                  <w:noWrap w:val="0"/>
                  <w:vAlign w:val="center"/>
                </w:tcPr>
                <w:p w14:paraId="28E8FDD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DMC500</w:t>
                  </w:r>
                </w:p>
              </w:tc>
              <w:tc>
                <w:tcPr>
                  <w:tcW w:w="548" w:type="pct"/>
                  <w:tcBorders>
                    <w:tl2br w:val="nil"/>
                    <w:tr2bl w:val="nil"/>
                  </w:tcBorders>
                  <w:shd w:val="clear" w:color="auto" w:fill="auto"/>
                  <w:noWrap w:val="0"/>
                  <w:vAlign w:val="center"/>
                </w:tcPr>
                <w:p w14:paraId="128D071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套</w:t>
                  </w:r>
                </w:p>
              </w:tc>
              <w:tc>
                <w:tcPr>
                  <w:tcW w:w="574" w:type="pct"/>
                  <w:tcBorders>
                    <w:tl2br w:val="nil"/>
                    <w:tr2bl w:val="nil"/>
                  </w:tcBorders>
                  <w:shd w:val="clear" w:color="auto" w:fill="auto"/>
                  <w:noWrap w:val="0"/>
                  <w:vAlign w:val="center"/>
                </w:tcPr>
                <w:p w14:paraId="6F15A8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574" w:type="pct"/>
                  <w:tcBorders>
                    <w:tl2br w:val="nil"/>
                    <w:tr2bl w:val="nil"/>
                  </w:tcBorders>
                  <w:noWrap w:val="0"/>
                  <w:vAlign w:val="center"/>
                </w:tcPr>
                <w:p w14:paraId="4C83585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44F0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5A1F0ADF">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7D4ABCA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DMC700脉冲布袋除尘器</w:t>
                  </w:r>
                </w:p>
              </w:tc>
              <w:tc>
                <w:tcPr>
                  <w:tcW w:w="1278" w:type="pct"/>
                  <w:tcBorders>
                    <w:tl2br w:val="nil"/>
                    <w:tr2bl w:val="nil"/>
                  </w:tcBorders>
                  <w:shd w:val="clear" w:color="auto" w:fill="auto"/>
                  <w:noWrap w:val="0"/>
                  <w:vAlign w:val="center"/>
                </w:tcPr>
                <w:p w14:paraId="2035B0C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DMC700</w:t>
                  </w:r>
                </w:p>
              </w:tc>
              <w:tc>
                <w:tcPr>
                  <w:tcW w:w="548" w:type="pct"/>
                  <w:tcBorders>
                    <w:tl2br w:val="nil"/>
                    <w:tr2bl w:val="nil"/>
                  </w:tcBorders>
                  <w:shd w:val="clear" w:color="auto" w:fill="auto"/>
                  <w:noWrap w:val="0"/>
                  <w:vAlign w:val="center"/>
                </w:tcPr>
                <w:p w14:paraId="2898D8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套</w:t>
                  </w:r>
                </w:p>
              </w:tc>
              <w:tc>
                <w:tcPr>
                  <w:tcW w:w="574" w:type="pct"/>
                  <w:tcBorders>
                    <w:tl2br w:val="nil"/>
                    <w:tr2bl w:val="nil"/>
                  </w:tcBorders>
                  <w:shd w:val="clear" w:color="auto" w:fill="auto"/>
                  <w:noWrap w:val="0"/>
                  <w:vAlign w:val="center"/>
                </w:tcPr>
                <w:p w14:paraId="0095468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0C33AD1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77E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218506B9">
                  <w:pPr>
                    <w:pStyle w:val="16"/>
                    <w:keepNext w:val="0"/>
                    <w:keepLines w:val="0"/>
                    <w:pageBreakBefore w:val="0"/>
                    <w:widowControl w:val="0"/>
                    <w:numPr>
                      <w:ilvl w:val="0"/>
                      <w:numId w:val="2"/>
                    </w:numPr>
                    <w:tabs>
                      <w:tab w:val="clear" w:pos="0"/>
                    </w:tabs>
                    <w:kinsoku/>
                    <w:wordWrap/>
                    <w:overflowPunct/>
                    <w:topLinePunct w:val="0"/>
                    <w:autoSpaceDE w:val="0"/>
                    <w:autoSpaceDN w:val="0"/>
                    <w:bidi w:val="0"/>
                    <w:adjustRightInd w:val="0"/>
                    <w:snapToGrid w:val="0"/>
                    <w:ind w:left="425" w:leftChars="0" w:hanging="425" w:firstLineChars="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140F20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皮带输送机</w:t>
                  </w:r>
                </w:p>
              </w:tc>
              <w:tc>
                <w:tcPr>
                  <w:tcW w:w="1278" w:type="pct"/>
                  <w:tcBorders>
                    <w:tl2br w:val="nil"/>
                    <w:tr2bl w:val="nil"/>
                  </w:tcBorders>
                  <w:shd w:val="clear" w:color="auto" w:fill="auto"/>
                  <w:noWrap w:val="0"/>
                  <w:vAlign w:val="center"/>
                </w:tcPr>
                <w:p w14:paraId="67779F1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定制密封皮带</w:t>
                  </w:r>
                </w:p>
              </w:tc>
              <w:tc>
                <w:tcPr>
                  <w:tcW w:w="548" w:type="pct"/>
                  <w:tcBorders>
                    <w:tl2br w:val="nil"/>
                    <w:tr2bl w:val="nil"/>
                  </w:tcBorders>
                  <w:shd w:val="clear" w:color="auto" w:fill="auto"/>
                  <w:noWrap w:val="0"/>
                  <w:vAlign w:val="center"/>
                </w:tcPr>
                <w:p w14:paraId="3C2FA2F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条</w:t>
                  </w:r>
                </w:p>
              </w:tc>
              <w:tc>
                <w:tcPr>
                  <w:tcW w:w="574" w:type="pct"/>
                  <w:tcBorders>
                    <w:tl2br w:val="nil"/>
                    <w:tr2bl w:val="nil"/>
                  </w:tcBorders>
                  <w:shd w:val="clear" w:color="auto" w:fill="auto"/>
                  <w:noWrap w:val="0"/>
                  <w:vAlign w:val="center"/>
                </w:tcPr>
                <w:p w14:paraId="5CEA04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574" w:type="pct"/>
                  <w:tcBorders>
                    <w:tl2br w:val="nil"/>
                    <w:tr2bl w:val="nil"/>
                  </w:tcBorders>
                  <w:noWrap w:val="0"/>
                  <w:vAlign w:val="center"/>
                </w:tcPr>
                <w:p w14:paraId="751E41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04B6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02A45EC8">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138B19C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全自动雾炮机</w:t>
                  </w:r>
                </w:p>
              </w:tc>
              <w:tc>
                <w:tcPr>
                  <w:tcW w:w="1278" w:type="pct"/>
                  <w:tcBorders>
                    <w:tl2br w:val="nil"/>
                    <w:tr2bl w:val="nil"/>
                  </w:tcBorders>
                  <w:shd w:val="clear" w:color="auto" w:fill="auto"/>
                  <w:noWrap w:val="0"/>
                  <w:vAlign w:val="center"/>
                </w:tcPr>
                <w:p w14:paraId="5AC9279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30m射程</w:t>
                  </w:r>
                </w:p>
              </w:tc>
              <w:tc>
                <w:tcPr>
                  <w:tcW w:w="548" w:type="pct"/>
                  <w:tcBorders>
                    <w:tl2br w:val="nil"/>
                    <w:tr2bl w:val="nil"/>
                  </w:tcBorders>
                  <w:shd w:val="clear" w:color="auto" w:fill="auto"/>
                  <w:noWrap w:val="0"/>
                  <w:vAlign w:val="center"/>
                </w:tcPr>
                <w:p w14:paraId="229EF2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36A1F5A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574" w:type="pct"/>
                  <w:tcBorders>
                    <w:tl2br w:val="nil"/>
                    <w:tr2bl w:val="nil"/>
                  </w:tcBorders>
                  <w:noWrap w:val="0"/>
                  <w:vAlign w:val="center"/>
                </w:tcPr>
                <w:p w14:paraId="3151E2E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6F53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6E1B2800">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0EBBC00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厂区喷淋管网</w:t>
                  </w:r>
                </w:p>
              </w:tc>
              <w:tc>
                <w:tcPr>
                  <w:tcW w:w="1278" w:type="pct"/>
                  <w:tcBorders>
                    <w:tl2br w:val="nil"/>
                    <w:tr2bl w:val="nil"/>
                  </w:tcBorders>
                  <w:shd w:val="clear" w:color="auto" w:fill="auto"/>
                  <w:noWrap w:val="0"/>
                  <w:vAlign w:val="center"/>
                </w:tcPr>
                <w:p w14:paraId="6852F7A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全覆盖管道系统</w:t>
                  </w:r>
                </w:p>
              </w:tc>
              <w:tc>
                <w:tcPr>
                  <w:tcW w:w="548" w:type="pct"/>
                  <w:tcBorders>
                    <w:tl2br w:val="nil"/>
                    <w:tr2bl w:val="nil"/>
                  </w:tcBorders>
                  <w:shd w:val="clear" w:color="auto" w:fill="auto"/>
                  <w:noWrap w:val="0"/>
                  <w:vAlign w:val="center"/>
                </w:tcPr>
                <w:p w14:paraId="5474BF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套</w:t>
                  </w:r>
                </w:p>
              </w:tc>
              <w:tc>
                <w:tcPr>
                  <w:tcW w:w="574" w:type="pct"/>
                  <w:tcBorders>
                    <w:tl2br w:val="nil"/>
                    <w:tr2bl w:val="nil"/>
                  </w:tcBorders>
                  <w:shd w:val="clear" w:color="auto" w:fill="auto"/>
                  <w:noWrap w:val="0"/>
                  <w:vAlign w:val="center"/>
                </w:tcPr>
                <w:p w14:paraId="00B272F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294A47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FD1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779A9ED9">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2A8B58C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车辆冲洗平台</w:t>
                  </w:r>
                </w:p>
              </w:tc>
              <w:tc>
                <w:tcPr>
                  <w:tcW w:w="1278" w:type="pct"/>
                  <w:tcBorders>
                    <w:tl2br w:val="nil"/>
                    <w:tr2bl w:val="nil"/>
                  </w:tcBorders>
                  <w:shd w:val="clear" w:color="auto" w:fill="auto"/>
                  <w:noWrap w:val="0"/>
                  <w:vAlign w:val="center"/>
                </w:tcPr>
                <w:p w14:paraId="0A0E65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全自动洗车台</w:t>
                  </w:r>
                </w:p>
              </w:tc>
              <w:tc>
                <w:tcPr>
                  <w:tcW w:w="548" w:type="pct"/>
                  <w:tcBorders>
                    <w:tl2br w:val="nil"/>
                    <w:tr2bl w:val="nil"/>
                  </w:tcBorders>
                  <w:shd w:val="clear" w:color="auto" w:fill="auto"/>
                  <w:noWrap w:val="0"/>
                  <w:vAlign w:val="center"/>
                </w:tcPr>
                <w:p w14:paraId="605DAFA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套</w:t>
                  </w:r>
                </w:p>
              </w:tc>
              <w:tc>
                <w:tcPr>
                  <w:tcW w:w="574" w:type="pct"/>
                  <w:tcBorders>
                    <w:tl2br w:val="nil"/>
                    <w:tr2bl w:val="nil"/>
                  </w:tcBorders>
                  <w:shd w:val="clear" w:color="auto" w:fill="auto"/>
                  <w:noWrap w:val="0"/>
                  <w:vAlign w:val="center"/>
                </w:tcPr>
                <w:p w14:paraId="6EDF437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423B47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57D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2F0B9DBF">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677A9EB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螺杆空压机</w:t>
                  </w:r>
                </w:p>
              </w:tc>
              <w:tc>
                <w:tcPr>
                  <w:tcW w:w="1278" w:type="pct"/>
                  <w:tcBorders>
                    <w:tl2br w:val="nil"/>
                    <w:tr2bl w:val="nil"/>
                  </w:tcBorders>
                  <w:shd w:val="clear" w:color="auto" w:fill="auto"/>
                  <w:noWrap w:val="0"/>
                  <w:vAlign w:val="center"/>
                </w:tcPr>
                <w:p w14:paraId="0A6E720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2.5~3.0m³/min</w:t>
                  </w:r>
                </w:p>
              </w:tc>
              <w:tc>
                <w:tcPr>
                  <w:tcW w:w="548" w:type="pct"/>
                  <w:tcBorders>
                    <w:tl2br w:val="nil"/>
                    <w:tr2bl w:val="nil"/>
                  </w:tcBorders>
                  <w:shd w:val="clear" w:color="auto" w:fill="auto"/>
                  <w:noWrap w:val="0"/>
                  <w:vAlign w:val="center"/>
                </w:tcPr>
                <w:p w14:paraId="378D4C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3B7CBB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78B4571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40C6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4458B8FC">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29E8807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柴油应急发电机</w:t>
                  </w:r>
                </w:p>
              </w:tc>
              <w:tc>
                <w:tcPr>
                  <w:tcW w:w="1278" w:type="pct"/>
                  <w:tcBorders>
                    <w:tl2br w:val="nil"/>
                    <w:tr2bl w:val="nil"/>
                  </w:tcBorders>
                  <w:shd w:val="clear" w:color="auto" w:fill="auto"/>
                  <w:noWrap w:val="0"/>
                  <w:vAlign w:val="center"/>
                </w:tcPr>
                <w:p w14:paraId="72D7AA8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120kW</w:t>
                  </w:r>
                </w:p>
              </w:tc>
              <w:tc>
                <w:tcPr>
                  <w:tcW w:w="548" w:type="pct"/>
                  <w:tcBorders>
                    <w:tl2br w:val="nil"/>
                    <w:tr2bl w:val="nil"/>
                  </w:tcBorders>
                  <w:shd w:val="clear" w:color="auto" w:fill="auto"/>
                  <w:noWrap w:val="0"/>
                  <w:vAlign w:val="center"/>
                </w:tcPr>
                <w:p w14:paraId="653A40B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49E863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763D6B3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580D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9" w:type="pct"/>
                  <w:tcBorders>
                    <w:tl2br w:val="nil"/>
                    <w:tr2bl w:val="nil"/>
                  </w:tcBorders>
                  <w:shd w:val="clear" w:color="auto" w:fill="auto"/>
                  <w:noWrap w:val="0"/>
                  <w:vAlign w:val="center"/>
                </w:tcPr>
                <w:p w14:paraId="592538AD">
                  <w:pPr>
                    <w:pStyle w:val="16"/>
                    <w:numPr>
                      <w:ilvl w:val="0"/>
                      <w:numId w:val="2"/>
                    </w:numPr>
                    <w:tabs>
                      <w:tab w:val="clear" w:pos="0"/>
                    </w:tabs>
                    <w:bidi w:val="0"/>
                    <w:ind w:left="425" w:leftChars="0" w:hanging="425"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613" w:type="pct"/>
                  <w:tcBorders>
                    <w:tl2br w:val="nil"/>
                    <w:tr2bl w:val="nil"/>
                  </w:tcBorders>
                  <w:shd w:val="clear" w:color="auto" w:fill="auto"/>
                  <w:noWrap w:val="0"/>
                  <w:vAlign w:val="center"/>
                </w:tcPr>
                <w:p w14:paraId="45F8F83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中转料仓</w:t>
                  </w:r>
                </w:p>
              </w:tc>
              <w:tc>
                <w:tcPr>
                  <w:tcW w:w="1278" w:type="pct"/>
                  <w:tcBorders>
                    <w:tl2br w:val="nil"/>
                    <w:tr2bl w:val="nil"/>
                  </w:tcBorders>
                  <w:shd w:val="clear" w:color="auto" w:fill="auto"/>
                  <w:noWrap w:val="0"/>
                  <w:vAlign w:val="center"/>
                </w:tcPr>
                <w:p w14:paraId="3EFA84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48" w:type="pct"/>
                  <w:tcBorders>
                    <w:tl2br w:val="nil"/>
                    <w:tr2bl w:val="nil"/>
                  </w:tcBorders>
                  <w:shd w:val="clear" w:color="auto" w:fill="auto"/>
                  <w:noWrap w:val="0"/>
                  <w:vAlign w:val="center"/>
                </w:tcPr>
                <w:p w14:paraId="5F8E7B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台</w:t>
                  </w:r>
                </w:p>
              </w:tc>
              <w:tc>
                <w:tcPr>
                  <w:tcW w:w="574" w:type="pct"/>
                  <w:tcBorders>
                    <w:tl2br w:val="nil"/>
                    <w:tr2bl w:val="nil"/>
                  </w:tcBorders>
                  <w:shd w:val="clear" w:color="auto" w:fill="auto"/>
                  <w:noWrap w:val="0"/>
                  <w:vAlign w:val="center"/>
                </w:tcPr>
                <w:p w14:paraId="684D55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4" w:type="pct"/>
                  <w:tcBorders>
                    <w:tl2br w:val="nil"/>
                    <w:tr2bl w:val="nil"/>
                  </w:tcBorders>
                  <w:noWrap w:val="0"/>
                  <w:vAlign w:val="center"/>
                </w:tcPr>
                <w:p w14:paraId="7F0F356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bl>
          <w:p w14:paraId="19909D1E">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2.2主要产品及产能</w:t>
            </w:r>
          </w:p>
          <w:p w14:paraId="76258F54">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产品方案见表</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p>
          <w:p w14:paraId="55B8D90D">
            <w:pPr>
              <w:pStyle w:val="18"/>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.2-1</w:t>
            </w:r>
            <w:r>
              <w:rPr>
                <w:rFonts w:hint="default" w:ascii="Times New Roman" w:hAnsi="Times New Roman" w:cs="Times New Roman"/>
                <w:color w:val="000000" w:themeColor="text1"/>
                <w:highlight w:val="none"/>
                <w14:textFill>
                  <w14:solidFill>
                    <w14:schemeClr w14:val="tx1"/>
                  </w14:solidFill>
                </w14:textFill>
              </w:rPr>
              <w:t xml:space="preserve">  项目主要产品一览表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3"/>
              <w:gridCol w:w="1013"/>
              <w:gridCol w:w="672"/>
              <w:gridCol w:w="1904"/>
              <w:gridCol w:w="2101"/>
            </w:tblGrid>
            <w:tr w14:paraId="7C8B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0" w:type="pct"/>
                  <w:vMerge w:val="restart"/>
                  <w:tcBorders>
                    <w:tl2br w:val="nil"/>
                    <w:tr2bl w:val="nil"/>
                  </w:tcBorders>
                  <w:noWrap w:val="0"/>
                  <w:vAlign w:val="center"/>
                </w:tcPr>
                <w:p w14:paraId="295C4DC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产品种类</w:t>
                  </w:r>
                </w:p>
              </w:tc>
              <w:tc>
                <w:tcPr>
                  <w:tcW w:w="612" w:type="pct"/>
                  <w:vMerge w:val="restart"/>
                  <w:tcBorders>
                    <w:tl2br w:val="nil"/>
                    <w:tr2bl w:val="nil"/>
                  </w:tcBorders>
                  <w:noWrap w:val="0"/>
                  <w:vAlign w:val="center"/>
                </w:tcPr>
                <w:p w14:paraId="60AA195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主要生产单元</w:t>
                  </w:r>
                </w:p>
              </w:tc>
              <w:tc>
                <w:tcPr>
                  <w:tcW w:w="406" w:type="pct"/>
                  <w:vMerge w:val="restart"/>
                  <w:tcBorders>
                    <w:tl2br w:val="nil"/>
                    <w:tr2bl w:val="nil"/>
                  </w:tcBorders>
                  <w:noWrap w:val="0"/>
                  <w:vAlign w:val="center"/>
                </w:tcPr>
                <w:p w14:paraId="00720C6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主要工艺</w:t>
                  </w:r>
                </w:p>
              </w:tc>
              <w:tc>
                <w:tcPr>
                  <w:tcW w:w="1150" w:type="pct"/>
                  <w:tcBorders>
                    <w:tl2br w:val="nil"/>
                    <w:tr2bl w:val="nil"/>
                  </w:tcBorders>
                  <w:noWrap w:val="0"/>
                  <w:vAlign w:val="center"/>
                </w:tcPr>
                <w:p w14:paraId="710E65C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产能</w:t>
                  </w:r>
                </w:p>
              </w:tc>
              <w:tc>
                <w:tcPr>
                  <w:tcW w:w="1269" w:type="pct"/>
                  <w:vMerge w:val="restart"/>
                  <w:tcBorders>
                    <w:tl2br w:val="nil"/>
                    <w:tr2bl w:val="nil"/>
                  </w:tcBorders>
                  <w:noWrap w:val="0"/>
                  <w:vAlign w:val="center"/>
                </w:tcPr>
                <w:p w14:paraId="43C41C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产品质量标准</w:t>
                  </w:r>
                </w:p>
              </w:tc>
            </w:tr>
            <w:tr w14:paraId="5160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0" w:type="pct"/>
                  <w:vMerge w:val="continue"/>
                  <w:tcBorders>
                    <w:tl2br w:val="nil"/>
                    <w:tr2bl w:val="nil"/>
                  </w:tcBorders>
                  <w:noWrap w:val="0"/>
                  <w:vAlign w:val="center"/>
                </w:tcPr>
                <w:p w14:paraId="2EA0499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12" w:type="pct"/>
                  <w:vMerge w:val="continue"/>
                  <w:tcBorders>
                    <w:tl2br w:val="nil"/>
                    <w:tr2bl w:val="nil"/>
                  </w:tcBorders>
                  <w:noWrap w:val="0"/>
                  <w:vAlign w:val="center"/>
                </w:tcPr>
                <w:p w14:paraId="370A76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06" w:type="pct"/>
                  <w:vMerge w:val="continue"/>
                  <w:tcBorders>
                    <w:tl2br w:val="nil"/>
                    <w:tr2bl w:val="nil"/>
                  </w:tcBorders>
                  <w:noWrap w:val="0"/>
                  <w:vAlign w:val="center"/>
                </w:tcPr>
                <w:p w14:paraId="01C8B79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150" w:type="pct"/>
                  <w:tcBorders>
                    <w:tl2br w:val="nil"/>
                    <w:tr2bl w:val="nil"/>
                  </w:tcBorders>
                  <w:noWrap w:val="0"/>
                  <w:vAlign w:val="center"/>
                </w:tcPr>
                <w:p w14:paraId="23FFDA23">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万t/a</w:t>
                  </w:r>
                </w:p>
              </w:tc>
              <w:tc>
                <w:tcPr>
                  <w:tcW w:w="1269" w:type="pct"/>
                  <w:vMerge w:val="continue"/>
                  <w:tcBorders>
                    <w:tl2br w:val="nil"/>
                    <w:tr2bl w:val="nil"/>
                  </w:tcBorders>
                  <w:noWrap w:val="0"/>
                  <w:vAlign w:val="center"/>
                </w:tcPr>
                <w:p w14:paraId="5D4DC451">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39BA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0" w:type="pct"/>
                  <w:tcBorders>
                    <w:tl2br w:val="nil"/>
                    <w:tr2bl w:val="nil"/>
                  </w:tcBorders>
                  <w:noWrap w:val="0"/>
                  <w:vAlign w:val="center"/>
                </w:tcPr>
                <w:p w14:paraId="488B988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碎石（10</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30</w:t>
                  </w:r>
                  <w:r>
                    <w:rPr>
                      <w:rFonts w:hint="default" w:ascii="Times New Roman" w:hAnsi="Times New Roman" w:cs="Times New Roman"/>
                      <w:color w:val="000000" w:themeColor="text1"/>
                      <w:highlight w:val="none"/>
                      <w:lang w:eastAsia="zh-CN"/>
                      <w14:textFill>
                        <w14:solidFill>
                          <w14:schemeClr w14:val="tx1"/>
                        </w14:solidFill>
                      </w14:textFill>
                    </w:rPr>
                    <w:t>mm</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12" w:type="pct"/>
                  <w:vMerge w:val="restart"/>
                  <w:tcBorders>
                    <w:tl2br w:val="nil"/>
                    <w:tr2bl w:val="nil"/>
                  </w:tcBorders>
                  <w:noWrap w:val="0"/>
                  <w:vAlign w:val="center"/>
                </w:tcPr>
                <w:p w14:paraId="55517175">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破碎、筛分</w:t>
                  </w:r>
                </w:p>
              </w:tc>
              <w:tc>
                <w:tcPr>
                  <w:tcW w:w="406" w:type="pct"/>
                  <w:vMerge w:val="restart"/>
                  <w:tcBorders>
                    <w:tl2br w:val="nil"/>
                    <w:tr2bl w:val="nil"/>
                  </w:tcBorders>
                  <w:noWrap w:val="0"/>
                  <w:vAlign w:val="center"/>
                </w:tcPr>
                <w:p w14:paraId="172C049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破碎</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筛分</w:t>
                  </w:r>
                </w:p>
              </w:tc>
              <w:tc>
                <w:tcPr>
                  <w:tcW w:w="1150" w:type="pct"/>
                  <w:vMerge w:val="restart"/>
                  <w:tcBorders>
                    <w:tl2br w:val="nil"/>
                    <w:tr2bl w:val="nil"/>
                  </w:tcBorders>
                  <w:noWrap w:val="0"/>
                  <w:vAlign w:val="center"/>
                </w:tcPr>
                <w:p w14:paraId="32A31A8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4.6</w:t>
                  </w:r>
                </w:p>
              </w:tc>
              <w:tc>
                <w:tcPr>
                  <w:tcW w:w="1269" w:type="pct"/>
                  <w:vMerge w:val="restart"/>
                  <w:tcBorders>
                    <w:tl2br w:val="nil"/>
                    <w:tr2bl w:val="nil"/>
                  </w:tcBorders>
                  <w:noWrap w:val="0"/>
                  <w:vAlign w:val="center"/>
                </w:tcPr>
                <w:p w14:paraId="5DEEDD9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《建设用砂》（GB/T14684-2022）</w:t>
                  </w:r>
                </w:p>
              </w:tc>
            </w:tr>
            <w:tr w14:paraId="266C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0" w:type="pct"/>
                  <w:tcBorders>
                    <w:tl2br w:val="nil"/>
                    <w:tr2bl w:val="nil"/>
                  </w:tcBorders>
                  <w:noWrap w:val="0"/>
                  <w:vAlign w:val="center"/>
                </w:tcPr>
                <w:p w14:paraId="7BFF041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细碎石</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lang w:eastAsia="zh-CN"/>
                      <w14:textFill>
                        <w14:solidFill>
                          <w14:schemeClr w14:val="tx1"/>
                        </w14:solidFill>
                      </w14:textFill>
                    </w:rPr>
                    <w:t>mm）</w:t>
                  </w:r>
                </w:p>
              </w:tc>
              <w:tc>
                <w:tcPr>
                  <w:tcW w:w="612" w:type="pct"/>
                  <w:vMerge w:val="continue"/>
                  <w:tcBorders>
                    <w:tl2br w:val="nil"/>
                    <w:tr2bl w:val="nil"/>
                  </w:tcBorders>
                  <w:noWrap w:val="0"/>
                  <w:vAlign w:val="center"/>
                </w:tcPr>
                <w:p w14:paraId="6A296EA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406" w:type="pct"/>
                  <w:vMerge w:val="continue"/>
                  <w:tcBorders>
                    <w:tl2br w:val="nil"/>
                    <w:tr2bl w:val="nil"/>
                  </w:tcBorders>
                  <w:noWrap w:val="0"/>
                  <w:vAlign w:val="center"/>
                </w:tcPr>
                <w:p w14:paraId="0D14D8C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150" w:type="pct"/>
                  <w:vMerge w:val="continue"/>
                  <w:tcBorders>
                    <w:tl2br w:val="nil"/>
                    <w:tr2bl w:val="nil"/>
                  </w:tcBorders>
                  <w:noWrap w:val="0"/>
                  <w:vAlign w:val="center"/>
                </w:tcPr>
                <w:p w14:paraId="0C1192B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269" w:type="pct"/>
                  <w:vMerge w:val="continue"/>
                  <w:tcBorders>
                    <w:tl2br w:val="nil"/>
                    <w:tr2bl w:val="nil"/>
                  </w:tcBorders>
                  <w:noWrap w:val="0"/>
                  <w:vAlign w:val="center"/>
                </w:tcPr>
                <w:p w14:paraId="2392E6E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919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0" w:type="pct"/>
                  <w:tcBorders>
                    <w:tl2br w:val="nil"/>
                    <w:tr2bl w:val="nil"/>
                  </w:tcBorders>
                  <w:noWrap w:val="0"/>
                  <w:vAlign w:val="center"/>
                </w:tcPr>
                <w:p w14:paraId="3EC0AF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机制砂</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eastAsia="zh-CN"/>
                      <w14:textFill>
                        <w14:solidFill>
                          <w14:schemeClr w14:val="tx1"/>
                        </w14:solidFill>
                      </w14:textFill>
                    </w:rPr>
                    <w:t>mm）</w:t>
                  </w:r>
                </w:p>
              </w:tc>
              <w:tc>
                <w:tcPr>
                  <w:tcW w:w="612" w:type="pct"/>
                  <w:vMerge w:val="continue"/>
                  <w:tcBorders>
                    <w:tl2br w:val="nil"/>
                    <w:tr2bl w:val="nil"/>
                  </w:tcBorders>
                  <w:noWrap w:val="0"/>
                  <w:vAlign w:val="center"/>
                </w:tcPr>
                <w:p w14:paraId="3887F81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406" w:type="pct"/>
                  <w:vMerge w:val="continue"/>
                  <w:tcBorders>
                    <w:tl2br w:val="nil"/>
                    <w:tr2bl w:val="nil"/>
                  </w:tcBorders>
                  <w:noWrap w:val="0"/>
                  <w:vAlign w:val="center"/>
                </w:tcPr>
                <w:p w14:paraId="3819F6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150" w:type="pct"/>
                  <w:vMerge w:val="continue"/>
                  <w:tcBorders>
                    <w:tl2br w:val="nil"/>
                    <w:tr2bl w:val="nil"/>
                  </w:tcBorders>
                  <w:noWrap w:val="0"/>
                  <w:vAlign w:val="center"/>
                </w:tcPr>
                <w:p w14:paraId="70AD16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269" w:type="pct"/>
                  <w:vMerge w:val="continue"/>
                  <w:tcBorders>
                    <w:tl2br w:val="nil"/>
                    <w:tr2bl w:val="nil"/>
                  </w:tcBorders>
                  <w:noWrap w:val="0"/>
                  <w:vAlign w:val="center"/>
                </w:tcPr>
                <w:p w14:paraId="3129B8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bl>
          <w:p w14:paraId="6B6F5EAF">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2.3</w:t>
            </w:r>
            <w:r>
              <w:rPr>
                <w:rFonts w:hint="default" w:ascii="Times New Roman" w:hAnsi="Times New Roman" w:cs="Times New Roman"/>
                <w:color w:val="000000" w:themeColor="text1"/>
                <w:highlight w:val="none"/>
                <w:lang w:val="en-US" w:eastAsia="zh-CN"/>
                <w14:textFill>
                  <w14:solidFill>
                    <w14:schemeClr w14:val="tx1"/>
                  </w14:solidFill>
                </w14:textFill>
              </w:rPr>
              <w:t>主要原辅材料、能源</w:t>
            </w:r>
          </w:p>
          <w:p w14:paraId="7D41C082">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本项目产品为</w:t>
            </w:r>
            <w:r>
              <w:rPr>
                <w:rFonts w:hint="default" w:ascii="Times New Roman" w:hAnsi="Times New Roman" w:cs="Times New Roman"/>
                <w:color w:val="000000" w:themeColor="text1"/>
                <w:highlight w:val="none"/>
                <w:lang w:val="en-US" w:eastAsia="zh-CN"/>
                <w14:textFill>
                  <w14:solidFill>
                    <w14:schemeClr w14:val="tx1"/>
                  </w14:solidFill>
                </w14:textFill>
              </w:rPr>
              <w:t>砂石料</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所用</w:t>
            </w:r>
            <w:r>
              <w:rPr>
                <w:rFonts w:hint="default" w:ascii="Times New Roman" w:hAnsi="Times New Roman" w:cs="Times New Roman"/>
                <w:color w:val="000000" w:themeColor="text1"/>
                <w:highlight w:val="none"/>
                <w14:textFill>
                  <w14:solidFill>
                    <w14:schemeClr w14:val="tx1"/>
                  </w14:solidFill>
                </w14:textFill>
              </w:rPr>
              <w:t>原辅材料情况见下表</w:t>
            </w:r>
            <w:r>
              <w:rPr>
                <w:rFonts w:hint="default" w:ascii="Times New Roman" w:hAnsi="Times New Roman" w:cs="Times New Roman"/>
                <w:color w:val="000000" w:themeColor="text1"/>
                <w:highlight w:val="none"/>
                <w:lang w:val="en-US" w:eastAsia="zh-CN"/>
                <w14:textFill>
                  <w14:solidFill>
                    <w14:schemeClr w14:val="tx1"/>
                  </w14:solidFill>
                </w14:textFill>
              </w:rPr>
              <w:t>2.3-1</w:t>
            </w:r>
            <w:r>
              <w:rPr>
                <w:rFonts w:hint="default" w:ascii="Times New Roman" w:hAnsi="Times New Roman" w:cs="Times New Roman"/>
                <w:color w:val="000000" w:themeColor="text1"/>
                <w:highlight w:val="none"/>
                <w14:textFill>
                  <w14:solidFill>
                    <w14:schemeClr w14:val="tx1"/>
                  </w14:solidFill>
                </w14:textFill>
              </w:rPr>
              <w:t>。</w:t>
            </w:r>
          </w:p>
          <w:p w14:paraId="27194537">
            <w:pPr>
              <w:pStyle w:val="18"/>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 xml:space="preserve">  主要原辅料</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能源</w:t>
            </w:r>
            <w:r>
              <w:rPr>
                <w:rFonts w:hint="default" w:ascii="Times New Roman" w:hAnsi="Times New Roman" w:cs="Times New Roman"/>
                <w:color w:val="000000" w:themeColor="text1"/>
                <w:highlight w:val="none"/>
                <w14:textFill>
                  <w14:solidFill>
                    <w14:schemeClr w14:val="tx1"/>
                  </w14:solidFill>
                </w14:textFill>
              </w:rPr>
              <w:t>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962"/>
              <w:gridCol w:w="1013"/>
              <w:gridCol w:w="966"/>
              <w:gridCol w:w="1088"/>
              <w:gridCol w:w="2854"/>
              <w:gridCol w:w="753"/>
            </w:tblGrid>
            <w:tr w14:paraId="1731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dxa"/>
                  <w:tcBorders>
                    <w:tl2br w:val="nil"/>
                    <w:tr2bl w:val="nil"/>
                  </w:tcBorders>
                  <w:vAlign w:val="center"/>
                </w:tcPr>
                <w:p w14:paraId="428120A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序号</w:t>
                  </w:r>
                </w:p>
              </w:tc>
              <w:tc>
                <w:tcPr>
                  <w:tcW w:w="962" w:type="dxa"/>
                  <w:tcBorders>
                    <w:tl2br w:val="nil"/>
                    <w:tr2bl w:val="nil"/>
                  </w:tcBorders>
                  <w:vAlign w:val="center"/>
                </w:tcPr>
                <w:p w14:paraId="2D72EA0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1013" w:type="dxa"/>
                  <w:tcBorders>
                    <w:tl2br w:val="nil"/>
                    <w:tr2bl w:val="nil"/>
                  </w:tcBorders>
                  <w:vAlign w:val="center"/>
                </w:tcPr>
                <w:p w14:paraId="2FEF439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消耗量</w:t>
                  </w:r>
                </w:p>
              </w:tc>
              <w:tc>
                <w:tcPr>
                  <w:tcW w:w="966" w:type="dxa"/>
                  <w:tcBorders>
                    <w:tl2br w:val="nil"/>
                    <w:tr2bl w:val="nil"/>
                  </w:tcBorders>
                  <w:vAlign w:val="center"/>
                </w:tcPr>
                <w:p w14:paraId="0A69539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单位</w:t>
                  </w:r>
                </w:p>
              </w:tc>
              <w:tc>
                <w:tcPr>
                  <w:tcW w:w="1088" w:type="dxa"/>
                  <w:tcBorders>
                    <w:tl2br w:val="nil"/>
                    <w:tr2bl w:val="nil"/>
                  </w:tcBorders>
                  <w:vAlign w:val="center"/>
                </w:tcPr>
                <w:p w14:paraId="7EC864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型号规格</w:t>
                  </w:r>
                </w:p>
              </w:tc>
              <w:tc>
                <w:tcPr>
                  <w:tcW w:w="2854" w:type="dxa"/>
                  <w:tcBorders>
                    <w:tl2br w:val="nil"/>
                    <w:tr2bl w:val="nil"/>
                  </w:tcBorders>
                  <w:vAlign w:val="center"/>
                </w:tcPr>
                <w:p w14:paraId="23A0DD0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来源</w:t>
                  </w:r>
                </w:p>
              </w:tc>
              <w:tc>
                <w:tcPr>
                  <w:tcW w:w="753" w:type="dxa"/>
                  <w:tcBorders>
                    <w:tl2br w:val="nil"/>
                    <w:tr2bl w:val="nil"/>
                  </w:tcBorders>
                  <w:vAlign w:val="center"/>
                </w:tcPr>
                <w:p w14:paraId="781EAB8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备注</w:t>
                  </w:r>
                </w:p>
              </w:tc>
            </w:tr>
            <w:tr w14:paraId="6AB6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37" w:type="dxa"/>
                  <w:tcBorders>
                    <w:tl2br w:val="nil"/>
                    <w:tr2bl w:val="nil"/>
                  </w:tcBorders>
                  <w:vAlign w:val="center"/>
                </w:tcPr>
                <w:p w14:paraId="1879DB2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p>
              </w:tc>
              <w:tc>
                <w:tcPr>
                  <w:tcW w:w="962" w:type="dxa"/>
                  <w:tcBorders>
                    <w:tl2br w:val="nil"/>
                    <w:tr2bl w:val="nil"/>
                  </w:tcBorders>
                  <w:vAlign w:val="center"/>
                </w:tcPr>
                <w:p w14:paraId="70EB02C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废石</w:t>
                  </w:r>
                </w:p>
              </w:tc>
              <w:tc>
                <w:tcPr>
                  <w:tcW w:w="1013" w:type="dxa"/>
                  <w:tcBorders>
                    <w:tl2br w:val="nil"/>
                    <w:tr2bl w:val="nil"/>
                  </w:tcBorders>
                  <w:vAlign w:val="center"/>
                </w:tcPr>
                <w:p w14:paraId="4F2D76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6.57万</w:t>
                  </w:r>
                </w:p>
              </w:tc>
              <w:tc>
                <w:tcPr>
                  <w:tcW w:w="966" w:type="dxa"/>
                  <w:tcBorders>
                    <w:tl2br w:val="nil"/>
                    <w:tr2bl w:val="nil"/>
                  </w:tcBorders>
                  <w:vAlign w:val="center"/>
                </w:tcPr>
                <w:p w14:paraId="34491D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t/a</w:t>
                  </w:r>
                </w:p>
              </w:tc>
              <w:tc>
                <w:tcPr>
                  <w:tcW w:w="1088" w:type="dxa"/>
                  <w:tcBorders>
                    <w:tl2br w:val="nil"/>
                    <w:tr2bl w:val="nil"/>
                  </w:tcBorders>
                  <w:vAlign w:val="center"/>
                </w:tcPr>
                <w:p w14:paraId="4019E16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854" w:type="dxa"/>
                  <w:tcBorders>
                    <w:tl2br w:val="nil"/>
                    <w:tr2bl w:val="nil"/>
                  </w:tcBorders>
                  <w:vAlign w:val="center"/>
                </w:tcPr>
                <w:p w14:paraId="5B29D0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伊宁至阿克苏铁路在施工过程中产生隧道废石</w:t>
                  </w:r>
                </w:p>
              </w:tc>
              <w:tc>
                <w:tcPr>
                  <w:tcW w:w="753" w:type="dxa"/>
                  <w:tcBorders>
                    <w:tl2br w:val="nil"/>
                    <w:tr2bl w:val="nil"/>
                  </w:tcBorders>
                  <w:vAlign w:val="center"/>
                </w:tcPr>
                <w:p w14:paraId="44CF1D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788E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37" w:type="dxa"/>
                  <w:tcBorders>
                    <w:tl2br w:val="nil"/>
                    <w:tr2bl w:val="nil"/>
                  </w:tcBorders>
                  <w:vAlign w:val="center"/>
                </w:tcPr>
                <w:p w14:paraId="4209F70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962" w:type="dxa"/>
                  <w:tcBorders>
                    <w:tl2br w:val="nil"/>
                    <w:tr2bl w:val="nil"/>
                  </w:tcBorders>
                  <w:vAlign w:val="center"/>
                </w:tcPr>
                <w:p w14:paraId="3C85E33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水</w:t>
                  </w:r>
                </w:p>
              </w:tc>
              <w:tc>
                <w:tcPr>
                  <w:tcW w:w="1013" w:type="dxa"/>
                  <w:tcBorders>
                    <w:tl2br w:val="nil"/>
                    <w:tr2bl w:val="nil"/>
                  </w:tcBorders>
                  <w:vAlign w:val="center"/>
                </w:tcPr>
                <w:p w14:paraId="1A0A9B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2726.4</w:t>
                  </w:r>
                </w:p>
              </w:tc>
              <w:tc>
                <w:tcPr>
                  <w:tcW w:w="966" w:type="dxa"/>
                  <w:tcBorders>
                    <w:tl2br w:val="nil"/>
                    <w:tr2bl w:val="nil"/>
                  </w:tcBorders>
                  <w:vAlign w:val="center"/>
                </w:tcPr>
                <w:p w14:paraId="7D28F73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p>
              </w:tc>
              <w:tc>
                <w:tcPr>
                  <w:tcW w:w="1088" w:type="dxa"/>
                  <w:tcBorders>
                    <w:tl2br w:val="nil"/>
                    <w:tr2bl w:val="nil"/>
                  </w:tcBorders>
                  <w:vAlign w:val="center"/>
                </w:tcPr>
                <w:p w14:paraId="3364BD2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854" w:type="dxa"/>
                  <w:tcBorders>
                    <w:tl2br w:val="nil"/>
                    <w:tr2bl w:val="nil"/>
                  </w:tcBorders>
                  <w:shd w:val="clear" w:color="auto" w:fill="auto"/>
                  <w:vAlign w:val="center"/>
                </w:tcPr>
                <w:p w14:paraId="1BB5FDA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拉运</w:t>
                  </w:r>
                </w:p>
              </w:tc>
              <w:tc>
                <w:tcPr>
                  <w:tcW w:w="753" w:type="dxa"/>
                  <w:tcBorders>
                    <w:tl2br w:val="nil"/>
                    <w:tr2bl w:val="nil"/>
                  </w:tcBorders>
                  <w:vAlign w:val="center"/>
                </w:tcPr>
                <w:p w14:paraId="1A0F2F5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C6B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37" w:type="dxa"/>
                  <w:tcBorders>
                    <w:tl2br w:val="nil"/>
                    <w:tr2bl w:val="nil"/>
                  </w:tcBorders>
                  <w:vAlign w:val="center"/>
                </w:tcPr>
                <w:p w14:paraId="172A8F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962" w:type="dxa"/>
                  <w:tcBorders>
                    <w:tl2br w:val="nil"/>
                    <w:tr2bl w:val="nil"/>
                  </w:tcBorders>
                  <w:vAlign w:val="center"/>
                </w:tcPr>
                <w:p w14:paraId="0FB27AD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电</w:t>
                  </w:r>
                </w:p>
              </w:tc>
              <w:tc>
                <w:tcPr>
                  <w:tcW w:w="1013" w:type="dxa"/>
                  <w:tcBorders>
                    <w:tl2br w:val="nil"/>
                    <w:tr2bl w:val="nil"/>
                  </w:tcBorders>
                  <w:vAlign w:val="center"/>
                </w:tcPr>
                <w:p w14:paraId="42176AE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31.2万</w:t>
                  </w:r>
                </w:p>
              </w:tc>
              <w:tc>
                <w:tcPr>
                  <w:tcW w:w="966" w:type="dxa"/>
                  <w:tcBorders>
                    <w:tl2br w:val="nil"/>
                    <w:tr2bl w:val="nil"/>
                  </w:tcBorders>
                  <w:vAlign w:val="center"/>
                </w:tcPr>
                <w:p w14:paraId="0BB572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kW·h</w:t>
                  </w:r>
                  <w:r>
                    <w:rPr>
                      <w:rFonts w:hint="default" w:ascii="Times New Roman" w:hAnsi="Times New Roman" w:cs="Times New Roman"/>
                      <w:color w:val="000000" w:themeColor="text1"/>
                      <w:highlight w:val="none"/>
                      <w14:textFill>
                        <w14:solidFill>
                          <w14:schemeClr w14:val="tx1"/>
                        </w14:solidFill>
                      </w14:textFill>
                    </w:rPr>
                    <w:t>/a</w:t>
                  </w:r>
                </w:p>
              </w:tc>
              <w:tc>
                <w:tcPr>
                  <w:tcW w:w="1088" w:type="dxa"/>
                  <w:tcBorders>
                    <w:tl2br w:val="nil"/>
                    <w:tr2bl w:val="nil"/>
                  </w:tcBorders>
                  <w:vAlign w:val="center"/>
                </w:tcPr>
                <w:p w14:paraId="61A11B9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854" w:type="dxa"/>
                  <w:tcBorders>
                    <w:tl2br w:val="nil"/>
                    <w:tr2bl w:val="nil"/>
                  </w:tcBorders>
                  <w:shd w:val="clear" w:color="auto" w:fill="auto"/>
                  <w:vAlign w:val="center"/>
                </w:tcPr>
                <w:p w14:paraId="676D99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项目部接入</w:t>
                  </w:r>
                </w:p>
              </w:tc>
              <w:tc>
                <w:tcPr>
                  <w:tcW w:w="753" w:type="dxa"/>
                  <w:tcBorders>
                    <w:tl2br w:val="nil"/>
                    <w:tr2bl w:val="nil"/>
                  </w:tcBorders>
                  <w:vAlign w:val="center"/>
                </w:tcPr>
                <w:p w14:paraId="04ED659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23D3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37" w:type="dxa"/>
                  <w:tcBorders>
                    <w:tl2br w:val="nil"/>
                    <w:tr2bl w:val="nil"/>
                  </w:tcBorders>
                  <w:vAlign w:val="center"/>
                </w:tcPr>
                <w:p w14:paraId="3AE7FAD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962" w:type="dxa"/>
                  <w:tcBorders>
                    <w:tl2br w:val="nil"/>
                    <w:tr2bl w:val="nil"/>
                  </w:tcBorders>
                  <w:vAlign w:val="center"/>
                </w:tcPr>
                <w:p w14:paraId="3E6EA49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w:t>
                  </w:r>
                </w:p>
              </w:tc>
              <w:tc>
                <w:tcPr>
                  <w:tcW w:w="1013" w:type="dxa"/>
                  <w:tcBorders>
                    <w:tl2br w:val="nil"/>
                    <w:tr2bl w:val="nil"/>
                  </w:tcBorders>
                  <w:vAlign w:val="center"/>
                </w:tcPr>
                <w:p w14:paraId="640942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122</w:t>
                  </w:r>
                </w:p>
              </w:tc>
              <w:tc>
                <w:tcPr>
                  <w:tcW w:w="966" w:type="dxa"/>
                  <w:tcBorders>
                    <w:tl2br w:val="nil"/>
                    <w:tr2bl w:val="nil"/>
                  </w:tcBorders>
                  <w:vAlign w:val="center"/>
                </w:tcPr>
                <w:p w14:paraId="22F8CE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t/a</w:t>
                  </w:r>
                </w:p>
              </w:tc>
              <w:tc>
                <w:tcPr>
                  <w:tcW w:w="1088" w:type="dxa"/>
                  <w:tcBorders>
                    <w:tl2br w:val="nil"/>
                    <w:tr2bl w:val="nil"/>
                  </w:tcBorders>
                  <w:vAlign w:val="center"/>
                </w:tcPr>
                <w:p w14:paraId="2933C92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854" w:type="dxa"/>
                  <w:tcBorders>
                    <w:tl2br w:val="nil"/>
                    <w:tr2bl w:val="nil"/>
                  </w:tcBorders>
                  <w:vAlign w:val="center"/>
                </w:tcPr>
                <w:p w14:paraId="6CF5F04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外购</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拉运</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753" w:type="dxa"/>
                  <w:tcBorders>
                    <w:tl2br w:val="nil"/>
                    <w:tr2bl w:val="nil"/>
                  </w:tcBorders>
                  <w:vAlign w:val="center"/>
                </w:tcPr>
                <w:p w14:paraId="699A18D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bl>
          <w:p w14:paraId="48E7DF58">
            <w:pPr>
              <w:pStyle w:val="18"/>
              <w:bidi w:val="0"/>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项目生产</w:t>
            </w:r>
            <w:r>
              <w:rPr>
                <w:rFonts w:hint="default" w:ascii="Times New Roman" w:hAnsi="Times New Roman" w:cs="Times New Roman"/>
                <w:color w:val="000000" w:themeColor="text1"/>
                <w:highlight w:val="none"/>
                <w14:textFill>
                  <w14:solidFill>
                    <w14:schemeClr w14:val="tx1"/>
                  </w14:solidFill>
                </w14:textFill>
              </w:rPr>
              <w:t>物料平衡</w:t>
            </w:r>
            <w:r>
              <w:rPr>
                <w:rFonts w:hint="default" w:ascii="Times New Roman" w:hAnsi="Times New Roman" w:cs="Times New Roman"/>
                <w:color w:val="000000" w:themeColor="text1"/>
                <w:highlight w:val="none"/>
                <w:lang w:val="en-US" w:eastAsia="zh-CN"/>
                <w14:textFill>
                  <w14:solidFill>
                    <w14:schemeClr w14:val="tx1"/>
                  </w14:solidFill>
                </w14:textFill>
              </w:rPr>
              <w:t>一览</w:t>
            </w:r>
            <w:r>
              <w:rPr>
                <w:rFonts w:hint="default" w:ascii="Times New Roman" w:hAnsi="Times New Roman" w:cs="Times New Roman"/>
                <w:color w:val="000000" w:themeColor="text1"/>
                <w:highlight w:val="none"/>
                <w14:textFill>
                  <w14:solidFill>
                    <w14:schemeClr w14:val="tx1"/>
                  </w14:solidFill>
                </w14:textFill>
              </w:rPr>
              <w:t xml:space="preserve">表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单位（t/a）</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2422"/>
              <w:gridCol w:w="2659"/>
              <w:gridCol w:w="1586"/>
            </w:tblGrid>
            <w:tr w14:paraId="0CFC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5" w:type="dxa"/>
                  <w:gridSpan w:val="2"/>
                  <w:tcBorders>
                    <w:tl2br w:val="nil"/>
                    <w:tr2bl w:val="nil"/>
                  </w:tcBorders>
                  <w:vAlign w:val="center"/>
                </w:tcPr>
                <w:p w14:paraId="63CCE1D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投入</w:t>
                  </w:r>
                </w:p>
              </w:tc>
              <w:tc>
                <w:tcPr>
                  <w:tcW w:w="3177" w:type="dxa"/>
                  <w:gridSpan w:val="2"/>
                  <w:tcBorders>
                    <w:tl2br w:val="nil"/>
                    <w:tr2bl w:val="nil"/>
                  </w:tcBorders>
                  <w:vAlign w:val="center"/>
                </w:tcPr>
                <w:p w14:paraId="37FE027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产出</w:t>
                  </w:r>
                </w:p>
              </w:tc>
            </w:tr>
            <w:tr w14:paraId="29A0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2" w:type="dxa"/>
                  <w:tcBorders>
                    <w:tl2br w:val="nil"/>
                    <w:tr2bl w:val="nil"/>
                  </w:tcBorders>
                  <w:vAlign w:val="center"/>
                </w:tcPr>
                <w:p w14:paraId="612F67F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1813" w:type="dxa"/>
                  <w:tcBorders>
                    <w:tl2br w:val="nil"/>
                    <w:tr2bl w:val="nil"/>
                  </w:tcBorders>
                  <w:vAlign w:val="center"/>
                </w:tcPr>
                <w:p w14:paraId="1E02D56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数量</w:t>
                  </w:r>
                </w:p>
              </w:tc>
              <w:tc>
                <w:tcPr>
                  <w:tcW w:w="1990" w:type="dxa"/>
                  <w:tcBorders>
                    <w:tl2br w:val="nil"/>
                    <w:tr2bl w:val="nil"/>
                  </w:tcBorders>
                  <w:vAlign w:val="center"/>
                </w:tcPr>
                <w:p w14:paraId="1A4D03C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1187" w:type="dxa"/>
                  <w:tcBorders>
                    <w:tl2br w:val="nil"/>
                    <w:tr2bl w:val="nil"/>
                  </w:tcBorders>
                  <w:vAlign w:val="center"/>
                </w:tcPr>
                <w:p w14:paraId="22CF2F2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数量</w:t>
                  </w:r>
                </w:p>
              </w:tc>
            </w:tr>
            <w:tr w14:paraId="2DD1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202" w:type="dxa"/>
                  <w:vMerge w:val="restart"/>
                  <w:tcBorders>
                    <w:tl2br w:val="nil"/>
                    <w:tr2bl w:val="nil"/>
                  </w:tcBorders>
                  <w:vAlign w:val="center"/>
                </w:tcPr>
                <w:p w14:paraId="32462F7B">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隧道废石</w:t>
                  </w:r>
                </w:p>
              </w:tc>
              <w:tc>
                <w:tcPr>
                  <w:tcW w:w="1813" w:type="dxa"/>
                  <w:vMerge w:val="restart"/>
                  <w:tcBorders>
                    <w:tl2br w:val="nil"/>
                    <w:tr2bl w:val="nil"/>
                  </w:tcBorders>
                  <w:vAlign w:val="center"/>
                </w:tcPr>
                <w:p w14:paraId="54C29FC3">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65700</w:t>
                  </w:r>
                </w:p>
              </w:tc>
              <w:tc>
                <w:tcPr>
                  <w:tcW w:w="1990" w:type="dxa"/>
                  <w:tcBorders>
                    <w:tl2br w:val="nil"/>
                    <w:tr2bl w:val="nil"/>
                  </w:tcBorders>
                  <w:shd w:val="clear" w:color="auto" w:fill="auto"/>
                  <w:vAlign w:val="center"/>
                </w:tcPr>
                <w:p w14:paraId="187749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碎石（10</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30</w:t>
                  </w:r>
                  <w:r>
                    <w:rPr>
                      <w:rFonts w:hint="default" w:ascii="Times New Roman" w:hAnsi="Times New Roman" w:cs="Times New Roman"/>
                      <w:color w:val="000000" w:themeColor="text1"/>
                      <w:highlight w:val="none"/>
                      <w:lang w:eastAsia="zh-CN"/>
                      <w14:textFill>
                        <w14:solidFill>
                          <w14:schemeClr w14:val="tx1"/>
                        </w14:solidFill>
                      </w14:textFill>
                    </w:rPr>
                    <w:t>mm</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187" w:type="dxa"/>
                  <w:vMerge w:val="restart"/>
                  <w:tcBorders>
                    <w:tl2br w:val="nil"/>
                    <w:tr2bl w:val="nil"/>
                  </w:tcBorders>
                  <w:shd w:val="clear" w:color="auto" w:fill="auto"/>
                  <w:vAlign w:val="center"/>
                </w:tcPr>
                <w:p w14:paraId="24E47C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46000</w:t>
                  </w:r>
                </w:p>
              </w:tc>
            </w:tr>
            <w:tr w14:paraId="5363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02" w:type="dxa"/>
                  <w:vMerge w:val="continue"/>
                  <w:tcBorders>
                    <w:tl2br w:val="nil"/>
                    <w:tr2bl w:val="nil"/>
                  </w:tcBorders>
                  <w:vAlign w:val="center"/>
                </w:tcPr>
                <w:p w14:paraId="0CBA3F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813" w:type="dxa"/>
                  <w:vMerge w:val="continue"/>
                  <w:tcBorders>
                    <w:tl2br w:val="nil"/>
                    <w:tr2bl w:val="nil"/>
                  </w:tcBorders>
                  <w:vAlign w:val="center"/>
                </w:tcPr>
                <w:p w14:paraId="340E3227">
                  <w:pPr>
                    <w:pStyle w:val="16"/>
                    <w:bidi w:val="0"/>
                    <w:rPr>
                      <w:rFonts w:hint="default" w:ascii="Times New Roman" w:hAnsi="Times New Roman" w:cs="Times New Roman"/>
                      <w:color w:val="000000" w:themeColor="text1"/>
                      <w:highlight w:val="none"/>
                      <w:lang w:val="en-US"/>
                      <w14:textFill>
                        <w14:solidFill>
                          <w14:schemeClr w14:val="tx1"/>
                        </w14:solidFill>
                      </w14:textFill>
                    </w:rPr>
                  </w:pPr>
                </w:p>
              </w:tc>
              <w:tc>
                <w:tcPr>
                  <w:tcW w:w="1990" w:type="dxa"/>
                  <w:tcBorders>
                    <w:tl2br w:val="nil"/>
                    <w:tr2bl w:val="nil"/>
                  </w:tcBorders>
                  <w:shd w:val="clear" w:color="auto" w:fill="auto"/>
                  <w:vAlign w:val="center"/>
                </w:tcPr>
                <w:p w14:paraId="5253309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细碎石</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lang w:eastAsia="zh-CN"/>
                      <w14:textFill>
                        <w14:solidFill>
                          <w14:schemeClr w14:val="tx1"/>
                        </w14:solidFill>
                      </w14:textFill>
                    </w:rPr>
                    <w:t>mm）</w:t>
                  </w:r>
                </w:p>
              </w:tc>
              <w:tc>
                <w:tcPr>
                  <w:tcW w:w="1187" w:type="dxa"/>
                  <w:vMerge w:val="continue"/>
                  <w:tcBorders>
                    <w:tl2br w:val="nil"/>
                    <w:tr2bl w:val="nil"/>
                  </w:tcBorders>
                  <w:vAlign w:val="center"/>
                </w:tcPr>
                <w:p w14:paraId="7C16ED0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14E1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2" w:type="dxa"/>
                  <w:vMerge w:val="continue"/>
                  <w:tcBorders>
                    <w:tl2br w:val="nil"/>
                    <w:tr2bl w:val="nil"/>
                  </w:tcBorders>
                  <w:vAlign w:val="center"/>
                </w:tcPr>
                <w:p w14:paraId="77D7472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813" w:type="dxa"/>
                  <w:vMerge w:val="continue"/>
                  <w:tcBorders>
                    <w:tl2br w:val="nil"/>
                    <w:tr2bl w:val="nil"/>
                  </w:tcBorders>
                  <w:vAlign w:val="center"/>
                </w:tcPr>
                <w:p w14:paraId="7AD14E70">
                  <w:pPr>
                    <w:pStyle w:val="16"/>
                    <w:bidi w:val="0"/>
                    <w:rPr>
                      <w:rFonts w:hint="default" w:ascii="Times New Roman" w:hAnsi="Times New Roman" w:cs="Times New Roman"/>
                      <w:color w:val="000000" w:themeColor="text1"/>
                      <w:highlight w:val="none"/>
                      <w:lang w:val="en-US"/>
                      <w14:textFill>
                        <w14:solidFill>
                          <w14:schemeClr w14:val="tx1"/>
                        </w14:solidFill>
                      </w14:textFill>
                    </w:rPr>
                  </w:pPr>
                </w:p>
              </w:tc>
              <w:tc>
                <w:tcPr>
                  <w:tcW w:w="1990" w:type="dxa"/>
                  <w:tcBorders>
                    <w:tl2br w:val="nil"/>
                    <w:tr2bl w:val="nil"/>
                  </w:tcBorders>
                  <w:shd w:val="clear" w:color="auto" w:fill="auto"/>
                  <w:vAlign w:val="center"/>
                </w:tcPr>
                <w:p w14:paraId="62F860D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机制砂</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eastAsia="zh-CN"/>
                      <w14:textFill>
                        <w14:solidFill>
                          <w14:schemeClr w14:val="tx1"/>
                        </w14:solidFill>
                      </w14:textFill>
                    </w:rPr>
                    <w:t>mm）</w:t>
                  </w:r>
                </w:p>
              </w:tc>
              <w:tc>
                <w:tcPr>
                  <w:tcW w:w="1187" w:type="dxa"/>
                  <w:vMerge w:val="continue"/>
                  <w:tcBorders>
                    <w:tl2br w:val="nil"/>
                    <w:tr2bl w:val="nil"/>
                  </w:tcBorders>
                  <w:vAlign w:val="center"/>
                </w:tcPr>
                <w:p w14:paraId="32209B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6844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02" w:type="dxa"/>
                  <w:vMerge w:val="continue"/>
                  <w:tcBorders>
                    <w:tl2br w:val="nil"/>
                    <w:tr2bl w:val="nil"/>
                  </w:tcBorders>
                  <w:vAlign w:val="center"/>
                </w:tcPr>
                <w:p w14:paraId="6179E1F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813" w:type="dxa"/>
                  <w:vMerge w:val="continue"/>
                  <w:tcBorders>
                    <w:tl2br w:val="nil"/>
                    <w:tr2bl w:val="nil"/>
                  </w:tcBorders>
                  <w:vAlign w:val="center"/>
                </w:tcPr>
                <w:p w14:paraId="45FF45D5">
                  <w:pPr>
                    <w:pStyle w:val="16"/>
                    <w:bidi w:val="0"/>
                    <w:rPr>
                      <w:rFonts w:hint="default" w:ascii="Times New Roman" w:hAnsi="Times New Roman" w:cs="Times New Roman"/>
                      <w:color w:val="000000" w:themeColor="text1"/>
                      <w:highlight w:val="none"/>
                      <w:lang w:val="en-US"/>
                      <w14:textFill>
                        <w14:solidFill>
                          <w14:schemeClr w14:val="tx1"/>
                        </w14:solidFill>
                      </w14:textFill>
                    </w:rPr>
                  </w:pPr>
                </w:p>
              </w:tc>
              <w:tc>
                <w:tcPr>
                  <w:tcW w:w="1990" w:type="dxa"/>
                  <w:tcBorders>
                    <w:tl2br w:val="nil"/>
                    <w:tr2bl w:val="nil"/>
                  </w:tcBorders>
                  <w:shd w:val="clear" w:color="auto" w:fill="auto"/>
                  <w:vAlign w:val="center"/>
                </w:tcPr>
                <w:p w14:paraId="05C5F27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不合格产品</w:t>
                  </w:r>
                </w:p>
              </w:tc>
              <w:tc>
                <w:tcPr>
                  <w:tcW w:w="1187" w:type="dxa"/>
                  <w:tcBorders>
                    <w:tl2br w:val="nil"/>
                    <w:tr2bl w:val="nil"/>
                  </w:tcBorders>
                  <w:vAlign w:val="center"/>
                </w:tcPr>
                <w:p w14:paraId="3E32C44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19</w:t>
                  </w:r>
                  <w:r>
                    <w:rPr>
                      <w:rFonts w:hint="eastAsia" w:cs="Times New Roman"/>
                      <w:color w:val="000000" w:themeColor="text1"/>
                      <w:highlight w:val="none"/>
                      <w:lang w:val="en-US" w:eastAsia="zh-CN"/>
                      <w14:textFill>
                        <w14:solidFill>
                          <w14:schemeClr w14:val="tx1"/>
                        </w14:solidFill>
                      </w14:textFill>
                    </w:rPr>
                    <w:t>290.24</w:t>
                  </w:r>
                </w:p>
              </w:tc>
            </w:tr>
            <w:tr w14:paraId="568A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2" w:type="dxa"/>
                  <w:vMerge w:val="continue"/>
                  <w:tcBorders>
                    <w:tl2br w:val="nil"/>
                    <w:tr2bl w:val="nil"/>
                  </w:tcBorders>
                  <w:vAlign w:val="center"/>
                </w:tcPr>
                <w:p w14:paraId="0801139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813" w:type="dxa"/>
                  <w:vMerge w:val="continue"/>
                  <w:tcBorders>
                    <w:tl2br w:val="nil"/>
                    <w:tr2bl w:val="nil"/>
                  </w:tcBorders>
                  <w:vAlign w:val="center"/>
                </w:tcPr>
                <w:p w14:paraId="5E34CAB1">
                  <w:pPr>
                    <w:pStyle w:val="16"/>
                    <w:bidi w:val="0"/>
                    <w:rPr>
                      <w:rFonts w:hint="default" w:ascii="Times New Roman" w:hAnsi="Times New Roman" w:cs="Times New Roman"/>
                      <w:color w:val="000000" w:themeColor="text1"/>
                      <w:highlight w:val="none"/>
                      <w:lang w:val="en-US"/>
                      <w14:textFill>
                        <w14:solidFill>
                          <w14:schemeClr w14:val="tx1"/>
                        </w14:solidFill>
                      </w14:textFill>
                    </w:rPr>
                  </w:pPr>
                </w:p>
              </w:tc>
              <w:tc>
                <w:tcPr>
                  <w:tcW w:w="1990" w:type="dxa"/>
                  <w:tcBorders>
                    <w:tl2br w:val="nil"/>
                    <w:tr2bl w:val="nil"/>
                  </w:tcBorders>
                  <w:shd w:val="clear" w:color="auto" w:fill="auto"/>
                  <w:vAlign w:val="center"/>
                </w:tcPr>
                <w:p w14:paraId="3050EF6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粉尘</w:t>
                  </w:r>
                </w:p>
              </w:tc>
              <w:tc>
                <w:tcPr>
                  <w:tcW w:w="1187" w:type="dxa"/>
                  <w:tcBorders>
                    <w:tl2br w:val="nil"/>
                    <w:tr2bl w:val="nil"/>
                  </w:tcBorders>
                  <w:vAlign w:val="center"/>
                </w:tcPr>
                <w:p w14:paraId="2ED0AEA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409.76</w:t>
                  </w:r>
                </w:p>
              </w:tc>
            </w:tr>
            <w:tr w14:paraId="57EE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02" w:type="dxa"/>
                  <w:tcBorders>
                    <w:tl2br w:val="nil"/>
                    <w:tr2bl w:val="nil"/>
                  </w:tcBorders>
                  <w:vAlign w:val="center"/>
                </w:tcPr>
                <w:p w14:paraId="2A11E8C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合计</w:t>
                  </w:r>
                </w:p>
              </w:tc>
              <w:tc>
                <w:tcPr>
                  <w:tcW w:w="1813" w:type="dxa"/>
                  <w:tcBorders>
                    <w:tl2br w:val="nil"/>
                    <w:tr2bl w:val="nil"/>
                  </w:tcBorders>
                  <w:vAlign w:val="center"/>
                </w:tcPr>
                <w:p w14:paraId="42C693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65700</w:t>
                  </w:r>
                </w:p>
              </w:tc>
              <w:tc>
                <w:tcPr>
                  <w:tcW w:w="1990" w:type="dxa"/>
                  <w:tcBorders>
                    <w:tl2br w:val="nil"/>
                    <w:tr2bl w:val="nil"/>
                  </w:tcBorders>
                  <w:vAlign w:val="center"/>
                </w:tcPr>
                <w:p w14:paraId="356FF4A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合计</w:t>
                  </w:r>
                </w:p>
              </w:tc>
              <w:tc>
                <w:tcPr>
                  <w:tcW w:w="1187" w:type="dxa"/>
                  <w:tcBorders>
                    <w:tl2br w:val="nil"/>
                    <w:tr2bl w:val="nil"/>
                  </w:tcBorders>
                  <w:vAlign w:val="center"/>
                </w:tcPr>
                <w:p w14:paraId="26A3102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65700</w:t>
                  </w:r>
                </w:p>
              </w:tc>
            </w:tr>
          </w:tbl>
          <w:p w14:paraId="1C88AC4A">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2.4劳动定员及工作制度</w:t>
            </w:r>
          </w:p>
          <w:p w14:paraId="563B3626">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工作制度：本项目</w:t>
            </w:r>
            <w:r>
              <w:rPr>
                <w:rFonts w:hint="eastAsia" w:cs="Times New Roman"/>
                <w:color w:val="000000" w:themeColor="text1"/>
                <w:highlight w:val="none"/>
                <w:lang w:val="en-US" w:eastAsia="zh-CN"/>
                <w14:textFill>
                  <w14:solidFill>
                    <w14:schemeClr w14:val="tx1"/>
                  </w14:solidFill>
                </w14:textFill>
              </w:rPr>
              <w:t>每年工作10个月（3-12月），</w:t>
            </w:r>
            <w:r>
              <w:rPr>
                <w:rFonts w:hint="default" w:ascii="Times New Roman" w:hAnsi="Times New Roman" w:cs="Times New Roman"/>
                <w:color w:val="000000" w:themeColor="text1"/>
                <w:highlight w:val="none"/>
                <w14:textFill>
                  <w14:solidFill>
                    <w14:schemeClr w14:val="tx1"/>
                  </w14:solidFill>
                </w14:textFill>
              </w:rPr>
              <w:t>年有效工作日为</w:t>
            </w:r>
            <w:r>
              <w:rPr>
                <w:rFonts w:hint="default" w:ascii="Times New Roman" w:hAnsi="Times New Roman" w:cs="Times New Roman"/>
                <w:color w:val="000000" w:themeColor="text1"/>
                <w:highlight w:val="none"/>
                <w:lang w:val="en-US" w:eastAsia="zh-CN"/>
                <w14:textFill>
                  <w14:solidFill>
                    <w14:schemeClr w14:val="tx1"/>
                  </w14:solidFill>
                </w14:textFill>
              </w:rPr>
              <w:t>300</w:t>
            </w:r>
            <w:r>
              <w:rPr>
                <w:rFonts w:hint="default" w:ascii="Times New Roman" w:hAnsi="Times New Roman" w:cs="Times New Roman"/>
                <w:color w:val="000000" w:themeColor="text1"/>
                <w:highlight w:val="none"/>
                <w14:textFill>
                  <w14:solidFill>
                    <w14:schemeClr w14:val="tx1"/>
                  </w14:solidFill>
                </w14:textFill>
              </w:rPr>
              <w:t>天，每天生产</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小时。</w:t>
            </w:r>
          </w:p>
          <w:p w14:paraId="6BF89998">
            <w:pPr>
              <w:bidi w:val="0"/>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劳动定员：本项目劳动定员</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人，工作人员居住在中铁隧道局新建伊阿铁路SⅩ标段项目部，距离约1</w:t>
            </w:r>
            <w:r>
              <w:rPr>
                <w:rFonts w:hint="default" w:ascii="Times New Roman" w:hAnsi="Times New Roman"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km。</w:t>
            </w:r>
          </w:p>
          <w:p w14:paraId="00122E21">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2.5公用工程</w:t>
            </w:r>
          </w:p>
          <w:p w14:paraId="5D1D8F24">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该项目用</w:t>
            </w:r>
            <w:r>
              <w:rPr>
                <w:rFonts w:hint="default" w:ascii="Times New Roman" w:hAnsi="Times New Roman" w:cs="Times New Roman"/>
                <w:color w:val="000000" w:themeColor="text1"/>
                <w:highlight w:val="none"/>
                <w:lang w:val="en-US" w:eastAsia="zh-CN"/>
                <w14:textFill>
                  <w14:solidFill>
                    <w14:schemeClr w14:val="tx1"/>
                  </w14:solidFill>
                </w14:textFill>
              </w:rPr>
              <w:t>水</w:t>
            </w:r>
            <w:r>
              <w:rPr>
                <w:rFonts w:hint="default" w:ascii="Times New Roman" w:hAnsi="Times New Roman" w:cs="Times New Roman"/>
                <w:color w:val="000000" w:themeColor="text1"/>
                <w:highlight w:val="none"/>
                <w14:textFill>
                  <w14:solidFill>
                    <w14:schemeClr w14:val="tx1"/>
                  </w14:solidFill>
                </w14:textFill>
              </w:rPr>
              <w:t>主要为生产用水和生活用水。</w:t>
            </w:r>
          </w:p>
          <w:p w14:paraId="56A7A8FE">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①生活用、排水</w:t>
            </w:r>
          </w:p>
          <w:p w14:paraId="47037C34">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项目废水主要是职工生活污水，本项目劳动定员</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人，参照《新疆维吾尔自治区生活用水定额》（新政办发〔2007〕105号）规定，用水量按100L/人·日计，则用水量</w:t>
            </w:r>
            <w:r>
              <w:rPr>
                <w:rFonts w:hint="default" w:ascii="Times New Roman" w:hAnsi="Times New Roman" w:cs="Times New Roman"/>
                <w:color w:val="000000" w:themeColor="text1"/>
                <w:highlight w:val="none"/>
                <w:lang w:val="en-US" w:eastAsia="zh-CN"/>
                <w14:textFill>
                  <w14:solidFill>
                    <w14:schemeClr w14:val="tx1"/>
                  </w14:solidFill>
                </w14:textFill>
              </w:rPr>
              <w:t>0.8</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240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/a），产污系数按0.8计，废水量</w:t>
            </w:r>
            <w:r>
              <w:rPr>
                <w:rFonts w:hint="default" w:ascii="Times New Roman" w:hAnsi="Times New Roman" w:cs="Times New Roman"/>
                <w:color w:val="000000" w:themeColor="text1"/>
                <w:highlight w:val="none"/>
                <w:lang w:val="en-US" w:eastAsia="zh-CN"/>
                <w14:textFill>
                  <w14:solidFill>
                    <w14:schemeClr w14:val="tx1"/>
                  </w14:solidFill>
                </w14:textFill>
              </w:rPr>
              <w:t>0.64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192</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/a），工作人员居住在中铁隧道局新建伊阿铁路SⅩ标段项目部，与本项目直线距离约1.9km</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项目部生活污水采用化粪池收集后定期使用吸污车拉运至</w:t>
            </w:r>
            <w:r>
              <w:rPr>
                <w:rFonts w:hint="eastAsia" w:cs="Times New Roman"/>
                <w:color w:val="000000" w:themeColor="text1"/>
                <w:highlight w:val="none"/>
                <w:lang w:val="en-US" w:eastAsia="zh-CN"/>
                <w14:textFill>
                  <w14:solidFill>
                    <w14:schemeClr w14:val="tx1"/>
                  </w14:solidFill>
                </w14:textFill>
              </w:rPr>
              <w:t>巴音布鲁克污水处理厂处理</w:t>
            </w:r>
            <w:r>
              <w:rPr>
                <w:rFonts w:hint="default" w:ascii="Times New Roman" w:hAnsi="Times New Roman" w:cs="Times New Roman"/>
                <w:color w:val="000000" w:themeColor="text1"/>
                <w:highlight w:val="none"/>
                <w14:textFill>
                  <w14:solidFill>
                    <w14:schemeClr w14:val="tx1"/>
                  </w14:solidFill>
                </w14:textFill>
              </w:rPr>
              <w:t>。</w:t>
            </w:r>
          </w:p>
          <w:p w14:paraId="59C9FA76">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②道路洒水用水量：参考《建筑给</w:t>
            </w:r>
            <w:r>
              <w:rPr>
                <w:rFonts w:hint="default" w:ascii="Times New Roman" w:hAnsi="Times New Roman" w:cs="Times New Roman"/>
                <w:color w:val="000000" w:themeColor="text1"/>
                <w:highlight w:val="none"/>
                <w:lang w:val="en-US" w:eastAsia="zh-CN"/>
                <w14:textFill>
                  <w14:solidFill>
                    <w14:schemeClr w14:val="tx1"/>
                  </w14:solidFill>
                </w14:textFill>
              </w:rPr>
              <w:t>水</w:t>
            </w:r>
            <w:r>
              <w:rPr>
                <w:rFonts w:hint="default" w:ascii="Times New Roman" w:hAnsi="Times New Roman" w:cs="Times New Roman"/>
                <w:color w:val="000000" w:themeColor="text1"/>
                <w:highlight w:val="none"/>
                <w14:textFill>
                  <w14:solidFill>
                    <w14:schemeClr w14:val="tx1"/>
                  </w14:solidFill>
                </w14:textFill>
              </w:rPr>
              <w:t>排水设计</w:t>
            </w:r>
            <w:r>
              <w:rPr>
                <w:rFonts w:hint="default" w:ascii="Times New Roman" w:hAnsi="Times New Roman" w:cs="Times New Roman"/>
                <w:color w:val="000000" w:themeColor="text1"/>
                <w:highlight w:val="none"/>
                <w:lang w:val="en-US" w:eastAsia="zh-CN"/>
                <w14:textFill>
                  <w14:solidFill>
                    <w14:schemeClr w14:val="tx1"/>
                  </w14:solidFill>
                </w14:textFill>
              </w:rPr>
              <w:t>标准</w:t>
            </w:r>
            <w:r>
              <w:rPr>
                <w:rFonts w:hint="default" w:ascii="Times New Roman" w:hAnsi="Times New Roman" w:cs="Times New Roman"/>
                <w:color w:val="000000" w:themeColor="text1"/>
                <w:highlight w:val="none"/>
                <w14:textFill>
                  <w14:solidFill>
                    <w14:schemeClr w14:val="tx1"/>
                  </w14:solidFill>
                </w14:textFill>
              </w:rPr>
              <w:t>》（GB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50015-2019）中小区道路洒水定额2L/（m</w:t>
            </w:r>
            <w:r>
              <w:rPr>
                <w:rFonts w:hint="default" w:ascii="Times New Roman" w:hAnsi="Times New Roman" w:cs="Times New Roman"/>
                <w:color w:val="000000" w:themeColor="text1"/>
                <w:highlight w:val="none"/>
                <w:vertAlign w:val="super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eastAsia="zh-CN"/>
                <w14:textFill>
                  <w14:solidFill>
                    <w14:schemeClr w14:val="tx1"/>
                  </w14:solidFill>
                </w14:textFill>
              </w:rPr>
              <w:t>项目区</w:t>
            </w:r>
            <w:r>
              <w:rPr>
                <w:rFonts w:hint="default" w:ascii="Times New Roman" w:hAnsi="Times New Roman" w:cs="Times New Roman"/>
                <w:color w:val="000000" w:themeColor="text1"/>
                <w:highlight w:val="none"/>
                <w14:textFill>
                  <w14:solidFill>
                    <w14:schemeClr w14:val="tx1"/>
                  </w14:solidFill>
                </w14:textFill>
              </w:rPr>
              <w:t>道路面积为</w:t>
            </w:r>
            <w:r>
              <w:rPr>
                <w:rFonts w:hint="default" w:ascii="Times New Roman" w:hAnsi="Times New Roman" w:cs="Times New Roman"/>
                <w:color w:val="000000" w:themeColor="text1"/>
                <w:highlight w:val="none"/>
                <w:lang w:val="en-US" w:eastAsia="zh-CN"/>
                <w14:textFill>
                  <w14:solidFill>
                    <w14:schemeClr w14:val="tx1"/>
                  </w14:solidFill>
                </w14:textFill>
              </w:rPr>
              <w:t>1364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本项目年工作300d，扣除120d（11月、12月、3月、4月）结冰期，洒水天数为180d，</w:t>
            </w:r>
            <w:r>
              <w:rPr>
                <w:rFonts w:hint="default" w:ascii="Times New Roman" w:hAnsi="Times New Roman" w:cs="Times New Roman"/>
                <w:color w:val="000000" w:themeColor="text1"/>
                <w:highlight w:val="none"/>
                <w14:textFill>
                  <w14:solidFill>
                    <w14:schemeClr w14:val="tx1"/>
                  </w14:solidFill>
                </w14:textFill>
              </w:rPr>
              <w:t>用水量约为</w:t>
            </w:r>
            <w:r>
              <w:rPr>
                <w:rFonts w:hint="default" w:ascii="Times New Roman" w:hAnsi="Times New Roman" w:cs="Times New Roman"/>
                <w:color w:val="000000" w:themeColor="text1"/>
                <w:highlight w:val="none"/>
                <w:lang w:val="en-US" w:eastAsia="zh-CN"/>
                <w14:textFill>
                  <w14:solidFill>
                    <w14:schemeClr w14:val="tx1"/>
                  </w14:solidFill>
                </w14:textFill>
              </w:rPr>
              <w:t>2.728</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491.04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p>
          <w:p w14:paraId="57E8402F">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③装卸用</w:t>
            </w:r>
            <w:r>
              <w:rPr>
                <w:rFonts w:hint="default" w:ascii="Times New Roman" w:hAnsi="Times New Roman" w:cs="Times New Roman"/>
                <w:color w:val="000000" w:themeColor="text1"/>
                <w:highlight w:val="none"/>
                <w:lang w:val="en-US" w:eastAsia="zh-CN"/>
                <w14:textFill>
                  <w14:solidFill>
                    <w14:schemeClr w14:val="tx1"/>
                  </w14:solidFill>
                </w14:textFill>
              </w:rPr>
              <w:t>抑尘</w:t>
            </w:r>
            <w:r>
              <w:rPr>
                <w:rFonts w:hint="default" w:ascii="Times New Roman" w:hAnsi="Times New Roman" w:cs="Times New Roman"/>
                <w:color w:val="000000" w:themeColor="text1"/>
                <w:highlight w:val="none"/>
                <w14:textFill>
                  <w14:solidFill>
                    <w14:schemeClr w14:val="tx1"/>
                  </w14:solidFill>
                </w14:textFill>
              </w:rPr>
              <w:t>水量：本项目设计喷淋降尘量为0.2m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/h，每天工作8h，用水量为1.6m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480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p>
          <w:p w14:paraId="1A1B1CFD">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④进料口用</w:t>
            </w:r>
            <w:r>
              <w:rPr>
                <w:rFonts w:hint="default" w:ascii="Times New Roman" w:hAnsi="Times New Roman" w:cs="Times New Roman"/>
                <w:color w:val="000000" w:themeColor="text1"/>
                <w:highlight w:val="none"/>
                <w:lang w:val="en-US" w:eastAsia="zh-CN"/>
                <w14:textFill>
                  <w14:solidFill>
                    <w14:schemeClr w14:val="tx1"/>
                  </w14:solidFill>
                </w14:textFill>
              </w:rPr>
              <w:t>抑尘</w:t>
            </w:r>
            <w:r>
              <w:rPr>
                <w:rFonts w:hint="default" w:ascii="Times New Roman" w:hAnsi="Times New Roman" w:cs="Times New Roman"/>
                <w:color w:val="000000" w:themeColor="text1"/>
                <w:highlight w:val="none"/>
                <w14:textFill>
                  <w14:solidFill>
                    <w14:schemeClr w14:val="tx1"/>
                  </w14:solidFill>
                </w14:textFill>
              </w:rPr>
              <w:t>水量：本项目设计进料口喷淋降尘量为0.2m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/h，每天工作8h，用水量为1.6m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480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p>
          <w:p w14:paraId="5A100697">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⑤筛分抑尘用水：筛分工序产生粉尘，根据业主提供资料，滚筒筛设置喷水管进行降尘，设计水管流量为0.2m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/h，用水量约为1.6m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480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/a，水被物料带走损耗，不外排；</w:t>
            </w:r>
          </w:p>
          <w:p w14:paraId="13906B65">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⑥车辆冲洗用水：根据《建筑给水排水设计标准》（GB 50015-2019）表3.2.7汽车冲洗用水定额80～120L/辆・次，本项目车辆冲洗用水取100L/辆・次，根据建设单位提供资料，日均出车38次，</w:t>
            </w:r>
            <w:r>
              <w:rPr>
                <w:rFonts w:hint="eastAsia" w:cs="Times New Roman"/>
                <w:color w:val="000000" w:themeColor="text1"/>
                <w:highlight w:val="none"/>
                <w:lang w:val="en-US" w:eastAsia="zh-CN"/>
                <w14:textFill>
                  <w14:solidFill>
                    <w14:schemeClr w14:val="tx1"/>
                  </w14:solidFill>
                </w14:textFill>
              </w:rPr>
              <w:t>本项目年工作300d，扣除120d（11月、12月、3月、4月）结冰期，车辆冲洗天数为180d，</w:t>
            </w:r>
            <w:r>
              <w:rPr>
                <w:rFonts w:hint="default" w:ascii="Times New Roman" w:hAnsi="Times New Roman" w:cs="Times New Roman"/>
                <w:color w:val="000000" w:themeColor="text1"/>
                <w:highlight w:val="none"/>
                <w:lang w:val="en-US" w:eastAsia="zh-CN"/>
                <w14:textFill>
                  <w14:solidFill>
                    <w14:schemeClr w14:val="tx1"/>
                  </w14:solidFill>
                </w14:textFill>
              </w:rPr>
              <w:t>总冲洗水量3.8</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684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r>
              <w:rPr>
                <w:rFonts w:hint="eastAsia" w:cs="Times New Roman"/>
                <w:color w:val="000000" w:themeColor="text1"/>
                <w:highlight w:val="none"/>
                <w:lang w:val="en-US" w:eastAsia="zh-CN"/>
                <w14:textFill>
                  <w14:solidFill>
                    <w14:schemeClr w14:val="tx1"/>
                  </w14:solidFill>
                </w14:textFill>
              </w:rPr>
              <w:t>排水系数按0.8计，每日进入沉淀池的水量为3.04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每日需补充新鲜水0.76</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车辆冲洗废水沉淀池收集，沉淀后循环使用不外排。</w:t>
            </w:r>
          </w:p>
          <w:p w14:paraId="52DF7D74">
            <w:pPr>
              <w:bidi w:val="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项目水平衡详见下表：本项目用水和排水量如表2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所示，具体水平衡见图2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-1。</w:t>
            </w:r>
          </w:p>
          <w:p w14:paraId="5A750119">
            <w:pPr>
              <w:pStyle w:val="18"/>
              <w:bidi w:val="0"/>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项目用水量统计表</w:t>
            </w:r>
          </w:p>
          <w:tbl>
            <w:tblPr>
              <w:tblStyle w:val="12"/>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8"/>
              <w:gridCol w:w="1615"/>
              <w:gridCol w:w="732"/>
              <w:gridCol w:w="979"/>
              <w:gridCol w:w="1116"/>
              <w:gridCol w:w="979"/>
              <w:gridCol w:w="2246"/>
            </w:tblGrid>
            <w:tr w14:paraId="7F9C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61" w:type="pct"/>
                  <w:tcBorders>
                    <w:tl2br w:val="nil"/>
                    <w:tr2bl w:val="nil"/>
                  </w:tcBorders>
                  <w:noWrap w:val="0"/>
                  <w:vAlign w:val="center"/>
                </w:tcPr>
                <w:p w14:paraId="6ED74A9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977" w:type="pct"/>
                  <w:tcBorders>
                    <w:tl2br w:val="nil"/>
                    <w:tr2bl w:val="nil"/>
                  </w:tcBorders>
                  <w:noWrap w:val="0"/>
                  <w:vAlign w:val="center"/>
                </w:tcPr>
                <w:p w14:paraId="2FB66AD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类别</w:t>
                  </w:r>
                </w:p>
              </w:tc>
              <w:tc>
                <w:tcPr>
                  <w:tcW w:w="442" w:type="pct"/>
                  <w:tcBorders>
                    <w:tl2br w:val="nil"/>
                    <w:tr2bl w:val="nil"/>
                  </w:tcBorders>
                  <w:noWrap w:val="0"/>
                  <w:vAlign w:val="center"/>
                </w:tcPr>
                <w:p w14:paraId="45F0832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供水（m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p>
              </w:tc>
              <w:tc>
                <w:tcPr>
                  <w:tcW w:w="592" w:type="pct"/>
                  <w:tcBorders>
                    <w:tl2br w:val="nil"/>
                    <w:tr2bl w:val="nil"/>
                  </w:tcBorders>
                  <w:noWrap w:val="0"/>
                  <w:vAlign w:val="center"/>
                </w:tcPr>
                <w:p w14:paraId="3F08C35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损耗（m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p>
              </w:tc>
              <w:tc>
                <w:tcPr>
                  <w:tcW w:w="675" w:type="pct"/>
                  <w:tcBorders>
                    <w:tl2br w:val="nil"/>
                    <w:tr2bl w:val="nil"/>
                  </w:tcBorders>
                  <w:noWrap w:val="0"/>
                  <w:vAlign w:val="center"/>
                </w:tcPr>
                <w:p w14:paraId="023C95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排水（m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p>
              </w:tc>
              <w:tc>
                <w:tcPr>
                  <w:tcW w:w="592" w:type="pct"/>
                  <w:tcBorders>
                    <w:tl2br w:val="nil"/>
                    <w:tr2bl w:val="nil"/>
                  </w:tcBorders>
                  <w:noWrap w:val="0"/>
                  <w:vAlign w:val="center"/>
                </w:tcPr>
                <w:p w14:paraId="19C3AD5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循环（m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p>
              </w:tc>
              <w:tc>
                <w:tcPr>
                  <w:tcW w:w="1358" w:type="pct"/>
                  <w:tcBorders>
                    <w:tl2br w:val="nil"/>
                    <w:tr2bl w:val="nil"/>
                  </w:tcBorders>
                  <w:noWrap w:val="0"/>
                  <w:vAlign w:val="center"/>
                </w:tcPr>
                <w:p w14:paraId="7163A66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排水去向</w:t>
                  </w:r>
                </w:p>
              </w:tc>
            </w:tr>
            <w:tr w14:paraId="2C6C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61" w:type="pct"/>
                  <w:tcBorders>
                    <w:tl2br w:val="nil"/>
                    <w:tr2bl w:val="nil"/>
                  </w:tcBorders>
                  <w:noWrap w:val="0"/>
                  <w:vAlign w:val="center"/>
                </w:tcPr>
                <w:p w14:paraId="65436F5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977" w:type="pct"/>
                  <w:tcBorders>
                    <w:tl2br w:val="nil"/>
                    <w:tr2bl w:val="nil"/>
                  </w:tcBorders>
                  <w:noWrap w:val="0"/>
                  <w:vAlign w:val="center"/>
                </w:tcPr>
                <w:p w14:paraId="71471B5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生活用水</w:t>
                  </w:r>
                </w:p>
              </w:tc>
              <w:tc>
                <w:tcPr>
                  <w:tcW w:w="442" w:type="pct"/>
                  <w:tcBorders>
                    <w:tl2br w:val="nil"/>
                    <w:tr2bl w:val="nil"/>
                  </w:tcBorders>
                  <w:noWrap w:val="0"/>
                  <w:vAlign w:val="center"/>
                </w:tcPr>
                <w:p w14:paraId="354069E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0.8</w:t>
                  </w:r>
                </w:p>
              </w:tc>
              <w:tc>
                <w:tcPr>
                  <w:tcW w:w="592" w:type="pct"/>
                  <w:tcBorders>
                    <w:tl2br w:val="nil"/>
                    <w:tr2bl w:val="nil"/>
                  </w:tcBorders>
                  <w:noWrap w:val="0"/>
                  <w:vAlign w:val="center"/>
                </w:tcPr>
                <w:p w14:paraId="5FF94C1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0.16</w:t>
                  </w:r>
                </w:p>
              </w:tc>
              <w:tc>
                <w:tcPr>
                  <w:tcW w:w="675" w:type="pct"/>
                  <w:tcBorders>
                    <w:tl2br w:val="nil"/>
                    <w:tr2bl w:val="nil"/>
                  </w:tcBorders>
                  <w:noWrap w:val="0"/>
                  <w:vAlign w:val="center"/>
                </w:tcPr>
                <w:p w14:paraId="3B51ED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0.64</w:t>
                  </w:r>
                </w:p>
              </w:tc>
              <w:tc>
                <w:tcPr>
                  <w:tcW w:w="592" w:type="pct"/>
                  <w:tcBorders>
                    <w:tl2br w:val="nil"/>
                    <w:tr2bl w:val="nil"/>
                  </w:tcBorders>
                  <w:noWrap w:val="0"/>
                  <w:vAlign w:val="center"/>
                </w:tcPr>
                <w:p w14:paraId="7552ED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1358" w:type="pct"/>
                  <w:tcBorders>
                    <w:tl2br w:val="nil"/>
                    <w:tr2bl w:val="nil"/>
                  </w:tcBorders>
                  <w:noWrap w:val="0"/>
                  <w:vAlign w:val="center"/>
                </w:tcPr>
                <w:p w14:paraId="749B160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项目部生活污水采用化粪池收集后定期使用吸污车拉运至巴音布鲁克污水处理厂处理</w:t>
                  </w:r>
                </w:p>
              </w:tc>
            </w:tr>
            <w:tr w14:paraId="3044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361" w:type="pct"/>
                  <w:tcBorders>
                    <w:tl2br w:val="nil"/>
                    <w:tr2bl w:val="nil"/>
                  </w:tcBorders>
                  <w:noWrap w:val="0"/>
                  <w:vAlign w:val="center"/>
                </w:tcPr>
                <w:p w14:paraId="5CF7F26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977" w:type="pct"/>
                  <w:tcBorders>
                    <w:tl2br w:val="nil"/>
                    <w:tr2bl w:val="nil"/>
                  </w:tcBorders>
                  <w:noWrap w:val="0"/>
                  <w:vAlign w:val="center"/>
                </w:tcPr>
                <w:p w14:paraId="6423EF0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道路洒水</w:t>
                  </w:r>
                </w:p>
              </w:tc>
              <w:tc>
                <w:tcPr>
                  <w:tcW w:w="442" w:type="pct"/>
                  <w:tcBorders>
                    <w:tl2br w:val="nil"/>
                    <w:tr2bl w:val="nil"/>
                  </w:tcBorders>
                  <w:noWrap w:val="0"/>
                  <w:vAlign w:val="center"/>
                </w:tcPr>
                <w:p w14:paraId="26CC6BD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2.728</w:t>
                  </w:r>
                </w:p>
              </w:tc>
              <w:tc>
                <w:tcPr>
                  <w:tcW w:w="592" w:type="pct"/>
                  <w:tcBorders>
                    <w:tl2br w:val="nil"/>
                    <w:tr2bl w:val="nil"/>
                  </w:tcBorders>
                  <w:noWrap w:val="0"/>
                  <w:vAlign w:val="center"/>
                </w:tcPr>
                <w:p w14:paraId="255D3BA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2.728</w:t>
                  </w:r>
                </w:p>
              </w:tc>
              <w:tc>
                <w:tcPr>
                  <w:tcW w:w="675" w:type="pct"/>
                  <w:tcBorders>
                    <w:tl2br w:val="nil"/>
                    <w:tr2bl w:val="nil"/>
                  </w:tcBorders>
                  <w:noWrap w:val="0"/>
                  <w:vAlign w:val="center"/>
                </w:tcPr>
                <w:p w14:paraId="62D1888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592" w:type="pct"/>
                  <w:tcBorders>
                    <w:tl2br w:val="nil"/>
                    <w:tr2bl w:val="nil"/>
                  </w:tcBorders>
                  <w:noWrap w:val="0"/>
                  <w:vAlign w:val="center"/>
                </w:tcPr>
                <w:p w14:paraId="2898744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1358" w:type="pct"/>
                  <w:tcBorders>
                    <w:tl2br w:val="nil"/>
                    <w:tr2bl w:val="nil"/>
                  </w:tcBorders>
                  <w:noWrap w:val="0"/>
                  <w:vAlign w:val="center"/>
                </w:tcPr>
                <w:p w14:paraId="7D56A3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自然蒸发</w:t>
                  </w:r>
                </w:p>
              </w:tc>
            </w:tr>
            <w:tr w14:paraId="594C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361" w:type="pct"/>
                  <w:tcBorders>
                    <w:tl2br w:val="nil"/>
                    <w:tr2bl w:val="nil"/>
                  </w:tcBorders>
                  <w:noWrap w:val="0"/>
                  <w:vAlign w:val="center"/>
                </w:tcPr>
                <w:p w14:paraId="7BE36C4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977" w:type="pct"/>
                  <w:tcBorders>
                    <w:tl2br w:val="nil"/>
                    <w:tr2bl w:val="nil"/>
                  </w:tcBorders>
                  <w:noWrap w:val="0"/>
                  <w:vAlign w:val="center"/>
                </w:tcPr>
                <w:p w14:paraId="3C4A10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装卸用水</w:t>
                  </w:r>
                </w:p>
              </w:tc>
              <w:tc>
                <w:tcPr>
                  <w:tcW w:w="442" w:type="pct"/>
                  <w:tcBorders>
                    <w:tl2br w:val="nil"/>
                    <w:tr2bl w:val="nil"/>
                  </w:tcBorders>
                  <w:noWrap w:val="0"/>
                  <w:vAlign w:val="center"/>
                </w:tcPr>
                <w:p w14:paraId="7C5FA1F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592" w:type="pct"/>
                  <w:tcBorders>
                    <w:tl2br w:val="nil"/>
                    <w:tr2bl w:val="nil"/>
                  </w:tcBorders>
                  <w:noWrap w:val="0"/>
                  <w:vAlign w:val="center"/>
                </w:tcPr>
                <w:p w14:paraId="3CEC248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675" w:type="pct"/>
                  <w:tcBorders>
                    <w:tl2br w:val="nil"/>
                    <w:tr2bl w:val="nil"/>
                  </w:tcBorders>
                  <w:noWrap w:val="0"/>
                  <w:vAlign w:val="center"/>
                </w:tcPr>
                <w:p w14:paraId="76BBB7D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592" w:type="pct"/>
                  <w:tcBorders>
                    <w:tl2br w:val="nil"/>
                    <w:tr2bl w:val="nil"/>
                  </w:tcBorders>
                  <w:noWrap w:val="0"/>
                  <w:vAlign w:val="center"/>
                </w:tcPr>
                <w:p w14:paraId="2785F38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1358" w:type="pct"/>
                  <w:tcBorders>
                    <w:tl2br w:val="nil"/>
                    <w:tr2bl w:val="nil"/>
                  </w:tcBorders>
                  <w:noWrap w:val="0"/>
                  <w:vAlign w:val="center"/>
                </w:tcPr>
                <w:p w14:paraId="435274D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自然蒸发</w:t>
                  </w:r>
                </w:p>
              </w:tc>
            </w:tr>
            <w:tr w14:paraId="4C3D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1" w:type="pct"/>
                  <w:tcBorders>
                    <w:tl2br w:val="nil"/>
                    <w:tr2bl w:val="nil"/>
                  </w:tcBorders>
                  <w:noWrap w:val="0"/>
                  <w:vAlign w:val="center"/>
                </w:tcPr>
                <w:p w14:paraId="6617BAA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977" w:type="pct"/>
                  <w:tcBorders>
                    <w:tl2br w:val="nil"/>
                    <w:tr2bl w:val="nil"/>
                  </w:tcBorders>
                  <w:noWrap w:val="0"/>
                  <w:vAlign w:val="center"/>
                </w:tcPr>
                <w:p w14:paraId="24C8FA9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进料口用水</w:t>
                  </w:r>
                </w:p>
              </w:tc>
              <w:tc>
                <w:tcPr>
                  <w:tcW w:w="442" w:type="pct"/>
                  <w:tcBorders>
                    <w:tl2br w:val="nil"/>
                    <w:tr2bl w:val="nil"/>
                  </w:tcBorders>
                  <w:noWrap w:val="0"/>
                  <w:vAlign w:val="center"/>
                </w:tcPr>
                <w:p w14:paraId="1D3C4B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592" w:type="pct"/>
                  <w:tcBorders>
                    <w:tl2br w:val="nil"/>
                    <w:tr2bl w:val="nil"/>
                  </w:tcBorders>
                  <w:noWrap w:val="0"/>
                  <w:vAlign w:val="center"/>
                </w:tcPr>
                <w:p w14:paraId="6FDB250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675" w:type="pct"/>
                  <w:tcBorders>
                    <w:tl2br w:val="nil"/>
                    <w:tr2bl w:val="nil"/>
                  </w:tcBorders>
                  <w:noWrap w:val="0"/>
                  <w:vAlign w:val="center"/>
                </w:tcPr>
                <w:p w14:paraId="142A508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592" w:type="pct"/>
                  <w:tcBorders>
                    <w:tl2br w:val="nil"/>
                    <w:tr2bl w:val="nil"/>
                  </w:tcBorders>
                  <w:noWrap w:val="0"/>
                  <w:vAlign w:val="center"/>
                </w:tcPr>
                <w:p w14:paraId="4CAE08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1358" w:type="pct"/>
                  <w:tcBorders>
                    <w:tl2br w:val="nil"/>
                    <w:tr2bl w:val="nil"/>
                  </w:tcBorders>
                  <w:noWrap w:val="0"/>
                  <w:vAlign w:val="center"/>
                </w:tcPr>
                <w:p w14:paraId="38F5249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自然蒸发</w:t>
                  </w:r>
                </w:p>
              </w:tc>
            </w:tr>
            <w:tr w14:paraId="2868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361" w:type="pct"/>
                  <w:tcBorders>
                    <w:tl2br w:val="nil"/>
                    <w:tr2bl w:val="nil"/>
                  </w:tcBorders>
                  <w:noWrap w:val="0"/>
                  <w:vAlign w:val="center"/>
                </w:tcPr>
                <w:p w14:paraId="0F09E33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977" w:type="pct"/>
                  <w:tcBorders>
                    <w:tl2br w:val="nil"/>
                    <w:tr2bl w:val="nil"/>
                  </w:tcBorders>
                  <w:noWrap w:val="0"/>
                  <w:vAlign w:val="center"/>
                </w:tcPr>
                <w:p w14:paraId="2BBBD1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筛分抑尘用水</w:t>
                  </w:r>
                </w:p>
              </w:tc>
              <w:tc>
                <w:tcPr>
                  <w:tcW w:w="442" w:type="pct"/>
                  <w:tcBorders>
                    <w:tl2br w:val="nil"/>
                    <w:tr2bl w:val="nil"/>
                  </w:tcBorders>
                  <w:noWrap w:val="0"/>
                  <w:vAlign w:val="center"/>
                </w:tcPr>
                <w:p w14:paraId="7C5B5B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592" w:type="pct"/>
                  <w:tcBorders>
                    <w:tl2br w:val="nil"/>
                    <w:tr2bl w:val="nil"/>
                  </w:tcBorders>
                  <w:noWrap w:val="0"/>
                  <w:vAlign w:val="center"/>
                </w:tcPr>
                <w:p w14:paraId="707E2B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675" w:type="pct"/>
                  <w:tcBorders>
                    <w:tl2br w:val="nil"/>
                    <w:tr2bl w:val="nil"/>
                  </w:tcBorders>
                  <w:noWrap w:val="0"/>
                  <w:vAlign w:val="center"/>
                </w:tcPr>
                <w:p w14:paraId="616A7D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592" w:type="pct"/>
                  <w:tcBorders>
                    <w:tl2br w:val="nil"/>
                    <w:tr2bl w:val="nil"/>
                  </w:tcBorders>
                  <w:noWrap w:val="0"/>
                  <w:vAlign w:val="center"/>
                </w:tcPr>
                <w:p w14:paraId="25C975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1358" w:type="pct"/>
                  <w:tcBorders>
                    <w:tl2br w:val="nil"/>
                    <w:tr2bl w:val="nil"/>
                  </w:tcBorders>
                  <w:noWrap w:val="0"/>
                  <w:vAlign w:val="center"/>
                </w:tcPr>
                <w:p w14:paraId="60919E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自然蒸发</w:t>
                  </w:r>
                </w:p>
              </w:tc>
            </w:tr>
            <w:tr w14:paraId="570D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361" w:type="pct"/>
                  <w:tcBorders>
                    <w:tl2br w:val="nil"/>
                    <w:tr2bl w:val="nil"/>
                  </w:tcBorders>
                  <w:noWrap w:val="0"/>
                  <w:vAlign w:val="center"/>
                </w:tcPr>
                <w:p w14:paraId="56DFB4B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977" w:type="pct"/>
                  <w:tcBorders>
                    <w:tl2br w:val="nil"/>
                    <w:tr2bl w:val="nil"/>
                  </w:tcBorders>
                  <w:noWrap w:val="0"/>
                  <w:vAlign w:val="center"/>
                </w:tcPr>
                <w:p w14:paraId="4A0EAF0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车辆冲洗用水</w:t>
                  </w:r>
                </w:p>
              </w:tc>
              <w:tc>
                <w:tcPr>
                  <w:tcW w:w="442" w:type="pct"/>
                  <w:tcBorders>
                    <w:tl2br w:val="nil"/>
                    <w:tr2bl w:val="nil"/>
                  </w:tcBorders>
                  <w:noWrap w:val="0"/>
                  <w:vAlign w:val="center"/>
                </w:tcPr>
                <w:p w14:paraId="6D68D36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0.76</w:t>
                  </w:r>
                </w:p>
              </w:tc>
              <w:tc>
                <w:tcPr>
                  <w:tcW w:w="592" w:type="pct"/>
                  <w:tcBorders>
                    <w:tl2br w:val="nil"/>
                    <w:tr2bl w:val="nil"/>
                  </w:tcBorders>
                  <w:noWrap w:val="0"/>
                  <w:vAlign w:val="center"/>
                </w:tcPr>
                <w:p w14:paraId="3C8FF52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0.76</w:t>
                  </w:r>
                </w:p>
              </w:tc>
              <w:tc>
                <w:tcPr>
                  <w:tcW w:w="675" w:type="pct"/>
                  <w:tcBorders>
                    <w:tl2br w:val="nil"/>
                    <w:tr2bl w:val="nil"/>
                  </w:tcBorders>
                  <w:noWrap w:val="0"/>
                  <w:vAlign w:val="center"/>
                </w:tcPr>
                <w:p w14:paraId="272B6B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592" w:type="pct"/>
                  <w:tcBorders>
                    <w:tl2br w:val="nil"/>
                    <w:tr2bl w:val="nil"/>
                  </w:tcBorders>
                  <w:noWrap w:val="0"/>
                  <w:vAlign w:val="center"/>
                </w:tcPr>
                <w:p w14:paraId="6AC5247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3.04</w:t>
                  </w:r>
                </w:p>
              </w:tc>
              <w:tc>
                <w:tcPr>
                  <w:tcW w:w="1358" w:type="pct"/>
                  <w:tcBorders>
                    <w:tl2br w:val="nil"/>
                    <w:tr2bl w:val="nil"/>
                  </w:tcBorders>
                  <w:noWrap w:val="0"/>
                  <w:vAlign w:val="center"/>
                </w:tcPr>
                <w:p w14:paraId="1199881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沉淀池收集沉淀后循环使用</w:t>
                  </w:r>
                </w:p>
              </w:tc>
            </w:tr>
            <w:tr w14:paraId="0C58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361" w:type="pct"/>
                  <w:tcBorders>
                    <w:bottom w:val="single" w:color="auto" w:sz="4" w:space="0"/>
                    <w:tl2br w:val="nil"/>
                    <w:tr2bl w:val="nil"/>
                  </w:tcBorders>
                  <w:noWrap w:val="0"/>
                  <w:vAlign w:val="center"/>
                </w:tcPr>
                <w:p w14:paraId="1DA748C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977" w:type="pct"/>
                  <w:tcBorders>
                    <w:bottom w:val="single" w:color="auto" w:sz="4" w:space="0"/>
                    <w:tl2br w:val="nil"/>
                    <w:tr2bl w:val="nil"/>
                  </w:tcBorders>
                  <w:noWrap w:val="0"/>
                  <w:vAlign w:val="center"/>
                </w:tcPr>
                <w:p w14:paraId="46F677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合计</w:t>
                  </w:r>
                </w:p>
              </w:tc>
              <w:tc>
                <w:tcPr>
                  <w:tcW w:w="442" w:type="pct"/>
                  <w:tcBorders>
                    <w:bottom w:val="single" w:color="auto" w:sz="4" w:space="0"/>
                    <w:tl2br w:val="nil"/>
                    <w:tr2bl w:val="nil"/>
                  </w:tcBorders>
                  <w:noWrap w:val="0"/>
                  <w:vAlign w:val="center"/>
                </w:tcPr>
                <w:p w14:paraId="01279A0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9.088</w:t>
                  </w:r>
                </w:p>
              </w:tc>
              <w:tc>
                <w:tcPr>
                  <w:tcW w:w="592" w:type="pct"/>
                  <w:tcBorders>
                    <w:bottom w:val="single" w:color="auto" w:sz="4" w:space="0"/>
                    <w:tl2br w:val="nil"/>
                    <w:tr2bl w:val="nil"/>
                  </w:tcBorders>
                  <w:noWrap w:val="0"/>
                  <w:vAlign w:val="center"/>
                </w:tcPr>
                <w:p w14:paraId="5441EAD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8.448</w:t>
                  </w:r>
                </w:p>
              </w:tc>
              <w:tc>
                <w:tcPr>
                  <w:tcW w:w="675" w:type="pct"/>
                  <w:tcBorders>
                    <w:bottom w:val="single" w:color="auto" w:sz="4" w:space="0"/>
                    <w:tl2br w:val="nil"/>
                    <w:tr2bl w:val="nil"/>
                  </w:tcBorders>
                  <w:noWrap w:val="0"/>
                  <w:vAlign w:val="center"/>
                </w:tcPr>
                <w:p w14:paraId="126499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0.64</w:t>
                  </w:r>
                </w:p>
              </w:tc>
              <w:tc>
                <w:tcPr>
                  <w:tcW w:w="592" w:type="pct"/>
                  <w:tcBorders>
                    <w:bottom w:val="single" w:color="auto" w:sz="4" w:space="0"/>
                    <w:tl2br w:val="nil"/>
                    <w:tr2bl w:val="nil"/>
                  </w:tcBorders>
                  <w:noWrap w:val="0"/>
                  <w:vAlign w:val="center"/>
                </w:tcPr>
                <w:p w14:paraId="3873861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3.04</w:t>
                  </w:r>
                </w:p>
              </w:tc>
              <w:tc>
                <w:tcPr>
                  <w:tcW w:w="1358" w:type="pct"/>
                  <w:tcBorders>
                    <w:bottom w:val="single" w:color="auto" w:sz="4" w:space="0"/>
                    <w:tl2br w:val="nil"/>
                    <w:tr2bl w:val="nil"/>
                  </w:tcBorders>
                  <w:noWrap w:val="0"/>
                  <w:vAlign w:val="center"/>
                </w:tcPr>
                <w:p w14:paraId="3476D6C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3660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361" w:type="pct"/>
                  <w:tcBorders>
                    <w:top w:val="single" w:color="auto" w:sz="4" w:space="0"/>
                    <w:left w:val="nil"/>
                    <w:bottom w:val="single" w:color="auto" w:sz="4" w:space="0"/>
                    <w:right w:val="nil"/>
                    <w:tl2br w:val="nil"/>
                    <w:tr2bl w:val="nil"/>
                  </w:tcBorders>
                  <w:noWrap w:val="0"/>
                  <w:vAlign w:val="center"/>
                </w:tcPr>
                <w:p w14:paraId="7D03608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77" w:type="pct"/>
                  <w:tcBorders>
                    <w:top w:val="single" w:color="auto" w:sz="4" w:space="0"/>
                    <w:left w:val="nil"/>
                    <w:bottom w:val="single" w:color="auto" w:sz="4" w:space="0"/>
                    <w:right w:val="nil"/>
                    <w:tl2br w:val="nil"/>
                    <w:tr2bl w:val="nil"/>
                  </w:tcBorders>
                  <w:noWrap w:val="0"/>
                  <w:vAlign w:val="center"/>
                </w:tcPr>
                <w:p w14:paraId="5AEBEF5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442" w:type="pct"/>
                  <w:tcBorders>
                    <w:top w:val="single" w:color="auto" w:sz="4" w:space="0"/>
                    <w:left w:val="nil"/>
                    <w:bottom w:val="single" w:color="auto" w:sz="4" w:space="0"/>
                    <w:right w:val="nil"/>
                    <w:tl2br w:val="nil"/>
                    <w:tr2bl w:val="nil"/>
                  </w:tcBorders>
                  <w:noWrap w:val="0"/>
                  <w:vAlign w:val="center"/>
                </w:tcPr>
                <w:p w14:paraId="1E4E767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92" w:type="pct"/>
                  <w:tcBorders>
                    <w:top w:val="single" w:color="auto" w:sz="4" w:space="0"/>
                    <w:left w:val="nil"/>
                    <w:bottom w:val="single" w:color="auto" w:sz="4" w:space="0"/>
                    <w:right w:val="nil"/>
                    <w:tl2br w:val="nil"/>
                    <w:tr2bl w:val="nil"/>
                  </w:tcBorders>
                  <w:noWrap w:val="0"/>
                  <w:vAlign w:val="center"/>
                </w:tcPr>
                <w:p w14:paraId="5BEEA44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5" w:type="pct"/>
                  <w:tcBorders>
                    <w:top w:val="single" w:color="auto" w:sz="4" w:space="0"/>
                    <w:left w:val="nil"/>
                    <w:bottom w:val="single" w:color="auto" w:sz="4" w:space="0"/>
                    <w:right w:val="nil"/>
                    <w:tl2br w:val="nil"/>
                    <w:tr2bl w:val="nil"/>
                  </w:tcBorders>
                  <w:noWrap w:val="0"/>
                  <w:vAlign w:val="center"/>
                </w:tcPr>
                <w:p w14:paraId="76C20C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92" w:type="pct"/>
                  <w:tcBorders>
                    <w:top w:val="single" w:color="auto" w:sz="4" w:space="0"/>
                    <w:left w:val="nil"/>
                    <w:bottom w:val="single" w:color="auto" w:sz="4" w:space="0"/>
                    <w:right w:val="nil"/>
                    <w:tl2br w:val="nil"/>
                    <w:tr2bl w:val="nil"/>
                  </w:tcBorders>
                  <w:noWrap w:val="0"/>
                  <w:vAlign w:val="center"/>
                </w:tcPr>
                <w:p w14:paraId="7426EF3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358" w:type="pct"/>
                  <w:tcBorders>
                    <w:top w:val="single" w:color="auto" w:sz="4" w:space="0"/>
                    <w:left w:val="nil"/>
                    <w:bottom w:val="single" w:color="auto" w:sz="4" w:space="0"/>
                    <w:right w:val="nil"/>
                    <w:tl2br w:val="nil"/>
                    <w:tr2bl w:val="nil"/>
                  </w:tcBorders>
                  <w:noWrap w:val="0"/>
                  <w:vAlign w:val="center"/>
                </w:tcPr>
                <w:p w14:paraId="746CD2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2A03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single" w:color="auto" w:sz="4" w:space="0"/>
                  </w:tcBorders>
                </w:tcPr>
                <w:p w14:paraId="55A33FE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szCs w:val="24"/>
                      <w:highlight w:val="none"/>
                      <w14:textFill>
                        <w14:solidFill>
                          <w14:schemeClr w14:val="tx1"/>
                        </w14:solidFill>
                      </w14:textFill>
                    </w:rPr>
                    <w:object>
                      <v:shape id="_x0000_i1025" o:spt="75" type="#_x0000_t75" style="height:234.25pt;width:361.25pt;" o:ole="t" filled="f" o:preferrelative="t" stroked="f" coordsize="21600,21600">
                        <v:path/>
                        <v:fill on="f" focussize="0,0"/>
                        <v:stroke on="f"/>
                        <v:imagedata r:id="rId13" o:title=""/>
                        <o:lock v:ext="edit" aspectratio="f"/>
                        <w10:wrap type="none"/>
                        <w10:anchorlock/>
                      </v:shape>
                      <o:OLEObject Type="Embed" ProgID="Visio.Drawing.15" ShapeID="_x0000_i1025" DrawAspect="Content" ObjectID="_1468075725" r:id="rId12">
                        <o:LockedField>false</o:LockedField>
                      </o:OLEObject>
                    </w:object>
                  </w:r>
                </w:p>
                <w:p w14:paraId="33C4ABF6">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图2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-1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项目</w:t>
                  </w:r>
                  <w:r>
                    <w:rPr>
                      <w:rFonts w:hint="default" w:ascii="Times New Roman" w:hAnsi="Times New Roman" w:cs="Times New Roman"/>
                      <w:color w:val="000000" w:themeColor="text1"/>
                      <w:highlight w:val="none"/>
                      <w:lang w:val="en-US"/>
                      <w14:textFill>
                        <w14:solidFill>
                          <w14:schemeClr w14:val="tx1"/>
                        </w14:solidFill>
                      </w14:textFill>
                    </w:rPr>
                    <w:t>水平</w:t>
                  </w:r>
                  <w:r>
                    <w:rPr>
                      <w:rFonts w:hint="default" w:ascii="Times New Roman" w:hAnsi="Times New Roman" w:cs="Times New Roman"/>
                      <w:color w:val="000000" w:themeColor="text1"/>
                      <w:highlight w:val="none"/>
                      <w14:textFill>
                        <w14:solidFill>
                          <w14:schemeClr w14:val="tx1"/>
                        </w14:solidFill>
                      </w14:textFill>
                    </w:rPr>
                    <w:t>衡图</w:t>
                  </w:r>
                </w:p>
              </w:tc>
            </w:tr>
          </w:tbl>
          <w:p w14:paraId="7249AEF9">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2.6总平面布置合理性分析</w:t>
            </w:r>
          </w:p>
          <w:p w14:paraId="7B85C890">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本项目按功能主要划分为生产</w:t>
            </w:r>
            <w:r>
              <w:rPr>
                <w:rFonts w:hint="default" w:ascii="Times New Roman" w:hAnsi="Times New Roman" w:cs="Times New Roman"/>
                <w:color w:val="000000" w:themeColor="text1"/>
                <w:highlight w:val="none"/>
                <w:lang w:val="en-US" w:eastAsia="zh-CN"/>
                <w14:textFill>
                  <w14:solidFill>
                    <w14:schemeClr w14:val="tx1"/>
                  </w14:solidFill>
                </w14:textFill>
              </w:rPr>
              <w:t>车间</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成品堆场、</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、柴油储存区、洗车平台</w:t>
            </w:r>
            <w:r>
              <w:rPr>
                <w:rFonts w:hint="default" w:ascii="Times New Roman" w:hAnsi="Times New Roman" w:cs="Times New Roman"/>
                <w:color w:val="000000" w:themeColor="text1"/>
                <w:highlight w:val="none"/>
                <w14:textFill>
                  <w14:solidFill>
                    <w14:schemeClr w14:val="tx1"/>
                  </w14:solidFill>
                </w14:textFill>
              </w:rPr>
              <w:t>。</w:t>
            </w:r>
          </w:p>
          <w:p w14:paraId="24C06FFA">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生产</w:t>
            </w:r>
            <w:r>
              <w:rPr>
                <w:rFonts w:hint="default" w:ascii="Times New Roman" w:hAnsi="Times New Roman" w:cs="Times New Roman"/>
                <w:color w:val="000000" w:themeColor="text1"/>
                <w:highlight w:val="none"/>
                <w:lang w:val="en-US" w:eastAsia="zh-CN"/>
                <w14:textFill>
                  <w14:solidFill>
                    <w14:schemeClr w14:val="tx1"/>
                  </w14:solidFill>
                </w14:textFill>
              </w:rPr>
              <w:t>车间占地面积2000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生产车间内设置</w:t>
            </w:r>
            <w:r>
              <w:rPr>
                <w:rFonts w:hint="default" w:ascii="Times New Roman" w:hAnsi="Times New Roman" w:cs="Times New Roman"/>
                <w:color w:val="000000" w:themeColor="text1"/>
                <w:highlight w:val="none"/>
                <w14:textFill>
                  <w14:solidFill>
                    <w14:schemeClr w14:val="tx1"/>
                  </w14:solidFill>
                </w14:textFill>
              </w:rPr>
              <w:t>破碎筛分</w:t>
            </w:r>
            <w:r>
              <w:rPr>
                <w:rFonts w:hint="default" w:ascii="Times New Roman" w:hAnsi="Times New Roman" w:cs="Times New Roman"/>
                <w:color w:val="000000" w:themeColor="text1"/>
                <w:highlight w:val="none"/>
                <w:lang w:val="en-US" w:eastAsia="zh-CN"/>
                <w14:textFill>
                  <w14:solidFill>
                    <w14:schemeClr w14:val="tx1"/>
                  </w14:solidFill>
                </w14:textFill>
              </w:rPr>
              <w:t>生产线1条；原料及成品堆场1个，占地面积500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生产车间外北侧设置</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、柴油储存区，柴油发电机放在柴油储存区，车辆冲洗平台设置在弃渣场进口处。缩短</w:t>
            </w:r>
            <w:r>
              <w:rPr>
                <w:rFonts w:hint="default" w:ascii="Times New Roman" w:hAnsi="Times New Roman" w:cs="Times New Roman"/>
                <w:color w:val="000000" w:themeColor="text1"/>
                <w:highlight w:val="none"/>
                <w14:textFill>
                  <w14:solidFill>
                    <w14:schemeClr w14:val="tx1"/>
                  </w14:solidFill>
                </w14:textFill>
              </w:rPr>
              <w:t>运输</w:t>
            </w:r>
            <w:r>
              <w:rPr>
                <w:rFonts w:hint="default" w:ascii="Times New Roman" w:hAnsi="Times New Roman" w:cs="Times New Roman"/>
                <w:color w:val="000000" w:themeColor="text1"/>
                <w:highlight w:val="none"/>
                <w:lang w:eastAsia="zh-CN"/>
                <w14:textFill>
                  <w14:solidFill>
                    <w14:schemeClr w14:val="tx1"/>
                  </w14:solidFill>
                </w14:textFill>
              </w:rPr>
              <w:t>距离</w:t>
            </w:r>
            <w:r>
              <w:rPr>
                <w:rFonts w:hint="default" w:ascii="Times New Roman" w:hAnsi="Times New Roman" w:cs="Times New Roman"/>
                <w:color w:val="000000" w:themeColor="text1"/>
                <w:highlight w:val="none"/>
                <w14:textFill>
                  <w14:solidFill>
                    <w14:schemeClr w14:val="tx1"/>
                  </w14:solidFill>
                </w14:textFill>
              </w:rPr>
              <w:t>，方便生产，在一定程度上能减少运输扬尘。</w:t>
            </w:r>
          </w:p>
          <w:p w14:paraId="65F0EC4B">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本项目为隧道弃渣砂石骨料加工项目，产尘单元主要为破碎、筛分、原料及成品堆场。项目平面布置充分结合区域风向特征进行布局：</w:t>
            </w:r>
          </w:p>
          <w:p w14:paraId="3C4195BF">
            <w:pPr>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1.产尘单元布局与主导风向匹配分析</w:t>
            </w:r>
          </w:p>
          <w:p w14:paraId="68012D64">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项目破碎筛分生产区、原料堆存区等主要产尘设施布置在厂区主导风向（东南风）的下风向，生产产生的粉尘受主导风作用向厂区西北侧扩散，最大程度减少生产粉尘对厂区内工作人员的环境影响。</w:t>
            </w:r>
          </w:p>
          <w:p w14:paraId="2A438B7E">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2.对外环境敏感点的布局合理性</w:t>
            </w:r>
          </w:p>
          <w:p w14:paraId="1E5BA3B9">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评价范围内无居民区等环境敏感目标，周边主要为戈壁草地。项目主要产尘设施避开主导风上风向，下风向方向无集中生态敏感保护目标；同时原料、成品堆场设置封闭围挡、喷淋抑尘，破碎筛分设备设置密闭集气除尘设施，进一步降低无组织粉尘向外环境扩散风险。</w:t>
            </w:r>
          </w:p>
          <w:p w14:paraId="2314AA7B">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3.物流、工艺布局合理性</w:t>
            </w:r>
          </w:p>
          <w:p w14:paraId="371E942D">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厂区按照工艺流程顺序布置：原料进厂→破碎→筛分→成品骨料堆存，物料运输流程顺畅，物料转运距离短，减少物料二次装卸带来的扬尘；厂区出入口与外部道路衔接，减少噪声、扬尘干扰。</w:t>
            </w:r>
          </w:p>
          <w:p w14:paraId="72D8D499">
            <w:pPr>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依据《建筑设计防火规范（2018版）》（GB50016-2014）、《砂石骨料工厂设计规范》（GB/T 51331-2018）开展防火及安全距离分析。本项目破碎筛分车间、砂石堆场为戊类不燃建构筑物，各建构筑物之间防火间距满足规范限值；厂区设置满足消防车通行的消防通道，车间、配电区域配置干粉灭火器等消防设施。结合区域风玫瑰，厂内值班室布置于最小风频侧，与产尘生产区预留卫生防护距离；厂界外无居民点等敏感目标；配电室、物料堆场安全防护距离符合生产安全要求。综上，项目防火间距、安全防护距离符合相关规范。</w:t>
            </w:r>
          </w:p>
          <w:p w14:paraId="34F0E98A">
            <w:pPr>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综上，项目总平面布置充分考虑本地区风频特征，主要产尘单元与办公生活区相对位置符合气象防护要求，工艺流程顺畅、人货分流，环保设施配套位置合理，项目平面布置总体合理。</w:t>
            </w:r>
            <w:r>
              <w:rPr>
                <w:rFonts w:hint="default" w:ascii="Times New Roman" w:hAnsi="Times New Roman" w:cs="Times New Roman"/>
                <w:color w:val="000000" w:themeColor="text1"/>
                <w:highlight w:val="none"/>
                <w14:textFill>
                  <w14:solidFill>
                    <w14:schemeClr w14:val="tx1"/>
                  </w14:solidFill>
                </w14:textFill>
              </w:rPr>
              <w:t>项目总平面</w:t>
            </w:r>
            <w:r>
              <w:rPr>
                <w:rFonts w:hint="default" w:ascii="Times New Roman" w:hAnsi="Times New Roman" w:cs="Times New Roman"/>
                <w:color w:val="000000" w:themeColor="text1"/>
                <w:highlight w:val="none"/>
                <w:lang w:val="en-US" w:eastAsia="zh-CN"/>
                <w14:textFill>
                  <w14:solidFill>
                    <w14:schemeClr w14:val="tx1"/>
                  </w14:solidFill>
                </w14:textFill>
              </w:rPr>
              <w:t>布置</w:t>
            </w:r>
            <w:r>
              <w:rPr>
                <w:rFonts w:hint="default" w:ascii="Times New Roman" w:hAnsi="Times New Roman" w:cs="Times New Roman"/>
                <w:color w:val="000000" w:themeColor="text1"/>
                <w:highlight w:val="none"/>
                <w14:textFill>
                  <w14:solidFill>
                    <w14:schemeClr w14:val="tx1"/>
                  </w14:solidFill>
                </w14:textFill>
              </w:rPr>
              <w:t>图详见附图</w:t>
            </w:r>
            <w:r>
              <w:rPr>
                <w:rFonts w:hint="default" w:ascii="Times New Roman" w:hAnsi="Times New Roman" w:cs="Times New Roman"/>
                <w:color w:val="000000" w:themeColor="text1"/>
                <w:highlight w:val="none"/>
                <w:lang w:val="en-US" w:eastAsia="zh-CN"/>
                <w14:textFill>
                  <w14:solidFill>
                    <w14:schemeClr w14:val="tx1"/>
                  </w14:solidFill>
                </w14:textFill>
              </w:rPr>
              <w:t>4，周边环境关系图见附图5</w:t>
            </w:r>
            <w:r>
              <w:rPr>
                <w:rFonts w:hint="default" w:ascii="Times New Roman" w:hAnsi="Times New Roman" w:cs="Times New Roman"/>
                <w:color w:val="000000" w:themeColor="text1"/>
                <w:highlight w:val="none"/>
                <w14:textFill>
                  <w14:solidFill>
                    <w14:schemeClr w14:val="tx1"/>
                  </w14:solidFill>
                </w14:textFill>
              </w:rPr>
              <w:t>。</w:t>
            </w:r>
          </w:p>
          <w:p w14:paraId="34099342">
            <w:pPr>
              <w:pStyle w:val="8"/>
              <w:keepNext w:val="0"/>
              <w:keepLines w:val="0"/>
              <w:pageBreakBefore w:val="0"/>
              <w:widowControl/>
              <w:kinsoku/>
              <w:wordWrap/>
              <w:overflowPunct/>
              <w:topLinePunct w:val="0"/>
              <w:autoSpaceDE/>
              <w:autoSpaceDN/>
              <w:bidi w:val="0"/>
              <w:adjustRightInd w:val="0"/>
              <w:snapToGrid w:val="0"/>
              <w:spacing w:after="0"/>
              <w:ind w:left="0" w:leftChars="0" w:firstLine="0" w:firstLineChars="0"/>
              <w:textAlignment w:val="auto"/>
              <w:rPr>
                <w:rFonts w:hint="eastAsia" w:ascii="Times New Roman" w:hAnsi="Times New Roman" w:cs="Times New Roman"/>
                <w:b/>
                <w:bCs/>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2.7工程占地和土石方平衡</w:t>
            </w:r>
          </w:p>
          <w:p w14:paraId="3F4DDA86">
            <w:pPr>
              <w:pStyle w:val="8"/>
              <w:keepNext w:val="0"/>
              <w:keepLines w:val="0"/>
              <w:pageBreakBefore w:val="0"/>
              <w:widowControl/>
              <w:kinsoku/>
              <w:wordWrap/>
              <w:overflowPunct/>
              <w:topLinePunct w:val="0"/>
              <w:autoSpaceDE/>
              <w:autoSpaceDN/>
              <w:bidi w:val="0"/>
              <w:adjustRightInd w:val="0"/>
              <w:snapToGrid w:val="0"/>
              <w:spacing w:after="0"/>
              <w:ind w:left="0" w:leftChars="0"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项目加工原料为新建伊阿铁路隧道开挖产生的隧道废石，属于伊阿铁路主体工程产生的弃方，由铁路项目运至本弃渣场内堆存，不属于本项目开挖产生土石方。</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弃渣场占地面积63327m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2</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（95亩），设计堆放弃渣144.9万m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，目前已堆放约50万m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cs="Times New Roman"/>
                <w:snapToGrid w:val="0"/>
                <w:color w:val="000000" w:themeColor="text1"/>
                <w:kern w:val="0"/>
                <w:sz w:val="24"/>
                <w:szCs w:val="24"/>
                <w:highlight w:val="none"/>
                <w:vertAlign w:val="baseli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占地面积</w:t>
            </w:r>
            <w:r>
              <w:rPr>
                <w:rFonts w:hint="default" w:ascii="Times New Roman" w:hAnsi="Times New Roman" w:cs="Times New Roman"/>
                <w:color w:val="000000" w:themeColor="text1"/>
                <w:highlight w:val="none"/>
                <w:lang w:val="en-US" w:eastAsia="zh-CN"/>
                <w14:textFill>
                  <w14:solidFill>
                    <w14:schemeClr w14:val="tx1"/>
                  </w14:solidFill>
                </w14:textFill>
              </w:rPr>
              <w:t>4189m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。生产线全部布置在已批复的伊阿铁路独库公路左侧渣场1弃渣场用地范围内，不新增弃渣场外征地，不开采石料、不新开挖山体，不占用生态保护红线、永久基本农田。本项目</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仅对场内已堆存的隧道弃渣进行破碎、筛分加工，不新开采石料、不新开挖山体</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，本项目年处置</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隧道废石量65700t/a</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（密度按1.7t/m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计，38647m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，经破碎筛分加工后产出成品砂石骨料46000t/a</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（密度按1.7t/m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计，27058m</w:t>
            </w:r>
            <w:r>
              <w:rPr>
                <w:rFonts w:hint="eastAsia" w:ascii="Times New Roman" w:hAnsi="Times New Roman"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回供伊阿铁路工程；</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剩余弃渣及不合格产品暂存于弃渣场</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，服务期满后</w:t>
            </w:r>
            <w:r>
              <w:rPr>
                <w:rFonts w:hint="eastAsia"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对弃渣场进行生态修复</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p>
          <w:p w14:paraId="2F0DADEE">
            <w:pPr>
              <w:pStyle w:val="8"/>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b/>
                <w:snapToGrid w:val="0"/>
                <w:color w:val="000000" w:themeColor="text1"/>
                <w:kern w:val="0"/>
                <w:sz w:val="21"/>
                <w:szCs w:val="21"/>
                <w:highlight w:val="none"/>
                <w:lang w:val="en-US" w:eastAsia="zh-CN" w:bidi="ar-SA"/>
                <w14:textFill>
                  <w14:solidFill>
                    <w14:schemeClr w14:val="tx1"/>
                  </w14:solidFill>
                </w14:textFill>
                <w14:ligatures w14:val="none"/>
              </w:rPr>
            </w:pPr>
            <w:r>
              <w:rPr>
                <w:rFonts w:hint="eastAsia" w:ascii="Times New Roman" w:hAnsi="Times New Roman" w:cs="Times New Roman"/>
                <w:b/>
                <w:snapToGrid w:val="0"/>
                <w:color w:val="000000" w:themeColor="text1"/>
                <w:kern w:val="0"/>
                <w:sz w:val="21"/>
                <w:szCs w:val="21"/>
                <w:highlight w:val="none"/>
                <w:lang w:val="en-US" w:eastAsia="zh-CN" w:bidi="ar-SA"/>
                <w14:textFill>
                  <w14:solidFill>
                    <w14:schemeClr w14:val="tx1"/>
                  </w14:solidFill>
                </w14:textFill>
                <w14:ligatures w14:val="none"/>
              </w:rPr>
              <w:t>2.7-1项目占地情况一览表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382"/>
              <w:gridCol w:w="1905"/>
              <w:gridCol w:w="2864"/>
              <w:gridCol w:w="1431"/>
            </w:tblGrid>
            <w:tr w14:paraId="173F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6B64F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1402" w:type="dxa"/>
                  <w:noWrap w:val="0"/>
                  <w:vAlign w:val="center"/>
                </w:tcPr>
                <w:p w14:paraId="05DAB95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项目名称</w:t>
                  </w:r>
                </w:p>
              </w:tc>
              <w:tc>
                <w:tcPr>
                  <w:tcW w:w="1932" w:type="dxa"/>
                  <w:noWrap w:val="0"/>
                  <w:vAlign w:val="center"/>
                </w:tcPr>
                <w:p w14:paraId="7C45FE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占地面积（m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904" w:type="dxa"/>
                  <w:noWrap w:val="0"/>
                  <w:vAlign w:val="center"/>
                </w:tcPr>
                <w:p w14:paraId="2894EDD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土地利用类型</w:t>
                  </w:r>
                </w:p>
              </w:tc>
              <w:tc>
                <w:tcPr>
                  <w:tcW w:w="1451" w:type="dxa"/>
                  <w:noWrap w:val="0"/>
                  <w:vAlign w:val="center"/>
                </w:tcPr>
                <w:p w14:paraId="7C854A7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草地等级</w:t>
                  </w:r>
                </w:p>
              </w:tc>
            </w:tr>
            <w:tr w14:paraId="7403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4A6B684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1402" w:type="dxa"/>
                  <w:noWrap w:val="0"/>
                  <w:vAlign w:val="center"/>
                </w:tcPr>
                <w:p w14:paraId="3752918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生产车间</w:t>
                  </w:r>
                </w:p>
              </w:tc>
              <w:tc>
                <w:tcPr>
                  <w:tcW w:w="1932" w:type="dxa"/>
                  <w:noWrap w:val="0"/>
                  <w:vAlign w:val="center"/>
                </w:tcPr>
                <w:p w14:paraId="14C613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2000</w:t>
                  </w:r>
                </w:p>
              </w:tc>
              <w:tc>
                <w:tcPr>
                  <w:tcW w:w="2904" w:type="dxa"/>
                  <w:noWrap w:val="0"/>
                  <w:vAlign w:val="center"/>
                </w:tcPr>
                <w:p w14:paraId="441F3F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2ABED32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4B5D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0DF13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1402" w:type="dxa"/>
                  <w:noWrap w:val="0"/>
                  <w:vAlign w:val="center"/>
                </w:tcPr>
                <w:p w14:paraId="24A21A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原料及成品堆场</w:t>
                  </w:r>
                </w:p>
              </w:tc>
              <w:tc>
                <w:tcPr>
                  <w:tcW w:w="1932" w:type="dxa"/>
                  <w:noWrap w:val="0"/>
                  <w:vAlign w:val="center"/>
                </w:tcPr>
                <w:p w14:paraId="09834A0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w:t>
                  </w:r>
                </w:p>
              </w:tc>
              <w:tc>
                <w:tcPr>
                  <w:tcW w:w="2904" w:type="dxa"/>
                  <w:noWrap w:val="0"/>
                  <w:vAlign w:val="center"/>
                </w:tcPr>
                <w:p w14:paraId="261187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7E3833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033E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66DA43E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1402" w:type="dxa"/>
                  <w:noWrap w:val="0"/>
                  <w:vAlign w:val="center"/>
                </w:tcPr>
                <w:p w14:paraId="44EA172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c>
                <w:tcPr>
                  <w:tcW w:w="1932" w:type="dxa"/>
                  <w:noWrap w:val="0"/>
                  <w:vAlign w:val="center"/>
                </w:tcPr>
                <w:p w14:paraId="323C17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2904" w:type="dxa"/>
                  <w:noWrap w:val="0"/>
                  <w:vAlign w:val="center"/>
                </w:tcPr>
                <w:p w14:paraId="1342368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341D07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6FC3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4334035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1402" w:type="dxa"/>
                  <w:noWrap w:val="0"/>
                  <w:vAlign w:val="center"/>
                </w:tcPr>
                <w:p w14:paraId="5E8037C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柴油储存区</w:t>
                  </w:r>
                </w:p>
              </w:tc>
              <w:tc>
                <w:tcPr>
                  <w:tcW w:w="1932" w:type="dxa"/>
                  <w:noWrap w:val="0"/>
                  <w:vAlign w:val="center"/>
                </w:tcPr>
                <w:p w14:paraId="3A1262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2904" w:type="dxa"/>
                  <w:noWrap w:val="0"/>
                  <w:vAlign w:val="center"/>
                </w:tcPr>
                <w:p w14:paraId="32005A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5AAE60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7F0F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102D66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1402" w:type="dxa"/>
                  <w:noWrap w:val="0"/>
                  <w:vAlign w:val="center"/>
                </w:tcPr>
                <w:p w14:paraId="58732C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洗车平台</w:t>
                  </w:r>
                </w:p>
              </w:tc>
              <w:tc>
                <w:tcPr>
                  <w:tcW w:w="1932" w:type="dxa"/>
                  <w:noWrap w:val="0"/>
                  <w:vAlign w:val="center"/>
                </w:tcPr>
                <w:p w14:paraId="066FBD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w:t>
                  </w:r>
                </w:p>
              </w:tc>
              <w:tc>
                <w:tcPr>
                  <w:tcW w:w="2904" w:type="dxa"/>
                  <w:noWrap w:val="0"/>
                  <w:vAlign w:val="center"/>
                </w:tcPr>
                <w:p w14:paraId="275C5E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6962380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5E8D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7261317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1402" w:type="dxa"/>
                  <w:noWrap w:val="0"/>
                  <w:vAlign w:val="center"/>
                </w:tcPr>
                <w:p w14:paraId="24D278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运输道路</w:t>
                  </w:r>
                </w:p>
              </w:tc>
              <w:tc>
                <w:tcPr>
                  <w:tcW w:w="1932" w:type="dxa"/>
                  <w:noWrap w:val="0"/>
                  <w:vAlign w:val="center"/>
                </w:tcPr>
                <w:p w14:paraId="552988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1364</w:t>
                  </w:r>
                </w:p>
              </w:tc>
              <w:tc>
                <w:tcPr>
                  <w:tcW w:w="2904" w:type="dxa"/>
                  <w:noWrap w:val="0"/>
                  <w:vAlign w:val="center"/>
                </w:tcPr>
                <w:p w14:paraId="5405AC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335D1B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27AA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03A9996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1402" w:type="dxa"/>
                  <w:noWrap w:val="0"/>
                  <w:vAlign w:val="center"/>
                </w:tcPr>
                <w:p w14:paraId="0511F13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办公用房</w:t>
                  </w:r>
                </w:p>
              </w:tc>
              <w:tc>
                <w:tcPr>
                  <w:tcW w:w="1932" w:type="dxa"/>
                  <w:noWrap w:val="0"/>
                  <w:vAlign w:val="center"/>
                </w:tcPr>
                <w:p w14:paraId="058E713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200</w:t>
                  </w:r>
                </w:p>
              </w:tc>
              <w:tc>
                <w:tcPr>
                  <w:tcW w:w="2904" w:type="dxa"/>
                  <w:noWrap w:val="0"/>
                  <w:vAlign w:val="center"/>
                </w:tcPr>
                <w:p w14:paraId="50674B4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500B37F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1646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046DB5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1402" w:type="dxa"/>
                  <w:noWrap w:val="0"/>
                  <w:vAlign w:val="center"/>
                </w:tcPr>
                <w:p w14:paraId="79DAE4E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配电房</w:t>
                  </w:r>
                </w:p>
              </w:tc>
              <w:tc>
                <w:tcPr>
                  <w:tcW w:w="1932" w:type="dxa"/>
                  <w:noWrap w:val="0"/>
                  <w:vAlign w:val="center"/>
                </w:tcPr>
                <w:p w14:paraId="0FAE0AA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2904" w:type="dxa"/>
                  <w:noWrap w:val="0"/>
                  <w:vAlign w:val="center"/>
                </w:tcPr>
                <w:p w14:paraId="2AAD4A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737BB4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19C1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0CD26EA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w:t>
                  </w:r>
                </w:p>
              </w:tc>
              <w:tc>
                <w:tcPr>
                  <w:tcW w:w="1402" w:type="dxa"/>
                  <w:noWrap w:val="0"/>
                  <w:vAlign w:val="center"/>
                </w:tcPr>
                <w:p w14:paraId="10BB16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合计</w:t>
                  </w:r>
                </w:p>
              </w:tc>
              <w:tc>
                <w:tcPr>
                  <w:tcW w:w="1932" w:type="dxa"/>
                  <w:noWrap w:val="0"/>
                  <w:vAlign w:val="center"/>
                </w:tcPr>
                <w:p w14:paraId="7165B0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4189</w:t>
                  </w:r>
                </w:p>
              </w:tc>
              <w:tc>
                <w:tcPr>
                  <w:tcW w:w="2904" w:type="dxa"/>
                  <w:noWrap w:val="0"/>
                  <w:vAlign w:val="center"/>
                </w:tcPr>
                <w:p w14:paraId="302A230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2BB059C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5730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0" w:type="dxa"/>
                  <w:gridSpan w:val="5"/>
                  <w:noWrap w:val="0"/>
                  <w:vAlign w:val="center"/>
                </w:tcPr>
                <w:p w14:paraId="1B4D12F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sz w:val="13"/>
                      <w:szCs w:val="13"/>
                      <w:highlight w:val="none"/>
                      <w:lang w:val="en-US" w:eastAsia="zh-CN"/>
                      <w14:textFill>
                        <w14:solidFill>
                          <w14:schemeClr w14:val="tx1"/>
                        </w14:solidFill>
                      </w14:textFill>
                    </w:rPr>
                    <w:t>弃渣场已堆放弃渣，本项目是对弃渣进行处置。拟建地面布局面积4189m</w:t>
                  </w:r>
                  <w:r>
                    <w:rPr>
                      <w:rFonts w:hint="default" w:ascii="Times New Roman" w:hAnsi="Times New Roman" w:cs="Times New Roman"/>
                      <w:color w:val="000000" w:themeColor="text1"/>
                      <w:sz w:val="13"/>
                      <w:szCs w:val="13"/>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13"/>
                      <w:szCs w:val="13"/>
                      <w:highlight w:val="none"/>
                      <w:lang w:val="en-US" w:eastAsia="zh-CN"/>
                      <w14:textFill>
                        <w14:solidFill>
                          <w14:schemeClr w14:val="tx1"/>
                        </w14:solidFill>
                      </w14:textFill>
                    </w:rPr>
                    <w:t>，拟建设施全部位于弃渣场内。</w:t>
                  </w:r>
                </w:p>
              </w:tc>
            </w:tr>
          </w:tbl>
          <w:p w14:paraId="1C13FE50">
            <w:pPr>
              <w:pStyle w:val="8"/>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snapToGrid w:val="0"/>
                <w:color w:val="000000" w:themeColor="text1"/>
                <w:kern w:val="0"/>
                <w:sz w:val="21"/>
                <w:szCs w:val="21"/>
                <w:highlight w:val="none"/>
                <w:lang w:val="en-US" w:eastAsia="zh-CN" w:bidi="ar-SA"/>
                <w14:textFill>
                  <w14:solidFill>
                    <w14:schemeClr w14:val="tx1"/>
                  </w14:solidFill>
                </w14:textFill>
                <w14:ligatures w14:val="none"/>
              </w:rPr>
              <w:t>表2.7‑</w:t>
            </w:r>
            <w:r>
              <w:rPr>
                <w:rFonts w:hint="eastAsia" w:ascii="Times New Roman" w:hAnsi="Times New Roman" w:cs="Times New Roman"/>
                <w:b/>
                <w:snapToGrid w:val="0"/>
                <w:color w:val="000000" w:themeColor="text1"/>
                <w:kern w:val="0"/>
                <w:sz w:val="21"/>
                <w:szCs w:val="21"/>
                <w:highlight w:val="none"/>
                <w:lang w:val="en-US" w:eastAsia="zh-CN" w:bidi="ar-SA"/>
                <w14:textFill>
                  <w14:solidFill>
                    <w14:schemeClr w14:val="tx1"/>
                  </w14:solidFill>
                </w14:textFill>
                <w14:ligatures w14:val="none"/>
              </w:rPr>
              <w:t xml:space="preserve">2  </w:t>
            </w:r>
            <w:r>
              <w:rPr>
                <w:rFonts w:hint="default" w:ascii="Times New Roman" w:hAnsi="Times New Roman" w:eastAsia="宋体" w:cs="Times New Roman"/>
                <w:b/>
                <w:snapToGrid w:val="0"/>
                <w:color w:val="000000" w:themeColor="text1"/>
                <w:kern w:val="0"/>
                <w:sz w:val="21"/>
                <w:szCs w:val="21"/>
                <w:highlight w:val="none"/>
                <w:lang w:val="en-US" w:eastAsia="zh-CN" w:bidi="ar-SA"/>
                <w14:textFill>
                  <w14:solidFill>
                    <w14:schemeClr w14:val="tx1"/>
                  </w14:solidFill>
                </w14:textFill>
                <w14:ligatures w14:val="none"/>
              </w:rPr>
              <w:t xml:space="preserve"> 项目土石方平衡表（单位：m³，自然方）</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68"/>
              <w:gridCol w:w="2069"/>
              <w:gridCol w:w="2069"/>
            </w:tblGrid>
            <w:tr w14:paraId="3FF0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67" w:type="dxa"/>
                  <w:vAlign w:val="center"/>
                </w:tcPr>
                <w:p w14:paraId="4C43626F">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土石方</w:t>
                  </w:r>
                </w:p>
              </w:tc>
              <w:tc>
                <w:tcPr>
                  <w:tcW w:w="2068" w:type="dxa"/>
                  <w:vAlign w:val="center"/>
                </w:tcPr>
                <w:p w14:paraId="4D3092BA">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挖方</w:t>
                  </w:r>
                </w:p>
              </w:tc>
              <w:tc>
                <w:tcPr>
                  <w:tcW w:w="2069" w:type="dxa"/>
                  <w:vAlign w:val="center"/>
                </w:tcPr>
                <w:p w14:paraId="5058C9C9">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填方</w:t>
                  </w:r>
                </w:p>
              </w:tc>
              <w:tc>
                <w:tcPr>
                  <w:tcW w:w="2069" w:type="dxa"/>
                  <w:vAlign w:val="center"/>
                </w:tcPr>
                <w:p w14:paraId="71D8F32E">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借方</w:t>
                  </w:r>
                </w:p>
              </w:tc>
            </w:tr>
            <w:tr w14:paraId="07DA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7" w:type="dxa"/>
                  <w:vAlign w:val="center"/>
                </w:tcPr>
                <w:p w14:paraId="6127A5B9">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场地平整</w:t>
                  </w:r>
                </w:p>
              </w:tc>
              <w:tc>
                <w:tcPr>
                  <w:tcW w:w="2068" w:type="dxa"/>
                  <w:vAlign w:val="center"/>
                </w:tcPr>
                <w:p w14:paraId="28AD653F">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120</w:t>
                  </w:r>
                </w:p>
              </w:tc>
              <w:tc>
                <w:tcPr>
                  <w:tcW w:w="2069" w:type="dxa"/>
                  <w:vAlign w:val="center"/>
                </w:tcPr>
                <w:p w14:paraId="5AD749AD">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120</w:t>
                  </w:r>
                </w:p>
              </w:tc>
              <w:tc>
                <w:tcPr>
                  <w:tcW w:w="2069" w:type="dxa"/>
                  <w:vAlign w:val="center"/>
                </w:tcPr>
                <w:p w14:paraId="660CE963">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r>
            <w:tr w14:paraId="4F26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7" w:type="dxa"/>
                  <w:vAlign w:val="center"/>
                </w:tcPr>
                <w:p w14:paraId="316F51AD">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道路表土剥离</w:t>
                  </w:r>
                </w:p>
              </w:tc>
              <w:tc>
                <w:tcPr>
                  <w:tcW w:w="2068" w:type="dxa"/>
                  <w:vAlign w:val="center"/>
                </w:tcPr>
                <w:p w14:paraId="2DDB89F8">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80</w:t>
                  </w:r>
                </w:p>
              </w:tc>
              <w:tc>
                <w:tcPr>
                  <w:tcW w:w="2069" w:type="dxa"/>
                  <w:vAlign w:val="center"/>
                </w:tcPr>
                <w:p w14:paraId="18907D01">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80</w:t>
                  </w:r>
                </w:p>
              </w:tc>
              <w:tc>
                <w:tcPr>
                  <w:tcW w:w="2069" w:type="dxa"/>
                  <w:vAlign w:val="center"/>
                </w:tcPr>
                <w:p w14:paraId="24B6C9E5">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r>
            <w:tr w14:paraId="2B48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3" w:type="dxa"/>
                  <w:gridSpan w:val="4"/>
                  <w:vAlign w:val="center"/>
                </w:tcPr>
                <w:p w14:paraId="6D6B5268">
                  <w:pPr>
                    <w:pStyle w:val="8"/>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15"/>
                      <w:szCs w:val="15"/>
                      <w:highlight w:val="none"/>
                      <w14:textFill>
                        <w14:solidFill>
                          <w14:schemeClr w14:val="tx1"/>
                        </w14:solidFill>
                      </w14:textFill>
                    </w:rPr>
                    <w:t>说明：本项目运营期处理的隧道弃渣为伊阿铁路主体工程产生，不计入本项目土石方挖填平衡，仅作为生产原料；本项目自身无外借土石方，无向外排放土石方。</w:t>
                  </w:r>
                </w:p>
              </w:tc>
            </w:tr>
          </w:tbl>
          <w:p w14:paraId="4CCB3F3E">
            <w:pPr>
              <w:pStyle w:val="8"/>
              <w:keepNext w:val="0"/>
              <w:keepLines w:val="0"/>
              <w:pageBreakBefore w:val="0"/>
              <w:widowControl/>
              <w:kinsoku/>
              <w:wordWrap/>
              <w:overflowPunct/>
              <w:topLinePunct w:val="0"/>
              <w:autoSpaceDE/>
              <w:autoSpaceDN/>
              <w:bidi w:val="0"/>
              <w:adjustRightInd w:val="0"/>
              <w:snapToGrid w:val="0"/>
              <w:spacing w:after="0"/>
              <w:ind w:left="0" w:leftChars="0"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p>
        </w:tc>
      </w:tr>
      <w:tr w14:paraId="6F581F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85" w:type="dxa"/>
            <w:vAlign w:val="center"/>
          </w:tcPr>
          <w:p w14:paraId="5979E69F">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w:t>
            </w:r>
            <w:r>
              <w:rPr>
                <w:rFonts w:hint="eastAsia" w:cs="Times New Roman"/>
                <w:color w:val="000000" w:themeColor="text1"/>
                <w:highlight w:val="none"/>
                <w:lang w:val="en-US" w:eastAsia="zh-CN"/>
                <w14:textFill>
                  <w14:solidFill>
                    <w14:schemeClr w14:val="tx1"/>
                  </w14:solidFill>
                </w14:textFill>
              </w:rPr>
              <w:t>工</w:t>
            </w:r>
            <w:r>
              <w:rPr>
                <w:rFonts w:hint="default" w:ascii="Times New Roman" w:hAnsi="Times New Roman" w:cs="Times New Roman"/>
                <w:color w:val="000000" w:themeColor="text1"/>
                <w:highlight w:val="none"/>
                <w14:textFill>
                  <w14:solidFill>
                    <w14:schemeClr w14:val="tx1"/>
                  </w14:solidFill>
                </w14:textFill>
              </w:rPr>
              <w:t>艺流程和产排污环节</w:t>
            </w:r>
          </w:p>
        </w:tc>
        <w:tc>
          <w:tcPr>
            <w:tcW w:w="8499" w:type="dxa"/>
          </w:tcPr>
          <w:p w14:paraId="33CBCAC2">
            <w:pPr>
              <w:ind w:left="0" w:leftChars="0" w:firstLine="0" w:firstLineChars="0"/>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2.</w:t>
            </w:r>
            <w:r>
              <w:rPr>
                <w:rFonts w:hint="eastAsia" w:cs="Times New Roman"/>
                <w:b/>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b/>
                <w:color w:val="000000" w:themeColor="text1"/>
                <w:highlight w:val="none"/>
                <w14:textFill>
                  <w14:solidFill>
                    <w14:schemeClr w14:val="tx1"/>
                  </w14:solidFill>
                </w14:textFill>
              </w:rPr>
              <w:t>施工期</w:t>
            </w:r>
          </w:p>
          <w:p w14:paraId="47CB8785">
            <w:pPr>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本项目</w:t>
            </w:r>
            <w:r>
              <w:rPr>
                <w:rFonts w:hint="default" w:ascii="Times New Roman" w:hAnsi="Times New Roman" w:cs="Times New Roman"/>
                <w:bCs/>
                <w:color w:val="000000" w:themeColor="text1"/>
                <w:highlight w:val="none"/>
                <w:lang w:val="en-US" w:eastAsia="zh-CN"/>
                <w14:textFill>
                  <w14:solidFill>
                    <w14:schemeClr w14:val="tx1"/>
                  </w14:solidFill>
                </w14:textFill>
              </w:rPr>
              <w:t>基础工程施工方案及产排污环节见下图</w:t>
            </w:r>
            <w:r>
              <w:rPr>
                <w:rFonts w:hint="default" w:ascii="Times New Roman" w:hAnsi="Times New Roman" w:eastAsia="宋体" w:cs="Times New Roman"/>
                <w:bCs/>
                <w:color w:val="000000" w:themeColor="text1"/>
                <w:highlight w:val="none"/>
                <w14:textFill>
                  <w14:solidFill>
                    <w14:schemeClr w14:val="tx1"/>
                  </w14:solidFill>
                </w14:textFill>
              </w:rPr>
              <w:t>。</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3"/>
            </w:tblGrid>
            <w:tr w14:paraId="548F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3" w:type="dxa"/>
                  <w:vAlign w:val="center"/>
                </w:tcPr>
                <w:p w14:paraId="27AAEBDB">
                  <w:pPr>
                    <w:jc w:val="center"/>
                    <w:rPr>
                      <w:rFonts w:hint="default" w:ascii="Times New Roman" w:hAnsi="Times New Roman" w:eastAsia="宋体" w:cs="Times New Roman"/>
                      <w:bCs/>
                      <w:color w:val="000000" w:themeColor="text1"/>
                      <w:highlight w:val="none"/>
                      <w:vertAlign w:val="baseline"/>
                      <w14:textFill>
                        <w14:solidFill>
                          <w14:schemeClr w14:val="tx1"/>
                        </w14:solidFill>
                      </w14:textFill>
                    </w:rPr>
                  </w:pPr>
                  <w:r>
                    <w:rPr>
                      <w:rStyle w:val="25"/>
                      <w:rFonts w:hint="default" w:ascii="Times New Roman" w:hAnsi="Times New Roman" w:cs="Times New Roman"/>
                      <w:color w:val="000000" w:themeColor="text1"/>
                      <w:highlight w:val="none"/>
                      <w14:textFill>
                        <w14:solidFill>
                          <w14:schemeClr w14:val="tx1"/>
                        </w14:solidFill>
                      </w14:textFill>
                    </w:rPr>
                    <w:t>图2.</w:t>
                  </w:r>
                  <w:r>
                    <w:rPr>
                      <w:rStyle w:val="25"/>
                      <w:rFonts w:hint="eastAsia" w:cs="Times New Roman"/>
                      <w:color w:val="000000" w:themeColor="text1"/>
                      <w:highlight w:val="none"/>
                      <w:lang w:val="en-US" w:eastAsia="zh-CN"/>
                      <w14:textFill>
                        <w14:solidFill>
                          <w14:schemeClr w14:val="tx1"/>
                        </w14:solidFill>
                      </w14:textFill>
                    </w:rPr>
                    <w:t>8</w:t>
                  </w:r>
                  <w:r>
                    <w:rPr>
                      <w:rStyle w:val="25"/>
                      <w:rFonts w:hint="default" w:ascii="Times New Roman" w:hAnsi="Times New Roman" w:cs="Times New Roman"/>
                      <w:color w:val="000000" w:themeColor="text1"/>
                      <w:highlight w:val="none"/>
                      <w14:textFill>
                        <w14:solidFill>
                          <w14:schemeClr w14:val="tx1"/>
                        </w14:solidFill>
                      </w14:textFill>
                    </w:rPr>
                    <w:t>-1</w:t>
                  </w:r>
                  <w:r>
                    <w:rPr>
                      <w:rStyle w:val="25"/>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Style w:val="25"/>
                      <w:rFonts w:hint="default" w:ascii="Times New Roman" w:hAnsi="Times New Roman" w:cs="Times New Roman"/>
                      <w:color w:val="000000" w:themeColor="text1"/>
                      <w:highlight w:val="none"/>
                      <w14:textFill>
                        <w14:solidFill>
                          <w14:schemeClr w14:val="tx1"/>
                        </w14:solidFill>
                      </w14:textFill>
                    </w:rPr>
                    <w:t xml:space="preserve"> 施工期工艺流程及排污环节图</w:t>
                  </w: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5408" behindDoc="0" locked="0" layoutInCell="1" allowOverlap="1">
                        <wp:simplePos x="0" y="0"/>
                        <wp:positionH relativeFrom="column">
                          <wp:posOffset>200025</wp:posOffset>
                        </wp:positionH>
                        <wp:positionV relativeFrom="paragraph">
                          <wp:posOffset>155575</wp:posOffset>
                        </wp:positionV>
                        <wp:extent cx="4755515" cy="1991995"/>
                        <wp:effectExtent l="9525" t="9525" r="20320" b="10160"/>
                        <wp:wrapTopAndBottom/>
                        <wp:docPr id="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pic:cNvPicPr>
                                  <a:picLocks noChangeAspect="1"/>
                                </pic:cNvPicPr>
                              </pic:nvPicPr>
                              <pic:blipFill>
                                <a:blip r:embed="rId14"/>
                                <a:stretch>
                                  <a:fillRect/>
                                </a:stretch>
                              </pic:blipFill>
                              <pic:spPr>
                                <a:xfrm>
                                  <a:off x="0" y="0"/>
                                  <a:ext cx="4755515" cy="1991995"/>
                                </a:xfrm>
                                <a:prstGeom prst="rect">
                                  <a:avLst/>
                                </a:prstGeom>
                                <a:noFill/>
                                <a:ln>
                                  <a:solidFill>
                                    <a:schemeClr val="tx1"/>
                                  </a:solidFill>
                                </a:ln>
                              </pic:spPr>
                            </pic:pic>
                          </a:graphicData>
                        </a:graphic>
                      </wp:anchor>
                    </w:drawing>
                  </w:r>
                </w:p>
              </w:tc>
            </w:tr>
          </w:tbl>
          <w:p w14:paraId="75BBDBC2">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项目施工期产污节点：</w:t>
            </w:r>
          </w:p>
          <w:p w14:paraId="1564E876">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废气：基础施工、建筑施工等产生大量扬尘，施工机械运行排放的尾气；</w:t>
            </w:r>
          </w:p>
          <w:p w14:paraId="73DD9ADA">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废水：施工期工作人员居住在中铁隧道局新建伊阿铁路SⅩ标段项目部，项目部与本项目直线距离约1.9km，项目部生活污水采用化粪池收集后定期拉运至巴音布鲁克污水处理厂处理。</w:t>
            </w:r>
          </w:p>
          <w:p w14:paraId="150502D2">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噪声：挖掘机、装载机、推土机、压路机、运输车辆等施工机械造成；</w:t>
            </w:r>
          </w:p>
          <w:p w14:paraId="630A6DBD">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固废：基础开挖将产生一定的土方量，土建工程施工废弃物；工作人员生活垃圾依托项目部垃圾收集设施</w:t>
            </w:r>
            <w:r>
              <w:rPr>
                <w:rFonts w:hint="eastAsia" w:cs="Times New Roman"/>
                <w:color w:val="000000" w:themeColor="text1"/>
                <w:highlight w:val="none"/>
                <w:lang w:val="en-US" w:eastAsia="zh-CN"/>
                <w14:textFill>
                  <w14:solidFill>
                    <w14:schemeClr w14:val="tx1"/>
                  </w14:solidFill>
                </w14:textFill>
              </w:rPr>
              <w:t>处理</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75728B03">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水土流失：场地开挖后在降雨、地表径流等的冲刷作用下易于发生水土流失。</w:t>
            </w:r>
          </w:p>
          <w:p w14:paraId="44410596">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运营期工艺流程与产污环节分析</w:t>
            </w:r>
          </w:p>
          <w:p w14:paraId="1F207561">
            <w:pPr>
              <w:bidi w:val="0"/>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2.9.1工艺流程</w:t>
            </w:r>
          </w:p>
          <w:p w14:paraId="245651AB">
            <w:pPr>
              <w:bidi w:val="0"/>
              <w:rPr>
                <w:rFonts w:hint="default" w:ascii="Times New Roman" w:hAnsi="Times New Roman" w:eastAsia="宋体" w:cs="Times New Roman"/>
                <w:color w:val="000000" w:themeColor="text1"/>
                <w:spacing w:val="6"/>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本项目运营期设置1条砂石料生产线，砂石料生产线原料来源于伊宁至阿克苏铁路在施工过程中产生隧道废石。具体生产工艺及产污环节见下图2.</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1。</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3"/>
            </w:tblGrid>
            <w:tr w14:paraId="242D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4" w:hRule="atLeast"/>
              </w:trPr>
              <w:tc>
                <w:tcPr>
                  <w:tcW w:w="8283" w:type="dxa"/>
                </w:tcPr>
                <w:p w14:paraId="23B5BC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highlight w:val="none"/>
                      <w:vertAlign w:val="baseline"/>
                      <w14:textFill>
                        <w14:solidFill>
                          <w14:schemeClr w14:val="tx1"/>
                        </w14:solidFill>
                      </w14:textFill>
                    </w:rPr>
                  </w:pPr>
                  <w:r>
                    <w:rPr>
                      <w:rFonts w:hint="default" w:ascii="Times New Roman" w:hAnsi="Times New Roman" w:eastAsia="宋体" w:cs="Times New Roman"/>
                      <w:b/>
                      <w:bCs/>
                      <w:color w:val="000000" w:themeColor="text1"/>
                      <w:highlight w:val="none"/>
                      <w:vertAlign w:val="baseline"/>
                      <w14:textFill>
                        <w14:solidFill>
                          <w14:schemeClr w14:val="tx1"/>
                        </w14:solidFill>
                      </w14:textFill>
                    </w:rPr>
                    <w:object>
                      <v:shape id="_x0000_i1026" o:spt="75" type="#_x0000_t75" style="height:415.2pt;width:370.95pt;" o:ole="t" filled="f" o:preferrelative="t" stroked="f" coordsize="21600,21600">
                        <v:path/>
                        <v:fill on="f" focussize="0,0"/>
                        <v:stroke on="f"/>
                        <v:imagedata r:id="rId16" o:title=""/>
                        <o:lock v:ext="edit" aspectratio="f"/>
                        <w10:wrap type="none"/>
                        <w10:anchorlock/>
                      </v:shape>
                      <o:OLEObject Type="Embed" ProgID="Visio.Drawing.15" ShapeID="_x0000_i1026" DrawAspect="Content" ObjectID="_1468075726" r:id="rId15">
                        <o:LockedField>false</o:LockedField>
                      </o:OLEObject>
                    </w:object>
                  </w:r>
                </w:p>
                <w:p w14:paraId="09E93843">
                  <w:pPr>
                    <w:pStyle w:val="18"/>
                    <w:bidi w:val="0"/>
                    <w:rPr>
                      <w:rFonts w:hint="default" w:ascii="Times New Roman" w:hAnsi="Times New Roman" w:cs="Times New Roman"/>
                      <w:color w:val="000000" w:themeColor="text1"/>
                      <w:highlight w:val="none"/>
                      <w14:textFill>
                        <w14:solidFill>
                          <w14:schemeClr w14:val="tx1"/>
                        </w14:solidFill>
                      </w14:textFill>
                    </w:rPr>
                  </w:pPr>
                </w:p>
                <w:p w14:paraId="1A64E223">
                  <w:pPr>
                    <w:pStyle w:val="18"/>
                    <w:bidi w:val="0"/>
                    <w:rPr>
                      <w:rFonts w:hint="default" w:ascii="Times New Roman" w:hAnsi="Times New Roman" w:eastAsia="宋体" w:cs="Times New Roman"/>
                      <w:b/>
                      <w:bCs/>
                      <w:color w:val="000000" w:themeColor="text1"/>
                      <w:highlight w:val="none"/>
                      <w:vertAlign w:val="baseli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图2</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14:textFill>
                        <w14:solidFill>
                          <w14:schemeClr w14:val="tx1"/>
                        </w14:solidFill>
                      </w14:textFill>
                    </w:rPr>
                    <w:t>工艺流程及排污环节图</w:t>
                  </w:r>
                </w:p>
              </w:tc>
            </w:tr>
          </w:tbl>
          <w:p w14:paraId="473539FB">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一</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一级粗破、无动力脱粉</w:t>
            </w:r>
          </w:p>
          <w:p w14:paraId="3AF82D97">
            <w:pPr>
              <w:bidi w:val="0"/>
              <w:jc w:val="both"/>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原料进入颚式破碎机破碎</w:t>
            </w:r>
            <w:r>
              <w:rPr>
                <w:rFonts w:hint="default" w:ascii="Times New Roman" w:hAnsi="Times New Roman" w:cs="Times New Roman"/>
                <w:color w:val="000000" w:themeColor="text1"/>
                <w:highlight w:val="none"/>
                <w:lang w:eastAsia="zh-CN"/>
                <w14:textFill>
                  <w14:solidFill>
                    <w14:schemeClr w14:val="tx1"/>
                  </w14:solidFill>
                </w14:textFill>
              </w:rPr>
              <w:t>，破碎机进出料口设置密闭集气罩（风量50000m</w:t>
            </w:r>
            <w:r>
              <w:rPr>
                <w:rFonts w:hint="default" w:ascii="Times New Roman" w:hAnsi="Times New Roman" w:cs="Times New Roman"/>
                <w:color w:val="000000" w:themeColor="text1"/>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/h），接入</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eastAsia="zh-CN"/>
                <w14:textFill>
                  <w14:solidFill>
                    <w14:schemeClr w14:val="tx1"/>
                  </w14:solidFill>
                </w14:textFill>
              </w:rPr>
              <w:t>布袋除尘系统，破碎机出料端配套无动力脱粉机，利用石料下落高差形成负压气流，剥离石料表层泥土、细石粉，脱粉产生的含尘气流同步接入除尘风管收集。</w:t>
            </w:r>
          </w:p>
          <w:p w14:paraId="4605E2AA">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（二）中转与二次破碎</w:t>
            </w:r>
          </w:p>
          <w:p w14:paraId="44EEA46E">
            <w:pPr>
              <w:bidi w:val="0"/>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粗碎后骨料经皮带输送至中转料仓，中转仓全封闭并设置集气罩；骨料送入圆锥破碎机进一步细碎整形，圆锥破进出料口密闭集气</w:t>
            </w:r>
            <w:r>
              <w:rPr>
                <w:rFonts w:hint="eastAsia" w:cs="Times New Roman"/>
                <w:color w:val="000000" w:themeColor="text1"/>
                <w:highlight w:val="none"/>
                <w:lang w:val="en-US" w:eastAsia="zh-CN"/>
                <w14:textFill>
                  <w14:solidFill>
                    <w14:schemeClr w14:val="tx1"/>
                  </w14:solidFill>
                </w14:textFill>
              </w:rPr>
              <w:t>罩（风量50000m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/h）</w:t>
            </w:r>
            <w:r>
              <w:rPr>
                <w:rFonts w:hint="default" w:ascii="Times New Roman" w:hAnsi="Times New Roman" w:cs="Times New Roman"/>
                <w:color w:val="000000" w:themeColor="text1"/>
                <w:highlight w:val="none"/>
                <w:lang w:val="en-US" w:eastAsia="zh-CN"/>
                <w14:textFill>
                  <w14:solidFill>
                    <w14:schemeClr w14:val="tx1"/>
                  </w14:solidFill>
                </w14:textFill>
              </w:rPr>
              <w:t>，接入第二套</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布袋除尘；圆锥破出料配套第二台无动力脱粉机，二次脱除石粉。</w:t>
            </w:r>
          </w:p>
          <w:p w14:paraId="4208EBAF">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（三）分级筛分</w:t>
            </w:r>
          </w:p>
          <w:p w14:paraId="61FD7E0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left"/>
              <w:textAlignment w:val="auto"/>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脱粉后的骨料送入三层、二层振动筛分级筛分，筛机整体密封，进料、筛床、筛下落料处扬尘点位全部设置集气罩</w:t>
            </w:r>
            <w:r>
              <w:rPr>
                <w:rFonts w:hint="eastAsia" w:cs="Times New Roman"/>
                <w:color w:val="000000" w:themeColor="text1"/>
                <w:highlight w:val="none"/>
                <w:lang w:val="en-US" w:eastAsia="zh-CN"/>
                <w14:textFill>
                  <w14:solidFill>
                    <w14:schemeClr w14:val="tx1"/>
                  </w14:solidFill>
                </w14:textFill>
              </w:rPr>
              <w:t>（风量50000m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/h）</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，统一接入</w:t>
            </w:r>
            <w:r>
              <w:rPr>
                <w:rFonts w:hint="eastAsia" w:cs="Times New Roman"/>
                <w:b w:val="0"/>
                <w:bCs/>
                <w:color w:val="000000" w:themeColor="text1"/>
                <w:sz w:val="24"/>
                <w:highlight w:val="none"/>
                <w:lang w:val="en-US" w:eastAsia="zh-CN"/>
                <w14:textFill>
                  <w14:solidFill>
                    <w14:schemeClr w14:val="tx1"/>
                  </w14:solidFill>
                </w14:textFill>
              </w:rPr>
              <w:t>脉冲式</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布袋除尘系统。通过筛分工序最终形成三个规格的产品，10～30mm碎石用于道路路基、商品混凝土骨料；5～10mm细碎石用于房建、桥梁基建骨料；0～5mm机制砂用于搅拌站、砌筑砂浆用料</w:t>
            </w:r>
            <w:r>
              <w:rPr>
                <w:rFonts w:hint="default" w:ascii="Times New Roman" w:hAnsi="Times New Roman" w:eastAsia="宋体" w:cs="Times New Roman"/>
                <w:b w:val="0"/>
                <w:bCs/>
                <w:color w:val="000000" w:themeColor="text1"/>
                <w:sz w:val="24"/>
                <w:highlight w:val="none"/>
                <w14:textFill>
                  <w14:solidFill>
                    <w14:schemeClr w14:val="tx1"/>
                  </w14:solidFill>
                </w14:textFill>
              </w:rPr>
              <w:t>。</w:t>
            </w:r>
          </w:p>
          <w:p w14:paraId="02C50788">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主要污染工序</w:t>
            </w:r>
          </w:p>
          <w:p w14:paraId="15D26519">
            <w:pPr>
              <w:bidi w:val="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项目运营期主要污染工序见表</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p>
          <w:p w14:paraId="1A5FEC9F">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主要污染工序汇总表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280"/>
              <w:gridCol w:w="1493"/>
              <w:gridCol w:w="4774"/>
            </w:tblGrid>
            <w:tr w14:paraId="305A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38" w:type="pct"/>
                  <w:tcBorders>
                    <w:tl2br w:val="nil"/>
                    <w:tr2bl w:val="nil"/>
                  </w:tcBorders>
                  <w:noWrap w:val="0"/>
                  <w:vAlign w:val="center"/>
                </w:tcPr>
                <w:p w14:paraId="188B13A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类别</w:t>
                  </w:r>
                </w:p>
              </w:tc>
              <w:tc>
                <w:tcPr>
                  <w:tcW w:w="773" w:type="pct"/>
                  <w:tcBorders>
                    <w:tl2br w:val="nil"/>
                    <w:tr2bl w:val="nil"/>
                  </w:tcBorders>
                  <w:noWrap w:val="0"/>
                  <w:vAlign w:val="center"/>
                </w:tcPr>
                <w:p w14:paraId="667FDB5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污染源</w:t>
                  </w:r>
                </w:p>
              </w:tc>
              <w:tc>
                <w:tcPr>
                  <w:tcW w:w="902" w:type="pct"/>
                  <w:tcBorders>
                    <w:tl2br w:val="nil"/>
                    <w:tr2bl w:val="nil"/>
                  </w:tcBorders>
                  <w:noWrap w:val="0"/>
                  <w:vAlign w:val="center"/>
                </w:tcPr>
                <w:p w14:paraId="7C66DF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污染物名称</w:t>
                  </w:r>
                </w:p>
              </w:tc>
              <w:tc>
                <w:tcPr>
                  <w:tcW w:w="2885" w:type="pct"/>
                  <w:tcBorders>
                    <w:tl2br w:val="nil"/>
                    <w:tr2bl w:val="nil"/>
                  </w:tcBorders>
                  <w:noWrap w:val="0"/>
                  <w:vAlign w:val="center"/>
                </w:tcPr>
                <w:p w14:paraId="0D0D45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治理措施</w:t>
                  </w:r>
                </w:p>
              </w:tc>
            </w:tr>
            <w:tr w14:paraId="787C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438" w:type="pct"/>
                  <w:vMerge w:val="restart"/>
                  <w:tcBorders>
                    <w:tl2br w:val="nil"/>
                    <w:tr2bl w:val="nil"/>
                  </w:tcBorders>
                  <w:noWrap w:val="0"/>
                  <w:vAlign w:val="center"/>
                </w:tcPr>
                <w:p w14:paraId="101ABD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废气</w:t>
                  </w:r>
                </w:p>
              </w:tc>
              <w:tc>
                <w:tcPr>
                  <w:tcW w:w="773" w:type="pct"/>
                  <w:tcBorders>
                    <w:tl2br w:val="nil"/>
                    <w:tr2bl w:val="nil"/>
                  </w:tcBorders>
                  <w:noWrap w:val="0"/>
                  <w:vAlign w:val="center"/>
                </w:tcPr>
                <w:p w14:paraId="3FD7C6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一级粗破</w:t>
                  </w:r>
                </w:p>
              </w:tc>
              <w:tc>
                <w:tcPr>
                  <w:tcW w:w="902" w:type="pct"/>
                  <w:vMerge w:val="restart"/>
                  <w:tcBorders>
                    <w:tl2br w:val="nil"/>
                    <w:tr2bl w:val="nil"/>
                  </w:tcBorders>
                  <w:noWrap w:val="0"/>
                  <w:vAlign w:val="center"/>
                </w:tcPr>
                <w:p w14:paraId="0DBDAB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2885" w:type="pct"/>
                  <w:vMerge w:val="restart"/>
                  <w:tcBorders>
                    <w:tl2br w:val="nil"/>
                    <w:tr2bl w:val="nil"/>
                  </w:tcBorders>
                  <w:noWrap w:val="0"/>
                  <w:vAlign w:val="center"/>
                </w:tcPr>
                <w:p w14:paraId="71941247">
                  <w:pPr>
                    <w:pStyle w:val="16"/>
                    <w:bidi w:val="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车间全封闭、进出料口上方安装密闭集气罩</w:t>
                  </w:r>
                  <w:r>
                    <w:rPr>
                      <w:rFonts w:hint="eastAsia" w:cs="Times New Roman"/>
                      <w:color w:val="000000" w:themeColor="text1"/>
                      <w:highlight w:val="none"/>
                      <w:lang w:val="en-US" w:eastAsia="zh-CN"/>
                      <w14:textFill>
                        <w14:solidFill>
                          <w14:schemeClr w14:val="tx1"/>
                        </w14:solidFill>
                      </w14:textFill>
                    </w:rPr>
                    <w:t>（风量50000m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/h）</w:t>
                  </w:r>
                  <w:r>
                    <w:rPr>
                      <w:rFonts w:hint="default" w:ascii="Times New Roman" w:hAnsi="Times New Roman" w:cs="Times New Roman"/>
                      <w:color w:val="000000" w:themeColor="text1"/>
                      <w:highlight w:val="none"/>
                      <w:lang w:val="en-US" w:eastAsia="zh-CN"/>
                      <w14:textFill>
                        <w14:solidFill>
                          <w14:schemeClr w14:val="tx1"/>
                        </w14:solidFill>
                      </w14:textFill>
                    </w:rPr>
                    <w:t>，筛机整体密封，进料、筛床、筛下落料点扬尘点位全部设置集气罩，皮带输送机全封闭，收集废气经</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布袋除尘装置处理后经15m高排气筒（DA001）排放，除尘效率99%</w:t>
                  </w:r>
                </w:p>
              </w:tc>
            </w:tr>
            <w:tr w14:paraId="7FEA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6E9844C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2A7636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无动力脱粉</w:t>
                  </w:r>
                </w:p>
              </w:tc>
              <w:tc>
                <w:tcPr>
                  <w:tcW w:w="902" w:type="pct"/>
                  <w:vMerge w:val="continue"/>
                  <w:tcBorders>
                    <w:tl2br w:val="nil"/>
                    <w:tr2bl w:val="nil"/>
                  </w:tcBorders>
                  <w:noWrap w:val="0"/>
                  <w:vAlign w:val="center"/>
                </w:tcPr>
                <w:p w14:paraId="1BF07A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885" w:type="pct"/>
                  <w:vMerge w:val="continue"/>
                  <w:tcBorders>
                    <w:tl2br w:val="nil"/>
                    <w:tr2bl w:val="nil"/>
                  </w:tcBorders>
                  <w:noWrap w:val="0"/>
                  <w:vAlign w:val="center"/>
                </w:tcPr>
                <w:p w14:paraId="7692B4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76C9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2857BC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671020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中转</w:t>
                  </w:r>
                </w:p>
              </w:tc>
              <w:tc>
                <w:tcPr>
                  <w:tcW w:w="902" w:type="pct"/>
                  <w:vMerge w:val="continue"/>
                  <w:tcBorders>
                    <w:tl2br w:val="nil"/>
                    <w:tr2bl w:val="nil"/>
                  </w:tcBorders>
                  <w:noWrap w:val="0"/>
                  <w:vAlign w:val="center"/>
                </w:tcPr>
                <w:p w14:paraId="2087A90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885" w:type="pct"/>
                  <w:vMerge w:val="continue"/>
                  <w:tcBorders>
                    <w:tl2br w:val="nil"/>
                    <w:tr2bl w:val="nil"/>
                  </w:tcBorders>
                  <w:noWrap w:val="0"/>
                  <w:vAlign w:val="center"/>
                </w:tcPr>
                <w:p w14:paraId="45E94E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35C0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62521B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742D36B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二次破碎</w:t>
                  </w:r>
                </w:p>
              </w:tc>
              <w:tc>
                <w:tcPr>
                  <w:tcW w:w="902" w:type="pct"/>
                  <w:vMerge w:val="continue"/>
                  <w:tcBorders>
                    <w:tl2br w:val="nil"/>
                    <w:tr2bl w:val="nil"/>
                  </w:tcBorders>
                  <w:noWrap w:val="0"/>
                  <w:vAlign w:val="center"/>
                </w:tcPr>
                <w:p w14:paraId="331EA49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885" w:type="pct"/>
                  <w:vMerge w:val="continue"/>
                  <w:tcBorders>
                    <w:tl2br w:val="nil"/>
                    <w:tr2bl w:val="nil"/>
                  </w:tcBorders>
                  <w:noWrap w:val="0"/>
                  <w:vAlign w:val="center"/>
                </w:tcPr>
                <w:p w14:paraId="5D36BB6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D8E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1A07742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48B855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上料粉尘</w:t>
                  </w:r>
                </w:p>
              </w:tc>
              <w:tc>
                <w:tcPr>
                  <w:tcW w:w="902" w:type="pct"/>
                  <w:vMerge w:val="continue"/>
                  <w:tcBorders>
                    <w:tl2br w:val="nil"/>
                    <w:tr2bl w:val="nil"/>
                  </w:tcBorders>
                  <w:noWrap w:val="0"/>
                  <w:vAlign w:val="center"/>
                </w:tcPr>
                <w:p w14:paraId="753FB7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885" w:type="pct"/>
                  <w:vMerge w:val="continue"/>
                  <w:tcBorders>
                    <w:tl2br w:val="nil"/>
                    <w:tr2bl w:val="nil"/>
                  </w:tcBorders>
                  <w:noWrap w:val="0"/>
                  <w:vAlign w:val="center"/>
                </w:tcPr>
                <w:p w14:paraId="5C0892F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20B7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4CA37EE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0B050FF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分级筛分</w:t>
                  </w:r>
                </w:p>
              </w:tc>
              <w:tc>
                <w:tcPr>
                  <w:tcW w:w="902" w:type="pct"/>
                  <w:vMerge w:val="continue"/>
                  <w:tcBorders>
                    <w:tl2br w:val="nil"/>
                    <w:tr2bl w:val="nil"/>
                  </w:tcBorders>
                  <w:noWrap w:val="0"/>
                  <w:vAlign w:val="center"/>
                </w:tcPr>
                <w:p w14:paraId="0D4FEFC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885" w:type="pct"/>
                  <w:vMerge w:val="continue"/>
                  <w:tcBorders>
                    <w:tl2br w:val="nil"/>
                    <w:tr2bl w:val="nil"/>
                  </w:tcBorders>
                  <w:noWrap w:val="0"/>
                  <w:vAlign w:val="center"/>
                </w:tcPr>
                <w:p w14:paraId="3C256F0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19AD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0B04168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shd w:val="clear" w:color="auto" w:fill="auto"/>
                  <w:noWrap w:val="0"/>
                  <w:vAlign w:val="center"/>
                </w:tcPr>
                <w:p w14:paraId="3152069F">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上料粉尘</w:t>
                  </w:r>
                </w:p>
              </w:tc>
              <w:tc>
                <w:tcPr>
                  <w:tcW w:w="902" w:type="pct"/>
                  <w:vMerge w:val="continue"/>
                  <w:tcBorders>
                    <w:tl2br w:val="nil"/>
                    <w:tr2bl w:val="nil"/>
                  </w:tcBorders>
                  <w:shd w:val="clear" w:color="auto" w:fill="auto"/>
                  <w:noWrap w:val="0"/>
                  <w:vAlign w:val="center"/>
                </w:tcPr>
                <w:p w14:paraId="70CFBA62">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p>
              </w:tc>
              <w:tc>
                <w:tcPr>
                  <w:tcW w:w="2885" w:type="pct"/>
                  <w:vMerge w:val="continue"/>
                  <w:tcBorders>
                    <w:tl2br w:val="nil"/>
                    <w:tr2bl w:val="nil"/>
                  </w:tcBorders>
                  <w:shd w:val="clear" w:color="auto" w:fill="auto"/>
                  <w:noWrap w:val="0"/>
                  <w:vAlign w:val="center"/>
                </w:tcPr>
                <w:p w14:paraId="725AAD38">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p>
              </w:tc>
            </w:tr>
            <w:tr w14:paraId="749A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258F1C6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shd w:val="clear" w:color="auto" w:fill="auto"/>
                  <w:noWrap w:val="0"/>
                  <w:vAlign w:val="center"/>
                </w:tcPr>
                <w:p w14:paraId="1923A190">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皮带运输粉尘</w:t>
                  </w:r>
                </w:p>
              </w:tc>
              <w:tc>
                <w:tcPr>
                  <w:tcW w:w="902" w:type="pct"/>
                  <w:vMerge w:val="continue"/>
                  <w:tcBorders>
                    <w:tl2br w:val="nil"/>
                    <w:tr2bl w:val="nil"/>
                  </w:tcBorders>
                  <w:shd w:val="clear" w:color="auto" w:fill="auto"/>
                  <w:noWrap w:val="0"/>
                  <w:vAlign w:val="center"/>
                </w:tcPr>
                <w:p w14:paraId="414E0783">
                  <w:pPr>
                    <w:pStyle w:val="16"/>
                    <w:bidi w:val="0"/>
                    <w:ind w:firstLine="0" w:firstLineChars="0"/>
                    <w:jc w:val="both"/>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p>
              </w:tc>
              <w:tc>
                <w:tcPr>
                  <w:tcW w:w="2885" w:type="pct"/>
                  <w:vMerge w:val="continue"/>
                  <w:tcBorders>
                    <w:tl2br w:val="nil"/>
                    <w:tr2bl w:val="nil"/>
                  </w:tcBorders>
                  <w:shd w:val="clear" w:color="auto" w:fill="auto"/>
                  <w:noWrap w:val="0"/>
                  <w:vAlign w:val="center"/>
                </w:tcPr>
                <w:p w14:paraId="404854BD">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p>
              </w:tc>
            </w:tr>
            <w:tr w14:paraId="078F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210200A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shd w:val="clear" w:color="auto" w:fill="auto"/>
                  <w:noWrap w:val="0"/>
                  <w:vAlign w:val="center"/>
                </w:tcPr>
                <w:p w14:paraId="3100E7EC">
                  <w:pPr>
                    <w:pStyle w:val="16"/>
                    <w:bidi w:val="0"/>
                    <w:ind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堆场扬尘</w:t>
                  </w:r>
                </w:p>
              </w:tc>
              <w:tc>
                <w:tcPr>
                  <w:tcW w:w="902" w:type="pct"/>
                  <w:tcBorders>
                    <w:tl2br w:val="nil"/>
                    <w:tr2bl w:val="nil"/>
                  </w:tcBorders>
                  <w:shd w:val="clear" w:color="auto" w:fill="auto"/>
                  <w:noWrap w:val="0"/>
                  <w:vAlign w:val="center"/>
                </w:tcPr>
                <w:p w14:paraId="6CBF2C6E">
                  <w:pPr>
                    <w:pStyle w:val="16"/>
                    <w:bidi w:val="0"/>
                    <w:ind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2885" w:type="pct"/>
                  <w:tcBorders>
                    <w:tl2br w:val="nil"/>
                    <w:tr2bl w:val="nil"/>
                  </w:tcBorders>
                  <w:shd w:val="clear" w:color="auto" w:fill="auto"/>
                  <w:noWrap w:val="0"/>
                  <w:vAlign w:val="center"/>
                </w:tcPr>
                <w:p w14:paraId="705C1DFE">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lang w:val="en-US" w:eastAsia="zh-CN"/>
                      <w14:textFill>
                        <w14:solidFill>
                          <w14:schemeClr w14:val="tx1"/>
                        </w14:solidFill>
                      </w14:textFill>
                    </w:rPr>
                    <w:t>全封闭成品堆场，雾炮机定时喷淋保湿抑尘</w:t>
                  </w:r>
                </w:p>
              </w:tc>
            </w:tr>
            <w:tr w14:paraId="5764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618B38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4A55DC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车辆运输</w:t>
                  </w:r>
                </w:p>
              </w:tc>
              <w:tc>
                <w:tcPr>
                  <w:tcW w:w="902" w:type="pct"/>
                  <w:tcBorders>
                    <w:tl2br w:val="nil"/>
                    <w:tr2bl w:val="nil"/>
                  </w:tcBorders>
                  <w:noWrap w:val="0"/>
                  <w:vAlign w:val="center"/>
                </w:tcPr>
                <w:p w14:paraId="2FDFCF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2885" w:type="pct"/>
                  <w:tcBorders>
                    <w:tl2br w:val="nil"/>
                    <w:tr2bl w:val="nil"/>
                  </w:tcBorders>
                  <w:noWrap w:val="0"/>
                  <w:vAlign w:val="center"/>
                </w:tcPr>
                <w:p w14:paraId="64BEA7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路面采取洒水降尘，砂石料外运控制装卸量，采用洒水加湿后加盖篷布运输，控制车速</w:t>
                  </w:r>
                </w:p>
              </w:tc>
            </w:tr>
            <w:tr w14:paraId="1C64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6B287BB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7D635E5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装卸扬尘</w:t>
                  </w:r>
                </w:p>
              </w:tc>
              <w:tc>
                <w:tcPr>
                  <w:tcW w:w="902" w:type="pct"/>
                  <w:tcBorders>
                    <w:tl2br w:val="nil"/>
                    <w:tr2bl w:val="nil"/>
                  </w:tcBorders>
                  <w:noWrap w:val="0"/>
                  <w:vAlign w:val="center"/>
                </w:tcPr>
                <w:p w14:paraId="3361451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2885" w:type="pct"/>
                  <w:tcBorders>
                    <w:tl2br w:val="nil"/>
                    <w:tr2bl w:val="nil"/>
                  </w:tcBorders>
                  <w:noWrap w:val="0"/>
                  <w:vAlign w:val="center"/>
                </w:tcPr>
                <w:p w14:paraId="514CF7B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雾炮机定时喷淋保湿抑尘</w:t>
                  </w:r>
                </w:p>
              </w:tc>
            </w:tr>
            <w:tr w14:paraId="3CD5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7AC2761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vMerge w:val="restart"/>
                  <w:tcBorders>
                    <w:tl2br w:val="nil"/>
                    <w:tr2bl w:val="nil"/>
                  </w:tcBorders>
                  <w:noWrap w:val="0"/>
                  <w:vAlign w:val="center"/>
                </w:tcPr>
                <w:p w14:paraId="7846C1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机械设备燃料废气</w:t>
                  </w:r>
                </w:p>
              </w:tc>
              <w:tc>
                <w:tcPr>
                  <w:tcW w:w="902" w:type="pct"/>
                  <w:tcBorders>
                    <w:tl2br w:val="nil"/>
                    <w:tr2bl w:val="nil"/>
                  </w:tcBorders>
                  <w:noWrap w:val="0"/>
                  <w:vAlign w:val="center"/>
                </w:tcPr>
                <w:p w14:paraId="7EFC86E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2885" w:type="pct"/>
                  <w:vMerge w:val="restart"/>
                  <w:tcBorders>
                    <w:tl2br w:val="nil"/>
                    <w:tr2bl w:val="nil"/>
                  </w:tcBorders>
                  <w:noWrap w:val="0"/>
                  <w:vAlign w:val="center"/>
                </w:tcPr>
                <w:p w14:paraId="0AEA11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采用较好的燃油设备，充分燃烧，自然扩散</w:t>
                  </w:r>
                </w:p>
              </w:tc>
            </w:tr>
            <w:tr w14:paraId="4511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4E5B310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vMerge w:val="continue"/>
                  <w:tcBorders>
                    <w:tl2br w:val="nil"/>
                    <w:tr2bl w:val="nil"/>
                  </w:tcBorders>
                  <w:noWrap w:val="0"/>
                  <w:vAlign w:val="center"/>
                </w:tcPr>
                <w:p w14:paraId="06F85D3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02" w:type="pct"/>
                  <w:tcBorders>
                    <w:tl2br w:val="nil"/>
                    <w:tr2bl w:val="nil"/>
                  </w:tcBorders>
                  <w:noWrap w:val="0"/>
                  <w:vAlign w:val="center"/>
                </w:tcPr>
                <w:p w14:paraId="03C70C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SO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p>
              </w:tc>
              <w:tc>
                <w:tcPr>
                  <w:tcW w:w="2885" w:type="pct"/>
                  <w:vMerge w:val="continue"/>
                  <w:tcBorders>
                    <w:tl2br w:val="nil"/>
                    <w:tr2bl w:val="nil"/>
                  </w:tcBorders>
                  <w:noWrap w:val="0"/>
                  <w:vAlign w:val="center"/>
                </w:tcPr>
                <w:p w14:paraId="1CBA60E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2A2B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6F6A30C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vMerge w:val="continue"/>
                  <w:tcBorders>
                    <w:tl2br w:val="nil"/>
                    <w:tr2bl w:val="nil"/>
                  </w:tcBorders>
                  <w:noWrap w:val="0"/>
                  <w:vAlign w:val="center"/>
                </w:tcPr>
                <w:p w14:paraId="076792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02" w:type="pct"/>
                  <w:tcBorders>
                    <w:tl2br w:val="nil"/>
                    <w:tr2bl w:val="nil"/>
                  </w:tcBorders>
                  <w:noWrap w:val="0"/>
                  <w:vAlign w:val="center"/>
                </w:tcPr>
                <w:p w14:paraId="74F9715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NO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x</w:t>
                  </w:r>
                </w:p>
              </w:tc>
              <w:tc>
                <w:tcPr>
                  <w:tcW w:w="2885" w:type="pct"/>
                  <w:vMerge w:val="continue"/>
                  <w:tcBorders>
                    <w:tl2br w:val="nil"/>
                    <w:tr2bl w:val="nil"/>
                  </w:tcBorders>
                  <w:noWrap w:val="0"/>
                  <w:vAlign w:val="center"/>
                </w:tcPr>
                <w:p w14:paraId="0408AE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62A4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45FB697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vMerge w:val="continue"/>
                  <w:tcBorders>
                    <w:tl2br w:val="nil"/>
                    <w:tr2bl w:val="nil"/>
                  </w:tcBorders>
                  <w:noWrap w:val="0"/>
                  <w:vAlign w:val="center"/>
                </w:tcPr>
                <w:p w14:paraId="138EBE7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02" w:type="pct"/>
                  <w:tcBorders>
                    <w:tl2br w:val="nil"/>
                    <w:tr2bl w:val="nil"/>
                  </w:tcBorders>
                  <w:noWrap w:val="0"/>
                  <w:vAlign w:val="center"/>
                </w:tcPr>
                <w:p w14:paraId="710F413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CO、THC</w:t>
                  </w:r>
                </w:p>
              </w:tc>
              <w:tc>
                <w:tcPr>
                  <w:tcW w:w="2885" w:type="pct"/>
                  <w:vMerge w:val="continue"/>
                  <w:tcBorders>
                    <w:tl2br w:val="nil"/>
                    <w:tr2bl w:val="nil"/>
                  </w:tcBorders>
                  <w:noWrap w:val="0"/>
                  <w:vAlign w:val="center"/>
                </w:tcPr>
                <w:p w14:paraId="29B5C3E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3D8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2A96D5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3AF663D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柴油储存区废气</w:t>
                  </w:r>
                </w:p>
              </w:tc>
              <w:tc>
                <w:tcPr>
                  <w:tcW w:w="902" w:type="pct"/>
                  <w:tcBorders>
                    <w:tl2br w:val="nil"/>
                    <w:tr2bl w:val="nil"/>
                  </w:tcBorders>
                  <w:noWrap w:val="0"/>
                  <w:vAlign w:val="center"/>
                </w:tcPr>
                <w:p w14:paraId="2A3D16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885" w:type="pct"/>
                  <w:tcBorders>
                    <w:tl2br w:val="nil"/>
                    <w:tr2bl w:val="nil"/>
                  </w:tcBorders>
                  <w:noWrap w:val="0"/>
                  <w:vAlign w:val="center"/>
                </w:tcPr>
                <w:p w14:paraId="22D1B75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采用密封性好的柴油桶进行储存</w:t>
                  </w:r>
                </w:p>
              </w:tc>
            </w:tr>
            <w:tr w14:paraId="02A7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tcBorders>
                    <w:tl2br w:val="nil"/>
                    <w:tr2bl w:val="nil"/>
                  </w:tcBorders>
                  <w:noWrap w:val="0"/>
                  <w:vAlign w:val="center"/>
                </w:tcPr>
                <w:p w14:paraId="044A3A5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废水</w:t>
                  </w:r>
                </w:p>
              </w:tc>
              <w:tc>
                <w:tcPr>
                  <w:tcW w:w="773" w:type="pct"/>
                  <w:tcBorders>
                    <w:tl2br w:val="nil"/>
                    <w:tr2bl w:val="nil"/>
                  </w:tcBorders>
                  <w:noWrap w:val="0"/>
                  <w:vAlign w:val="center"/>
                </w:tcPr>
                <w:p w14:paraId="1EEDE69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生活污水</w:t>
                  </w:r>
                </w:p>
              </w:tc>
              <w:tc>
                <w:tcPr>
                  <w:tcW w:w="902" w:type="pct"/>
                  <w:tcBorders>
                    <w:tl2br w:val="nil"/>
                    <w:tr2bl w:val="nil"/>
                  </w:tcBorders>
                  <w:noWrap w:val="0"/>
                  <w:vAlign w:val="center"/>
                </w:tcPr>
                <w:p w14:paraId="04F89B6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COD</w:t>
                  </w:r>
                </w:p>
              </w:tc>
              <w:tc>
                <w:tcPr>
                  <w:tcW w:w="2885" w:type="pct"/>
                  <w:tcBorders>
                    <w:tl2br w:val="nil"/>
                    <w:tr2bl w:val="nil"/>
                  </w:tcBorders>
                  <w:noWrap w:val="0"/>
                  <w:vAlign w:val="center"/>
                </w:tcPr>
                <w:p w14:paraId="52160F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工作人员居住在中铁隧道局新建伊阿铁路SⅩ标段项目部，项目部与本项目直线距离约1.9km，项目部生活污水采用化粪池收集后定期拉运至巴音布鲁克污水处理厂处理。</w:t>
                  </w:r>
                </w:p>
              </w:tc>
            </w:tr>
            <w:tr w14:paraId="2BF8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38" w:type="pct"/>
                  <w:tcBorders>
                    <w:tl2br w:val="nil"/>
                    <w:tr2bl w:val="nil"/>
                  </w:tcBorders>
                  <w:noWrap w:val="0"/>
                  <w:vAlign w:val="center"/>
                </w:tcPr>
                <w:p w14:paraId="0B5B00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噪声</w:t>
                  </w:r>
                </w:p>
              </w:tc>
              <w:tc>
                <w:tcPr>
                  <w:tcW w:w="773" w:type="pct"/>
                  <w:tcBorders>
                    <w:tl2br w:val="nil"/>
                    <w:tr2bl w:val="nil"/>
                  </w:tcBorders>
                  <w:noWrap w:val="0"/>
                  <w:vAlign w:val="center"/>
                </w:tcPr>
                <w:p w14:paraId="195A05F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各生产工序生产设施</w:t>
                  </w:r>
                </w:p>
              </w:tc>
              <w:tc>
                <w:tcPr>
                  <w:tcW w:w="902" w:type="pct"/>
                  <w:tcBorders>
                    <w:tl2br w:val="nil"/>
                    <w:tr2bl w:val="nil"/>
                  </w:tcBorders>
                  <w:noWrap w:val="0"/>
                  <w:vAlign w:val="center"/>
                </w:tcPr>
                <w:p w14:paraId="297B02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噪声</w:t>
                  </w:r>
                </w:p>
              </w:tc>
              <w:tc>
                <w:tcPr>
                  <w:tcW w:w="2885" w:type="pct"/>
                  <w:tcBorders>
                    <w:tl2br w:val="nil"/>
                    <w:tr2bl w:val="nil"/>
                  </w:tcBorders>
                  <w:noWrap w:val="0"/>
                  <w:vAlign w:val="center"/>
                </w:tcPr>
                <w:p w14:paraId="3880C0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隔声、减振、选用低噪声设备，定期养护维修</w:t>
                  </w:r>
                </w:p>
              </w:tc>
            </w:tr>
            <w:tr w14:paraId="174E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restart"/>
                  <w:tcBorders>
                    <w:tl2br w:val="nil"/>
                    <w:tr2bl w:val="nil"/>
                  </w:tcBorders>
                  <w:noWrap w:val="0"/>
                  <w:vAlign w:val="center"/>
                </w:tcPr>
                <w:p w14:paraId="5E0F90A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固废</w:t>
                  </w:r>
                </w:p>
              </w:tc>
              <w:tc>
                <w:tcPr>
                  <w:tcW w:w="773" w:type="pct"/>
                  <w:tcBorders>
                    <w:tl2br w:val="nil"/>
                    <w:tr2bl w:val="nil"/>
                  </w:tcBorders>
                  <w:noWrap w:val="0"/>
                  <w:vAlign w:val="center"/>
                </w:tcPr>
                <w:p w14:paraId="106186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破碎筛分</w:t>
                  </w:r>
                </w:p>
              </w:tc>
              <w:tc>
                <w:tcPr>
                  <w:tcW w:w="902" w:type="pct"/>
                  <w:tcBorders>
                    <w:tl2br w:val="nil"/>
                    <w:tr2bl w:val="nil"/>
                  </w:tcBorders>
                  <w:noWrap w:val="0"/>
                  <w:vAlign w:val="center"/>
                </w:tcPr>
                <w:p w14:paraId="49B5CB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不合格产品</w:t>
                  </w:r>
                </w:p>
              </w:tc>
              <w:tc>
                <w:tcPr>
                  <w:tcW w:w="2885" w:type="pct"/>
                  <w:tcBorders>
                    <w:tl2br w:val="nil"/>
                    <w:tr2bl w:val="nil"/>
                  </w:tcBorders>
                  <w:noWrap w:val="0"/>
                  <w:vAlign w:val="center"/>
                </w:tcPr>
                <w:p w14:paraId="6DAFF1E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集中收集暂存于弃渣场，服务期满后用于场地平整</w:t>
                  </w:r>
                </w:p>
              </w:tc>
            </w:tr>
            <w:tr w14:paraId="7FC2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15651C5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507F6F2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设备保养</w:t>
                  </w:r>
                </w:p>
              </w:tc>
              <w:tc>
                <w:tcPr>
                  <w:tcW w:w="902" w:type="pct"/>
                  <w:tcBorders>
                    <w:tl2br w:val="nil"/>
                    <w:tr2bl w:val="nil"/>
                  </w:tcBorders>
                  <w:noWrap w:val="0"/>
                  <w:vAlign w:val="center"/>
                </w:tcPr>
                <w:p w14:paraId="293475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废润滑油、废油桶、废防渗膜</w:t>
                  </w:r>
                </w:p>
              </w:tc>
              <w:tc>
                <w:tcPr>
                  <w:tcW w:w="2885" w:type="pct"/>
                  <w:tcBorders>
                    <w:tl2br w:val="nil"/>
                    <w:tr2bl w:val="nil"/>
                  </w:tcBorders>
                  <w:noWrap w:val="0"/>
                  <w:vAlign w:val="center"/>
                </w:tcPr>
                <w:p w14:paraId="3013045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暂存在</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，委托有资质的单位统一处理</w:t>
                  </w:r>
                </w:p>
              </w:tc>
            </w:tr>
            <w:tr w14:paraId="09BF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058F7FD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5C2253B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员工生活</w:t>
                  </w:r>
                </w:p>
              </w:tc>
              <w:tc>
                <w:tcPr>
                  <w:tcW w:w="902" w:type="pct"/>
                  <w:tcBorders>
                    <w:tl2br w:val="nil"/>
                    <w:tr2bl w:val="nil"/>
                  </w:tcBorders>
                  <w:noWrap w:val="0"/>
                  <w:vAlign w:val="center"/>
                </w:tcPr>
                <w:p w14:paraId="5BD7135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生活垃圾</w:t>
                  </w:r>
                </w:p>
              </w:tc>
              <w:tc>
                <w:tcPr>
                  <w:tcW w:w="2885" w:type="pct"/>
                  <w:tcBorders>
                    <w:tl2br w:val="nil"/>
                    <w:tr2bl w:val="nil"/>
                  </w:tcBorders>
                  <w:noWrap w:val="0"/>
                  <w:vAlign w:val="center"/>
                </w:tcPr>
                <w:p w14:paraId="4C9C9D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工作人员住宿依托中铁隧道局新建伊阿铁路SX标项目部，生活垃圾由项目部处置。弃渣场不设办公生活区。</w:t>
                  </w:r>
                </w:p>
              </w:tc>
            </w:tr>
            <w:tr w14:paraId="2BD2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8" w:type="pct"/>
                  <w:vMerge w:val="continue"/>
                  <w:tcBorders>
                    <w:tl2br w:val="nil"/>
                    <w:tr2bl w:val="nil"/>
                  </w:tcBorders>
                  <w:noWrap w:val="0"/>
                  <w:vAlign w:val="center"/>
                </w:tcPr>
                <w:p w14:paraId="3E13382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73" w:type="pct"/>
                  <w:tcBorders>
                    <w:tl2br w:val="nil"/>
                    <w:tr2bl w:val="nil"/>
                  </w:tcBorders>
                  <w:noWrap w:val="0"/>
                  <w:vAlign w:val="center"/>
                </w:tcPr>
                <w:p w14:paraId="2E053A7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w:t>
                  </w:r>
                </w:p>
              </w:tc>
              <w:tc>
                <w:tcPr>
                  <w:tcW w:w="902" w:type="pct"/>
                  <w:tcBorders>
                    <w:tl2br w:val="nil"/>
                    <w:tr2bl w:val="nil"/>
                  </w:tcBorders>
                  <w:noWrap w:val="0"/>
                  <w:vAlign w:val="center"/>
                </w:tcPr>
                <w:p w14:paraId="25967CE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除尘灰、废布袋</w:t>
                  </w:r>
                </w:p>
              </w:tc>
              <w:tc>
                <w:tcPr>
                  <w:tcW w:w="2885" w:type="pct"/>
                  <w:tcBorders>
                    <w:tl2br w:val="nil"/>
                    <w:tr2bl w:val="nil"/>
                  </w:tcBorders>
                  <w:noWrap w:val="0"/>
                  <w:vAlign w:val="center"/>
                </w:tcPr>
                <w:p w14:paraId="24B428F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除尘灰集中收集暂存于弃渣场，待服务期满后用于场地平整</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除尘器产生的废布袋交由厂家回收处理。</w:t>
                  </w:r>
                </w:p>
              </w:tc>
            </w:tr>
          </w:tbl>
          <w:p w14:paraId="5E72A166">
            <w:pPr>
              <w:rPr>
                <w:rFonts w:hint="default" w:ascii="Times New Roman" w:hAnsi="Times New Roman" w:cs="Times New Roman"/>
                <w:bCs/>
                <w:color w:val="000000" w:themeColor="text1"/>
                <w:highlight w:val="none"/>
                <w14:textFill>
                  <w14:solidFill>
                    <w14:schemeClr w14:val="tx1"/>
                  </w14:solidFill>
                </w14:textFill>
              </w:rPr>
            </w:pPr>
          </w:p>
        </w:tc>
      </w:tr>
      <w:tr w14:paraId="05892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9" w:hRule="atLeast"/>
          <w:jc w:val="center"/>
        </w:trPr>
        <w:tc>
          <w:tcPr>
            <w:tcW w:w="485" w:type="dxa"/>
            <w:vAlign w:val="center"/>
          </w:tcPr>
          <w:p w14:paraId="466DBEE0">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kern w:val="2"/>
                <w:highlight w:val="none"/>
                <w14:textFill>
                  <w14:solidFill>
                    <w14:schemeClr w14:val="tx1"/>
                  </w14:solidFill>
                </w14:textFill>
              </w:rPr>
              <w:t>与</w:t>
            </w:r>
            <w:r>
              <w:rPr>
                <w:rFonts w:hint="eastAsia" w:cs="Times New Roman"/>
                <w:bCs/>
                <w:color w:val="000000" w:themeColor="text1"/>
                <w:kern w:val="2"/>
                <w:highlight w:val="none"/>
                <w:lang w:val="en-US" w:eastAsia="zh-CN"/>
                <w14:textFill>
                  <w14:solidFill>
                    <w14:schemeClr w14:val="tx1"/>
                  </w14:solidFill>
                </w14:textFill>
              </w:rPr>
              <w:t>与</w:t>
            </w:r>
            <w:r>
              <w:rPr>
                <w:rFonts w:hint="default" w:ascii="Times New Roman" w:hAnsi="Times New Roman" w:cs="Times New Roman"/>
                <w:bCs/>
                <w:color w:val="000000" w:themeColor="text1"/>
                <w:kern w:val="2"/>
                <w:highlight w:val="none"/>
                <w14:textFill>
                  <w14:solidFill>
                    <w14:schemeClr w14:val="tx1"/>
                  </w14:solidFill>
                </w14:textFill>
              </w:rPr>
              <w:t>项目有关的原有环境污染问题</w:t>
            </w:r>
          </w:p>
        </w:tc>
        <w:tc>
          <w:tcPr>
            <w:tcW w:w="8499" w:type="dxa"/>
            <w:vAlign w:val="center"/>
          </w:tcPr>
          <w:p w14:paraId="0DC40AF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w:t>
            </w:r>
          </w:p>
        </w:tc>
      </w:tr>
    </w:tbl>
    <w:p w14:paraId="05A6B3A5">
      <w:pPr>
        <w:jc w:val="center"/>
        <w:rPr>
          <w:rFonts w:hint="default" w:ascii="Times New Roman" w:hAnsi="Times New Roman" w:eastAsia="黑体" w:cs="Times New Roman"/>
          <w:color w:val="000000" w:themeColor="text1"/>
          <w:sz w:val="36"/>
          <w:szCs w:val="36"/>
          <w:highlight w:val="none"/>
          <w14:textFill>
            <w14:solidFill>
              <w14:schemeClr w14:val="tx1"/>
            </w14:solidFill>
          </w14:textFill>
        </w:rPr>
        <w:sectPr>
          <w:footerReference r:id="rId9"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81095FE">
      <w:pPr>
        <w:spacing w:line="14" w:lineRule="auto"/>
        <w:jc w:val="center"/>
        <w:outlineLvl w:val="9"/>
        <w:rPr>
          <w:rFonts w:hint="default" w:ascii="Times New Roman" w:hAnsi="Times New Roman" w:eastAsia="黑体" w:cs="Times New Roman"/>
          <w:color w:val="000000" w:themeColor="text1"/>
          <w:sz w:val="30"/>
          <w:szCs w:val="30"/>
          <w:highlight w:val="none"/>
          <w14:textFill>
            <w14:solidFill>
              <w14:schemeClr w14:val="tx1"/>
            </w14:solidFill>
          </w14:textFill>
        </w:rPr>
      </w:pPr>
    </w:p>
    <w:p w14:paraId="080C5C0E">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eastAsia="黑体" w:cs="Times New Roman"/>
          <w:color w:val="000000" w:themeColor="text1"/>
          <w:sz w:val="30"/>
          <w:szCs w:val="30"/>
          <w:highlight w:val="none"/>
          <w14:textFill>
            <w14:solidFill>
              <w14:schemeClr w14:val="tx1"/>
            </w14:solidFill>
          </w14:textFill>
        </w:rPr>
        <w:t>三、区域环境质量现状、环境保护目标及评价标准</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2"/>
        <w:gridCol w:w="8616"/>
      </w:tblGrid>
      <w:tr w14:paraId="6F726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392" w:type="dxa"/>
            <w:vAlign w:val="center"/>
          </w:tcPr>
          <w:p w14:paraId="60BEE8C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区域环境质量现状</w:t>
            </w:r>
          </w:p>
        </w:tc>
        <w:tc>
          <w:tcPr>
            <w:tcW w:w="8616" w:type="dxa"/>
          </w:tcPr>
          <w:p w14:paraId="297434E2">
            <w:pPr>
              <w:pStyle w:val="3"/>
              <w:bidi w:val="0"/>
              <w:rPr>
                <w:rFonts w:hint="default" w:ascii="Times New Roman" w:hAnsi="Times New Roman" w:eastAsia="宋体" w:cs="Times New Roman"/>
                <w:b/>
                <w:bCs/>
                <w:color w:val="000000" w:themeColor="text1"/>
                <w:spacing w:val="6"/>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3.1</w:t>
            </w:r>
            <w:r>
              <w:rPr>
                <w:rFonts w:hint="default" w:ascii="Times New Roman" w:hAnsi="Times New Roman" w:eastAsia="宋体" w:cs="Times New Roman"/>
                <w:b/>
                <w:bCs/>
                <w:color w:val="000000" w:themeColor="text1"/>
                <w:spacing w:val="6"/>
                <w:sz w:val="24"/>
                <w:szCs w:val="24"/>
                <w:highlight w:val="none"/>
                <w:lang w:val="en-US" w:eastAsia="zh-CN"/>
                <w14:textFill>
                  <w14:solidFill>
                    <w14:schemeClr w14:val="tx1"/>
                  </w14:solidFill>
                </w14:textFill>
              </w:rPr>
              <w:t>与主体功能规划相符性</w:t>
            </w:r>
          </w:p>
          <w:p w14:paraId="1104E2B0">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新疆维吾尔自治区主体功能区规划》，新疆主体功能区按开发方式，分为重点开发区域、限制开发区域和禁止开发区域；按开发内容，分为城市化地区、农产品主产区和重点生态功能区三类；按层级，分为国家和自治区级两个层面。</w:t>
            </w:r>
          </w:p>
          <w:p w14:paraId="03C68944">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选址位于新疆维吾尔自治区巴音郭楞蒙古自治州和静县巴音布鲁克乡东北方向，直线距离约55千米处，行政区划属巴音郭楞蒙古自治州和静县管辖；不属于主体功能区划中确定的国家和自治区层面的限制开发区域和禁止开发区域。</w:t>
            </w:r>
          </w:p>
          <w:p w14:paraId="2FA694AB">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3.2生态环境现状调查</w:t>
            </w:r>
          </w:p>
          <w:p w14:paraId="1D3D507F">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3.2.1生态功能区划</w:t>
            </w:r>
          </w:p>
          <w:p w14:paraId="770F692B">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新疆生态功能区划》，本项目评价区域属于Ⅲ天山山地温性草原、森林生态区—Ⅲ3天山南坡草原牧业、绿洲农业生态亚区-42.托木尔峰和天山南坡中段冰雪水源及生物多样性保护生态功能区。具体见表3.2-1。生态功能区划图见附图6。</w:t>
            </w:r>
          </w:p>
          <w:p w14:paraId="11C0F038">
            <w:pPr>
              <w:pStyle w:val="18"/>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表3.2-1   生态功能区划</w:t>
            </w:r>
          </w:p>
          <w:tbl>
            <w:tblPr>
              <w:tblStyle w:val="11"/>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25"/>
              <w:gridCol w:w="1219"/>
              <w:gridCol w:w="1233"/>
              <w:gridCol w:w="1339"/>
              <w:gridCol w:w="957"/>
              <w:gridCol w:w="1076"/>
            </w:tblGrid>
            <w:tr w14:paraId="41E6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812" w:type="pct"/>
                  <w:tcBorders>
                    <w:tl2br w:val="nil"/>
                    <w:tr2bl w:val="nil"/>
                  </w:tcBorders>
                  <w:noWrap w:val="0"/>
                  <w:vAlign w:val="center"/>
                </w:tcPr>
                <w:p w14:paraId="7EFDB65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生态功能区名称</w:t>
                  </w:r>
                </w:p>
              </w:tc>
              <w:tc>
                <w:tcPr>
                  <w:tcW w:w="727" w:type="pct"/>
                  <w:tcBorders>
                    <w:tl2br w:val="nil"/>
                    <w:tr2bl w:val="nil"/>
                  </w:tcBorders>
                  <w:noWrap w:val="0"/>
                  <w:vAlign w:val="center"/>
                </w:tcPr>
                <w:p w14:paraId="411C277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主要生态服务功能</w:t>
                  </w:r>
                </w:p>
              </w:tc>
              <w:tc>
                <w:tcPr>
                  <w:tcW w:w="724" w:type="pct"/>
                  <w:tcBorders>
                    <w:tl2br w:val="nil"/>
                    <w:tr2bl w:val="nil"/>
                  </w:tcBorders>
                  <w:noWrap w:val="0"/>
                  <w:vAlign w:val="center"/>
                </w:tcPr>
                <w:p w14:paraId="40C127C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主要生态环境问题</w:t>
                  </w:r>
                </w:p>
              </w:tc>
              <w:tc>
                <w:tcPr>
                  <w:tcW w:w="732" w:type="pct"/>
                  <w:tcBorders>
                    <w:tl2br w:val="nil"/>
                    <w:tr2bl w:val="nil"/>
                  </w:tcBorders>
                  <w:noWrap w:val="0"/>
                  <w:vAlign w:val="center"/>
                </w:tcPr>
                <w:p w14:paraId="0B3738A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生态敏感因子敏感程度</w:t>
                  </w:r>
                </w:p>
              </w:tc>
              <w:tc>
                <w:tcPr>
                  <w:tcW w:w="795" w:type="pct"/>
                  <w:tcBorders>
                    <w:tl2br w:val="nil"/>
                    <w:tr2bl w:val="nil"/>
                  </w:tcBorders>
                  <w:noWrap w:val="0"/>
                  <w:vAlign w:val="center"/>
                </w:tcPr>
                <w:p w14:paraId="62FD073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保护目标</w:t>
                  </w:r>
                </w:p>
              </w:tc>
              <w:tc>
                <w:tcPr>
                  <w:tcW w:w="568" w:type="pct"/>
                  <w:tcBorders>
                    <w:tl2br w:val="nil"/>
                    <w:tr2bl w:val="nil"/>
                  </w:tcBorders>
                  <w:noWrap w:val="0"/>
                  <w:vAlign w:val="center"/>
                </w:tcPr>
                <w:p w14:paraId="78EF6E4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保护措施</w:t>
                  </w:r>
                </w:p>
              </w:tc>
              <w:tc>
                <w:tcPr>
                  <w:tcW w:w="639" w:type="pct"/>
                  <w:tcBorders>
                    <w:tl2br w:val="nil"/>
                    <w:tr2bl w:val="nil"/>
                  </w:tcBorders>
                  <w:noWrap w:val="0"/>
                  <w:vAlign w:val="center"/>
                </w:tcPr>
                <w:p w14:paraId="5DAE60D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发展方向</w:t>
                  </w:r>
                </w:p>
              </w:tc>
            </w:tr>
            <w:tr w14:paraId="3F60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1" w:hRule="atLeast"/>
                <w:jc w:val="center"/>
              </w:trPr>
              <w:tc>
                <w:tcPr>
                  <w:tcW w:w="812" w:type="pct"/>
                  <w:tcBorders>
                    <w:tl2br w:val="nil"/>
                    <w:tr2bl w:val="nil"/>
                  </w:tcBorders>
                  <w:noWrap w:val="0"/>
                  <w:vAlign w:val="center"/>
                </w:tcPr>
                <w:p w14:paraId="72A5AF0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42.托木尔峰和天山南坡中段冰雪水源及生物多样性保护生态功能区</w:t>
                  </w:r>
                </w:p>
              </w:tc>
              <w:tc>
                <w:tcPr>
                  <w:tcW w:w="727" w:type="pct"/>
                  <w:tcBorders>
                    <w:tl2br w:val="nil"/>
                    <w:tr2bl w:val="nil"/>
                  </w:tcBorders>
                  <w:noWrap w:val="0"/>
                  <w:vAlign w:val="center"/>
                </w:tcPr>
                <w:p w14:paraId="42636C9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水源补给、生物多样性维护、</w:t>
                  </w:r>
                  <w:r>
                    <w:rPr>
                      <w:rFonts w:hint="default" w:ascii="Times New Roman" w:hAnsi="Times New Roman" w:cs="Times New Roman"/>
                      <w:color w:val="000000" w:themeColor="text1"/>
                      <w:highlight w:val="none"/>
                      <w:lang w:val="en-US" w:eastAsia="zh-CN"/>
                      <w14:textFill>
                        <w14:solidFill>
                          <w14:schemeClr w14:val="tx1"/>
                        </w14:solidFill>
                      </w14:textFill>
                    </w:rPr>
                    <w:t>土</w:t>
                  </w:r>
                  <w:r>
                    <w:rPr>
                      <w:rFonts w:hint="default" w:ascii="Times New Roman" w:hAnsi="Times New Roman" w:cs="Times New Roman"/>
                      <w:color w:val="000000" w:themeColor="text1"/>
                      <w:highlight w:val="none"/>
                      <w14:textFill>
                        <w14:solidFill>
                          <w14:schemeClr w14:val="tx1"/>
                        </w14:solidFill>
                      </w14:textFill>
                    </w:rPr>
                    <w:t>壤保持</w:t>
                  </w:r>
                </w:p>
              </w:tc>
              <w:tc>
                <w:tcPr>
                  <w:tcW w:w="724" w:type="pct"/>
                  <w:tcBorders>
                    <w:tl2br w:val="nil"/>
                    <w:tr2bl w:val="nil"/>
                  </w:tcBorders>
                  <w:noWrap w:val="0"/>
                  <w:vAlign w:val="center"/>
                </w:tcPr>
                <w:p w14:paraId="014C354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水土流失、野生动物减少、土壤侵蚀、森林破坏</w:t>
                  </w:r>
                </w:p>
              </w:tc>
              <w:tc>
                <w:tcPr>
                  <w:tcW w:w="732" w:type="pct"/>
                  <w:tcBorders>
                    <w:tl2br w:val="nil"/>
                    <w:tr2bl w:val="nil"/>
                  </w:tcBorders>
                  <w:noWrap w:val="0"/>
                  <w:vAlign w:val="center"/>
                </w:tcPr>
                <w:p w14:paraId="072EBBF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生物多样性和生境极度敏感，土壤侵蚀轻度敏感、不敏感。土地沙漠化、土壤盐渍化不敏感</w:t>
                  </w:r>
                </w:p>
              </w:tc>
              <w:tc>
                <w:tcPr>
                  <w:tcW w:w="795" w:type="pct"/>
                  <w:tcBorders>
                    <w:tl2br w:val="nil"/>
                    <w:tr2bl w:val="nil"/>
                  </w:tcBorders>
                  <w:noWrap w:val="0"/>
                  <w:vAlign w:val="center"/>
                </w:tcPr>
                <w:p w14:paraId="4CB8A02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保护托木尔峰自然景观、保护高山冰川、保护野生动物、保护森林和草原</w:t>
                  </w:r>
                </w:p>
              </w:tc>
              <w:tc>
                <w:tcPr>
                  <w:tcW w:w="568" w:type="pct"/>
                  <w:tcBorders>
                    <w:tl2br w:val="nil"/>
                    <w:tr2bl w:val="nil"/>
                  </w:tcBorders>
                  <w:noWrap w:val="0"/>
                  <w:vAlign w:val="center"/>
                </w:tcPr>
                <w:p w14:paraId="3639E8B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天然牧草地</w:t>
                  </w:r>
                  <w:r>
                    <w:rPr>
                      <w:rFonts w:hint="default" w:ascii="Times New Roman" w:hAnsi="Times New Roman" w:cs="Times New Roman"/>
                      <w:color w:val="000000" w:themeColor="text1"/>
                      <w:highlight w:val="none"/>
                      <w14:textFill>
                        <w14:solidFill>
                          <w14:schemeClr w14:val="tx1"/>
                        </w14:solidFill>
                      </w14:textFill>
                    </w:rPr>
                    <w:t>减牧、森林禁伐、禁猎、加强保护区管理</w:t>
                  </w:r>
                </w:p>
              </w:tc>
              <w:tc>
                <w:tcPr>
                  <w:tcW w:w="639" w:type="pct"/>
                  <w:tcBorders>
                    <w:tl2br w:val="nil"/>
                    <w:tr2bl w:val="nil"/>
                  </w:tcBorders>
                  <w:noWrap w:val="0"/>
                  <w:vAlign w:val="center"/>
                </w:tcPr>
                <w:p w14:paraId="11A512B2">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合理利用天然牧草地，维护自然景观和生物多样性。</w:t>
                  </w:r>
                </w:p>
              </w:tc>
            </w:tr>
          </w:tbl>
          <w:p w14:paraId="1DD5C443">
            <w:pPr>
              <w:pStyle w:val="3"/>
              <w:bidi w:val="0"/>
              <w:rPr>
                <w:rFonts w:hint="default" w:ascii="Times New Roman" w:hAnsi="Times New Roman" w:eastAsia="宋体" w:cs="Times New Roman"/>
                <w:b/>
                <w:bCs/>
                <w:color w:val="000000" w:themeColor="text1"/>
                <w:spacing w:val="6"/>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w:t>
            </w:r>
            <w:r>
              <w:rPr>
                <w:rFonts w:hint="default" w:ascii="Times New Roman" w:hAnsi="Times New Roman" w:cs="Times New Roman"/>
                <w:b/>
                <w:color w:val="000000" w:themeColor="text1"/>
                <w:highlight w:val="none"/>
                <w:lang w:val="en-US" w:eastAsia="zh-CN"/>
                <w14:textFill>
                  <w14:solidFill>
                    <w14:schemeClr w14:val="tx1"/>
                  </w14:solidFill>
                </w14:textFill>
              </w:rPr>
              <w:t>2.2</w:t>
            </w:r>
            <w:r>
              <w:rPr>
                <w:rFonts w:hint="default" w:ascii="Times New Roman" w:hAnsi="Times New Roman" w:eastAsia="宋体" w:cs="Times New Roman"/>
                <w:b/>
                <w:bCs/>
                <w:color w:val="000000" w:themeColor="text1"/>
                <w:spacing w:val="6"/>
                <w:sz w:val="24"/>
                <w:szCs w:val="24"/>
                <w:highlight w:val="none"/>
                <w:lang w:val="en-US" w:eastAsia="zh-CN"/>
                <w14:textFill>
                  <w14:solidFill>
                    <w14:schemeClr w14:val="tx1"/>
                  </w14:solidFill>
                </w14:textFill>
              </w:rPr>
              <w:t>土地利用现状调查</w:t>
            </w:r>
          </w:p>
          <w:p w14:paraId="38D70B16">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根据《土地利用现状分类》（GB/T21010-2017）以及项目区土地利用现状类型图，并经现场调查核实，项目区土地类型为高覆盖度草地、中覆盖度草地。</w:t>
            </w:r>
          </w:p>
          <w:p w14:paraId="5C7AD468">
            <w:pPr>
              <w:pStyle w:val="18"/>
              <w:bidi w:val="0"/>
              <w:rPr>
                <w:rFonts w:hint="default" w:ascii="Times New Roman" w:hAnsi="Times New Roman" w:cs="Times New Roman"/>
                <w:b/>
                <w:bCs/>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表3.2-2   项目扰动占地情况一览表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402"/>
              <w:gridCol w:w="1932"/>
              <w:gridCol w:w="2904"/>
              <w:gridCol w:w="1451"/>
            </w:tblGrid>
            <w:tr w14:paraId="3EAF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D2C71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1402" w:type="dxa"/>
                  <w:noWrap w:val="0"/>
                  <w:vAlign w:val="center"/>
                </w:tcPr>
                <w:p w14:paraId="3F44D17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项目名称</w:t>
                  </w:r>
                </w:p>
              </w:tc>
              <w:tc>
                <w:tcPr>
                  <w:tcW w:w="1932" w:type="dxa"/>
                  <w:noWrap w:val="0"/>
                  <w:vAlign w:val="center"/>
                </w:tcPr>
                <w:p w14:paraId="04EDB1E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占地面积（m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904" w:type="dxa"/>
                  <w:noWrap w:val="0"/>
                  <w:vAlign w:val="center"/>
                </w:tcPr>
                <w:p w14:paraId="2FD9633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土地利用类型</w:t>
                  </w:r>
                </w:p>
              </w:tc>
              <w:tc>
                <w:tcPr>
                  <w:tcW w:w="1451" w:type="dxa"/>
                  <w:noWrap w:val="0"/>
                  <w:vAlign w:val="center"/>
                </w:tcPr>
                <w:p w14:paraId="77A84FF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草地等级</w:t>
                  </w:r>
                </w:p>
              </w:tc>
            </w:tr>
            <w:tr w14:paraId="0438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50935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1402" w:type="dxa"/>
                  <w:noWrap w:val="0"/>
                  <w:vAlign w:val="center"/>
                </w:tcPr>
                <w:p w14:paraId="12EB015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生产车间</w:t>
                  </w:r>
                </w:p>
              </w:tc>
              <w:tc>
                <w:tcPr>
                  <w:tcW w:w="1932" w:type="dxa"/>
                  <w:noWrap w:val="0"/>
                  <w:vAlign w:val="center"/>
                </w:tcPr>
                <w:p w14:paraId="4406C55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2000</w:t>
                  </w:r>
                </w:p>
              </w:tc>
              <w:tc>
                <w:tcPr>
                  <w:tcW w:w="2904" w:type="dxa"/>
                  <w:noWrap w:val="0"/>
                  <w:vAlign w:val="center"/>
                </w:tcPr>
                <w:p w14:paraId="60EFEB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6DA2E0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1F0D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44EC9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1402" w:type="dxa"/>
                  <w:noWrap w:val="0"/>
                  <w:vAlign w:val="center"/>
                </w:tcPr>
                <w:p w14:paraId="7CA3698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原料及成品堆场</w:t>
                  </w:r>
                </w:p>
              </w:tc>
              <w:tc>
                <w:tcPr>
                  <w:tcW w:w="1932" w:type="dxa"/>
                  <w:noWrap w:val="0"/>
                  <w:vAlign w:val="center"/>
                </w:tcPr>
                <w:p w14:paraId="445461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w:t>
                  </w:r>
                </w:p>
              </w:tc>
              <w:tc>
                <w:tcPr>
                  <w:tcW w:w="2904" w:type="dxa"/>
                  <w:noWrap w:val="0"/>
                  <w:vAlign w:val="center"/>
                </w:tcPr>
                <w:p w14:paraId="08F6A70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6DB72A8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3925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36B37A4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1402" w:type="dxa"/>
                  <w:noWrap w:val="0"/>
                  <w:vAlign w:val="center"/>
                </w:tcPr>
                <w:p w14:paraId="61882EE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c>
                <w:tcPr>
                  <w:tcW w:w="1932" w:type="dxa"/>
                  <w:noWrap w:val="0"/>
                  <w:vAlign w:val="center"/>
                </w:tcPr>
                <w:p w14:paraId="03166C5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2904" w:type="dxa"/>
                  <w:noWrap w:val="0"/>
                  <w:vAlign w:val="center"/>
                </w:tcPr>
                <w:p w14:paraId="3253DDC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771F88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4775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458E8D6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1402" w:type="dxa"/>
                  <w:noWrap w:val="0"/>
                  <w:vAlign w:val="center"/>
                </w:tcPr>
                <w:p w14:paraId="73FE95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柴油储存区</w:t>
                  </w:r>
                </w:p>
              </w:tc>
              <w:tc>
                <w:tcPr>
                  <w:tcW w:w="1932" w:type="dxa"/>
                  <w:noWrap w:val="0"/>
                  <w:vAlign w:val="center"/>
                </w:tcPr>
                <w:p w14:paraId="443ED93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2904" w:type="dxa"/>
                  <w:noWrap w:val="0"/>
                  <w:vAlign w:val="center"/>
                </w:tcPr>
                <w:p w14:paraId="24DEE6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664096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3D17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21C8EB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1402" w:type="dxa"/>
                  <w:noWrap w:val="0"/>
                  <w:vAlign w:val="center"/>
                </w:tcPr>
                <w:p w14:paraId="024D720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洗车平台</w:t>
                  </w:r>
                </w:p>
              </w:tc>
              <w:tc>
                <w:tcPr>
                  <w:tcW w:w="1932" w:type="dxa"/>
                  <w:noWrap w:val="0"/>
                  <w:vAlign w:val="center"/>
                </w:tcPr>
                <w:p w14:paraId="0BCD39B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w:t>
                  </w:r>
                </w:p>
              </w:tc>
              <w:tc>
                <w:tcPr>
                  <w:tcW w:w="2904" w:type="dxa"/>
                  <w:noWrap w:val="0"/>
                  <w:vAlign w:val="center"/>
                </w:tcPr>
                <w:p w14:paraId="4D9D349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52629FE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5EAB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2F3C05A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1402" w:type="dxa"/>
                  <w:noWrap w:val="0"/>
                  <w:vAlign w:val="center"/>
                </w:tcPr>
                <w:p w14:paraId="1397419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运输道路</w:t>
                  </w:r>
                </w:p>
              </w:tc>
              <w:tc>
                <w:tcPr>
                  <w:tcW w:w="1932" w:type="dxa"/>
                  <w:noWrap w:val="0"/>
                  <w:vAlign w:val="center"/>
                </w:tcPr>
                <w:p w14:paraId="3FBD227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1364</w:t>
                  </w:r>
                </w:p>
              </w:tc>
              <w:tc>
                <w:tcPr>
                  <w:tcW w:w="2904" w:type="dxa"/>
                  <w:noWrap w:val="0"/>
                  <w:vAlign w:val="center"/>
                </w:tcPr>
                <w:p w14:paraId="10EF9ED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517A5D3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6C55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03028D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1402" w:type="dxa"/>
                  <w:noWrap w:val="0"/>
                  <w:vAlign w:val="center"/>
                </w:tcPr>
                <w:p w14:paraId="7C10F43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办公用房</w:t>
                  </w:r>
                </w:p>
              </w:tc>
              <w:tc>
                <w:tcPr>
                  <w:tcW w:w="1932" w:type="dxa"/>
                  <w:noWrap w:val="0"/>
                  <w:vAlign w:val="center"/>
                </w:tcPr>
                <w:p w14:paraId="715952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200</w:t>
                  </w:r>
                </w:p>
              </w:tc>
              <w:tc>
                <w:tcPr>
                  <w:tcW w:w="2904" w:type="dxa"/>
                  <w:noWrap w:val="0"/>
                  <w:vAlign w:val="center"/>
                </w:tcPr>
                <w:p w14:paraId="05CDED7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0A3165A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7540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770E47D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1402" w:type="dxa"/>
                  <w:noWrap w:val="0"/>
                  <w:vAlign w:val="center"/>
                </w:tcPr>
                <w:p w14:paraId="57B25C9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配电房</w:t>
                  </w:r>
                </w:p>
              </w:tc>
              <w:tc>
                <w:tcPr>
                  <w:tcW w:w="1932" w:type="dxa"/>
                  <w:noWrap w:val="0"/>
                  <w:vAlign w:val="center"/>
                </w:tcPr>
                <w:p w14:paraId="1425BB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2904" w:type="dxa"/>
                  <w:noWrap w:val="0"/>
                  <w:vAlign w:val="center"/>
                </w:tcPr>
                <w:p w14:paraId="276F674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3DE9FE4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070D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01" w:type="dxa"/>
                  <w:noWrap w:val="0"/>
                  <w:vAlign w:val="center"/>
                </w:tcPr>
                <w:p w14:paraId="62282AF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w:t>
                  </w:r>
                </w:p>
              </w:tc>
              <w:tc>
                <w:tcPr>
                  <w:tcW w:w="1402" w:type="dxa"/>
                  <w:noWrap w:val="0"/>
                  <w:vAlign w:val="center"/>
                </w:tcPr>
                <w:p w14:paraId="63B759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合计</w:t>
                  </w:r>
                </w:p>
              </w:tc>
              <w:tc>
                <w:tcPr>
                  <w:tcW w:w="1932" w:type="dxa"/>
                  <w:noWrap w:val="0"/>
                  <w:vAlign w:val="center"/>
                </w:tcPr>
                <w:p w14:paraId="31C79E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4189</w:t>
                  </w:r>
                </w:p>
              </w:tc>
              <w:tc>
                <w:tcPr>
                  <w:tcW w:w="2904" w:type="dxa"/>
                  <w:noWrap w:val="0"/>
                  <w:vAlign w:val="center"/>
                </w:tcPr>
                <w:p w14:paraId="54B21E5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草地</w:t>
                  </w:r>
                </w:p>
              </w:tc>
              <w:tc>
                <w:tcPr>
                  <w:tcW w:w="1451" w:type="dxa"/>
                  <w:noWrap w:val="0"/>
                  <w:vAlign w:val="center"/>
                </w:tcPr>
                <w:p w14:paraId="116B39A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二等二级</w:t>
                  </w:r>
                </w:p>
              </w:tc>
            </w:tr>
            <w:tr w14:paraId="4FC3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0" w:type="dxa"/>
                  <w:gridSpan w:val="5"/>
                  <w:noWrap w:val="0"/>
                  <w:vAlign w:val="center"/>
                </w:tcPr>
                <w:p w14:paraId="6DD477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sz w:val="13"/>
                      <w:szCs w:val="13"/>
                      <w:highlight w:val="none"/>
                      <w:lang w:val="en-US" w:eastAsia="zh-CN"/>
                      <w14:textFill>
                        <w14:solidFill>
                          <w14:schemeClr w14:val="tx1"/>
                        </w14:solidFill>
                      </w14:textFill>
                    </w:rPr>
                    <w:t>弃渣场已堆放弃渣，本项目是对弃渣进行处置。拟建地面布局面积4189m</w:t>
                  </w:r>
                  <w:r>
                    <w:rPr>
                      <w:rFonts w:hint="default" w:ascii="Times New Roman" w:hAnsi="Times New Roman" w:cs="Times New Roman"/>
                      <w:color w:val="000000" w:themeColor="text1"/>
                      <w:sz w:val="13"/>
                      <w:szCs w:val="13"/>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13"/>
                      <w:szCs w:val="13"/>
                      <w:highlight w:val="none"/>
                      <w:lang w:val="en-US" w:eastAsia="zh-CN"/>
                      <w14:textFill>
                        <w14:solidFill>
                          <w14:schemeClr w14:val="tx1"/>
                        </w14:solidFill>
                      </w14:textFill>
                    </w:rPr>
                    <w:t>，拟建设施全部位于弃渣场内。</w:t>
                  </w:r>
                </w:p>
              </w:tc>
            </w:tr>
          </w:tbl>
          <w:p w14:paraId="3E356C87">
            <w:pPr>
              <w:keepNext w:val="0"/>
              <w:keepLines w:val="0"/>
              <w:pageBreakBefore w:val="0"/>
              <w:widowControl w:val="0"/>
              <w:kinsoku/>
              <w:wordWrap/>
              <w:overflowPunct/>
              <w:topLinePunct w:val="0"/>
              <w:autoSpaceDE/>
              <w:autoSpaceDN/>
              <w:bidi w:val="0"/>
              <w:adjustRightInd w:val="0"/>
              <w:snapToGrid w:val="0"/>
              <w:spacing w:line="500" w:lineRule="exact"/>
              <w:ind w:firstLine="504"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项目区主要土壤类型为亚高山草原土，亚高山草原土是分布于青藏高原山区、帕</w:t>
            </w:r>
            <w:r>
              <w:rPr>
                <w:rFonts w:hint="default" w:ascii="Times New Roman" w:hAnsi="Times New Roman" w:cs="Times New Roman"/>
                <w:color w:val="000000" w:themeColor="text1"/>
                <w:spacing w:val="6"/>
                <w:sz w:val="24"/>
                <w:szCs w:val="24"/>
                <w:highlight w:val="none"/>
                <w:lang w:val="en-US" w:eastAsia="zh-CN"/>
                <w14:textFill>
                  <w14:solidFill>
                    <w14:schemeClr w14:val="tx1"/>
                  </w14:solidFill>
                </w14:textFill>
              </w:rPr>
              <w:t>米</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尔高原及昆仑山等地的草原土壤类型，属中国高山土系列，对应国际分类中的钙积冷冻性冷凉软土。其形成于高原温带半干旱气候区，年均温约1.2℃，年降水量约250</w:t>
            </w:r>
            <w:r>
              <w:rPr>
                <w:rFonts w:hint="default" w:ascii="Times New Roman" w:hAnsi="Times New Roman" w:cs="Times New Roman"/>
                <w:color w:val="000000" w:themeColor="text1"/>
                <w:spacing w:val="6"/>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m，植被以针茅、狐茅等耐旱草本为主。土壤表层为灰棕色腐殖质层（厚10～20</w:t>
            </w:r>
            <w:r>
              <w:rPr>
                <w:rFonts w:hint="default" w:ascii="Times New Roman" w:hAnsi="Times New Roman" w:cs="Times New Roman"/>
                <w:color w:val="000000" w:themeColor="text1"/>
                <w:spacing w:val="6"/>
                <w:sz w:val="24"/>
                <w:szCs w:val="24"/>
                <w:highlight w:val="none"/>
                <w:lang w:val="en-US" w:eastAsia="zh-CN"/>
                <w14:textFill>
                  <w14:solidFill>
                    <w14:schemeClr w14:val="tx1"/>
                  </w14:solidFill>
                </w14:textFill>
              </w:rPr>
              <w:t>c</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m），有机质含量约5%，中下层钙积层碳酸钙含量达10%～35%，pH值7.5-8.5，成土过程以腐殖质积累与钙化作用为主，淋溶较弱。土地利用现状图详见附图</w:t>
            </w:r>
            <w:r>
              <w:rPr>
                <w:rFonts w:hint="default" w:ascii="Times New Roman" w:hAnsi="Times New Roman" w:cs="Times New Roman"/>
                <w:color w:val="000000" w:themeColor="text1"/>
                <w:spacing w:val="6"/>
                <w:sz w:val="24"/>
                <w:szCs w:val="24"/>
                <w:highlight w:val="none"/>
                <w:lang w:val="en-US" w:eastAsia="zh-CN"/>
                <w14:textFill>
                  <w14:solidFill>
                    <w14:schemeClr w14:val="tx1"/>
                  </w14:solidFill>
                </w14:textFill>
              </w:rPr>
              <w:t>7，土壤类型图详见附图8</w:t>
            </w:r>
            <w:r>
              <w:rPr>
                <w:rFonts w:hint="default" w:ascii="Times New Roman" w:hAnsi="Times New Roman" w:cs="Times New Roman"/>
                <w:color w:val="000000" w:themeColor="text1"/>
                <w:highlight w:val="none"/>
                <w:lang w:eastAsia="zh-CN"/>
                <w14:textFill>
                  <w14:solidFill>
                    <w14:schemeClr w14:val="tx1"/>
                  </w14:solidFill>
                </w14:textFill>
              </w:rPr>
              <w:t>。</w:t>
            </w:r>
          </w:p>
          <w:p w14:paraId="2E233D7E">
            <w:pPr>
              <w:keepNext w:val="0"/>
              <w:keepLines w:val="0"/>
              <w:pageBreakBefore w:val="0"/>
              <w:kinsoku/>
              <w:wordWrap/>
              <w:overflowPunct/>
              <w:topLinePunct w:val="0"/>
              <w:autoSpaceDE/>
              <w:autoSpaceDN/>
              <w:bidi w:val="0"/>
              <w:adjustRightInd w:val="0"/>
              <w:snapToGrid w:val="0"/>
              <w:spacing w:line="500" w:lineRule="exact"/>
              <w:ind w:left="0" w:leftChars="0" w:firstLine="0" w:firstLineChars="0"/>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w:t>
            </w:r>
            <w:r>
              <w:rPr>
                <w:rFonts w:hint="default" w:ascii="Times New Roman" w:hAnsi="Times New Roman" w:cs="Times New Roman"/>
                <w:b/>
                <w:color w:val="000000" w:themeColor="text1"/>
                <w:highlight w:val="none"/>
                <w:lang w:val="en-US" w:eastAsia="zh-CN"/>
                <w14:textFill>
                  <w14:solidFill>
                    <w14:schemeClr w14:val="tx1"/>
                  </w14:solidFill>
                </w14:textFill>
              </w:rPr>
              <w:t>2.3</w:t>
            </w:r>
            <w:r>
              <w:rPr>
                <w:rFonts w:hint="default" w:ascii="Times New Roman" w:hAnsi="Times New Roman" w:cs="Times New Roman"/>
                <w:b/>
                <w:bCs/>
                <w:color w:val="000000" w:themeColor="text1"/>
                <w:highlight w:val="none"/>
                <w:lang w:val="en-US" w:eastAsia="zh-CN"/>
                <w14:textFill>
                  <w14:solidFill>
                    <w14:schemeClr w14:val="tx1"/>
                  </w14:solidFill>
                </w14:textFill>
              </w:rPr>
              <w:t>项目区主要植被类型</w:t>
            </w:r>
          </w:p>
          <w:p w14:paraId="277EC939">
            <w:pPr>
              <w:bidi w:val="0"/>
              <w:ind w:left="0" w:leftChars="0" w:firstLine="504" w:firstLineChars="200"/>
              <w:jc w:val="left"/>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根据《新疆植被及其利用》中植被分区原则，新疆植被分区采用植被区、植被亚区、植被省、植被亚省和植被州分法。</w:t>
            </w:r>
            <w:r>
              <w:rPr>
                <w:rFonts w:hint="eastAsia" w:cs="Times New Roman"/>
                <w:color w:val="000000" w:themeColor="text1"/>
                <w:spacing w:val="6"/>
                <w:sz w:val="24"/>
                <w:szCs w:val="24"/>
                <w:highlight w:val="none"/>
                <w:lang w:val="en-US" w:eastAsia="zh-CN"/>
                <w14:textFill>
                  <w14:solidFill>
                    <w14:schemeClr w14:val="tx1"/>
                  </w14:solidFill>
                </w14:textFill>
              </w:rPr>
              <w:t>项目所在</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区植被分区方案见表</w:t>
            </w:r>
            <w:r>
              <w:rPr>
                <w:rFonts w:hint="eastAsia" w:cs="Times New Roman"/>
                <w:color w:val="000000" w:themeColor="text1"/>
                <w:spacing w:val="6"/>
                <w:sz w:val="24"/>
                <w:szCs w:val="24"/>
                <w:highlight w:val="none"/>
                <w:lang w:val="en-US" w:eastAsia="zh-CN"/>
                <w14:textFill>
                  <w14:solidFill>
                    <w14:schemeClr w14:val="tx1"/>
                  </w14:solidFill>
                </w14:textFill>
              </w:rPr>
              <w:t>3.2-3</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w:t>
            </w:r>
          </w:p>
          <w:p w14:paraId="12EA2DE3">
            <w:pPr>
              <w:pStyle w:val="18"/>
              <w:bidi w:val="0"/>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w:t>
            </w:r>
            <w:r>
              <w:rPr>
                <w:rFonts w:hint="eastAsia" w:ascii="Times New Roman" w:hAnsi="Times New Roman" w:cs="Times New Roman"/>
                <w:color w:val="000000" w:themeColor="text1"/>
                <w:highlight w:val="none"/>
                <w:lang w:val="en-US" w:eastAsia="zh-CN"/>
                <w14:textFill>
                  <w14:solidFill>
                    <w14:schemeClr w14:val="tx1"/>
                  </w14:solidFill>
                </w14:textFill>
              </w:rPr>
              <w:t>3.2-3</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项目所在区域</w:t>
            </w:r>
            <w:r>
              <w:rPr>
                <w:rFonts w:hint="default" w:ascii="Times New Roman" w:hAnsi="Times New Roman" w:cs="Times New Roman"/>
                <w:color w:val="000000" w:themeColor="text1"/>
                <w:highlight w:val="none"/>
                <w:lang w:val="en-US" w:eastAsia="zh-CN"/>
                <w14:textFill>
                  <w14:solidFill>
                    <w14:schemeClr w14:val="tx1"/>
                  </w14:solidFill>
                </w14:textFill>
              </w:rPr>
              <w:t>植被分区方案</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2401"/>
              <w:gridCol w:w="1727"/>
              <w:gridCol w:w="1284"/>
              <w:gridCol w:w="1375"/>
            </w:tblGrid>
            <w:tr w14:paraId="2E9C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603" w:type="dxa"/>
                  <w:tcBorders>
                    <w:tl2br w:val="nil"/>
                    <w:tr2bl w:val="nil"/>
                  </w:tcBorders>
                  <w:vAlign w:val="center"/>
                </w:tcPr>
                <w:p w14:paraId="00A6BD73">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植被区</w:t>
                  </w:r>
                </w:p>
              </w:tc>
              <w:tc>
                <w:tcPr>
                  <w:tcW w:w="2401" w:type="dxa"/>
                  <w:tcBorders>
                    <w:tl2br w:val="nil"/>
                    <w:tr2bl w:val="nil"/>
                  </w:tcBorders>
                  <w:vAlign w:val="center"/>
                </w:tcPr>
                <w:p w14:paraId="76AD208E">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植被亚区</w:t>
                  </w:r>
                </w:p>
              </w:tc>
              <w:tc>
                <w:tcPr>
                  <w:tcW w:w="1727" w:type="dxa"/>
                  <w:tcBorders>
                    <w:tl2br w:val="nil"/>
                    <w:tr2bl w:val="nil"/>
                  </w:tcBorders>
                  <w:vAlign w:val="center"/>
                </w:tcPr>
                <w:p w14:paraId="55347A5E">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植被省</w:t>
                  </w:r>
                </w:p>
              </w:tc>
              <w:tc>
                <w:tcPr>
                  <w:tcW w:w="1284" w:type="dxa"/>
                  <w:tcBorders>
                    <w:tl2br w:val="nil"/>
                    <w:tr2bl w:val="nil"/>
                  </w:tcBorders>
                  <w:vAlign w:val="center"/>
                </w:tcPr>
                <w:p w14:paraId="3A8552E6">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植被亚省</w:t>
                  </w:r>
                </w:p>
              </w:tc>
              <w:tc>
                <w:tcPr>
                  <w:tcW w:w="1375" w:type="dxa"/>
                  <w:tcBorders>
                    <w:tl2br w:val="nil"/>
                    <w:tr2bl w:val="nil"/>
                  </w:tcBorders>
                  <w:vAlign w:val="center"/>
                </w:tcPr>
                <w:p w14:paraId="7F41C4BA">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植被州</w:t>
                  </w:r>
                </w:p>
              </w:tc>
            </w:tr>
            <w:tr w14:paraId="5718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3" w:type="dxa"/>
                  <w:tcBorders>
                    <w:tl2br w:val="nil"/>
                    <w:tr2bl w:val="nil"/>
                  </w:tcBorders>
                  <w:vAlign w:val="center"/>
                </w:tcPr>
                <w:p w14:paraId="11AB625A">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（二）新疆荒</w:t>
                  </w:r>
                </w:p>
                <w:p w14:paraId="24223722">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漠区（亚非荒</w:t>
                  </w:r>
                </w:p>
                <w:p w14:paraId="7CF8B4A1">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漠区一部分</w:t>
                  </w:r>
                </w:p>
              </w:tc>
              <w:tc>
                <w:tcPr>
                  <w:tcW w:w="2401" w:type="dxa"/>
                  <w:tcBorders>
                    <w:tl2br w:val="nil"/>
                    <w:tr2bl w:val="nil"/>
                  </w:tcBorders>
                  <w:vAlign w:val="center"/>
                </w:tcPr>
                <w:p w14:paraId="40F3B7FE">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B.东疆-南疆荒漠亚区（为亚洲中部荒漠亚区的一部分）</w:t>
                  </w:r>
                </w:p>
              </w:tc>
              <w:tc>
                <w:tcPr>
                  <w:tcW w:w="1727" w:type="dxa"/>
                  <w:tcBorders>
                    <w:tl2br w:val="nil"/>
                    <w:tr2bl w:val="nil"/>
                  </w:tcBorders>
                  <w:vAlign w:val="center"/>
                </w:tcPr>
                <w:p w14:paraId="1E611FB7">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Ⅵ.天山南坡</w:t>
                  </w:r>
                </w:p>
                <w:p w14:paraId="0FEC0293">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山地草原省</w:t>
                  </w:r>
                </w:p>
              </w:tc>
              <w:tc>
                <w:tcPr>
                  <w:tcW w:w="1284" w:type="dxa"/>
                  <w:tcBorders>
                    <w:tl2br w:val="nil"/>
                    <w:tr2bl w:val="nil"/>
                  </w:tcBorders>
                  <w:vAlign w:val="center"/>
                </w:tcPr>
                <w:p w14:paraId="44B79961">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1375" w:type="dxa"/>
                  <w:tcBorders>
                    <w:tl2br w:val="nil"/>
                    <w:tr2bl w:val="nil"/>
                  </w:tcBorders>
                  <w:vAlign w:val="center"/>
                </w:tcPr>
                <w:p w14:paraId="799FE416">
                  <w:pPr>
                    <w:pStyle w:val="16"/>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38.尤尔都斯盆地州</w:t>
                  </w:r>
                </w:p>
              </w:tc>
            </w:tr>
          </w:tbl>
          <w:p w14:paraId="19E35944">
            <w:pPr>
              <w:bidi w:val="0"/>
              <w:ind w:left="0" w:leftChars="0" w:firstLine="504" w:firstLineChars="200"/>
              <w:jc w:val="left"/>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pPr>
            <w:r>
              <w:rPr>
                <w:rFonts w:hint="eastAsia" w:cs="Times New Roman"/>
                <w:color w:val="000000" w:themeColor="text1"/>
                <w:spacing w:val="6"/>
                <w:sz w:val="24"/>
                <w:szCs w:val="24"/>
                <w:highlight w:val="none"/>
                <w:lang w:val="en-US" w:eastAsia="zh-CN"/>
                <w14:textFill>
                  <w14:solidFill>
                    <w14:schemeClr w14:val="tx1"/>
                  </w14:solidFill>
                </w14:textFill>
              </w:rPr>
              <w:t>参照《环境影响评价技术导则 生态影响》（HJ19-2022）7.3.4陆生生态二级评价，每种群落类型样方数量不少于3个，调查时间宜选择植物生长旺盛季节。</w:t>
            </w:r>
          </w:p>
          <w:p w14:paraId="2755E193">
            <w:pPr>
              <w:bidi w:val="0"/>
              <w:rPr>
                <w:rFonts w:hint="default"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调查范围</w:t>
            </w:r>
            <w:r>
              <w:rPr>
                <w:rFonts w:hint="eastAsia"/>
                <w:color w:val="000000" w:themeColor="text1"/>
                <w:lang w:val="en-US" w:eastAsia="zh-CN"/>
                <w14:textFill>
                  <w14:solidFill>
                    <w14:schemeClr w14:val="tx1"/>
                  </w14:solidFill>
                </w14:textFill>
              </w:rPr>
              <w:t>及时间</w:t>
            </w:r>
          </w:p>
          <w:p w14:paraId="20F1DAEC">
            <w:pPr>
              <w:keepNext w:val="0"/>
              <w:keepLines w:val="0"/>
              <w:pageBreakBefore w:val="0"/>
              <w:kinsoku/>
              <w:wordWrap/>
              <w:overflowPunct/>
              <w:topLinePunct w:val="0"/>
              <w:autoSpaceDE/>
              <w:autoSpaceDN/>
              <w:bidi w:val="0"/>
              <w:adjustRightInd w:val="0"/>
              <w:snapToGrid w:val="0"/>
              <w:textAlignment w:val="auto"/>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生态调查范围</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弃渣场占地范围。</w:t>
            </w:r>
          </w:p>
          <w:p w14:paraId="4345B0ED">
            <w:pPr>
              <w:pStyle w:val="8"/>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调查时间：</w:t>
            </w:r>
            <w:r>
              <w:rPr>
                <w:rFonts w:hint="default" w:ascii="Times New Roman" w:hAnsi="Times New Roman" w:cs="Times New Roman"/>
                <w:color w:val="000000" w:themeColor="text1"/>
                <w:lang w:val="en-US" w:eastAsia="zh-CN"/>
                <w14:textFill>
                  <w14:solidFill>
                    <w14:schemeClr w14:val="tx1"/>
                  </w14:solidFill>
                </w14:textFill>
              </w:rPr>
              <w:t>2026年8月7日</w:t>
            </w:r>
          </w:p>
          <w:p w14:paraId="42F39483">
            <w:pPr>
              <w:pStyle w:val="8"/>
              <w:keepNext w:val="0"/>
              <w:keepLines w:val="0"/>
              <w:pageBreakBefore w:val="0"/>
              <w:kinsoku/>
              <w:wordWrap/>
              <w:overflowPunct/>
              <w:topLinePunct w:val="0"/>
              <w:autoSpaceDE/>
              <w:autoSpaceDN/>
              <w:bidi w:val="0"/>
              <w:adjustRightInd w:val="0"/>
              <w:snapToGrid w:val="0"/>
              <w:spacing w:after="0"/>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调查人员：和欢芹（新疆玖和生态环境科技有限公司工程师）、黄秋菡（新疆玖和生态环境科技有限公司编制人员）</w:t>
            </w:r>
          </w:p>
          <w:p w14:paraId="34D0AB2E">
            <w:pPr>
              <w:bidi w:val="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（2）调查方法</w:t>
            </w:r>
          </w:p>
          <w:p w14:paraId="3023D611">
            <w:pPr>
              <w:bidi w:val="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植物调查：样方调查，资料收集，访问。</w:t>
            </w:r>
          </w:p>
          <w:p w14:paraId="041430E3">
            <w:pPr>
              <w:bidi w:val="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）基础资料收集</w:t>
            </w:r>
          </w:p>
          <w:p w14:paraId="765FA8BB">
            <w:pPr>
              <w:bidi w:val="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根据《中华人民共和国植被图》确定评价区的主要植被类型、植物种类及分布范围，在植被图上叠加项目区域，确定工程影响的主要区域及植被类型，结合现场勘察情况，项目所在区域地形平缓，由西北向东南倾斜，坡度较小，海拔2400-2600m，天山南区高寒草甸生态单元，主要植被以针茅、冰草、杂草类为主，植被覆盖度较高。</w:t>
            </w:r>
          </w:p>
          <w:p w14:paraId="28864AF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napToGrid w:val="0"/>
                <w:kern w:val="0"/>
                <w:sz w:val="24"/>
                <w:szCs w:val="24"/>
                <w:highlight w:val="none"/>
                <w:lang w:val="en-US" w:eastAsia="zh-CN" w:bidi="ar-SA"/>
                <w14:ligatures w14:val="none"/>
              </w:rPr>
              <w:t>（</w:t>
            </w:r>
            <w:r>
              <w:rPr>
                <w:rFonts w:hint="eastAsia" w:ascii="Times New Roman" w:hAnsi="Times New Roman" w:eastAsia="宋体" w:cs="Times New Roman"/>
                <w:snapToGrid w:val="0"/>
                <w:kern w:val="0"/>
                <w:sz w:val="24"/>
                <w:szCs w:val="24"/>
                <w:highlight w:val="none"/>
                <w:lang w:val="en-US" w:eastAsia="zh-CN" w:bidi="ar-SA"/>
                <w14:ligatures w14:val="none"/>
              </w:rPr>
              <w:t>4</w:t>
            </w:r>
            <w:r>
              <w:rPr>
                <w:rFonts w:hint="default" w:ascii="Times New Roman" w:hAnsi="Times New Roman" w:eastAsia="宋体" w:cs="Times New Roman"/>
                <w:snapToGrid w:val="0"/>
                <w:kern w:val="0"/>
                <w:sz w:val="24"/>
                <w:szCs w:val="24"/>
                <w:highlight w:val="none"/>
                <w:lang w:val="en-US" w:eastAsia="zh-CN" w:bidi="ar-SA"/>
                <w14:ligatures w14:val="none"/>
              </w:rPr>
              <w:t>）</w:t>
            </w:r>
            <w:r>
              <w:rPr>
                <w:rFonts w:hint="eastAsia" w:ascii="Times New Roman" w:hAnsi="Times New Roman" w:eastAsia="宋体" w:cs="Times New Roman"/>
                <w:snapToGrid w:val="0"/>
                <w:kern w:val="0"/>
                <w:sz w:val="24"/>
                <w:szCs w:val="24"/>
                <w:highlight w:val="none"/>
                <w:lang w:val="en-US" w:eastAsia="zh-CN" w:bidi="ar-SA"/>
                <w14:ligatures w14:val="none"/>
              </w:rPr>
              <w:t>植被群系</w:t>
            </w:r>
          </w:p>
          <w:p w14:paraId="5A04A787">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Times New Roman" w:hAnsi="Times New Roman" w:eastAsia="宋体" w:cs="Times New Roman"/>
                <w:sz w:val="24"/>
                <w:szCs w:val="24"/>
                <w:highlight w:val="yellow"/>
                <w:lang w:val="en-US" w:eastAsia="zh-CN"/>
              </w:rPr>
            </w:pPr>
            <w:r>
              <w:rPr>
                <w:rFonts w:hint="eastAsia" w:ascii="Times New Roman" w:hAnsi="Times New Roman" w:eastAsia="宋体" w:cs="Times New Roman"/>
                <w:sz w:val="24"/>
                <w:szCs w:val="24"/>
                <w:highlight w:val="none"/>
                <w:lang w:val="en-US" w:eastAsia="zh-CN"/>
              </w:rPr>
              <w:t>本项目区域涉及的植被群系为紫花针茅群系。紫花针茅群系是高寒草原最具代表性的植被群系，紫花针茅群系广泛分布于中国新疆、四川、甘肃、青海和西藏建群种为紫花针茅。紫花针茅为禾本科针茅属多年生密丛草本，茎细瘦，高20-45厘米，叶片纵卷如针状，圆锥花序小穗紫色，颖果下端尖细如针并密生倒毛，花果期为7-10月，其须根细而坚韧，耐寒耐旱，适应海拔1900-5150米的高山草甸、干旱阳坡、丘陵及高原剥蚀面，群落结构简单；亚优势种主要有假羊</w:t>
            </w:r>
            <w:r>
              <w:rPr>
                <w:rFonts w:hint="eastAsia" w:eastAsia="宋体" w:cs="Times New Roman"/>
                <w:sz w:val="24"/>
                <w:szCs w:val="24"/>
                <w:highlight w:val="none"/>
                <w:lang w:val="en-US" w:eastAsia="zh-CN"/>
              </w:rPr>
              <w:t>茅</w:t>
            </w:r>
            <w:r>
              <w:rPr>
                <w:rFonts w:hint="eastAsia" w:ascii="Times New Roman" w:hAnsi="Times New Roman" w:eastAsia="宋体" w:cs="Times New Roman"/>
                <w:sz w:val="24"/>
                <w:szCs w:val="24"/>
                <w:highlight w:val="none"/>
                <w:lang w:val="en-US" w:eastAsia="zh-CN"/>
              </w:rPr>
              <w:t>、青藏苔草、昆仑蒿、梭罗草等；伴生有棘豆、黄芪、火绒草、风毛菊等。</w:t>
            </w:r>
          </w:p>
          <w:p w14:paraId="345023B5">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sz w:val="24"/>
                <w:szCs w:val="24"/>
                <w:highlight w:val="yellow"/>
                <w:lang w:val="en-US" w:eastAsia="zh-CN"/>
              </w:rPr>
            </w:pPr>
            <w:r>
              <w:rPr>
                <w:rFonts w:hint="default" w:ascii="Times New Roman" w:hAnsi="Times New Roman" w:eastAsia="宋体" w:cs="Times New Roman"/>
                <w:sz w:val="24"/>
                <w:szCs w:val="24"/>
                <w:highlight w:val="none"/>
                <w:lang w:val="en-US" w:eastAsia="zh-CN"/>
              </w:rPr>
              <w:t>（</w:t>
            </w:r>
            <w:r>
              <w:rPr>
                <w:rFonts w:hint="eastAsia" w:eastAsia="宋体" w:cs="Times New Roman"/>
                <w:sz w:val="24"/>
                <w:szCs w:val="24"/>
                <w:highlight w:val="none"/>
                <w:lang w:val="en-US" w:eastAsia="zh-CN"/>
              </w:rPr>
              <w:t>5</w:t>
            </w:r>
            <w:r>
              <w:rPr>
                <w:rFonts w:hint="default" w:ascii="Times New Roman" w:hAnsi="Times New Roman" w:eastAsia="宋体" w:cs="Times New Roman"/>
                <w:sz w:val="24"/>
                <w:szCs w:val="24"/>
                <w:highlight w:val="none"/>
                <w:lang w:val="en-US" w:eastAsia="zh-CN"/>
              </w:rPr>
              <w:t>）样方布设：根据普遍性和典型性相结合的原则，结合评价区植被覆盖情况和工程影响情况，在弃渣场范围设置点位，进行了样方调查。</w:t>
            </w:r>
            <w:r>
              <w:rPr>
                <w:rFonts w:hint="eastAsia" w:ascii="Times New Roman" w:hAnsi="Times New Roman" w:eastAsia="宋体" w:cs="Times New Roman"/>
                <w:sz w:val="24"/>
                <w:szCs w:val="24"/>
                <w:highlight w:val="none"/>
                <w:lang w:val="en-US" w:eastAsia="zh-CN"/>
              </w:rPr>
              <w:t>本项目占地范围涉及的植被群系</w:t>
            </w:r>
            <w:r>
              <w:rPr>
                <w:rFonts w:hint="eastAsia" w:eastAsia="宋体" w:cs="Times New Roman"/>
                <w:sz w:val="24"/>
                <w:szCs w:val="24"/>
                <w:highlight w:val="none"/>
                <w:lang w:val="en-US" w:eastAsia="zh-CN"/>
              </w:rPr>
              <w:t>为</w:t>
            </w:r>
            <w:r>
              <w:rPr>
                <w:rFonts w:hint="eastAsia" w:ascii="Times New Roman" w:hAnsi="Times New Roman" w:eastAsia="宋体" w:cs="Times New Roman"/>
                <w:sz w:val="24"/>
                <w:szCs w:val="24"/>
                <w:highlight w:val="none"/>
                <w:lang w:val="en-US" w:eastAsia="zh-CN"/>
              </w:rPr>
              <w:t>亚高山草甸，紫花针茅群系</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主要为草本，本次调查设置3个样方，</w:t>
            </w:r>
            <w:r>
              <w:rPr>
                <w:rFonts w:hint="default" w:ascii="Times New Roman" w:hAnsi="Times New Roman" w:eastAsia="宋体" w:cs="Times New Roman"/>
                <w:sz w:val="24"/>
                <w:szCs w:val="24"/>
                <w:highlight w:val="none"/>
                <w:lang w:val="en-US" w:eastAsia="zh-CN"/>
              </w:rPr>
              <w:t>草本样方面积1m×1m。样方见下表。</w:t>
            </w:r>
          </w:p>
          <w:p w14:paraId="7E625968">
            <w:pPr>
              <w:spacing w:line="240" w:lineRule="auto"/>
              <w:ind w:firstLine="480"/>
              <w:jc w:val="center"/>
              <w:rPr>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表3.2-</w:t>
            </w:r>
            <w:r>
              <w:rPr>
                <w:rFonts w:hint="eastAsia"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样方统计表</w:t>
            </w:r>
            <w:r>
              <w:rPr>
                <w:rFonts w:hint="default" w:ascii="Times New Roman" w:hAnsi="Times New Roman" w:eastAsia="宋体" w:cs="Times New Roman"/>
                <w:b/>
                <w:color w:val="000000" w:themeColor="text1"/>
                <w:sz w:val="21"/>
                <w:szCs w:val="21"/>
                <w:highlight w:val="none"/>
                <w14:textFill>
                  <w14:solidFill>
                    <w14:schemeClr w14:val="tx1"/>
                  </w14:solidFill>
                </w14:textFill>
              </w:rPr>
              <w:t>统计结果</w:t>
            </w:r>
          </w:p>
          <w:tbl>
            <w:tblPr>
              <w:tblStyle w:val="1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7"/>
              <w:gridCol w:w="1026"/>
              <w:gridCol w:w="549"/>
              <w:gridCol w:w="1089"/>
              <w:gridCol w:w="407"/>
              <w:gridCol w:w="1047"/>
              <w:gridCol w:w="3304"/>
            </w:tblGrid>
            <w:tr w14:paraId="25797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jc w:val="center"/>
              </w:trPr>
              <w:tc>
                <w:tcPr>
                  <w:tcW w:w="967" w:type="dxa"/>
                  <w:tcBorders>
                    <w:tl2br w:val="nil"/>
                    <w:tr2bl w:val="nil"/>
                  </w:tcBorders>
                  <w:noWrap w:val="0"/>
                  <w:vAlign w:val="center"/>
                </w:tcPr>
                <w:p w14:paraId="57C70E42">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位置</w:t>
                  </w:r>
                </w:p>
              </w:tc>
              <w:tc>
                <w:tcPr>
                  <w:tcW w:w="1026" w:type="dxa"/>
                  <w:tcBorders>
                    <w:tl2br w:val="nil"/>
                    <w:tr2bl w:val="nil"/>
                  </w:tcBorders>
                  <w:noWrap w:val="0"/>
                  <w:vAlign w:val="center"/>
                </w:tcPr>
                <w:p w14:paraId="4A0DE215">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项目区</w:t>
                  </w:r>
                </w:p>
              </w:tc>
              <w:tc>
                <w:tcPr>
                  <w:tcW w:w="549" w:type="dxa"/>
                  <w:tcBorders>
                    <w:tl2br w:val="nil"/>
                    <w:tr2bl w:val="nil"/>
                  </w:tcBorders>
                  <w:noWrap w:val="0"/>
                  <w:vAlign w:val="center"/>
                </w:tcPr>
                <w:p w14:paraId="4EB8EE92">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样方</w:t>
                  </w:r>
                  <w:r>
                    <w:rPr>
                      <w:color w:val="000000" w:themeColor="text1"/>
                      <w:spacing w:val="-1"/>
                      <w:sz w:val="21"/>
                      <w:szCs w:val="21"/>
                      <w:highlight w:val="none"/>
                      <w14:textFill>
                        <w14:solidFill>
                          <w14:schemeClr w14:val="tx1"/>
                        </w14:solidFill>
                      </w14:textFill>
                    </w:rPr>
                    <w:t>号</w:t>
                  </w:r>
                </w:p>
              </w:tc>
              <w:tc>
                <w:tcPr>
                  <w:tcW w:w="1089" w:type="dxa"/>
                  <w:tcBorders>
                    <w:tl2br w:val="nil"/>
                    <w:tr2bl w:val="nil"/>
                  </w:tcBorders>
                  <w:noWrap w:val="0"/>
                  <w:vAlign w:val="center"/>
                </w:tcPr>
                <w:p w14:paraId="20103030">
                  <w:pPr>
                    <w:spacing w:line="240" w:lineRule="atLeast"/>
                    <w:ind w:firstLine="0" w:firstLineChars="0"/>
                    <w:jc w:val="center"/>
                    <w:rPr>
                      <w:rFonts w:hint="eastAsia"/>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00</w:t>
                  </w:r>
                  <w:r>
                    <w:rPr>
                      <w:rFonts w:hint="eastAsia"/>
                      <w:color w:val="000000" w:themeColor="text1"/>
                      <w:spacing w:val="-1"/>
                      <w:sz w:val="21"/>
                      <w:szCs w:val="21"/>
                      <w:highlight w:val="none"/>
                      <w14:textFill>
                        <w14:solidFill>
                          <w14:schemeClr w14:val="tx1"/>
                        </w14:solidFill>
                      </w14:textFill>
                    </w:rPr>
                    <w:t>1</w:t>
                  </w:r>
                </w:p>
              </w:tc>
              <w:tc>
                <w:tcPr>
                  <w:tcW w:w="407" w:type="dxa"/>
                  <w:tcBorders>
                    <w:tl2br w:val="nil"/>
                    <w:tr2bl w:val="nil"/>
                  </w:tcBorders>
                  <w:noWrap w:val="0"/>
                  <w:vAlign w:val="center"/>
                </w:tcPr>
                <w:p w14:paraId="7CB74131">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时间</w:t>
                  </w:r>
                </w:p>
              </w:tc>
              <w:tc>
                <w:tcPr>
                  <w:tcW w:w="4351" w:type="dxa"/>
                  <w:gridSpan w:val="2"/>
                  <w:tcBorders>
                    <w:tl2br w:val="nil"/>
                    <w:tr2bl w:val="nil"/>
                  </w:tcBorders>
                  <w:noWrap w:val="0"/>
                  <w:vAlign w:val="center"/>
                </w:tcPr>
                <w:p w14:paraId="6EDA77CA">
                  <w:pPr>
                    <w:spacing w:line="240" w:lineRule="atLeast"/>
                    <w:ind w:firstLine="0" w:firstLineChars="0"/>
                    <w:jc w:val="center"/>
                    <w:rPr>
                      <w:rFonts w:hint="eastAsia" w:eastAsia="宋体"/>
                      <w:color w:val="000000" w:themeColor="text1"/>
                      <w:spacing w:val="-16"/>
                      <w:sz w:val="21"/>
                      <w:szCs w:val="21"/>
                      <w:highlight w:val="none"/>
                      <w:lang w:eastAsia="zh-CN"/>
                      <w14:textFill>
                        <w14:solidFill>
                          <w14:schemeClr w14:val="tx1"/>
                        </w14:solidFill>
                      </w14:textFill>
                    </w:rPr>
                  </w:pPr>
                  <w:r>
                    <w:rPr>
                      <w:color w:val="000000" w:themeColor="text1"/>
                      <w:spacing w:val="-16"/>
                      <w:sz w:val="21"/>
                      <w:szCs w:val="21"/>
                      <w:highlight w:val="none"/>
                      <w14:textFill>
                        <w14:solidFill>
                          <w14:schemeClr w14:val="tx1"/>
                        </w14:solidFill>
                      </w14:textFill>
                    </w:rPr>
                    <w:t>2</w:t>
                  </w:r>
                  <w:r>
                    <w:rPr>
                      <w:color w:val="000000" w:themeColor="text1"/>
                      <w:spacing w:val="-8"/>
                      <w:sz w:val="21"/>
                      <w:szCs w:val="21"/>
                      <w:highlight w:val="none"/>
                      <w14:textFill>
                        <w14:solidFill>
                          <w14:schemeClr w14:val="tx1"/>
                        </w14:solidFill>
                      </w14:textFill>
                    </w:rPr>
                    <w:t>02</w:t>
                  </w:r>
                  <w:r>
                    <w:rPr>
                      <w:rFonts w:hint="eastAsia"/>
                      <w:color w:val="000000" w:themeColor="text1"/>
                      <w:spacing w:val="-8"/>
                      <w:sz w:val="21"/>
                      <w:szCs w:val="21"/>
                      <w:highlight w:val="none"/>
                      <w:lang w:val="en-US" w:eastAsia="zh-CN"/>
                      <w14:textFill>
                        <w14:solidFill>
                          <w14:schemeClr w14:val="tx1"/>
                        </w14:solidFill>
                      </w14:textFill>
                    </w:rPr>
                    <w:t>6</w:t>
                  </w:r>
                  <w:r>
                    <w:rPr>
                      <w:color w:val="000000" w:themeColor="text1"/>
                      <w:spacing w:val="-8"/>
                      <w:sz w:val="21"/>
                      <w:szCs w:val="21"/>
                      <w:highlight w:val="none"/>
                      <w14:textFill>
                        <w14:solidFill>
                          <w14:schemeClr w14:val="tx1"/>
                        </w14:solidFill>
                      </w14:textFill>
                    </w:rPr>
                    <w:t>年</w:t>
                  </w:r>
                  <w:r>
                    <w:rPr>
                      <w:rFonts w:hint="eastAsia"/>
                      <w:color w:val="000000" w:themeColor="text1"/>
                      <w:spacing w:val="-8"/>
                      <w:sz w:val="21"/>
                      <w:szCs w:val="21"/>
                      <w:highlight w:val="none"/>
                      <w:lang w:val="en-US" w:eastAsia="zh-CN"/>
                      <w14:textFill>
                        <w14:solidFill>
                          <w14:schemeClr w14:val="tx1"/>
                        </w14:solidFill>
                      </w14:textFill>
                    </w:rPr>
                    <w:t>8</w:t>
                  </w:r>
                  <w:r>
                    <w:rPr>
                      <w:color w:val="000000" w:themeColor="text1"/>
                      <w:spacing w:val="-8"/>
                      <w:sz w:val="21"/>
                      <w:szCs w:val="21"/>
                      <w:highlight w:val="none"/>
                      <w14:textFill>
                        <w14:solidFill>
                          <w14:schemeClr w14:val="tx1"/>
                        </w14:solidFill>
                      </w14:textFill>
                    </w:rPr>
                    <w:t>月</w:t>
                  </w:r>
                  <w:r>
                    <w:rPr>
                      <w:rFonts w:hint="eastAsia"/>
                      <w:color w:val="000000" w:themeColor="text1"/>
                      <w:spacing w:val="-8"/>
                      <w:sz w:val="21"/>
                      <w:szCs w:val="21"/>
                      <w:highlight w:val="none"/>
                      <w:lang w:val="en-US" w:eastAsia="zh-CN"/>
                      <w14:textFill>
                        <w14:solidFill>
                          <w14:schemeClr w14:val="tx1"/>
                        </w14:solidFill>
                      </w14:textFill>
                    </w:rPr>
                    <w:t>7</w:t>
                  </w:r>
                  <w:r>
                    <w:rPr>
                      <w:color w:val="000000" w:themeColor="text1"/>
                      <w:spacing w:val="-8"/>
                      <w:sz w:val="21"/>
                      <w:szCs w:val="21"/>
                      <w:highlight w:val="none"/>
                      <w14:textFill>
                        <w14:solidFill>
                          <w14:schemeClr w14:val="tx1"/>
                        </w14:solidFill>
                      </w14:textFill>
                    </w:rPr>
                    <w:t>日</w:t>
                  </w:r>
                  <w:r>
                    <w:rPr>
                      <w:rFonts w:hint="eastAsia"/>
                      <w:color w:val="000000" w:themeColor="text1"/>
                      <w:spacing w:val="-8"/>
                      <w:sz w:val="21"/>
                      <w:szCs w:val="21"/>
                      <w:highlight w:val="none"/>
                      <w:lang w:eastAsia="zh-CN"/>
                      <w14:textFill>
                        <w14:solidFill>
                          <w14:schemeClr w14:val="tx1"/>
                        </w14:solidFill>
                      </w14:textFill>
                    </w:rPr>
                    <w:t>（</w:t>
                  </w:r>
                  <w:r>
                    <w:rPr>
                      <w:rFonts w:hint="eastAsia"/>
                      <w:color w:val="000000" w:themeColor="text1"/>
                      <w:spacing w:val="-8"/>
                      <w:sz w:val="21"/>
                      <w:szCs w:val="21"/>
                      <w:highlight w:val="none"/>
                      <w:lang w:val="en-US" w:eastAsia="zh-CN"/>
                      <w14:textFill>
                        <w14:solidFill>
                          <w14:schemeClr w14:val="tx1"/>
                        </w14:solidFill>
                      </w14:textFill>
                    </w:rPr>
                    <w:t>1号样方</w:t>
                  </w:r>
                  <w:r>
                    <w:rPr>
                      <w:rFonts w:hint="eastAsia"/>
                      <w:color w:val="000000" w:themeColor="text1"/>
                      <w:spacing w:val="-8"/>
                      <w:sz w:val="21"/>
                      <w:szCs w:val="21"/>
                      <w:highlight w:val="none"/>
                      <w:lang w:eastAsia="zh-CN"/>
                      <w14:textFill>
                        <w14:solidFill>
                          <w14:schemeClr w14:val="tx1"/>
                        </w14:solidFill>
                      </w14:textFill>
                    </w:rPr>
                    <w:t>）</w:t>
                  </w:r>
                </w:p>
              </w:tc>
            </w:tr>
            <w:tr w14:paraId="0F663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jc w:val="center"/>
              </w:trPr>
              <w:tc>
                <w:tcPr>
                  <w:tcW w:w="967" w:type="dxa"/>
                  <w:tcBorders>
                    <w:tl2br w:val="nil"/>
                    <w:tr2bl w:val="nil"/>
                  </w:tcBorders>
                  <w:noWrap w:val="0"/>
                  <w:vAlign w:val="center"/>
                </w:tcPr>
                <w:p w14:paraId="331EFAFC">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样</w:t>
                  </w:r>
                  <w:r>
                    <w:rPr>
                      <w:color w:val="000000" w:themeColor="text1"/>
                      <w:spacing w:val="-1"/>
                      <w:sz w:val="21"/>
                      <w:szCs w:val="21"/>
                      <w:highlight w:val="none"/>
                      <w14:textFill>
                        <w14:solidFill>
                          <w14:schemeClr w14:val="tx1"/>
                        </w14:solidFill>
                      </w14:textFill>
                    </w:rPr>
                    <w:t>方面积</w:t>
                  </w:r>
                </w:p>
              </w:tc>
              <w:tc>
                <w:tcPr>
                  <w:tcW w:w="1026" w:type="dxa"/>
                  <w:tcBorders>
                    <w:tl2br w:val="nil"/>
                    <w:tr2bl w:val="nil"/>
                  </w:tcBorders>
                  <w:noWrap w:val="0"/>
                  <w:vAlign w:val="center"/>
                </w:tcPr>
                <w:p w14:paraId="71B44B9F">
                  <w:pPr>
                    <w:spacing w:line="240" w:lineRule="atLeas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pacing w:val="-1"/>
                      <w:position w:val="1"/>
                      <w:sz w:val="21"/>
                      <w:szCs w:val="21"/>
                      <w:highlight w:val="none"/>
                      <w:lang w:val="en-US" w:eastAsia="zh-CN"/>
                      <w14:textFill>
                        <w14:solidFill>
                          <w14:schemeClr w14:val="tx1"/>
                        </w14:solidFill>
                      </w14:textFill>
                    </w:rPr>
                    <w:t>1</w:t>
                  </w:r>
                  <w:r>
                    <w:rPr>
                      <w:color w:val="000000" w:themeColor="text1"/>
                      <w:position w:val="1"/>
                      <w:sz w:val="21"/>
                      <w:szCs w:val="21"/>
                      <w:highlight w:val="none"/>
                      <w14:textFill>
                        <w14:solidFill>
                          <w14:schemeClr w14:val="tx1"/>
                        </w14:solidFill>
                      </w14:textFill>
                    </w:rPr>
                    <w:t>m</w:t>
                  </w:r>
                  <w:r>
                    <w:rPr>
                      <w:color w:val="000000" w:themeColor="text1"/>
                      <w:spacing w:val="-1"/>
                      <w:position w:val="1"/>
                      <w:sz w:val="21"/>
                      <w:szCs w:val="21"/>
                      <w:highlight w:val="none"/>
                      <w14:textFill>
                        <w14:solidFill>
                          <w14:schemeClr w14:val="tx1"/>
                        </w14:solidFill>
                      </w14:textFill>
                    </w:rPr>
                    <w:t>×</w:t>
                  </w:r>
                  <w:r>
                    <w:rPr>
                      <w:rFonts w:hint="eastAsia"/>
                      <w:color w:val="000000" w:themeColor="text1"/>
                      <w:spacing w:val="-1"/>
                      <w:position w:val="1"/>
                      <w:sz w:val="21"/>
                      <w:szCs w:val="21"/>
                      <w:highlight w:val="none"/>
                      <w:lang w:val="en-US" w:eastAsia="zh-CN"/>
                      <w14:textFill>
                        <w14:solidFill>
                          <w14:schemeClr w14:val="tx1"/>
                        </w14:solidFill>
                      </w14:textFill>
                    </w:rPr>
                    <w:t>1</w:t>
                  </w:r>
                  <w:r>
                    <w:rPr>
                      <w:color w:val="000000" w:themeColor="text1"/>
                      <w:position w:val="1"/>
                      <w:sz w:val="21"/>
                      <w:szCs w:val="21"/>
                      <w:highlight w:val="none"/>
                      <w14:textFill>
                        <w14:solidFill>
                          <w14:schemeClr w14:val="tx1"/>
                        </w14:solidFill>
                      </w14:textFill>
                    </w:rPr>
                    <w:t>m</w:t>
                  </w:r>
                </w:p>
              </w:tc>
              <w:tc>
                <w:tcPr>
                  <w:tcW w:w="549" w:type="dxa"/>
                  <w:tcBorders>
                    <w:tl2br w:val="nil"/>
                    <w:tr2bl w:val="nil"/>
                  </w:tcBorders>
                  <w:noWrap w:val="0"/>
                  <w:vAlign w:val="center"/>
                </w:tcPr>
                <w:p w14:paraId="6E54C695">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3"/>
                      <w:sz w:val="21"/>
                      <w:szCs w:val="21"/>
                      <w:highlight w:val="none"/>
                      <w14:textFill>
                        <w14:solidFill>
                          <w14:schemeClr w14:val="tx1"/>
                        </w14:solidFill>
                      </w14:textFill>
                    </w:rPr>
                    <w:t>经</w:t>
                  </w:r>
                  <w:r>
                    <w:rPr>
                      <w:color w:val="000000" w:themeColor="text1"/>
                      <w:spacing w:val="-2"/>
                      <w:sz w:val="21"/>
                      <w:szCs w:val="21"/>
                      <w:highlight w:val="none"/>
                      <w14:textFill>
                        <w14:solidFill>
                          <w14:schemeClr w14:val="tx1"/>
                        </w14:solidFill>
                      </w14:textFill>
                    </w:rPr>
                    <w:t>度</w:t>
                  </w:r>
                </w:p>
              </w:tc>
              <w:tc>
                <w:tcPr>
                  <w:tcW w:w="1089" w:type="dxa"/>
                  <w:tcBorders>
                    <w:tl2br w:val="nil"/>
                    <w:tr2bl w:val="nil"/>
                  </w:tcBorders>
                  <w:noWrap w:val="0"/>
                  <w:vAlign w:val="center"/>
                </w:tcPr>
                <w:p w14:paraId="3B229866">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84°19′25.923″</w:t>
                  </w:r>
                </w:p>
              </w:tc>
              <w:tc>
                <w:tcPr>
                  <w:tcW w:w="407" w:type="dxa"/>
                  <w:tcBorders>
                    <w:tl2br w:val="nil"/>
                    <w:tr2bl w:val="nil"/>
                  </w:tcBorders>
                  <w:noWrap w:val="0"/>
                  <w:vAlign w:val="center"/>
                </w:tcPr>
                <w:p w14:paraId="0A215EF1">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纬度</w:t>
                  </w:r>
                </w:p>
              </w:tc>
              <w:tc>
                <w:tcPr>
                  <w:tcW w:w="1047" w:type="dxa"/>
                  <w:tcBorders>
                    <w:tl2br w:val="nil"/>
                    <w:tr2bl w:val="nil"/>
                  </w:tcBorders>
                  <w:noWrap w:val="0"/>
                  <w:vAlign w:val="center"/>
                </w:tcPr>
                <w:p w14:paraId="52933060">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43°5′22.530″</w:t>
                  </w:r>
                </w:p>
              </w:tc>
              <w:tc>
                <w:tcPr>
                  <w:tcW w:w="3304" w:type="dxa"/>
                  <w:vMerge w:val="restart"/>
                  <w:tcBorders>
                    <w:tl2br w:val="nil"/>
                    <w:tr2bl w:val="nil"/>
                  </w:tcBorders>
                  <w:noWrap w:val="0"/>
                  <w:vAlign w:val="center"/>
                </w:tcPr>
                <w:p w14:paraId="5D91ECDA">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drawing>
                      <wp:inline distT="0" distB="0" distL="114300" distR="114300">
                        <wp:extent cx="1515745" cy="2021840"/>
                        <wp:effectExtent l="0" t="0" r="5080" b="8255"/>
                        <wp:docPr id="12" name="图片 12" descr="a00a8452ce7c1e90666697e87fe8eb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00a8452ce7c1e90666697e87fe8ebf1"/>
                                <pic:cNvPicPr>
                                  <a:picLocks noChangeAspect="1"/>
                                </pic:cNvPicPr>
                              </pic:nvPicPr>
                              <pic:blipFill>
                                <a:blip r:embed="rId17"/>
                                <a:stretch>
                                  <a:fillRect/>
                                </a:stretch>
                              </pic:blipFill>
                              <pic:spPr>
                                <a:xfrm rot="16200000">
                                  <a:off x="0" y="0"/>
                                  <a:ext cx="1515745" cy="2021840"/>
                                </a:xfrm>
                                <a:prstGeom prst="rect">
                                  <a:avLst/>
                                </a:prstGeom>
                              </pic:spPr>
                            </pic:pic>
                          </a:graphicData>
                        </a:graphic>
                      </wp:inline>
                    </w:drawing>
                  </w:r>
                </w:p>
              </w:tc>
            </w:tr>
            <w:tr w14:paraId="1D39A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jc w:val="center"/>
              </w:trPr>
              <w:tc>
                <w:tcPr>
                  <w:tcW w:w="967" w:type="dxa"/>
                  <w:tcBorders>
                    <w:tl2br w:val="nil"/>
                    <w:tr2bl w:val="nil"/>
                  </w:tcBorders>
                  <w:noWrap w:val="0"/>
                  <w:vAlign w:val="center"/>
                </w:tcPr>
                <w:p w14:paraId="3A1E861C">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土壤</w:t>
                  </w:r>
                  <w:r>
                    <w:rPr>
                      <w:color w:val="000000" w:themeColor="text1"/>
                      <w:spacing w:val="-1"/>
                      <w:sz w:val="21"/>
                      <w:szCs w:val="21"/>
                      <w:highlight w:val="none"/>
                      <w14:textFill>
                        <w14:solidFill>
                          <w14:schemeClr w14:val="tx1"/>
                        </w14:solidFill>
                      </w14:textFill>
                    </w:rPr>
                    <w:t>类型</w:t>
                  </w:r>
                </w:p>
              </w:tc>
              <w:tc>
                <w:tcPr>
                  <w:tcW w:w="1026" w:type="dxa"/>
                  <w:tcBorders>
                    <w:tl2br w:val="nil"/>
                    <w:tr2bl w:val="nil"/>
                  </w:tcBorders>
                  <w:noWrap w:val="0"/>
                  <w:vAlign w:val="center"/>
                </w:tcPr>
                <w:p w14:paraId="0E967E09">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亚高山草原土</w:t>
                  </w:r>
                </w:p>
              </w:tc>
              <w:tc>
                <w:tcPr>
                  <w:tcW w:w="549" w:type="dxa"/>
                  <w:tcBorders>
                    <w:tl2br w:val="nil"/>
                    <w:tr2bl w:val="nil"/>
                  </w:tcBorders>
                  <w:noWrap w:val="0"/>
                  <w:vAlign w:val="center"/>
                </w:tcPr>
                <w:p w14:paraId="0D7E1A8E">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地貌</w:t>
                  </w:r>
                </w:p>
              </w:tc>
              <w:tc>
                <w:tcPr>
                  <w:tcW w:w="1089" w:type="dxa"/>
                  <w:tcBorders>
                    <w:tl2br w:val="nil"/>
                    <w:tr2bl w:val="nil"/>
                  </w:tcBorders>
                  <w:noWrap w:val="0"/>
                  <w:vAlign w:val="center"/>
                </w:tcPr>
                <w:p w14:paraId="3EF05A97">
                  <w:pPr>
                    <w:spacing w:line="240" w:lineRule="atLeast"/>
                    <w:ind w:firstLine="0" w:firstLineChars="0"/>
                    <w:jc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草</w:t>
                  </w:r>
                  <w:r>
                    <w:rPr>
                      <w:rFonts w:hint="eastAsia" w:ascii="Times New Roman" w:hAnsi="Times New Roman" w:eastAsia="宋体" w:cs="Times New Roman"/>
                      <w:color w:val="000000" w:themeColor="text1"/>
                      <w:spacing w:val="-2"/>
                      <w:sz w:val="21"/>
                      <w:szCs w:val="21"/>
                      <w:highlight w:val="none"/>
                      <w:lang w:eastAsia="zh-CN"/>
                      <w14:textFill>
                        <w14:solidFill>
                          <w14:schemeClr w14:val="tx1"/>
                        </w14:solidFill>
                      </w14:textFill>
                    </w:rPr>
                    <w:t>地</w:t>
                  </w:r>
                </w:p>
              </w:tc>
              <w:tc>
                <w:tcPr>
                  <w:tcW w:w="407" w:type="dxa"/>
                  <w:tcBorders>
                    <w:tl2br w:val="nil"/>
                    <w:tr2bl w:val="nil"/>
                  </w:tcBorders>
                  <w:noWrap w:val="0"/>
                  <w:vAlign w:val="center"/>
                </w:tcPr>
                <w:p w14:paraId="5EE3A614">
                  <w:pPr>
                    <w:spacing w:line="240" w:lineRule="atLeast"/>
                    <w:ind w:firstLine="0" w:firstLineChars="0"/>
                    <w:jc w:val="center"/>
                    <w:rPr>
                      <w:color w:val="000000" w:themeColor="text1"/>
                      <w:kern w:val="2"/>
                      <w:sz w:val="21"/>
                      <w:szCs w:val="21"/>
                      <w:highlight w:val="none"/>
                      <w:lang w:val="en-US" w:eastAsia="zh-CN" w:bidi="ar-SA"/>
                      <w14:textFill>
                        <w14:solidFill>
                          <w14:schemeClr w14:val="tx1"/>
                        </w14:solidFill>
                      </w14:textFill>
                    </w:rPr>
                  </w:pPr>
                  <w:r>
                    <w:rPr>
                      <w:color w:val="000000" w:themeColor="text1"/>
                      <w:spacing w:val="-2"/>
                      <w:sz w:val="21"/>
                      <w:szCs w:val="21"/>
                      <w:highlight w:val="none"/>
                      <w14:textFill>
                        <w14:solidFill>
                          <w14:schemeClr w14:val="tx1"/>
                        </w14:solidFill>
                      </w14:textFill>
                    </w:rPr>
                    <w:t>海拔</w:t>
                  </w:r>
                  <w:r>
                    <w:rPr>
                      <w:rFonts w:hint="eastAsia"/>
                      <w:color w:val="000000" w:themeColor="text1"/>
                      <w:spacing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m</w:t>
                  </w:r>
                  <w:r>
                    <w:rPr>
                      <w:rFonts w:hint="eastAsia"/>
                      <w:color w:val="000000" w:themeColor="text1"/>
                      <w:spacing w:val="-2"/>
                      <w:sz w:val="21"/>
                      <w:szCs w:val="21"/>
                      <w:highlight w:val="none"/>
                      <w:lang w:eastAsia="zh-CN"/>
                      <w14:textFill>
                        <w14:solidFill>
                          <w14:schemeClr w14:val="tx1"/>
                        </w14:solidFill>
                      </w14:textFill>
                    </w:rPr>
                    <w:t>）</w:t>
                  </w:r>
                </w:p>
              </w:tc>
              <w:tc>
                <w:tcPr>
                  <w:tcW w:w="1047" w:type="dxa"/>
                  <w:tcBorders>
                    <w:tl2br w:val="nil"/>
                    <w:tr2bl w:val="nil"/>
                  </w:tcBorders>
                  <w:noWrap w:val="0"/>
                  <w:vAlign w:val="center"/>
                </w:tcPr>
                <w:p w14:paraId="63009975">
                  <w:pPr>
                    <w:spacing w:line="240" w:lineRule="atLeast"/>
                    <w:ind w:firstLine="0" w:firstLineChars="0"/>
                    <w:jc w:val="center"/>
                    <w:rPr>
                      <w:rFonts w:hint="default"/>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lang w:val="en-US" w:eastAsia="zh-CN" w:bidi="ar-SA"/>
                      <w14:textFill>
                        <w14:solidFill>
                          <w14:schemeClr w14:val="tx1"/>
                        </w14:solidFill>
                      </w14:textFill>
                    </w:rPr>
                    <w:t>2543</w:t>
                  </w:r>
                </w:p>
              </w:tc>
              <w:tc>
                <w:tcPr>
                  <w:tcW w:w="3304" w:type="dxa"/>
                  <w:vMerge w:val="continue"/>
                  <w:tcBorders>
                    <w:tl2br w:val="nil"/>
                    <w:tr2bl w:val="nil"/>
                  </w:tcBorders>
                  <w:noWrap w:val="0"/>
                  <w:vAlign w:val="center"/>
                </w:tcPr>
                <w:p w14:paraId="32952AC8">
                  <w:pPr>
                    <w:spacing w:line="240" w:lineRule="atLeast"/>
                    <w:ind w:firstLine="0" w:firstLineChars="0"/>
                    <w:jc w:val="center"/>
                    <w:rPr>
                      <w:color w:val="000000" w:themeColor="text1"/>
                      <w:sz w:val="21"/>
                      <w:szCs w:val="21"/>
                      <w:highlight w:val="none"/>
                      <w14:textFill>
                        <w14:solidFill>
                          <w14:schemeClr w14:val="tx1"/>
                        </w14:solidFill>
                      </w14:textFill>
                    </w:rPr>
                  </w:pPr>
                </w:p>
              </w:tc>
            </w:tr>
            <w:tr w14:paraId="6E59D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jc w:val="center"/>
              </w:trPr>
              <w:tc>
                <w:tcPr>
                  <w:tcW w:w="967" w:type="dxa"/>
                  <w:tcBorders>
                    <w:tl2br w:val="nil"/>
                    <w:tr2bl w:val="nil"/>
                  </w:tcBorders>
                  <w:noWrap w:val="0"/>
                  <w:vAlign w:val="center"/>
                </w:tcPr>
                <w:p w14:paraId="1E0C183E">
                  <w:pPr>
                    <w:spacing w:line="240" w:lineRule="atLeast"/>
                    <w:ind w:firstLine="0" w:firstLineChars="0"/>
                    <w:jc w:val="center"/>
                    <w:rPr>
                      <w:rFonts w:hint="default" w:eastAsia="宋体"/>
                      <w:color w:val="000000" w:themeColor="text1"/>
                      <w:spacing w:val="-2"/>
                      <w:sz w:val="21"/>
                      <w:szCs w:val="21"/>
                      <w:highlight w:val="none"/>
                      <w:lang w:val="en-US" w:eastAsia="zh-CN"/>
                      <w14:textFill>
                        <w14:solidFill>
                          <w14:schemeClr w14:val="tx1"/>
                        </w14:solidFill>
                      </w14:textFill>
                    </w:rPr>
                  </w:pPr>
                  <w:r>
                    <w:rPr>
                      <w:rFonts w:hint="eastAsia"/>
                      <w:color w:val="000000" w:themeColor="text1"/>
                      <w:spacing w:val="-2"/>
                      <w:sz w:val="21"/>
                      <w:szCs w:val="21"/>
                      <w:highlight w:val="none"/>
                      <w:lang w:val="en-US" w:eastAsia="zh-CN"/>
                      <w14:textFill>
                        <w14:solidFill>
                          <w14:schemeClr w14:val="tx1"/>
                        </w14:solidFill>
                      </w14:textFill>
                    </w:rPr>
                    <w:t>植被群系</w:t>
                  </w:r>
                </w:p>
              </w:tc>
              <w:tc>
                <w:tcPr>
                  <w:tcW w:w="1026" w:type="dxa"/>
                  <w:tcBorders>
                    <w:tl2br w:val="nil"/>
                    <w:tr2bl w:val="nil"/>
                  </w:tcBorders>
                  <w:noWrap w:val="0"/>
                  <w:vAlign w:val="center"/>
                </w:tcPr>
                <w:p w14:paraId="3C9DCC37">
                  <w:pPr>
                    <w:spacing w:line="240" w:lineRule="atLeast"/>
                    <w:ind w:firstLine="0" w:firstLine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紫花针茅群系</w:t>
                  </w:r>
                </w:p>
              </w:tc>
              <w:tc>
                <w:tcPr>
                  <w:tcW w:w="549" w:type="dxa"/>
                  <w:tcBorders>
                    <w:tl2br w:val="nil"/>
                    <w:tr2bl w:val="nil"/>
                  </w:tcBorders>
                  <w:noWrap w:val="0"/>
                  <w:vAlign w:val="center"/>
                </w:tcPr>
                <w:p w14:paraId="576A7DBE">
                  <w:pPr>
                    <w:spacing w:line="240" w:lineRule="atLeast"/>
                    <w:ind w:firstLine="0" w:firstLineChars="0"/>
                    <w:jc w:val="center"/>
                    <w:rPr>
                      <w:rFonts w:hint="eastAsia" w:eastAsia="宋体"/>
                      <w:color w:val="000000" w:themeColor="text1"/>
                      <w:spacing w:val="-2"/>
                      <w:sz w:val="21"/>
                      <w:szCs w:val="21"/>
                      <w:highlight w:val="none"/>
                      <w:lang w:val="en-US" w:eastAsia="zh-CN"/>
                      <w14:textFill>
                        <w14:solidFill>
                          <w14:schemeClr w14:val="tx1"/>
                        </w14:solidFill>
                      </w14:textFill>
                    </w:rPr>
                  </w:pPr>
                  <w:r>
                    <w:rPr>
                      <w:rFonts w:hint="eastAsia"/>
                      <w:color w:val="000000" w:themeColor="text1"/>
                      <w:spacing w:val="-2"/>
                      <w:sz w:val="21"/>
                      <w:szCs w:val="21"/>
                      <w:highlight w:val="none"/>
                      <w:lang w:val="en-US" w:eastAsia="zh-CN"/>
                      <w14:textFill>
                        <w14:solidFill>
                          <w14:schemeClr w14:val="tx1"/>
                        </w14:solidFill>
                      </w14:textFill>
                    </w:rPr>
                    <w:t>伴生种</w:t>
                  </w:r>
                </w:p>
              </w:tc>
              <w:tc>
                <w:tcPr>
                  <w:tcW w:w="1089" w:type="dxa"/>
                  <w:tcBorders>
                    <w:tl2br w:val="nil"/>
                    <w:tr2bl w:val="nil"/>
                  </w:tcBorders>
                  <w:noWrap w:val="0"/>
                  <w:vAlign w:val="center"/>
                </w:tcPr>
                <w:p w14:paraId="14CADDD0">
                  <w:pPr>
                    <w:spacing w:line="240" w:lineRule="atLeast"/>
                    <w:ind w:firstLine="0" w:firstLineChars="0"/>
                    <w:jc w:val="cente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eastAsia" w:cs="Times New Roman"/>
                      <w:color w:val="000000" w:themeColor="text1"/>
                      <w:spacing w:val="-2"/>
                      <w:sz w:val="21"/>
                      <w:szCs w:val="21"/>
                      <w:highlight w:val="none"/>
                      <w:lang w:val="en-US" w:eastAsia="zh-CN"/>
                      <w14:textFill>
                        <w14:solidFill>
                          <w14:schemeClr w14:val="tx1"/>
                        </w14:solidFill>
                      </w14:textFill>
                    </w:rPr>
                    <w:t>蒿草、早熟禾、苔草</w:t>
                  </w:r>
                </w:p>
              </w:tc>
              <w:tc>
                <w:tcPr>
                  <w:tcW w:w="407" w:type="dxa"/>
                  <w:tcBorders>
                    <w:tl2br w:val="nil"/>
                    <w:tr2bl w:val="nil"/>
                  </w:tcBorders>
                  <w:noWrap w:val="0"/>
                  <w:vAlign w:val="center"/>
                </w:tcPr>
                <w:p w14:paraId="3FDE1F6A">
                  <w:pPr>
                    <w:spacing w:line="240" w:lineRule="atLeast"/>
                    <w:ind w:firstLine="0" w:firstLineChars="0"/>
                    <w:jc w:val="center"/>
                    <w:rPr>
                      <w:rFonts w:hint="default" w:eastAsia="宋体"/>
                      <w:color w:val="000000" w:themeColor="text1"/>
                      <w:spacing w:val="-2"/>
                      <w:sz w:val="21"/>
                      <w:szCs w:val="21"/>
                      <w:highlight w:val="none"/>
                      <w:lang w:val="en-US" w:eastAsia="zh-CN"/>
                      <w14:textFill>
                        <w14:solidFill>
                          <w14:schemeClr w14:val="tx1"/>
                        </w14:solidFill>
                      </w14:textFill>
                    </w:rPr>
                  </w:pPr>
                  <w:r>
                    <w:rPr>
                      <w:rFonts w:hint="eastAsia"/>
                      <w:color w:val="000000" w:themeColor="text1"/>
                      <w:spacing w:val="-2"/>
                      <w:sz w:val="21"/>
                      <w:szCs w:val="21"/>
                      <w:highlight w:val="none"/>
                      <w:lang w:val="en-US" w:eastAsia="zh-CN"/>
                      <w14:textFill>
                        <w14:solidFill>
                          <w14:schemeClr w14:val="tx1"/>
                        </w14:solidFill>
                      </w14:textFill>
                    </w:rPr>
                    <w:t>植被盖度</w:t>
                  </w:r>
                </w:p>
              </w:tc>
              <w:tc>
                <w:tcPr>
                  <w:tcW w:w="1047" w:type="dxa"/>
                  <w:tcBorders>
                    <w:tl2br w:val="nil"/>
                    <w:tr2bl w:val="nil"/>
                  </w:tcBorders>
                  <w:noWrap w:val="0"/>
                  <w:vAlign w:val="center"/>
                </w:tcPr>
                <w:p w14:paraId="142E7496">
                  <w:pPr>
                    <w:spacing w:line="240" w:lineRule="atLeast"/>
                    <w:ind w:firstLine="0" w:firstLineChars="0"/>
                    <w:jc w:val="center"/>
                    <w:rPr>
                      <w:rFonts w:hint="default"/>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lang w:val="en-US" w:eastAsia="zh-CN" w:bidi="ar-SA"/>
                      <w14:textFill>
                        <w14:solidFill>
                          <w14:schemeClr w14:val="tx1"/>
                        </w14:solidFill>
                      </w14:textFill>
                    </w:rPr>
                    <w:t>44%</w:t>
                  </w:r>
                </w:p>
              </w:tc>
              <w:tc>
                <w:tcPr>
                  <w:tcW w:w="3304" w:type="dxa"/>
                  <w:vMerge w:val="continue"/>
                  <w:tcBorders>
                    <w:tl2br w:val="nil"/>
                    <w:tr2bl w:val="nil"/>
                  </w:tcBorders>
                  <w:noWrap w:val="0"/>
                  <w:vAlign w:val="center"/>
                </w:tcPr>
                <w:p w14:paraId="59654B74">
                  <w:pPr>
                    <w:spacing w:line="240" w:lineRule="atLeast"/>
                    <w:ind w:firstLine="0" w:firstLineChars="0"/>
                    <w:jc w:val="center"/>
                    <w:rPr>
                      <w:color w:val="000000" w:themeColor="text1"/>
                      <w:sz w:val="21"/>
                      <w:szCs w:val="21"/>
                      <w:highlight w:val="none"/>
                      <w14:textFill>
                        <w14:solidFill>
                          <w14:schemeClr w14:val="tx1"/>
                        </w14:solidFill>
                      </w14:textFill>
                    </w:rPr>
                  </w:pPr>
                </w:p>
              </w:tc>
            </w:tr>
            <w:tr w14:paraId="55396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7" w:type="dxa"/>
                  <w:tcBorders>
                    <w:tl2br w:val="nil"/>
                    <w:tr2bl w:val="nil"/>
                  </w:tcBorders>
                  <w:noWrap w:val="0"/>
                  <w:vAlign w:val="center"/>
                </w:tcPr>
                <w:p w14:paraId="5DEB9935">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位置</w:t>
                  </w:r>
                </w:p>
              </w:tc>
              <w:tc>
                <w:tcPr>
                  <w:tcW w:w="1026" w:type="dxa"/>
                  <w:tcBorders>
                    <w:tl2br w:val="nil"/>
                    <w:tr2bl w:val="nil"/>
                  </w:tcBorders>
                  <w:noWrap w:val="0"/>
                  <w:vAlign w:val="center"/>
                </w:tcPr>
                <w:p w14:paraId="0795B9D0">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项目区</w:t>
                  </w:r>
                </w:p>
              </w:tc>
              <w:tc>
                <w:tcPr>
                  <w:tcW w:w="549" w:type="dxa"/>
                  <w:tcBorders>
                    <w:tl2br w:val="nil"/>
                    <w:tr2bl w:val="nil"/>
                  </w:tcBorders>
                  <w:noWrap w:val="0"/>
                  <w:vAlign w:val="center"/>
                </w:tcPr>
                <w:p w14:paraId="597E219C">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样方</w:t>
                  </w:r>
                  <w:r>
                    <w:rPr>
                      <w:color w:val="000000" w:themeColor="text1"/>
                      <w:spacing w:val="-1"/>
                      <w:sz w:val="21"/>
                      <w:szCs w:val="21"/>
                      <w:highlight w:val="none"/>
                      <w14:textFill>
                        <w14:solidFill>
                          <w14:schemeClr w14:val="tx1"/>
                        </w14:solidFill>
                      </w14:textFill>
                    </w:rPr>
                    <w:t>号</w:t>
                  </w:r>
                </w:p>
              </w:tc>
              <w:tc>
                <w:tcPr>
                  <w:tcW w:w="1089" w:type="dxa"/>
                  <w:tcBorders>
                    <w:tl2br w:val="nil"/>
                    <w:tr2bl w:val="nil"/>
                  </w:tcBorders>
                  <w:noWrap w:val="0"/>
                  <w:vAlign w:val="center"/>
                </w:tcPr>
                <w:p w14:paraId="170CC71F">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pacing w:val="-2"/>
                      <w:sz w:val="21"/>
                      <w:szCs w:val="21"/>
                      <w:highlight w:val="none"/>
                      <w14:textFill>
                        <w14:solidFill>
                          <w14:schemeClr w14:val="tx1"/>
                        </w14:solidFill>
                      </w14:textFill>
                    </w:rPr>
                    <w:t>00</w:t>
                  </w:r>
                  <w:r>
                    <w:rPr>
                      <w:rFonts w:hint="eastAsia"/>
                      <w:color w:val="000000" w:themeColor="text1"/>
                      <w:spacing w:val="-1"/>
                      <w:sz w:val="21"/>
                      <w:szCs w:val="21"/>
                      <w:highlight w:val="none"/>
                      <w:lang w:val="en-US" w:eastAsia="zh-CN"/>
                      <w14:textFill>
                        <w14:solidFill>
                          <w14:schemeClr w14:val="tx1"/>
                        </w14:solidFill>
                      </w14:textFill>
                    </w:rPr>
                    <w:t>2</w:t>
                  </w:r>
                </w:p>
              </w:tc>
              <w:tc>
                <w:tcPr>
                  <w:tcW w:w="407" w:type="dxa"/>
                  <w:tcBorders>
                    <w:tl2br w:val="nil"/>
                    <w:tr2bl w:val="nil"/>
                  </w:tcBorders>
                  <w:noWrap w:val="0"/>
                  <w:vAlign w:val="center"/>
                </w:tcPr>
                <w:p w14:paraId="3F018E84">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时间</w:t>
                  </w:r>
                </w:p>
              </w:tc>
              <w:tc>
                <w:tcPr>
                  <w:tcW w:w="4351" w:type="dxa"/>
                  <w:gridSpan w:val="2"/>
                  <w:tcBorders>
                    <w:tl2br w:val="nil"/>
                    <w:tr2bl w:val="nil"/>
                  </w:tcBorders>
                  <w:noWrap w:val="0"/>
                  <w:vAlign w:val="center"/>
                </w:tcPr>
                <w:p w14:paraId="01CCE235">
                  <w:pPr>
                    <w:spacing w:line="240" w:lineRule="atLeast"/>
                    <w:ind w:firstLine="0" w:firstLineChars="0"/>
                    <w:jc w:val="center"/>
                    <w:rPr>
                      <w:color w:val="000000" w:themeColor="text1"/>
                      <w:spacing w:val="-16"/>
                      <w:sz w:val="21"/>
                      <w:szCs w:val="21"/>
                      <w:highlight w:val="none"/>
                      <w14:textFill>
                        <w14:solidFill>
                          <w14:schemeClr w14:val="tx1"/>
                        </w14:solidFill>
                      </w14:textFill>
                    </w:rPr>
                  </w:pPr>
                  <w:r>
                    <w:rPr>
                      <w:color w:val="000000" w:themeColor="text1"/>
                      <w:spacing w:val="-16"/>
                      <w:sz w:val="21"/>
                      <w:szCs w:val="21"/>
                      <w:highlight w:val="none"/>
                      <w14:textFill>
                        <w14:solidFill>
                          <w14:schemeClr w14:val="tx1"/>
                        </w14:solidFill>
                      </w14:textFill>
                    </w:rPr>
                    <w:t>2</w:t>
                  </w:r>
                  <w:r>
                    <w:rPr>
                      <w:color w:val="000000" w:themeColor="text1"/>
                      <w:spacing w:val="-8"/>
                      <w:sz w:val="21"/>
                      <w:szCs w:val="21"/>
                      <w:highlight w:val="none"/>
                      <w14:textFill>
                        <w14:solidFill>
                          <w14:schemeClr w14:val="tx1"/>
                        </w14:solidFill>
                      </w14:textFill>
                    </w:rPr>
                    <w:t>02</w:t>
                  </w:r>
                  <w:r>
                    <w:rPr>
                      <w:rFonts w:hint="eastAsia"/>
                      <w:color w:val="000000" w:themeColor="text1"/>
                      <w:spacing w:val="-8"/>
                      <w:sz w:val="21"/>
                      <w:szCs w:val="21"/>
                      <w:highlight w:val="none"/>
                      <w:lang w:val="en-US" w:eastAsia="zh-CN"/>
                      <w14:textFill>
                        <w14:solidFill>
                          <w14:schemeClr w14:val="tx1"/>
                        </w14:solidFill>
                      </w14:textFill>
                    </w:rPr>
                    <w:t>6</w:t>
                  </w:r>
                  <w:r>
                    <w:rPr>
                      <w:color w:val="000000" w:themeColor="text1"/>
                      <w:spacing w:val="-8"/>
                      <w:sz w:val="21"/>
                      <w:szCs w:val="21"/>
                      <w:highlight w:val="none"/>
                      <w14:textFill>
                        <w14:solidFill>
                          <w14:schemeClr w14:val="tx1"/>
                        </w14:solidFill>
                      </w14:textFill>
                    </w:rPr>
                    <w:t>年</w:t>
                  </w:r>
                  <w:r>
                    <w:rPr>
                      <w:rFonts w:hint="eastAsia"/>
                      <w:color w:val="000000" w:themeColor="text1"/>
                      <w:spacing w:val="-8"/>
                      <w:sz w:val="21"/>
                      <w:szCs w:val="21"/>
                      <w:highlight w:val="none"/>
                      <w:lang w:val="en-US" w:eastAsia="zh-CN"/>
                      <w14:textFill>
                        <w14:solidFill>
                          <w14:schemeClr w14:val="tx1"/>
                        </w14:solidFill>
                      </w14:textFill>
                    </w:rPr>
                    <w:t>8</w:t>
                  </w:r>
                  <w:r>
                    <w:rPr>
                      <w:color w:val="000000" w:themeColor="text1"/>
                      <w:spacing w:val="-8"/>
                      <w:sz w:val="21"/>
                      <w:szCs w:val="21"/>
                      <w:highlight w:val="none"/>
                      <w14:textFill>
                        <w14:solidFill>
                          <w14:schemeClr w14:val="tx1"/>
                        </w14:solidFill>
                      </w14:textFill>
                    </w:rPr>
                    <w:t>月</w:t>
                  </w:r>
                  <w:r>
                    <w:rPr>
                      <w:rFonts w:hint="eastAsia"/>
                      <w:color w:val="000000" w:themeColor="text1"/>
                      <w:spacing w:val="-8"/>
                      <w:sz w:val="21"/>
                      <w:szCs w:val="21"/>
                      <w:highlight w:val="none"/>
                      <w:lang w:val="en-US" w:eastAsia="zh-CN"/>
                      <w14:textFill>
                        <w14:solidFill>
                          <w14:schemeClr w14:val="tx1"/>
                        </w14:solidFill>
                      </w14:textFill>
                    </w:rPr>
                    <w:t>7</w:t>
                  </w:r>
                  <w:r>
                    <w:rPr>
                      <w:color w:val="000000" w:themeColor="text1"/>
                      <w:spacing w:val="-8"/>
                      <w:sz w:val="21"/>
                      <w:szCs w:val="21"/>
                      <w:highlight w:val="none"/>
                      <w14:textFill>
                        <w14:solidFill>
                          <w14:schemeClr w14:val="tx1"/>
                        </w14:solidFill>
                      </w14:textFill>
                    </w:rPr>
                    <w:t>日</w:t>
                  </w:r>
                  <w:r>
                    <w:rPr>
                      <w:rFonts w:hint="eastAsia"/>
                      <w:color w:val="000000" w:themeColor="text1"/>
                      <w:spacing w:val="-8"/>
                      <w:sz w:val="21"/>
                      <w:szCs w:val="21"/>
                      <w:highlight w:val="none"/>
                      <w:lang w:eastAsia="zh-CN"/>
                      <w14:textFill>
                        <w14:solidFill>
                          <w14:schemeClr w14:val="tx1"/>
                        </w14:solidFill>
                      </w14:textFill>
                    </w:rPr>
                    <w:t>（</w:t>
                  </w:r>
                  <w:r>
                    <w:rPr>
                      <w:rFonts w:hint="eastAsia"/>
                      <w:color w:val="000000" w:themeColor="text1"/>
                      <w:spacing w:val="-8"/>
                      <w:sz w:val="21"/>
                      <w:szCs w:val="21"/>
                      <w:highlight w:val="none"/>
                      <w:lang w:val="en-US" w:eastAsia="zh-CN"/>
                      <w14:textFill>
                        <w14:solidFill>
                          <w14:schemeClr w14:val="tx1"/>
                        </w14:solidFill>
                      </w14:textFill>
                    </w:rPr>
                    <w:t>2号样方</w:t>
                  </w:r>
                  <w:r>
                    <w:rPr>
                      <w:rFonts w:hint="eastAsia"/>
                      <w:color w:val="000000" w:themeColor="text1"/>
                      <w:spacing w:val="-8"/>
                      <w:sz w:val="21"/>
                      <w:szCs w:val="21"/>
                      <w:highlight w:val="none"/>
                      <w:lang w:eastAsia="zh-CN"/>
                      <w14:textFill>
                        <w14:solidFill>
                          <w14:schemeClr w14:val="tx1"/>
                        </w14:solidFill>
                      </w14:textFill>
                    </w:rPr>
                    <w:t>）</w:t>
                  </w:r>
                </w:p>
              </w:tc>
            </w:tr>
            <w:tr w14:paraId="6BCBE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jc w:val="center"/>
              </w:trPr>
              <w:tc>
                <w:tcPr>
                  <w:tcW w:w="967" w:type="dxa"/>
                  <w:tcBorders>
                    <w:tl2br w:val="nil"/>
                    <w:tr2bl w:val="nil"/>
                  </w:tcBorders>
                  <w:noWrap w:val="0"/>
                  <w:vAlign w:val="center"/>
                </w:tcPr>
                <w:p w14:paraId="31332467">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样</w:t>
                  </w:r>
                  <w:r>
                    <w:rPr>
                      <w:color w:val="000000" w:themeColor="text1"/>
                      <w:spacing w:val="-1"/>
                      <w:sz w:val="21"/>
                      <w:szCs w:val="21"/>
                      <w:highlight w:val="none"/>
                      <w14:textFill>
                        <w14:solidFill>
                          <w14:schemeClr w14:val="tx1"/>
                        </w14:solidFill>
                      </w14:textFill>
                    </w:rPr>
                    <w:t>方面积</w:t>
                  </w:r>
                </w:p>
              </w:tc>
              <w:tc>
                <w:tcPr>
                  <w:tcW w:w="1026" w:type="dxa"/>
                  <w:tcBorders>
                    <w:tl2br w:val="nil"/>
                    <w:tr2bl w:val="nil"/>
                  </w:tcBorders>
                  <w:noWrap w:val="0"/>
                  <w:vAlign w:val="center"/>
                </w:tcPr>
                <w:p w14:paraId="1255CC83">
                  <w:pPr>
                    <w:spacing w:line="240" w:lineRule="atLeas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pacing w:val="-1"/>
                      <w:position w:val="1"/>
                      <w:sz w:val="21"/>
                      <w:szCs w:val="21"/>
                      <w:highlight w:val="none"/>
                      <w:lang w:val="en-US" w:eastAsia="zh-CN"/>
                      <w14:textFill>
                        <w14:solidFill>
                          <w14:schemeClr w14:val="tx1"/>
                        </w14:solidFill>
                      </w14:textFill>
                    </w:rPr>
                    <w:t>1</w:t>
                  </w:r>
                  <w:r>
                    <w:rPr>
                      <w:color w:val="000000" w:themeColor="text1"/>
                      <w:position w:val="1"/>
                      <w:sz w:val="21"/>
                      <w:szCs w:val="21"/>
                      <w:highlight w:val="none"/>
                      <w14:textFill>
                        <w14:solidFill>
                          <w14:schemeClr w14:val="tx1"/>
                        </w14:solidFill>
                      </w14:textFill>
                    </w:rPr>
                    <w:t>m</w:t>
                  </w:r>
                  <w:r>
                    <w:rPr>
                      <w:color w:val="000000" w:themeColor="text1"/>
                      <w:spacing w:val="-1"/>
                      <w:position w:val="1"/>
                      <w:sz w:val="21"/>
                      <w:szCs w:val="21"/>
                      <w:highlight w:val="none"/>
                      <w14:textFill>
                        <w14:solidFill>
                          <w14:schemeClr w14:val="tx1"/>
                        </w14:solidFill>
                      </w14:textFill>
                    </w:rPr>
                    <w:t>×</w:t>
                  </w:r>
                  <w:r>
                    <w:rPr>
                      <w:rFonts w:hint="eastAsia"/>
                      <w:color w:val="000000" w:themeColor="text1"/>
                      <w:spacing w:val="-1"/>
                      <w:position w:val="1"/>
                      <w:sz w:val="21"/>
                      <w:szCs w:val="21"/>
                      <w:highlight w:val="none"/>
                      <w:lang w:val="en-US" w:eastAsia="zh-CN"/>
                      <w14:textFill>
                        <w14:solidFill>
                          <w14:schemeClr w14:val="tx1"/>
                        </w14:solidFill>
                      </w14:textFill>
                    </w:rPr>
                    <w:t>1</w:t>
                  </w:r>
                  <w:r>
                    <w:rPr>
                      <w:color w:val="000000" w:themeColor="text1"/>
                      <w:position w:val="1"/>
                      <w:sz w:val="21"/>
                      <w:szCs w:val="21"/>
                      <w:highlight w:val="none"/>
                      <w14:textFill>
                        <w14:solidFill>
                          <w14:schemeClr w14:val="tx1"/>
                        </w14:solidFill>
                      </w14:textFill>
                    </w:rPr>
                    <w:t>m</w:t>
                  </w:r>
                </w:p>
              </w:tc>
              <w:tc>
                <w:tcPr>
                  <w:tcW w:w="549" w:type="dxa"/>
                  <w:tcBorders>
                    <w:tl2br w:val="nil"/>
                    <w:tr2bl w:val="nil"/>
                  </w:tcBorders>
                  <w:noWrap w:val="0"/>
                  <w:vAlign w:val="center"/>
                </w:tcPr>
                <w:p w14:paraId="3D758720">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3"/>
                      <w:sz w:val="21"/>
                      <w:szCs w:val="21"/>
                      <w:highlight w:val="none"/>
                      <w14:textFill>
                        <w14:solidFill>
                          <w14:schemeClr w14:val="tx1"/>
                        </w14:solidFill>
                      </w14:textFill>
                    </w:rPr>
                    <w:t>经</w:t>
                  </w:r>
                  <w:r>
                    <w:rPr>
                      <w:color w:val="000000" w:themeColor="text1"/>
                      <w:spacing w:val="-2"/>
                      <w:sz w:val="21"/>
                      <w:szCs w:val="21"/>
                      <w:highlight w:val="none"/>
                      <w14:textFill>
                        <w14:solidFill>
                          <w14:schemeClr w14:val="tx1"/>
                        </w14:solidFill>
                      </w14:textFill>
                    </w:rPr>
                    <w:t>度</w:t>
                  </w:r>
                </w:p>
              </w:tc>
              <w:tc>
                <w:tcPr>
                  <w:tcW w:w="1089" w:type="dxa"/>
                  <w:tcBorders>
                    <w:tl2br w:val="nil"/>
                    <w:tr2bl w:val="nil"/>
                  </w:tcBorders>
                  <w:noWrap w:val="0"/>
                  <w:vAlign w:val="center"/>
                </w:tcPr>
                <w:p w14:paraId="35C297D2">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84°19′26.541″</w:t>
                  </w:r>
                </w:p>
              </w:tc>
              <w:tc>
                <w:tcPr>
                  <w:tcW w:w="407" w:type="dxa"/>
                  <w:tcBorders>
                    <w:tl2br w:val="nil"/>
                    <w:tr2bl w:val="nil"/>
                  </w:tcBorders>
                  <w:noWrap w:val="0"/>
                  <w:vAlign w:val="center"/>
                </w:tcPr>
                <w:p w14:paraId="251348A4">
                  <w:pPr>
                    <w:spacing w:line="240" w:lineRule="atLeast"/>
                    <w:ind w:firstLine="0" w:firstLineChars="0"/>
                    <w:jc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纬度</w:t>
                  </w:r>
                </w:p>
              </w:tc>
              <w:tc>
                <w:tcPr>
                  <w:tcW w:w="1047" w:type="dxa"/>
                  <w:tcBorders>
                    <w:tl2br w:val="nil"/>
                    <w:tr2bl w:val="nil"/>
                  </w:tcBorders>
                  <w:noWrap w:val="0"/>
                  <w:vAlign w:val="center"/>
                </w:tcPr>
                <w:p w14:paraId="12ABBDF8">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43°5′26.894″</w:t>
                  </w:r>
                </w:p>
              </w:tc>
              <w:tc>
                <w:tcPr>
                  <w:tcW w:w="3304" w:type="dxa"/>
                  <w:vMerge w:val="restart"/>
                  <w:tcBorders>
                    <w:tl2br w:val="nil"/>
                    <w:tr2bl w:val="nil"/>
                  </w:tcBorders>
                  <w:noWrap w:val="0"/>
                  <w:vAlign w:val="center"/>
                </w:tcPr>
                <w:p w14:paraId="1CA0AA97">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drawing>
                      <wp:inline distT="0" distB="0" distL="114300" distR="114300">
                        <wp:extent cx="1967230" cy="1475740"/>
                        <wp:effectExtent l="0" t="0" r="13970" b="2540"/>
                        <wp:docPr id="16" name="图片 16" descr="f836fdf1a3bc8846b9dbfe001d1e4b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836fdf1a3bc8846b9dbfe001d1e4bda"/>
                                <pic:cNvPicPr>
                                  <a:picLocks noChangeAspect="1"/>
                                </pic:cNvPicPr>
                              </pic:nvPicPr>
                              <pic:blipFill>
                                <a:blip r:embed="rId18"/>
                                <a:stretch>
                                  <a:fillRect/>
                                </a:stretch>
                              </pic:blipFill>
                              <pic:spPr>
                                <a:xfrm>
                                  <a:off x="0" y="0"/>
                                  <a:ext cx="1967230" cy="1475740"/>
                                </a:xfrm>
                                <a:prstGeom prst="rect">
                                  <a:avLst/>
                                </a:prstGeom>
                              </pic:spPr>
                            </pic:pic>
                          </a:graphicData>
                        </a:graphic>
                      </wp:inline>
                    </w:drawing>
                  </w:r>
                </w:p>
              </w:tc>
            </w:tr>
            <w:tr w14:paraId="49DE1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967" w:type="dxa"/>
                  <w:tcBorders>
                    <w:tl2br w:val="nil"/>
                    <w:tr2bl w:val="nil"/>
                  </w:tcBorders>
                  <w:noWrap w:val="0"/>
                  <w:vAlign w:val="center"/>
                </w:tcPr>
                <w:p w14:paraId="5F8969D0">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土壤</w:t>
                  </w:r>
                  <w:r>
                    <w:rPr>
                      <w:color w:val="000000" w:themeColor="text1"/>
                      <w:spacing w:val="-1"/>
                      <w:sz w:val="21"/>
                      <w:szCs w:val="21"/>
                      <w:highlight w:val="none"/>
                      <w14:textFill>
                        <w14:solidFill>
                          <w14:schemeClr w14:val="tx1"/>
                        </w14:solidFill>
                      </w14:textFill>
                    </w:rPr>
                    <w:t>类型</w:t>
                  </w:r>
                </w:p>
              </w:tc>
              <w:tc>
                <w:tcPr>
                  <w:tcW w:w="1026" w:type="dxa"/>
                  <w:tcBorders>
                    <w:tl2br w:val="nil"/>
                    <w:tr2bl w:val="nil"/>
                  </w:tcBorders>
                  <w:noWrap w:val="0"/>
                  <w:vAlign w:val="center"/>
                </w:tcPr>
                <w:p w14:paraId="4474D1AC">
                  <w:pPr>
                    <w:spacing w:line="240" w:lineRule="atLeast"/>
                    <w:ind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亚高山草原土</w:t>
                  </w:r>
                </w:p>
              </w:tc>
              <w:tc>
                <w:tcPr>
                  <w:tcW w:w="549" w:type="dxa"/>
                  <w:tcBorders>
                    <w:tl2br w:val="nil"/>
                    <w:tr2bl w:val="nil"/>
                  </w:tcBorders>
                  <w:noWrap w:val="0"/>
                  <w:vAlign w:val="center"/>
                </w:tcPr>
                <w:p w14:paraId="3D4141C7">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地貌</w:t>
                  </w:r>
                </w:p>
              </w:tc>
              <w:tc>
                <w:tcPr>
                  <w:tcW w:w="1089" w:type="dxa"/>
                  <w:tcBorders>
                    <w:tl2br w:val="nil"/>
                    <w:tr2bl w:val="nil"/>
                  </w:tcBorders>
                  <w:noWrap w:val="0"/>
                  <w:vAlign w:val="center"/>
                </w:tcPr>
                <w:p w14:paraId="2A0A5993">
                  <w:pPr>
                    <w:spacing w:line="240" w:lineRule="atLeast"/>
                    <w:ind w:firstLine="0" w:firstLineChars="0"/>
                    <w:jc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草</w:t>
                  </w:r>
                  <w:r>
                    <w:rPr>
                      <w:rFonts w:hint="eastAsia" w:ascii="Times New Roman" w:hAnsi="Times New Roman" w:eastAsia="宋体" w:cs="Times New Roman"/>
                      <w:color w:val="000000" w:themeColor="text1"/>
                      <w:spacing w:val="-2"/>
                      <w:sz w:val="21"/>
                      <w:szCs w:val="21"/>
                      <w:highlight w:val="none"/>
                      <w:lang w:eastAsia="zh-CN"/>
                      <w14:textFill>
                        <w14:solidFill>
                          <w14:schemeClr w14:val="tx1"/>
                        </w14:solidFill>
                      </w14:textFill>
                    </w:rPr>
                    <w:t>地</w:t>
                  </w:r>
                </w:p>
              </w:tc>
              <w:tc>
                <w:tcPr>
                  <w:tcW w:w="407" w:type="dxa"/>
                  <w:tcBorders>
                    <w:tl2br w:val="nil"/>
                    <w:tr2bl w:val="nil"/>
                  </w:tcBorders>
                  <w:noWrap w:val="0"/>
                  <w:vAlign w:val="center"/>
                </w:tcPr>
                <w:p w14:paraId="5C68D2EF">
                  <w:pPr>
                    <w:spacing w:line="240" w:lineRule="atLeast"/>
                    <w:ind w:firstLine="0" w:firstLineChars="0"/>
                    <w:jc w:val="center"/>
                    <w:rPr>
                      <w:rFonts w:hint="eastAsia" w:eastAsia="宋体"/>
                      <w:color w:val="000000" w:themeColor="text1"/>
                      <w:kern w:val="2"/>
                      <w:sz w:val="21"/>
                      <w:szCs w:val="21"/>
                      <w:highlight w:val="none"/>
                      <w:lang w:val="en-US" w:eastAsia="zh-CN" w:bidi="ar-SA"/>
                      <w14:textFill>
                        <w14:solidFill>
                          <w14:schemeClr w14:val="tx1"/>
                        </w14:solidFill>
                      </w14:textFill>
                    </w:rPr>
                  </w:pPr>
                  <w:r>
                    <w:rPr>
                      <w:color w:val="000000" w:themeColor="text1"/>
                      <w:spacing w:val="-2"/>
                      <w:sz w:val="21"/>
                      <w:szCs w:val="21"/>
                      <w:highlight w:val="none"/>
                      <w14:textFill>
                        <w14:solidFill>
                          <w14:schemeClr w14:val="tx1"/>
                        </w14:solidFill>
                      </w14:textFill>
                    </w:rPr>
                    <w:t>海拔</w:t>
                  </w:r>
                  <w:r>
                    <w:rPr>
                      <w:rFonts w:hint="eastAsia"/>
                      <w:color w:val="000000" w:themeColor="text1"/>
                      <w:spacing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m</w:t>
                  </w:r>
                  <w:r>
                    <w:rPr>
                      <w:rFonts w:hint="eastAsia"/>
                      <w:color w:val="000000" w:themeColor="text1"/>
                      <w:spacing w:val="-2"/>
                      <w:sz w:val="21"/>
                      <w:szCs w:val="21"/>
                      <w:highlight w:val="none"/>
                      <w:lang w:eastAsia="zh-CN"/>
                      <w14:textFill>
                        <w14:solidFill>
                          <w14:schemeClr w14:val="tx1"/>
                        </w14:solidFill>
                      </w14:textFill>
                    </w:rPr>
                    <w:t>）</w:t>
                  </w:r>
                </w:p>
              </w:tc>
              <w:tc>
                <w:tcPr>
                  <w:tcW w:w="1047" w:type="dxa"/>
                  <w:tcBorders>
                    <w:tl2br w:val="nil"/>
                    <w:tr2bl w:val="nil"/>
                  </w:tcBorders>
                  <w:noWrap w:val="0"/>
                  <w:vAlign w:val="center"/>
                </w:tcPr>
                <w:p w14:paraId="5ECC6D47">
                  <w:pPr>
                    <w:spacing w:line="240" w:lineRule="atLeast"/>
                    <w:ind w:firstLine="0" w:firstLineChars="0"/>
                    <w:jc w:val="center"/>
                    <w:rPr>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2544</w:t>
                  </w:r>
                </w:p>
              </w:tc>
              <w:tc>
                <w:tcPr>
                  <w:tcW w:w="3304" w:type="dxa"/>
                  <w:vMerge w:val="continue"/>
                  <w:tcBorders>
                    <w:tl2br w:val="nil"/>
                    <w:tr2bl w:val="nil"/>
                  </w:tcBorders>
                  <w:noWrap w:val="0"/>
                  <w:vAlign w:val="center"/>
                </w:tcPr>
                <w:p w14:paraId="623B899E">
                  <w:pPr>
                    <w:spacing w:line="240" w:lineRule="atLeast"/>
                    <w:ind w:firstLine="0" w:firstLineChars="0"/>
                    <w:jc w:val="center"/>
                    <w:rPr>
                      <w:color w:val="000000" w:themeColor="text1"/>
                      <w:sz w:val="21"/>
                      <w:szCs w:val="21"/>
                      <w:highlight w:val="none"/>
                      <w14:textFill>
                        <w14:solidFill>
                          <w14:schemeClr w14:val="tx1"/>
                        </w14:solidFill>
                      </w14:textFill>
                    </w:rPr>
                  </w:pPr>
                </w:p>
              </w:tc>
            </w:tr>
            <w:tr w14:paraId="47F97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967" w:type="dxa"/>
                  <w:tcBorders>
                    <w:tl2br w:val="nil"/>
                    <w:tr2bl w:val="nil"/>
                  </w:tcBorders>
                  <w:shd w:val="clear" w:color="auto" w:fill="auto"/>
                  <w:noWrap w:val="0"/>
                  <w:vAlign w:val="center"/>
                </w:tcPr>
                <w:p w14:paraId="6AD314E5">
                  <w:pPr>
                    <w:spacing w:line="240" w:lineRule="atLeast"/>
                    <w:ind w:firstLine="0" w:firstLineChars="0"/>
                    <w:jc w:val="center"/>
                    <w:rPr>
                      <w:rFonts w:hint="default"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olor w:val="000000" w:themeColor="text1"/>
                      <w:spacing w:val="-2"/>
                      <w:sz w:val="21"/>
                      <w:szCs w:val="21"/>
                      <w:highlight w:val="none"/>
                      <w:lang w:val="en-US" w:eastAsia="zh-CN"/>
                      <w14:textFill>
                        <w14:solidFill>
                          <w14:schemeClr w14:val="tx1"/>
                        </w14:solidFill>
                      </w14:textFill>
                    </w:rPr>
                    <w:t>植被群系</w:t>
                  </w:r>
                </w:p>
              </w:tc>
              <w:tc>
                <w:tcPr>
                  <w:tcW w:w="1026" w:type="dxa"/>
                  <w:tcBorders>
                    <w:tl2br w:val="nil"/>
                    <w:tr2bl w:val="nil"/>
                  </w:tcBorders>
                  <w:shd w:val="clear" w:color="auto" w:fill="auto"/>
                  <w:noWrap w:val="0"/>
                  <w:vAlign w:val="center"/>
                </w:tcPr>
                <w:p w14:paraId="70F754CB">
                  <w:pPr>
                    <w:spacing w:line="240" w:lineRule="atLeast"/>
                    <w:ind w:firstLine="0" w:firstLineChars="0"/>
                    <w:jc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14:ligatures w14:val="none"/>
                    </w:rPr>
                  </w:pPr>
                  <w:r>
                    <w:rPr>
                      <w:rFonts w:hint="eastAsia"/>
                      <w:color w:val="000000" w:themeColor="text1"/>
                      <w:sz w:val="21"/>
                      <w:szCs w:val="21"/>
                      <w:highlight w:val="none"/>
                      <w:lang w:val="en-US" w:eastAsia="zh-CN"/>
                      <w14:textFill>
                        <w14:solidFill>
                          <w14:schemeClr w14:val="tx1"/>
                        </w14:solidFill>
                      </w14:textFill>
                    </w:rPr>
                    <w:t>紫花针茅群系</w:t>
                  </w:r>
                </w:p>
              </w:tc>
              <w:tc>
                <w:tcPr>
                  <w:tcW w:w="549" w:type="dxa"/>
                  <w:tcBorders>
                    <w:tl2br w:val="nil"/>
                    <w:tr2bl w:val="nil"/>
                  </w:tcBorders>
                  <w:shd w:val="clear" w:color="auto" w:fill="auto"/>
                  <w:noWrap w:val="0"/>
                  <w:vAlign w:val="center"/>
                </w:tcPr>
                <w:p w14:paraId="660CB498">
                  <w:pPr>
                    <w:spacing w:line="240" w:lineRule="atLeast"/>
                    <w:ind w:firstLine="0" w:firstLineChars="0"/>
                    <w:jc w:val="center"/>
                    <w:rPr>
                      <w:rFonts w:hint="eastAsia"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olor w:val="000000" w:themeColor="text1"/>
                      <w:spacing w:val="-2"/>
                      <w:sz w:val="21"/>
                      <w:szCs w:val="21"/>
                      <w:highlight w:val="none"/>
                      <w:lang w:val="en-US" w:eastAsia="zh-CN"/>
                      <w14:textFill>
                        <w14:solidFill>
                          <w14:schemeClr w14:val="tx1"/>
                        </w14:solidFill>
                      </w14:textFill>
                    </w:rPr>
                    <w:t>伴生种</w:t>
                  </w:r>
                </w:p>
              </w:tc>
              <w:tc>
                <w:tcPr>
                  <w:tcW w:w="1089" w:type="dxa"/>
                  <w:tcBorders>
                    <w:tl2br w:val="nil"/>
                    <w:tr2bl w:val="nil"/>
                  </w:tcBorders>
                  <w:shd w:val="clear" w:color="auto" w:fill="auto"/>
                  <w:noWrap w:val="0"/>
                  <w:vAlign w:val="center"/>
                </w:tcPr>
                <w:p w14:paraId="7F2104F8">
                  <w:pPr>
                    <w:spacing w:line="240" w:lineRule="atLeast"/>
                    <w:ind w:firstLine="0" w:firstLineChars="0"/>
                    <w:jc w:val="center"/>
                    <w:rPr>
                      <w:rFonts w:hint="eastAsia"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s="Times New Roman"/>
                      <w:color w:val="000000" w:themeColor="text1"/>
                      <w:spacing w:val="-2"/>
                      <w:sz w:val="21"/>
                      <w:szCs w:val="21"/>
                      <w:highlight w:val="none"/>
                      <w:lang w:val="en-US" w:eastAsia="zh-CN"/>
                      <w14:textFill>
                        <w14:solidFill>
                          <w14:schemeClr w14:val="tx1"/>
                        </w14:solidFill>
                      </w14:textFill>
                    </w:rPr>
                    <w:t>蒿草、早熟禾、火绒草</w:t>
                  </w:r>
                </w:p>
              </w:tc>
              <w:tc>
                <w:tcPr>
                  <w:tcW w:w="407" w:type="dxa"/>
                  <w:tcBorders>
                    <w:tl2br w:val="nil"/>
                    <w:tr2bl w:val="nil"/>
                  </w:tcBorders>
                  <w:shd w:val="clear" w:color="auto" w:fill="auto"/>
                  <w:noWrap w:val="0"/>
                  <w:vAlign w:val="center"/>
                </w:tcPr>
                <w:p w14:paraId="0C24E0F9">
                  <w:pPr>
                    <w:spacing w:line="240" w:lineRule="atLeast"/>
                    <w:ind w:firstLine="0" w:firstLineChars="0"/>
                    <w:jc w:val="center"/>
                    <w:rPr>
                      <w:rFonts w:hint="default"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olor w:val="000000" w:themeColor="text1"/>
                      <w:spacing w:val="-2"/>
                      <w:sz w:val="21"/>
                      <w:szCs w:val="21"/>
                      <w:highlight w:val="none"/>
                      <w:lang w:val="en-US" w:eastAsia="zh-CN"/>
                      <w14:textFill>
                        <w14:solidFill>
                          <w14:schemeClr w14:val="tx1"/>
                        </w14:solidFill>
                      </w14:textFill>
                    </w:rPr>
                    <w:t>植被盖度</w:t>
                  </w:r>
                </w:p>
              </w:tc>
              <w:tc>
                <w:tcPr>
                  <w:tcW w:w="1047" w:type="dxa"/>
                  <w:tcBorders>
                    <w:tl2br w:val="nil"/>
                    <w:tr2bl w:val="nil"/>
                  </w:tcBorders>
                  <w:shd w:val="clear" w:color="auto" w:fill="auto"/>
                  <w:noWrap w:val="0"/>
                  <w:vAlign w:val="center"/>
                </w:tcPr>
                <w:p w14:paraId="33043A69">
                  <w:pPr>
                    <w:spacing w:line="240" w:lineRule="atLeast"/>
                    <w:ind w:firstLine="0" w:firstLineChars="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14:ligatures w14:val="none"/>
                    </w:rPr>
                  </w:pPr>
                  <w:r>
                    <w:rPr>
                      <w:rFonts w:hint="eastAsia"/>
                      <w:color w:val="000000" w:themeColor="text1"/>
                      <w:kern w:val="2"/>
                      <w:sz w:val="21"/>
                      <w:szCs w:val="21"/>
                      <w:highlight w:val="none"/>
                      <w:lang w:val="en-US" w:eastAsia="zh-CN" w:bidi="ar-SA"/>
                      <w14:textFill>
                        <w14:solidFill>
                          <w14:schemeClr w14:val="tx1"/>
                        </w14:solidFill>
                      </w14:textFill>
                    </w:rPr>
                    <w:t>46%</w:t>
                  </w:r>
                </w:p>
              </w:tc>
              <w:tc>
                <w:tcPr>
                  <w:tcW w:w="3304" w:type="dxa"/>
                  <w:vMerge w:val="continue"/>
                  <w:tcBorders>
                    <w:tl2br w:val="nil"/>
                    <w:tr2bl w:val="nil"/>
                  </w:tcBorders>
                  <w:noWrap w:val="0"/>
                  <w:vAlign w:val="center"/>
                </w:tcPr>
                <w:p w14:paraId="1DBB72DF">
                  <w:pPr>
                    <w:spacing w:line="240" w:lineRule="atLeast"/>
                    <w:ind w:firstLine="0" w:firstLineChars="0"/>
                    <w:jc w:val="center"/>
                    <w:rPr>
                      <w:color w:val="000000" w:themeColor="text1"/>
                      <w:sz w:val="21"/>
                      <w:szCs w:val="21"/>
                      <w:highlight w:val="none"/>
                      <w14:textFill>
                        <w14:solidFill>
                          <w14:schemeClr w14:val="tx1"/>
                        </w14:solidFill>
                      </w14:textFill>
                    </w:rPr>
                  </w:pPr>
                </w:p>
              </w:tc>
            </w:tr>
            <w:tr w14:paraId="49DD6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jc w:val="center"/>
              </w:trPr>
              <w:tc>
                <w:tcPr>
                  <w:tcW w:w="967" w:type="dxa"/>
                  <w:tcBorders>
                    <w:tl2br w:val="nil"/>
                    <w:tr2bl w:val="nil"/>
                  </w:tcBorders>
                  <w:noWrap w:val="0"/>
                  <w:vAlign w:val="center"/>
                </w:tcPr>
                <w:p w14:paraId="1128BEF6">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位置</w:t>
                  </w:r>
                </w:p>
              </w:tc>
              <w:tc>
                <w:tcPr>
                  <w:tcW w:w="1026" w:type="dxa"/>
                  <w:tcBorders>
                    <w:tl2br w:val="nil"/>
                    <w:tr2bl w:val="nil"/>
                  </w:tcBorders>
                  <w:noWrap w:val="0"/>
                  <w:vAlign w:val="center"/>
                </w:tcPr>
                <w:p w14:paraId="3504115B">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项目区</w:t>
                  </w:r>
                </w:p>
              </w:tc>
              <w:tc>
                <w:tcPr>
                  <w:tcW w:w="549" w:type="dxa"/>
                  <w:tcBorders>
                    <w:tl2br w:val="nil"/>
                    <w:tr2bl w:val="nil"/>
                  </w:tcBorders>
                  <w:noWrap w:val="0"/>
                  <w:vAlign w:val="center"/>
                </w:tcPr>
                <w:p w14:paraId="4D1F46A9">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样方</w:t>
                  </w:r>
                  <w:r>
                    <w:rPr>
                      <w:color w:val="000000" w:themeColor="text1"/>
                      <w:spacing w:val="-1"/>
                      <w:sz w:val="21"/>
                      <w:szCs w:val="21"/>
                      <w:highlight w:val="none"/>
                      <w14:textFill>
                        <w14:solidFill>
                          <w14:schemeClr w14:val="tx1"/>
                        </w14:solidFill>
                      </w14:textFill>
                    </w:rPr>
                    <w:t>号</w:t>
                  </w:r>
                </w:p>
              </w:tc>
              <w:tc>
                <w:tcPr>
                  <w:tcW w:w="1089" w:type="dxa"/>
                  <w:tcBorders>
                    <w:tl2br w:val="nil"/>
                    <w:tr2bl w:val="nil"/>
                  </w:tcBorders>
                  <w:noWrap w:val="0"/>
                  <w:vAlign w:val="center"/>
                </w:tcPr>
                <w:p w14:paraId="099A4EEB">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pacing w:val="-2"/>
                      <w:sz w:val="21"/>
                      <w:szCs w:val="21"/>
                      <w:highlight w:val="none"/>
                      <w14:textFill>
                        <w14:solidFill>
                          <w14:schemeClr w14:val="tx1"/>
                        </w14:solidFill>
                      </w14:textFill>
                    </w:rPr>
                    <w:t>00</w:t>
                  </w:r>
                  <w:r>
                    <w:rPr>
                      <w:rFonts w:hint="eastAsia"/>
                      <w:color w:val="000000" w:themeColor="text1"/>
                      <w:spacing w:val="-1"/>
                      <w:sz w:val="21"/>
                      <w:szCs w:val="21"/>
                      <w:highlight w:val="none"/>
                      <w:lang w:val="en-US" w:eastAsia="zh-CN"/>
                      <w14:textFill>
                        <w14:solidFill>
                          <w14:schemeClr w14:val="tx1"/>
                        </w14:solidFill>
                      </w14:textFill>
                    </w:rPr>
                    <w:t>3</w:t>
                  </w:r>
                </w:p>
              </w:tc>
              <w:tc>
                <w:tcPr>
                  <w:tcW w:w="407" w:type="dxa"/>
                  <w:tcBorders>
                    <w:tl2br w:val="nil"/>
                    <w:tr2bl w:val="nil"/>
                  </w:tcBorders>
                  <w:noWrap w:val="0"/>
                  <w:vAlign w:val="center"/>
                </w:tcPr>
                <w:p w14:paraId="12974603">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时间</w:t>
                  </w:r>
                </w:p>
              </w:tc>
              <w:tc>
                <w:tcPr>
                  <w:tcW w:w="4351" w:type="dxa"/>
                  <w:gridSpan w:val="2"/>
                  <w:tcBorders>
                    <w:tl2br w:val="nil"/>
                    <w:tr2bl w:val="nil"/>
                  </w:tcBorders>
                  <w:noWrap w:val="0"/>
                  <w:vAlign w:val="center"/>
                </w:tcPr>
                <w:p w14:paraId="34039BF4">
                  <w:pPr>
                    <w:spacing w:line="240" w:lineRule="atLeast"/>
                    <w:ind w:firstLine="0" w:firstLineChars="0"/>
                    <w:jc w:val="center"/>
                    <w:rPr>
                      <w:color w:val="000000" w:themeColor="text1"/>
                      <w:spacing w:val="-16"/>
                      <w:sz w:val="21"/>
                      <w:szCs w:val="21"/>
                      <w:highlight w:val="none"/>
                      <w14:textFill>
                        <w14:solidFill>
                          <w14:schemeClr w14:val="tx1"/>
                        </w14:solidFill>
                      </w14:textFill>
                    </w:rPr>
                  </w:pPr>
                  <w:r>
                    <w:rPr>
                      <w:color w:val="000000" w:themeColor="text1"/>
                      <w:spacing w:val="-16"/>
                      <w:sz w:val="21"/>
                      <w:szCs w:val="21"/>
                      <w:highlight w:val="none"/>
                      <w14:textFill>
                        <w14:solidFill>
                          <w14:schemeClr w14:val="tx1"/>
                        </w14:solidFill>
                      </w14:textFill>
                    </w:rPr>
                    <w:t>2</w:t>
                  </w:r>
                  <w:r>
                    <w:rPr>
                      <w:color w:val="000000" w:themeColor="text1"/>
                      <w:spacing w:val="-8"/>
                      <w:sz w:val="21"/>
                      <w:szCs w:val="21"/>
                      <w:highlight w:val="none"/>
                      <w14:textFill>
                        <w14:solidFill>
                          <w14:schemeClr w14:val="tx1"/>
                        </w14:solidFill>
                      </w14:textFill>
                    </w:rPr>
                    <w:t>02</w:t>
                  </w:r>
                  <w:r>
                    <w:rPr>
                      <w:rFonts w:hint="eastAsia"/>
                      <w:color w:val="000000" w:themeColor="text1"/>
                      <w:spacing w:val="-8"/>
                      <w:sz w:val="21"/>
                      <w:szCs w:val="21"/>
                      <w:highlight w:val="none"/>
                      <w:lang w:val="en-US" w:eastAsia="zh-CN"/>
                      <w14:textFill>
                        <w14:solidFill>
                          <w14:schemeClr w14:val="tx1"/>
                        </w14:solidFill>
                      </w14:textFill>
                    </w:rPr>
                    <w:t>6</w:t>
                  </w:r>
                  <w:r>
                    <w:rPr>
                      <w:color w:val="000000" w:themeColor="text1"/>
                      <w:spacing w:val="-8"/>
                      <w:sz w:val="21"/>
                      <w:szCs w:val="21"/>
                      <w:highlight w:val="none"/>
                      <w14:textFill>
                        <w14:solidFill>
                          <w14:schemeClr w14:val="tx1"/>
                        </w14:solidFill>
                      </w14:textFill>
                    </w:rPr>
                    <w:t>年</w:t>
                  </w:r>
                  <w:r>
                    <w:rPr>
                      <w:rFonts w:hint="eastAsia"/>
                      <w:color w:val="000000" w:themeColor="text1"/>
                      <w:spacing w:val="-8"/>
                      <w:sz w:val="21"/>
                      <w:szCs w:val="21"/>
                      <w:highlight w:val="none"/>
                      <w:lang w:val="en-US" w:eastAsia="zh-CN"/>
                      <w14:textFill>
                        <w14:solidFill>
                          <w14:schemeClr w14:val="tx1"/>
                        </w14:solidFill>
                      </w14:textFill>
                    </w:rPr>
                    <w:t>8</w:t>
                  </w:r>
                  <w:r>
                    <w:rPr>
                      <w:color w:val="000000" w:themeColor="text1"/>
                      <w:spacing w:val="-8"/>
                      <w:sz w:val="21"/>
                      <w:szCs w:val="21"/>
                      <w:highlight w:val="none"/>
                      <w14:textFill>
                        <w14:solidFill>
                          <w14:schemeClr w14:val="tx1"/>
                        </w14:solidFill>
                      </w14:textFill>
                    </w:rPr>
                    <w:t>月</w:t>
                  </w:r>
                  <w:r>
                    <w:rPr>
                      <w:rFonts w:hint="eastAsia"/>
                      <w:color w:val="000000" w:themeColor="text1"/>
                      <w:spacing w:val="-8"/>
                      <w:sz w:val="21"/>
                      <w:szCs w:val="21"/>
                      <w:highlight w:val="none"/>
                      <w:lang w:val="en-US" w:eastAsia="zh-CN"/>
                      <w14:textFill>
                        <w14:solidFill>
                          <w14:schemeClr w14:val="tx1"/>
                        </w14:solidFill>
                      </w14:textFill>
                    </w:rPr>
                    <w:t>7</w:t>
                  </w:r>
                  <w:r>
                    <w:rPr>
                      <w:color w:val="000000" w:themeColor="text1"/>
                      <w:spacing w:val="-8"/>
                      <w:sz w:val="21"/>
                      <w:szCs w:val="21"/>
                      <w:highlight w:val="none"/>
                      <w14:textFill>
                        <w14:solidFill>
                          <w14:schemeClr w14:val="tx1"/>
                        </w14:solidFill>
                      </w14:textFill>
                    </w:rPr>
                    <w:t>日</w:t>
                  </w:r>
                  <w:r>
                    <w:rPr>
                      <w:rFonts w:hint="eastAsia"/>
                      <w:color w:val="000000" w:themeColor="text1"/>
                      <w:spacing w:val="-8"/>
                      <w:sz w:val="21"/>
                      <w:szCs w:val="21"/>
                      <w:highlight w:val="none"/>
                      <w:lang w:eastAsia="zh-CN"/>
                      <w14:textFill>
                        <w14:solidFill>
                          <w14:schemeClr w14:val="tx1"/>
                        </w14:solidFill>
                      </w14:textFill>
                    </w:rPr>
                    <w:t>（</w:t>
                  </w:r>
                  <w:r>
                    <w:rPr>
                      <w:rFonts w:hint="eastAsia"/>
                      <w:color w:val="000000" w:themeColor="text1"/>
                      <w:spacing w:val="-8"/>
                      <w:sz w:val="21"/>
                      <w:szCs w:val="21"/>
                      <w:highlight w:val="none"/>
                      <w:lang w:val="en-US" w:eastAsia="zh-CN"/>
                      <w14:textFill>
                        <w14:solidFill>
                          <w14:schemeClr w14:val="tx1"/>
                        </w14:solidFill>
                      </w14:textFill>
                    </w:rPr>
                    <w:t>3号样方</w:t>
                  </w:r>
                  <w:r>
                    <w:rPr>
                      <w:rFonts w:hint="eastAsia"/>
                      <w:color w:val="000000" w:themeColor="text1"/>
                      <w:spacing w:val="-8"/>
                      <w:sz w:val="21"/>
                      <w:szCs w:val="21"/>
                      <w:highlight w:val="none"/>
                      <w:lang w:eastAsia="zh-CN"/>
                      <w14:textFill>
                        <w14:solidFill>
                          <w14:schemeClr w14:val="tx1"/>
                        </w14:solidFill>
                      </w14:textFill>
                    </w:rPr>
                    <w:t>）</w:t>
                  </w:r>
                </w:p>
              </w:tc>
            </w:tr>
            <w:tr w14:paraId="1C6D9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967" w:type="dxa"/>
                  <w:tcBorders>
                    <w:tl2br w:val="nil"/>
                    <w:tr2bl w:val="nil"/>
                  </w:tcBorders>
                  <w:noWrap w:val="0"/>
                  <w:vAlign w:val="center"/>
                </w:tcPr>
                <w:p w14:paraId="4D8CE203">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样</w:t>
                  </w:r>
                  <w:r>
                    <w:rPr>
                      <w:color w:val="000000" w:themeColor="text1"/>
                      <w:spacing w:val="-1"/>
                      <w:sz w:val="21"/>
                      <w:szCs w:val="21"/>
                      <w:highlight w:val="none"/>
                      <w14:textFill>
                        <w14:solidFill>
                          <w14:schemeClr w14:val="tx1"/>
                        </w14:solidFill>
                      </w14:textFill>
                    </w:rPr>
                    <w:t>方面积</w:t>
                  </w:r>
                </w:p>
              </w:tc>
              <w:tc>
                <w:tcPr>
                  <w:tcW w:w="1026" w:type="dxa"/>
                  <w:tcBorders>
                    <w:tl2br w:val="nil"/>
                    <w:tr2bl w:val="nil"/>
                  </w:tcBorders>
                  <w:noWrap w:val="0"/>
                  <w:vAlign w:val="center"/>
                </w:tcPr>
                <w:p w14:paraId="068214FF">
                  <w:pPr>
                    <w:spacing w:line="240" w:lineRule="atLeas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position w:val="1"/>
                      <w:sz w:val="21"/>
                      <w:szCs w:val="21"/>
                      <w:highlight w:val="none"/>
                      <w:lang w:val="en-US" w:eastAsia="zh-CN"/>
                      <w14:textFill>
                        <w14:solidFill>
                          <w14:schemeClr w14:val="tx1"/>
                        </w14:solidFill>
                      </w14:textFill>
                    </w:rPr>
                    <w:t>1</w:t>
                  </w:r>
                  <w:r>
                    <w:rPr>
                      <w:color w:val="000000" w:themeColor="text1"/>
                      <w:position w:val="1"/>
                      <w:sz w:val="21"/>
                      <w:szCs w:val="21"/>
                      <w:highlight w:val="none"/>
                      <w14:textFill>
                        <w14:solidFill>
                          <w14:schemeClr w14:val="tx1"/>
                        </w14:solidFill>
                      </w14:textFill>
                    </w:rPr>
                    <w:t>m</w:t>
                  </w:r>
                  <w:r>
                    <w:rPr>
                      <w:color w:val="000000" w:themeColor="text1"/>
                      <w:spacing w:val="-1"/>
                      <w:position w:val="1"/>
                      <w:sz w:val="21"/>
                      <w:szCs w:val="21"/>
                      <w:highlight w:val="none"/>
                      <w14:textFill>
                        <w14:solidFill>
                          <w14:schemeClr w14:val="tx1"/>
                        </w14:solidFill>
                      </w14:textFill>
                    </w:rPr>
                    <w:t>×</w:t>
                  </w:r>
                  <w:r>
                    <w:rPr>
                      <w:rFonts w:hint="eastAsia"/>
                      <w:color w:val="000000" w:themeColor="text1"/>
                      <w:spacing w:val="-1"/>
                      <w:position w:val="1"/>
                      <w:sz w:val="21"/>
                      <w:szCs w:val="21"/>
                      <w:highlight w:val="none"/>
                      <w:lang w:val="en-US" w:eastAsia="zh-CN"/>
                      <w14:textFill>
                        <w14:solidFill>
                          <w14:schemeClr w14:val="tx1"/>
                        </w14:solidFill>
                      </w14:textFill>
                    </w:rPr>
                    <w:t>1</w:t>
                  </w:r>
                  <w:r>
                    <w:rPr>
                      <w:color w:val="000000" w:themeColor="text1"/>
                      <w:position w:val="1"/>
                      <w:sz w:val="21"/>
                      <w:szCs w:val="21"/>
                      <w:highlight w:val="none"/>
                      <w14:textFill>
                        <w14:solidFill>
                          <w14:schemeClr w14:val="tx1"/>
                        </w14:solidFill>
                      </w14:textFill>
                    </w:rPr>
                    <w:t>m</w:t>
                  </w:r>
                </w:p>
              </w:tc>
              <w:tc>
                <w:tcPr>
                  <w:tcW w:w="549" w:type="dxa"/>
                  <w:tcBorders>
                    <w:tl2br w:val="nil"/>
                    <w:tr2bl w:val="nil"/>
                  </w:tcBorders>
                  <w:noWrap w:val="0"/>
                  <w:vAlign w:val="center"/>
                </w:tcPr>
                <w:p w14:paraId="719227C7">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3"/>
                      <w:sz w:val="21"/>
                      <w:szCs w:val="21"/>
                      <w:highlight w:val="none"/>
                      <w14:textFill>
                        <w14:solidFill>
                          <w14:schemeClr w14:val="tx1"/>
                        </w14:solidFill>
                      </w14:textFill>
                    </w:rPr>
                    <w:t>经</w:t>
                  </w:r>
                  <w:r>
                    <w:rPr>
                      <w:color w:val="000000" w:themeColor="text1"/>
                      <w:spacing w:val="-2"/>
                      <w:sz w:val="21"/>
                      <w:szCs w:val="21"/>
                      <w:highlight w:val="none"/>
                      <w14:textFill>
                        <w14:solidFill>
                          <w14:schemeClr w14:val="tx1"/>
                        </w14:solidFill>
                      </w14:textFill>
                    </w:rPr>
                    <w:t>度</w:t>
                  </w:r>
                </w:p>
              </w:tc>
              <w:tc>
                <w:tcPr>
                  <w:tcW w:w="1089" w:type="dxa"/>
                  <w:tcBorders>
                    <w:tl2br w:val="nil"/>
                    <w:tr2bl w:val="nil"/>
                  </w:tcBorders>
                  <w:noWrap w:val="0"/>
                  <w:vAlign w:val="center"/>
                </w:tcPr>
                <w:p w14:paraId="1AA79131">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84°19′31.697″</w:t>
                  </w:r>
                </w:p>
              </w:tc>
              <w:tc>
                <w:tcPr>
                  <w:tcW w:w="407" w:type="dxa"/>
                  <w:tcBorders>
                    <w:tl2br w:val="nil"/>
                    <w:tr2bl w:val="nil"/>
                  </w:tcBorders>
                  <w:noWrap w:val="0"/>
                  <w:vAlign w:val="center"/>
                </w:tcPr>
                <w:p w14:paraId="66FFF58B">
                  <w:pPr>
                    <w:spacing w:line="240" w:lineRule="atLeast"/>
                    <w:ind w:firstLine="0" w:firstLineChars="0"/>
                    <w:jc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纬度</w:t>
                  </w:r>
                </w:p>
              </w:tc>
              <w:tc>
                <w:tcPr>
                  <w:tcW w:w="1047" w:type="dxa"/>
                  <w:tcBorders>
                    <w:tl2br w:val="nil"/>
                    <w:tr2bl w:val="nil"/>
                  </w:tcBorders>
                  <w:noWrap w:val="0"/>
                  <w:vAlign w:val="center"/>
                </w:tcPr>
                <w:p w14:paraId="3739F04A">
                  <w:pPr>
                    <w:spacing w:line="240" w:lineRule="atLeast"/>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43°5′32.359″</w:t>
                  </w:r>
                </w:p>
              </w:tc>
              <w:tc>
                <w:tcPr>
                  <w:tcW w:w="3304" w:type="dxa"/>
                  <w:vMerge w:val="restart"/>
                  <w:tcBorders>
                    <w:tl2br w:val="nil"/>
                    <w:tr2bl w:val="nil"/>
                  </w:tcBorders>
                  <w:noWrap w:val="0"/>
                  <w:vAlign w:val="center"/>
                </w:tcPr>
                <w:p w14:paraId="2AA18C63">
                  <w:pPr>
                    <w:spacing w:line="240" w:lineRule="atLeast"/>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drawing>
                      <wp:inline distT="0" distB="0" distL="114300" distR="114300">
                        <wp:extent cx="1882140" cy="1412240"/>
                        <wp:effectExtent l="0" t="0" r="7620" b="5080"/>
                        <wp:docPr id="14" name="图片 14" descr="b325a377a49756d61999cdbe6e4f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325a377a49756d61999cdbe6e4f7535"/>
                                <pic:cNvPicPr>
                                  <a:picLocks noChangeAspect="1"/>
                                </pic:cNvPicPr>
                              </pic:nvPicPr>
                              <pic:blipFill>
                                <a:blip r:embed="rId19"/>
                                <a:stretch>
                                  <a:fillRect/>
                                </a:stretch>
                              </pic:blipFill>
                              <pic:spPr>
                                <a:xfrm>
                                  <a:off x="0" y="0"/>
                                  <a:ext cx="1882140" cy="1412240"/>
                                </a:xfrm>
                                <a:prstGeom prst="rect">
                                  <a:avLst/>
                                </a:prstGeom>
                              </pic:spPr>
                            </pic:pic>
                          </a:graphicData>
                        </a:graphic>
                      </wp:inline>
                    </w:drawing>
                  </w:r>
                </w:p>
              </w:tc>
            </w:tr>
            <w:tr w14:paraId="33A3B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jc w:val="center"/>
              </w:trPr>
              <w:tc>
                <w:tcPr>
                  <w:tcW w:w="967" w:type="dxa"/>
                  <w:tcBorders>
                    <w:tl2br w:val="nil"/>
                    <w:tr2bl w:val="nil"/>
                  </w:tcBorders>
                  <w:noWrap w:val="0"/>
                  <w:vAlign w:val="center"/>
                </w:tcPr>
                <w:p w14:paraId="514D72B1">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土壤</w:t>
                  </w:r>
                  <w:r>
                    <w:rPr>
                      <w:color w:val="000000" w:themeColor="text1"/>
                      <w:spacing w:val="-1"/>
                      <w:sz w:val="21"/>
                      <w:szCs w:val="21"/>
                      <w:highlight w:val="none"/>
                      <w14:textFill>
                        <w14:solidFill>
                          <w14:schemeClr w14:val="tx1"/>
                        </w14:solidFill>
                      </w14:textFill>
                    </w:rPr>
                    <w:t>类型</w:t>
                  </w:r>
                </w:p>
              </w:tc>
              <w:tc>
                <w:tcPr>
                  <w:tcW w:w="1026" w:type="dxa"/>
                  <w:tcBorders>
                    <w:tl2br w:val="nil"/>
                    <w:tr2bl w:val="nil"/>
                  </w:tcBorders>
                  <w:noWrap w:val="0"/>
                  <w:vAlign w:val="center"/>
                </w:tcPr>
                <w:p w14:paraId="0932FA1B">
                  <w:pPr>
                    <w:spacing w:line="240" w:lineRule="atLeast"/>
                    <w:ind w:firstLine="0" w:firstLineChars="0"/>
                    <w:jc w:val="center"/>
                    <w:rPr>
                      <w:rFonts w:hint="default"/>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亚高山草原土</w:t>
                  </w:r>
                </w:p>
              </w:tc>
              <w:tc>
                <w:tcPr>
                  <w:tcW w:w="549" w:type="dxa"/>
                  <w:tcBorders>
                    <w:tl2br w:val="nil"/>
                    <w:tr2bl w:val="nil"/>
                  </w:tcBorders>
                  <w:noWrap w:val="0"/>
                  <w:vAlign w:val="center"/>
                </w:tcPr>
                <w:p w14:paraId="7A3935CC">
                  <w:pPr>
                    <w:spacing w:line="240" w:lineRule="atLeast"/>
                    <w:ind w:firstLine="0" w:firstLineChars="0"/>
                    <w:jc w:val="center"/>
                    <w:rPr>
                      <w:color w:val="000000" w:themeColor="text1"/>
                      <w:sz w:val="21"/>
                      <w:szCs w:val="21"/>
                      <w:highlight w:val="none"/>
                      <w14:textFill>
                        <w14:solidFill>
                          <w14:schemeClr w14:val="tx1"/>
                        </w14:solidFill>
                      </w14:textFill>
                    </w:rPr>
                  </w:pPr>
                  <w:r>
                    <w:rPr>
                      <w:color w:val="000000" w:themeColor="text1"/>
                      <w:spacing w:val="-2"/>
                      <w:sz w:val="21"/>
                      <w:szCs w:val="21"/>
                      <w:highlight w:val="none"/>
                      <w14:textFill>
                        <w14:solidFill>
                          <w14:schemeClr w14:val="tx1"/>
                        </w14:solidFill>
                      </w14:textFill>
                    </w:rPr>
                    <w:t>地貌</w:t>
                  </w:r>
                </w:p>
              </w:tc>
              <w:tc>
                <w:tcPr>
                  <w:tcW w:w="1089" w:type="dxa"/>
                  <w:tcBorders>
                    <w:tl2br w:val="nil"/>
                    <w:tr2bl w:val="nil"/>
                  </w:tcBorders>
                  <w:noWrap w:val="0"/>
                  <w:vAlign w:val="center"/>
                </w:tcPr>
                <w:p w14:paraId="53A41035">
                  <w:pPr>
                    <w:spacing w:line="240" w:lineRule="atLeast"/>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草地</w:t>
                  </w:r>
                </w:p>
              </w:tc>
              <w:tc>
                <w:tcPr>
                  <w:tcW w:w="407" w:type="dxa"/>
                  <w:tcBorders>
                    <w:tl2br w:val="nil"/>
                    <w:tr2bl w:val="nil"/>
                  </w:tcBorders>
                  <w:noWrap w:val="0"/>
                  <w:vAlign w:val="center"/>
                </w:tcPr>
                <w:p w14:paraId="75584F9A">
                  <w:pPr>
                    <w:spacing w:line="240" w:lineRule="atLeast"/>
                    <w:ind w:firstLine="0" w:firstLineChars="0"/>
                    <w:jc w:val="center"/>
                    <w:rPr>
                      <w:color w:val="000000" w:themeColor="text1"/>
                      <w:kern w:val="2"/>
                      <w:sz w:val="21"/>
                      <w:szCs w:val="21"/>
                      <w:highlight w:val="none"/>
                      <w:lang w:val="en-US" w:eastAsia="zh-CN" w:bidi="ar-SA"/>
                      <w14:textFill>
                        <w14:solidFill>
                          <w14:schemeClr w14:val="tx1"/>
                        </w14:solidFill>
                      </w14:textFill>
                    </w:rPr>
                  </w:pPr>
                  <w:r>
                    <w:rPr>
                      <w:color w:val="000000" w:themeColor="text1"/>
                      <w:spacing w:val="-2"/>
                      <w:sz w:val="21"/>
                      <w:szCs w:val="21"/>
                      <w:highlight w:val="none"/>
                      <w14:textFill>
                        <w14:solidFill>
                          <w14:schemeClr w14:val="tx1"/>
                        </w14:solidFill>
                      </w14:textFill>
                    </w:rPr>
                    <w:t>海拔</w:t>
                  </w:r>
                  <w:r>
                    <w:rPr>
                      <w:rFonts w:hint="eastAsia"/>
                      <w:color w:val="000000" w:themeColor="text1"/>
                      <w:spacing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m</w:t>
                  </w:r>
                  <w:r>
                    <w:rPr>
                      <w:rFonts w:hint="eastAsia"/>
                      <w:color w:val="000000" w:themeColor="text1"/>
                      <w:spacing w:val="-2"/>
                      <w:sz w:val="21"/>
                      <w:szCs w:val="21"/>
                      <w:highlight w:val="none"/>
                      <w:lang w:eastAsia="zh-CN"/>
                      <w14:textFill>
                        <w14:solidFill>
                          <w14:schemeClr w14:val="tx1"/>
                        </w14:solidFill>
                      </w14:textFill>
                    </w:rPr>
                    <w:t>）</w:t>
                  </w:r>
                </w:p>
              </w:tc>
              <w:tc>
                <w:tcPr>
                  <w:tcW w:w="1047" w:type="dxa"/>
                  <w:tcBorders>
                    <w:tl2br w:val="nil"/>
                    <w:tr2bl w:val="nil"/>
                  </w:tcBorders>
                  <w:noWrap w:val="0"/>
                  <w:vAlign w:val="center"/>
                </w:tcPr>
                <w:p w14:paraId="7C976FBA">
                  <w:pPr>
                    <w:spacing w:line="240" w:lineRule="atLeast"/>
                    <w:ind w:firstLine="0" w:firstLineChars="0"/>
                    <w:jc w:val="center"/>
                    <w:rPr>
                      <w:rFonts w:hint="default"/>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lang w:val="en-US" w:eastAsia="zh-CN" w:bidi="ar-SA"/>
                      <w14:textFill>
                        <w14:solidFill>
                          <w14:schemeClr w14:val="tx1"/>
                        </w14:solidFill>
                      </w14:textFill>
                    </w:rPr>
                    <w:t>2543</w:t>
                  </w:r>
                </w:p>
              </w:tc>
              <w:tc>
                <w:tcPr>
                  <w:tcW w:w="3304" w:type="dxa"/>
                  <w:vMerge w:val="continue"/>
                  <w:tcBorders>
                    <w:tl2br w:val="nil"/>
                    <w:tr2bl w:val="nil"/>
                  </w:tcBorders>
                  <w:noWrap w:val="0"/>
                  <w:vAlign w:val="center"/>
                </w:tcPr>
                <w:p w14:paraId="3F7DCF4C">
                  <w:pPr>
                    <w:spacing w:line="240" w:lineRule="atLeast"/>
                    <w:ind w:firstLine="0" w:firstLineChars="0"/>
                    <w:jc w:val="center"/>
                    <w:rPr>
                      <w:color w:val="000000" w:themeColor="text1"/>
                      <w:sz w:val="21"/>
                      <w:szCs w:val="21"/>
                      <w:highlight w:val="none"/>
                      <w14:textFill>
                        <w14:solidFill>
                          <w14:schemeClr w14:val="tx1"/>
                        </w14:solidFill>
                      </w14:textFill>
                    </w:rPr>
                  </w:pPr>
                </w:p>
              </w:tc>
            </w:tr>
            <w:tr w14:paraId="10882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jc w:val="center"/>
              </w:trPr>
              <w:tc>
                <w:tcPr>
                  <w:tcW w:w="967" w:type="dxa"/>
                  <w:tcBorders>
                    <w:tl2br w:val="nil"/>
                    <w:tr2bl w:val="nil"/>
                  </w:tcBorders>
                  <w:shd w:val="clear" w:color="auto" w:fill="auto"/>
                  <w:noWrap w:val="0"/>
                  <w:vAlign w:val="center"/>
                </w:tcPr>
                <w:p w14:paraId="40ECB0E3">
                  <w:pPr>
                    <w:spacing w:line="240" w:lineRule="atLeast"/>
                    <w:ind w:firstLine="0" w:firstLineChars="0"/>
                    <w:jc w:val="center"/>
                    <w:rPr>
                      <w:rFonts w:hint="default"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olor w:val="000000" w:themeColor="text1"/>
                      <w:spacing w:val="-2"/>
                      <w:sz w:val="21"/>
                      <w:szCs w:val="21"/>
                      <w:highlight w:val="none"/>
                      <w:lang w:val="en-US" w:eastAsia="zh-CN"/>
                      <w14:textFill>
                        <w14:solidFill>
                          <w14:schemeClr w14:val="tx1"/>
                        </w14:solidFill>
                      </w14:textFill>
                    </w:rPr>
                    <w:t>植被群系</w:t>
                  </w:r>
                </w:p>
              </w:tc>
              <w:tc>
                <w:tcPr>
                  <w:tcW w:w="1026" w:type="dxa"/>
                  <w:tcBorders>
                    <w:tl2br w:val="nil"/>
                    <w:tr2bl w:val="nil"/>
                  </w:tcBorders>
                  <w:shd w:val="clear" w:color="auto" w:fill="auto"/>
                  <w:noWrap w:val="0"/>
                  <w:vAlign w:val="center"/>
                </w:tcPr>
                <w:p w14:paraId="4E84117D">
                  <w:pPr>
                    <w:spacing w:line="240" w:lineRule="atLeast"/>
                    <w:ind w:firstLine="0" w:firstLineChars="0"/>
                    <w:jc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14:ligatures w14:val="none"/>
                    </w:rPr>
                  </w:pPr>
                  <w:r>
                    <w:rPr>
                      <w:rFonts w:hint="eastAsia"/>
                      <w:color w:val="000000" w:themeColor="text1"/>
                      <w:sz w:val="21"/>
                      <w:szCs w:val="21"/>
                      <w:highlight w:val="none"/>
                      <w:lang w:val="en-US" w:eastAsia="zh-CN"/>
                      <w14:textFill>
                        <w14:solidFill>
                          <w14:schemeClr w14:val="tx1"/>
                        </w14:solidFill>
                      </w14:textFill>
                    </w:rPr>
                    <w:t>紫花针茅群系</w:t>
                  </w:r>
                </w:p>
              </w:tc>
              <w:tc>
                <w:tcPr>
                  <w:tcW w:w="549" w:type="dxa"/>
                  <w:tcBorders>
                    <w:tl2br w:val="nil"/>
                    <w:tr2bl w:val="nil"/>
                  </w:tcBorders>
                  <w:shd w:val="clear" w:color="auto" w:fill="auto"/>
                  <w:noWrap w:val="0"/>
                  <w:vAlign w:val="center"/>
                </w:tcPr>
                <w:p w14:paraId="4961C664">
                  <w:pPr>
                    <w:spacing w:line="240" w:lineRule="atLeast"/>
                    <w:ind w:firstLine="0" w:firstLineChars="0"/>
                    <w:jc w:val="center"/>
                    <w:rPr>
                      <w:rFonts w:hint="eastAsia"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olor w:val="000000" w:themeColor="text1"/>
                      <w:spacing w:val="-2"/>
                      <w:sz w:val="21"/>
                      <w:szCs w:val="21"/>
                      <w:highlight w:val="none"/>
                      <w:lang w:val="en-US" w:eastAsia="zh-CN"/>
                      <w14:textFill>
                        <w14:solidFill>
                          <w14:schemeClr w14:val="tx1"/>
                        </w14:solidFill>
                      </w14:textFill>
                    </w:rPr>
                    <w:t>伴生种</w:t>
                  </w:r>
                </w:p>
              </w:tc>
              <w:tc>
                <w:tcPr>
                  <w:tcW w:w="1089" w:type="dxa"/>
                  <w:tcBorders>
                    <w:tl2br w:val="nil"/>
                    <w:tr2bl w:val="nil"/>
                  </w:tcBorders>
                  <w:shd w:val="clear" w:color="auto" w:fill="auto"/>
                  <w:noWrap w:val="0"/>
                  <w:vAlign w:val="center"/>
                </w:tcPr>
                <w:p w14:paraId="4FD15ADB">
                  <w:pPr>
                    <w:spacing w:line="240" w:lineRule="atLeast"/>
                    <w:ind w:firstLine="0" w:firstLineChars="0"/>
                    <w:jc w:val="center"/>
                    <w:rPr>
                      <w:rFonts w:hint="eastAsia"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s="Times New Roman"/>
                      <w:color w:val="000000" w:themeColor="text1"/>
                      <w:spacing w:val="-2"/>
                      <w:sz w:val="21"/>
                      <w:szCs w:val="21"/>
                      <w:highlight w:val="none"/>
                      <w:lang w:val="en-US" w:eastAsia="zh-CN"/>
                      <w14:textFill>
                        <w14:solidFill>
                          <w14:schemeClr w14:val="tx1"/>
                        </w14:solidFill>
                      </w14:textFill>
                    </w:rPr>
                    <w:t>蒿草、委陵菜、火绒草</w:t>
                  </w:r>
                </w:p>
              </w:tc>
              <w:tc>
                <w:tcPr>
                  <w:tcW w:w="407" w:type="dxa"/>
                  <w:tcBorders>
                    <w:tl2br w:val="nil"/>
                    <w:tr2bl w:val="nil"/>
                  </w:tcBorders>
                  <w:shd w:val="clear" w:color="auto" w:fill="auto"/>
                  <w:noWrap w:val="0"/>
                  <w:vAlign w:val="center"/>
                </w:tcPr>
                <w:p w14:paraId="59C573F4">
                  <w:pPr>
                    <w:spacing w:line="240" w:lineRule="atLeast"/>
                    <w:ind w:firstLine="0" w:firstLineChars="0"/>
                    <w:jc w:val="center"/>
                    <w:rPr>
                      <w:rFonts w:hint="default" w:ascii="Times New Roman" w:hAnsi="Times New Roman" w:eastAsia="宋体" w:cs="Times New Roman"/>
                      <w:snapToGrid w:val="0"/>
                      <w:color w:val="000000" w:themeColor="text1"/>
                      <w:spacing w:val="-2"/>
                      <w:kern w:val="0"/>
                      <w:sz w:val="21"/>
                      <w:szCs w:val="21"/>
                      <w:highlight w:val="none"/>
                      <w:lang w:val="en-US" w:eastAsia="zh-CN" w:bidi="ar-SA"/>
                      <w14:textFill>
                        <w14:solidFill>
                          <w14:schemeClr w14:val="tx1"/>
                        </w14:solidFill>
                      </w14:textFill>
                      <w14:ligatures w14:val="none"/>
                    </w:rPr>
                  </w:pPr>
                  <w:r>
                    <w:rPr>
                      <w:rFonts w:hint="eastAsia"/>
                      <w:color w:val="000000" w:themeColor="text1"/>
                      <w:spacing w:val="-2"/>
                      <w:sz w:val="21"/>
                      <w:szCs w:val="21"/>
                      <w:highlight w:val="none"/>
                      <w:lang w:val="en-US" w:eastAsia="zh-CN"/>
                      <w14:textFill>
                        <w14:solidFill>
                          <w14:schemeClr w14:val="tx1"/>
                        </w14:solidFill>
                      </w14:textFill>
                    </w:rPr>
                    <w:t>植被盖度</w:t>
                  </w:r>
                </w:p>
              </w:tc>
              <w:tc>
                <w:tcPr>
                  <w:tcW w:w="1047" w:type="dxa"/>
                  <w:tcBorders>
                    <w:tl2br w:val="nil"/>
                    <w:tr2bl w:val="nil"/>
                  </w:tcBorders>
                  <w:shd w:val="clear" w:color="auto" w:fill="auto"/>
                  <w:noWrap w:val="0"/>
                  <w:vAlign w:val="center"/>
                </w:tcPr>
                <w:p w14:paraId="596C9382">
                  <w:pPr>
                    <w:spacing w:line="240" w:lineRule="atLeast"/>
                    <w:ind w:firstLine="0" w:firstLineChars="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14:ligatures w14:val="none"/>
                    </w:rPr>
                  </w:pPr>
                  <w:r>
                    <w:rPr>
                      <w:rFonts w:hint="eastAsia"/>
                      <w:color w:val="000000" w:themeColor="text1"/>
                      <w:kern w:val="2"/>
                      <w:sz w:val="21"/>
                      <w:szCs w:val="21"/>
                      <w:highlight w:val="none"/>
                      <w:lang w:val="en-US" w:eastAsia="zh-CN" w:bidi="ar-SA"/>
                      <w14:textFill>
                        <w14:solidFill>
                          <w14:schemeClr w14:val="tx1"/>
                        </w14:solidFill>
                      </w14:textFill>
                    </w:rPr>
                    <w:t>45%</w:t>
                  </w:r>
                </w:p>
              </w:tc>
              <w:tc>
                <w:tcPr>
                  <w:tcW w:w="3304" w:type="dxa"/>
                  <w:vMerge w:val="continue"/>
                  <w:tcBorders>
                    <w:tl2br w:val="nil"/>
                    <w:tr2bl w:val="nil"/>
                  </w:tcBorders>
                  <w:noWrap w:val="0"/>
                  <w:vAlign w:val="center"/>
                </w:tcPr>
                <w:p w14:paraId="3D7AF5B0">
                  <w:pPr>
                    <w:spacing w:line="240" w:lineRule="atLeast"/>
                    <w:ind w:firstLine="0" w:firstLineChars="0"/>
                    <w:jc w:val="center"/>
                    <w:rPr>
                      <w:color w:val="000000" w:themeColor="text1"/>
                      <w:sz w:val="21"/>
                      <w:szCs w:val="21"/>
                      <w:highlight w:val="none"/>
                      <w14:textFill>
                        <w14:solidFill>
                          <w14:schemeClr w14:val="tx1"/>
                        </w14:solidFill>
                      </w14:textFill>
                    </w:rPr>
                  </w:pPr>
                </w:p>
              </w:tc>
            </w:tr>
          </w:tbl>
          <w:tbl>
            <w:tblPr>
              <w:tblStyle w:val="12"/>
              <w:tblW w:w="8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7"/>
              <w:gridCol w:w="4198"/>
            </w:tblGrid>
            <w:tr w14:paraId="28E4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97" w:type="dxa"/>
                  <w:vAlign w:val="center"/>
                </w:tcPr>
                <w:p w14:paraId="2EAF04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7620</wp:posOffset>
                        </wp:positionH>
                        <wp:positionV relativeFrom="paragraph">
                          <wp:posOffset>78740</wp:posOffset>
                        </wp:positionV>
                        <wp:extent cx="2522220" cy="1891030"/>
                        <wp:effectExtent l="0" t="0" r="7620" b="13970"/>
                        <wp:wrapTopAndBottom/>
                        <wp:docPr id="13" name="图片 13" descr="微信图片_20260812091036_177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60812091036_1772_2"/>
                                <pic:cNvPicPr>
                                  <a:picLocks noChangeAspect="1"/>
                                </pic:cNvPicPr>
                              </pic:nvPicPr>
                              <pic:blipFill>
                                <a:blip r:embed="rId20"/>
                                <a:stretch>
                                  <a:fillRect/>
                                </a:stretch>
                              </pic:blipFill>
                              <pic:spPr>
                                <a:xfrm>
                                  <a:off x="0" y="0"/>
                                  <a:ext cx="2522220" cy="1891030"/>
                                </a:xfrm>
                                <a:prstGeom prst="rect">
                                  <a:avLst/>
                                </a:prstGeom>
                              </pic:spPr>
                            </pic:pic>
                          </a:graphicData>
                        </a:graphic>
                      </wp:anchor>
                    </w:drawing>
                  </w:r>
                </w:p>
              </w:tc>
              <w:tc>
                <w:tcPr>
                  <w:tcW w:w="4198" w:type="dxa"/>
                  <w:vAlign w:val="center"/>
                </w:tcPr>
                <w:p w14:paraId="454DB61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drawing>
                      <wp:inline distT="0" distB="0" distL="114300" distR="114300">
                        <wp:extent cx="2522220" cy="1891030"/>
                        <wp:effectExtent l="0" t="0" r="7620" b="13970"/>
                        <wp:docPr id="21" name="图片 21" descr="235982c550b1af9b9c917ff93d446d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35982c550b1af9b9c917ff93d446d80"/>
                                <pic:cNvPicPr>
                                  <a:picLocks noChangeAspect="1"/>
                                </pic:cNvPicPr>
                              </pic:nvPicPr>
                              <pic:blipFill>
                                <a:blip r:embed="rId21"/>
                                <a:stretch>
                                  <a:fillRect/>
                                </a:stretch>
                              </pic:blipFill>
                              <pic:spPr>
                                <a:xfrm>
                                  <a:off x="0" y="0"/>
                                  <a:ext cx="2522220" cy="1891030"/>
                                </a:xfrm>
                                <a:prstGeom prst="rect">
                                  <a:avLst/>
                                </a:prstGeom>
                              </pic:spPr>
                            </pic:pic>
                          </a:graphicData>
                        </a:graphic>
                      </wp:inline>
                    </w:drawing>
                  </w:r>
                </w:p>
              </w:tc>
            </w:tr>
            <w:tr w14:paraId="61D7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9" w:hRule="atLeast"/>
              </w:trPr>
              <w:tc>
                <w:tcPr>
                  <w:tcW w:w="4197" w:type="dxa"/>
                  <w:vAlign w:val="center"/>
                </w:tcPr>
                <w:p w14:paraId="0C1E80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-43815</wp:posOffset>
                        </wp:positionH>
                        <wp:positionV relativeFrom="paragraph">
                          <wp:posOffset>163195</wp:posOffset>
                        </wp:positionV>
                        <wp:extent cx="2522220" cy="1891030"/>
                        <wp:effectExtent l="0" t="0" r="7620" b="13970"/>
                        <wp:wrapTopAndBottom/>
                        <wp:docPr id="15" name="图片 15" descr="微信图片_20260812091039_177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60812091039_1776_2"/>
                                <pic:cNvPicPr>
                                  <a:picLocks noChangeAspect="1"/>
                                </pic:cNvPicPr>
                              </pic:nvPicPr>
                              <pic:blipFill>
                                <a:blip r:embed="rId22"/>
                                <a:stretch>
                                  <a:fillRect/>
                                </a:stretch>
                              </pic:blipFill>
                              <pic:spPr>
                                <a:xfrm>
                                  <a:off x="0" y="0"/>
                                  <a:ext cx="2522220" cy="1891030"/>
                                </a:xfrm>
                                <a:prstGeom prst="rect">
                                  <a:avLst/>
                                </a:prstGeom>
                              </pic:spPr>
                            </pic:pic>
                          </a:graphicData>
                        </a:graphic>
                      </wp:anchor>
                    </w:drawing>
                  </w:r>
                  <w:r>
                    <w:rPr>
                      <w:rFonts w:hint="default" w:ascii="Times New Roman" w:hAnsi="Times New Roman" w:cs="Times New Roman"/>
                      <w:color w:val="000000" w:themeColor="text1"/>
                      <w:spacing w:val="6"/>
                      <w:sz w:val="24"/>
                      <w:szCs w:val="24"/>
                      <w:highlight w:val="none"/>
                      <w:vertAlign w:val="baseline"/>
                      <w:lang w:val="en-US" w:eastAsia="zh-CN"/>
                      <w14:textFill>
                        <w14:solidFill>
                          <w14:schemeClr w14:val="tx1"/>
                        </w14:solidFill>
                      </w14:textFill>
                    </w:rPr>
                    <w:t>火绒草</w:t>
                  </w:r>
                </w:p>
              </w:tc>
              <w:tc>
                <w:tcPr>
                  <w:tcW w:w="4198" w:type="dxa"/>
                  <w:vAlign w:val="center"/>
                </w:tcPr>
                <w:p w14:paraId="5FD315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-635</wp:posOffset>
                        </wp:positionH>
                        <wp:positionV relativeFrom="paragraph">
                          <wp:posOffset>129540</wp:posOffset>
                        </wp:positionV>
                        <wp:extent cx="2522220" cy="1891030"/>
                        <wp:effectExtent l="0" t="0" r="7620" b="13970"/>
                        <wp:wrapTopAndBottom/>
                        <wp:docPr id="17" name="图片 17" descr="微信图片_20260812091106_180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60812091106_1807_2"/>
                                <pic:cNvPicPr>
                                  <a:picLocks noChangeAspect="1"/>
                                </pic:cNvPicPr>
                              </pic:nvPicPr>
                              <pic:blipFill>
                                <a:blip r:embed="rId23"/>
                                <a:stretch>
                                  <a:fillRect/>
                                </a:stretch>
                              </pic:blipFill>
                              <pic:spPr>
                                <a:xfrm>
                                  <a:off x="0" y="0"/>
                                  <a:ext cx="2522220" cy="1891030"/>
                                </a:xfrm>
                                <a:prstGeom prst="rect">
                                  <a:avLst/>
                                </a:prstGeom>
                              </pic:spPr>
                            </pic:pic>
                          </a:graphicData>
                        </a:graphic>
                      </wp:anchor>
                    </w:drawing>
                  </w:r>
                  <w:r>
                    <w:rPr>
                      <w:rFonts w:hint="default" w:ascii="Times New Roman" w:hAnsi="Times New Roman" w:cs="Times New Roman"/>
                      <w:color w:val="000000" w:themeColor="text1"/>
                      <w:spacing w:val="6"/>
                      <w:sz w:val="24"/>
                      <w:szCs w:val="24"/>
                      <w:highlight w:val="none"/>
                      <w:vertAlign w:val="baseline"/>
                      <w:lang w:val="en-US" w:eastAsia="zh-CN"/>
                      <w14:textFill>
                        <w14:solidFill>
                          <w14:schemeClr w14:val="tx1"/>
                        </w14:solidFill>
                      </w14:textFill>
                    </w:rPr>
                    <w:t>委陵菜</w:t>
                  </w:r>
                </w:p>
              </w:tc>
            </w:tr>
            <w:tr w14:paraId="6E3C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9" w:hRule="atLeast"/>
              </w:trPr>
              <w:tc>
                <w:tcPr>
                  <w:tcW w:w="4197" w:type="dxa"/>
                  <w:vAlign w:val="center"/>
                </w:tcPr>
                <w:p w14:paraId="09D9F5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2526030" cy="1900555"/>
                        <wp:effectExtent l="0" t="0" r="3810" b="444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24"/>
                                <a:stretch>
                                  <a:fillRect/>
                                </a:stretch>
                              </pic:blipFill>
                              <pic:spPr>
                                <a:xfrm>
                                  <a:off x="0" y="0"/>
                                  <a:ext cx="2526030" cy="1900555"/>
                                </a:xfrm>
                                <a:prstGeom prst="rect">
                                  <a:avLst/>
                                </a:prstGeom>
                                <a:noFill/>
                                <a:ln>
                                  <a:noFill/>
                                </a:ln>
                              </pic:spPr>
                            </pic:pic>
                          </a:graphicData>
                        </a:graphic>
                      </wp:inline>
                    </w:drawing>
                  </w:r>
                </w:p>
                <w:p w14:paraId="4E9616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白蒿</w:t>
                  </w:r>
                </w:p>
              </w:tc>
              <w:tc>
                <w:tcPr>
                  <w:tcW w:w="4198" w:type="dxa"/>
                  <w:vAlign w:val="center"/>
                </w:tcPr>
                <w:p w14:paraId="2303F5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6"/>
                      <w:sz w:val="24"/>
                      <w:szCs w:val="24"/>
                      <w:highlight w:val="none"/>
                      <w:vertAlign w:val="baseline"/>
                      <w:lang w:val="en-US" w:eastAsia="zh-CN"/>
                      <w14:textFill>
                        <w14:solidFill>
                          <w14:schemeClr w14:val="tx1"/>
                        </w14:solidFill>
                      </w14:textFill>
                    </w:rPr>
                    <w:t>针茅</w:t>
                  </w:r>
                  <w:r>
                    <w:rPr>
                      <w:rFonts w:hint="default" w:ascii="Times New Roman" w:hAnsi="Times New Roman" w:eastAsia="宋体" w:cs="Times New Roman"/>
                      <w:color w:val="000000" w:themeColor="text1"/>
                      <w:spacing w:val="6"/>
                      <w:sz w:val="24"/>
                      <w:szCs w:val="24"/>
                      <w:highlight w:val="none"/>
                      <w:vertAlign w:val="baseline"/>
                      <w:lang w:val="en-US"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-17145</wp:posOffset>
                        </wp:positionH>
                        <wp:positionV relativeFrom="paragraph">
                          <wp:posOffset>-4318000</wp:posOffset>
                        </wp:positionV>
                        <wp:extent cx="2522220" cy="1891030"/>
                        <wp:effectExtent l="0" t="0" r="7620" b="13970"/>
                        <wp:wrapTopAndBottom/>
                        <wp:docPr id="19" name="图片 19" descr="微信图片_20260812091103_180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60812091103_1803_2"/>
                                <pic:cNvPicPr>
                                  <a:picLocks noChangeAspect="1"/>
                                </pic:cNvPicPr>
                              </pic:nvPicPr>
                              <pic:blipFill>
                                <a:blip r:embed="rId25"/>
                                <a:stretch>
                                  <a:fillRect/>
                                </a:stretch>
                              </pic:blipFill>
                              <pic:spPr>
                                <a:xfrm>
                                  <a:off x="0" y="0"/>
                                  <a:ext cx="2522220" cy="1891030"/>
                                </a:xfrm>
                                <a:prstGeom prst="rect">
                                  <a:avLst/>
                                </a:prstGeom>
                              </pic:spPr>
                            </pic:pic>
                          </a:graphicData>
                        </a:graphic>
                      </wp:anchor>
                    </w:drawing>
                  </w:r>
                </w:p>
              </w:tc>
            </w:tr>
            <w:tr w14:paraId="4451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5" w:type="dxa"/>
                  <w:gridSpan w:val="2"/>
                  <w:vAlign w:val="center"/>
                </w:tcPr>
                <w:p w14:paraId="71E602A9">
                  <w:pPr>
                    <w:pStyle w:val="18"/>
                    <w:bidi w:val="0"/>
                    <w:rPr>
                      <w:rFonts w:hint="default" w:ascii="Times New Roman" w:hAnsi="Times New Roman" w:eastAsia="宋体" w:cs="Times New Roman"/>
                      <w:color w:val="000000" w:themeColor="text1"/>
                      <w:spacing w:val="6"/>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项目区植被现状照片</w:t>
                  </w:r>
                </w:p>
              </w:tc>
            </w:tr>
          </w:tbl>
          <w:p w14:paraId="19A7AAA2">
            <w:pPr>
              <w:widowControl w:val="0"/>
              <w:kinsoku/>
              <w:autoSpaceDE/>
              <w:autoSpaceDN/>
              <w:adjustRightInd/>
              <w:snapToGrid/>
              <w:spacing w:line="480" w:lineRule="exact"/>
              <w:ind w:firstLine="480" w:firstLineChars="200"/>
              <w:jc w:val="both"/>
              <w:textAlignment w:val="auto"/>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t>（</w:t>
            </w:r>
            <w:r>
              <w:rPr>
                <w:rFonts w:hint="eastAsia" w:cs="Times New Roman"/>
                <w:snapToGrid/>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t>）植被调查结果</w:t>
            </w:r>
          </w:p>
          <w:p w14:paraId="69FDCF65">
            <w:pPr>
              <w:widowControl w:val="0"/>
              <w:kinsoku/>
              <w:autoSpaceDE/>
              <w:autoSpaceDN/>
              <w:adjustRightInd/>
              <w:snapToGrid/>
              <w:spacing w:line="480" w:lineRule="exact"/>
              <w:ind w:firstLine="480" w:firstLineChars="200"/>
              <w:jc w:val="both"/>
              <w:textAlignment w:val="auto"/>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t>从样方调查来看，项目区植被盖度较高。根据《新疆维吾尔自治区重点保护野生植物名录》（新政发〔2023〕63号），项目区无国家及自治区保护植物。</w:t>
            </w:r>
          </w:p>
          <w:p w14:paraId="7D052B14">
            <w:pPr>
              <w:numPr>
                <w:ilvl w:val="0"/>
                <w:numId w:val="0"/>
              </w:numPr>
              <w:bidi w:val="0"/>
              <w:ind w:firstLine="480" w:firstLineChars="200"/>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4"/>
                <w:szCs w:val="24"/>
                <w:lang w:val="en-US" w:eastAsia="zh-CN" w:bidi="ar-SA"/>
                <w14:textFill>
                  <w14:solidFill>
                    <w14:schemeClr w14:val="tx1"/>
                  </w14:solidFill>
                </w14:textFill>
              </w:rPr>
              <w:t>（</w:t>
            </w:r>
            <w:r>
              <w:rPr>
                <w:rFonts w:hint="eastAsia" w:cs="Times New Roman"/>
                <w:snapToGrid/>
                <w:color w:val="000000" w:themeColor="text1"/>
                <w:kern w:val="2"/>
                <w:sz w:val="24"/>
                <w:szCs w:val="24"/>
                <w:lang w:val="en-US" w:eastAsia="zh-CN" w:bidi="ar-SA"/>
                <w14:textFill>
                  <w14:solidFill>
                    <w14:schemeClr w14:val="tx1"/>
                  </w14:solidFill>
                </w14:textFill>
              </w:rPr>
              <w:t>7</w:t>
            </w:r>
            <w:r>
              <w:rPr>
                <w:rFonts w:hint="eastAsia" w:ascii="Times New Roman" w:hAnsi="Times New Roman" w:eastAsia="宋体" w:cs="Times New Roman"/>
                <w:snapToGrid/>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t>生态制图</w:t>
            </w:r>
          </w:p>
          <w:p w14:paraId="50B1AA6B">
            <w:pPr>
              <w:bidi w:val="0"/>
              <w:ind w:left="0" w:leftChars="0" w:firstLine="480" w:firstLineChars="200"/>
              <w:jc w:val="lef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采用图形叠置法制作植被类型图、植被覆盖度图。植被</w:t>
            </w:r>
            <w:r>
              <w:rPr>
                <w:rFonts w:hint="default"/>
                <w:color w:val="000000" w:themeColor="text1"/>
                <w:lang w:val="en-US" w:eastAsia="zh-CN"/>
                <w14:textFill>
                  <w14:solidFill>
                    <w14:schemeClr w14:val="tx1"/>
                  </w14:solidFill>
                </w14:textFill>
              </w:rPr>
              <w:t>类型图见</w:t>
            </w:r>
            <w:r>
              <w:rPr>
                <w:rFonts w:hint="eastAsia"/>
                <w:color w:val="000000" w:themeColor="text1"/>
                <w:lang w:val="en-US" w:eastAsia="zh-CN"/>
                <w14:textFill>
                  <w14:solidFill>
                    <w14:schemeClr w14:val="tx1"/>
                  </w14:solidFill>
                </w14:textFill>
              </w:rPr>
              <w:t>附</w:t>
            </w:r>
            <w:r>
              <w:rPr>
                <w:rFonts w:hint="default"/>
                <w:color w:val="000000" w:themeColor="text1"/>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9、植被覆盖度图见附图10</w:t>
            </w:r>
            <w:r>
              <w:rPr>
                <w:rFonts w:hint="default"/>
                <w:color w:val="000000" w:themeColor="text1"/>
                <w:lang w:val="en-US" w:eastAsia="zh-CN"/>
                <w14:textFill>
                  <w14:solidFill>
                    <w14:schemeClr w14:val="tx1"/>
                  </w14:solidFill>
                </w14:textFill>
              </w:rPr>
              <w:t>。</w:t>
            </w:r>
          </w:p>
          <w:p w14:paraId="4A8B5A36">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w:t>
            </w:r>
            <w:r>
              <w:rPr>
                <w:rFonts w:hint="eastAsia" w:eastAsia="宋体" w:cs="Times New Roman"/>
                <w:snapToGrid w:val="0"/>
                <w:color w:val="000000" w:themeColor="text1"/>
                <w:kern w:val="0"/>
                <w:sz w:val="24"/>
                <w:szCs w:val="24"/>
                <w:lang w:val="en-US" w:eastAsia="zh-CN" w:bidi="ar-SA"/>
                <w14:textFill>
                  <w14:solidFill>
                    <w14:schemeClr w14:val="tx1"/>
                  </w14:solidFill>
                </w14:textFill>
                <w14:ligatures w14:val="none"/>
              </w:rPr>
              <w:t>8</w:t>
            </w:r>
            <w:r>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）植被覆盖度</w:t>
            </w:r>
          </w:p>
          <w:p w14:paraId="489CA353">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项目区2025年NDVI最大值数据集是基于Google Earth Engine（GEE）遥感云计算平台，利用哨兵2（Sentinel-2）遥感影像计算的NDVI最大值数据集，数据空间分辨率为10m，时间分辨率为2025年。NDVI计算利用了哨兵2（Sentinel-2）B8和B4波段。数据数值范围为--0.2-1。项目区内综合植被覆盖度均值为0.4495，也就是44.95%</w:t>
            </w:r>
            <w:r>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w:t>
            </w:r>
          </w:p>
          <w:p w14:paraId="46DE39DE">
            <w:pPr>
              <w:pStyle w:val="2"/>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表3.2-5   项目区植被覆盖度面积统计表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8"/>
              <w:gridCol w:w="2696"/>
              <w:gridCol w:w="2696"/>
            </w:tblGrid>
            <w:tr w14:paraId="0977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1" w:type="dxa"/>
                  <w:vAlign w:val="center"/>
                </w:tcPr>
                <w:p w14:paraId="737F6C8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分级</w:t>
                  </w:r>
                </w:p>
              </w:tc>
              <w:tc>
                <w:tcPr>
                  <w:tcW w:w="2797" w:type="dxa"/>
                  <w:vAlign w:val="center"/>
                </w:tcPr>
                <w:p w14:paraId="284931A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面积（hm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bidi="ar-SA"/>
                      <w14:textFill>
                        <w14:solidFill>
                          <w14:schemeClr w14:val="tx1"/>
                        </w14:solidFill>
                      </w14:textFill>
                      <w14:ligatures w14:val="none"/>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w:t>
                  </w:r>
                </w:p>
              </w:tc>
              <w:tc>
                <w:tcPr>
                  <w:tcW w:w="2797" w:type="dxa"/>
                  <w:vAlign w:val="center"/>
                </w:tcPr>
                <w:p w14:paraId="1536BB1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占评价区面积比例（%）</w:t>
                  </w:r>
                </w:p>
              </w:tc>
            </w:tr>
            <w:tr w14:paraId="53A7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1" w:type="dxa"/>
                  <w:vAlign w:val="center"/>
                </w:tcPr>
                <w:p w14:paraId="281BFB1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＜10%</w:t>
                  </w:r>
                </w:p>
              </w:tc>
              <w:tc>
                <w:tcPr>
                  <w:tcW w:w="2797" w:type="dxa"/>
                  <w:vAlign w:val="center"/>
                </w:tcPr>
                <w:p w14:paraId="5131A08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c>
                <w:tcPr>
                  <w:tcW w:w="2797" w:type="dxa"/>
                  <w:vAlign w:val="center"/>
                </w:tcPr>
                <w:p w14:paraId="3D54666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r>
            <w:tr w14:paraId="4835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1" w:type="dxa"/>
                  <w:vAlign w:val="center"/>
                </w:tcPr>
                <w:p w14:paraId="397714B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10-30%</w:t>
                  </w:r>
                </w:p>
              </w:tc>
              <w:tc>
                <w:tcPr>
                  <w:tcW w:w="2797" w:type="dxa"/>
                  <w:vAlign w:val="center"/>
                </w:tcPr>
                <w:p w14:paraId="1A2690F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c>
                <w:tcPr>
                  <w:tcW w:w="2797" w:type="dxa"/>
                  <w:vAlign w:val="center"/>
                </w:tcPr>
                <w:p w14:paraId="21BF096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r>
            <w:tr w14:paraId="07DE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1" w:type="dxa"/>
                  <w:vAlign w:val="center"/>
                </w:tcPr>
                <w:p w14:paraId="789A503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30-50%</w:t>
                  </w:r>
                </w:p>
              </w:tc>
              <w:tc>
                <w:tcPr>
                  <w:tcW w:w="2797" w:type="dxa"/>
                  <w:vAlign w:val="center"/>
                </w:tcPr>
                <w:p w14:paraId="0590189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0.4189</w:t>
                  </w:r>
                </w:p>
              </w:tc>
              <w:tc>
                <w:tcPr>
                  <w:tcW w:w="2797" w:type="dxa"/>
                  <w:vAlign w:val="center"/>
                </w:tcPr>
                <w:p w14:paraId="02A515C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100</w:t>
                  </w:r>
                </w:p>
              </w:tc>
            </w:tr>
            <w:tr w14:paraId="044E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1" w:type="dxa"/>
                  <w:vAlign w:val="center"/>
                </w:tcPr>
                <w:p w14:paraId="0763C4A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50-70%</w:t>
                  </w:r>
                </w:p>
              </w:tc>
              <w:tc>
                <w:tcPr>
                  <w:tcW w:w="2797" w:type="dxa"/>
                  <w:vAlign w:val="center"/>
                </w:tcPr>
                <w:p w14:paraId="4691AF2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c>
                <w:tcPr>
                  <w:tcW w:w="2797" w:type="dxa"/>
                  <w:vAlign w:val="center"/>
                </w:tcPr>
                <w:p w14:paraId="35C94FC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r>
            <w:tr w14:paraId="558C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1" w:type="dxa"/>
                  <w:vAlign w:val="center"/>
                </w:tcPr>
                <w:p w14:paraId="70B770D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＞70%</w:t>
                  </w:r>
                </w:p>
              </w:tc>
              <w:tc>
                <w:tcPr>
                  <w:tcW w:w="2797" w:type="dxa"/>
                  <w:vAlign w:val="center"/>
                </w:tcPr>
                <w:p w14:paraId="34C6FAB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c>
                <w:tcPr>
                  <w:tcW w:w="2797" w:type="dxa"/>
                  <w:vAlign w:val="center"/>
                </w:tcPr>
                <w:p w14:paraId="3527059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0</w:t>
                  </w:r>
                </w:p>
              </w:tc>
            </w:tr>
          </w:tbl>
          <w:p w14:paraId="727516D9">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由表3.2-5及现场调查可以看出，项目区域植被覆盖度较高。</w:t>
            </w:r>
          </w:p>
          <w:p w14:paraId="071ECCFF">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both"/>
              <w:textAlignment w:val="auto"/>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9</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评价区生态系统</w:t>
            </w:r>
          </w:p>
          <w:p w14:paraId="25B2498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both"/>
              <w:textAlignment w:val="auto"/>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本项目生态系统概况见下表。</w:t>
            </w:r>
          </w:p>
          <w:p w14:paraId="02CF8F3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表3.2-6   项目区生态系统类型</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643"/>
              <w:gridCol w:w="1643"/>
              <w:gridCol w:w="1643"/>
              <w:gridCol w:w="1644"/>
            </w:tblGrid>
            <w:tr w14:paraId="71A8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vAlign w:val="center"/>
                </w:tcPr>
                <w:p w14:paraId="387CBF1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生态系统类型</w:t>
                  </w:r>
                </w:p>
              </w:tc>
              <w:tc>
                <w:tcPr>
                  <w:tcW w:w="1643" w:type="dxa"/>
                  <w:vAlign w:val="center"/>
                </w:tcPr>
                <w:p w14:paraId="50ECCCD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地形地貌</w:t>
                  </w:r>
                </w:p>
              </w:tc>
              <w:tc>
                <w:tcPr>
                  <w:tcW w:w="1643" w:type="dxa"/>
                  <w:vAlign w:val="center"/>
                </w:tcPr>
                <w:p w14:paraId="795D3A8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土地利用类型</w:t>
                  </w:r>
                </w:p>
              </w:tc>
              <w:tc>
                <w:tcPr>
                  <w:tcW w:w="1643" w:type="dxa"/>
                  <w:vAlign w:val="center"/>
                </w:tcPr>
                <w:p w14:paraId="39BF2AC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土壤类型</w:t>
                  </w:r>
                </w:p>
              </w:tc>
              <w:tc>
                <w:tcPr>
                  <w:tcW w:w="1644" w:type="dxa"/>
                  <w:vAlign w:val="center"/>
                </w:tcPr>
                <w:p w14:paraId="7780B0B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植被类型</w:t>
                  </w:r>
                </w:p>
              </w:tc>
            </w:tr>
            <w:tr w14:paraId="3184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7" w:type="dxa"/>
                  <w:vAlign w:val="center"/>
                </w:tcPr>
                <w:p w14:paraId="7D79AFB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草原生态系统</w:t>
                  </w:r>
                </w:p>
              </w:tc>
              <w:tc>
                <w:tcPr>
                  <w:tcW w:w="1643" w:type="dxa"/>
                  <w:vAlign w:val="center"/>
                </w:tcPr>
                <w:p w14:paraId="2964319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大小尤路都斯盆地亚高山草地段，位于那拉提山与南天山之间，盆地内地形平缓，由西北向东南倾斜，坡度较小，海拔2400-2600m。</w:t>
                  </w:r>
                </w:p>
              </w:tc>
              <w:tc>
                <w:tcPr>
                  <w:tcW w:w="1643" w:type="dxa"/>
                  <w:vAlign w:val="center"/>
                </w:tcPr>
                <w:p w14:paraId="347F22C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高覆盖度草地、中覆盖度草地</w:t>
                  </w:r>
                </w:p>
              </w:tc>
              <w:tc>
                <w:tcPr>
                  <w:tcW w:w="1643" w:type="dxa"/>
                  <w:vAlign w:val="center"/>
                </w:tcPr>
                <w:p w14:paraId="5B2151B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亚高山草原土、栗钙土</w:t>
                  </w:r>
                </w:p>
              </w:tc>
              <w:tc>
                <w:tcPr>
                  <w:tcW w:w="1644" w:type="dxa"/>
                  <w:vAlign w:val="center"/>
                </w:tcPr>
                <w:p w14:paraId="3646298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14:ligatures w14:val="none"/>
                    </w:rPr>
                    <w:t>亚高山草甸</w:t>
                  </w:r>
                </w:p>
              </w:tc>
            </w:tr>
          </w:tbl>
          <w:p w14:paraId="048226AE">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pPr>
            <w:r>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w:t>
            </w:r>
            <w:r>
              <w:rPr>
                <w:rFonts w:hint="eastAsia" w:eastAsia="宋体" w:cs="Times New Roman"/>
                <w:snapToGrid w:val="0"/>
                <w:color w:val="000000" w:themeColor="text1"/>
                <w:kern w:val="0"/>
                <w:sz w:val="24"/>
                <w:szCs w:val="24"/>
                <w:lang w:val="en-US" w:eastAsia="zh-CN" w:bidi="ar-SA"/>
                <w14:textFill>
                  <w14:solidFill>
                    <w14:schemeClr w14:val="tx1"/>
                  </w14:solidFill>
                </w14:textFill>
                <w14:ligatures w14:val="none"/>
              </w:rPr>
              <w:t>10</w:t>
            </w:r>
            <w:r>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）区域植被概况</w:t>
            </w:r>
          </w:p>
          <w:p w14:paraId="68096B86">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项目区位于和静县巴音布鲁克，地处天山西部，缺乏高大的林木，</w:t>
            </w:r>
            <w:r>
              <w:rPr>
                <w:rFonts w:hint="eastAsia" w:eastAsia="宋体" w:cs="Times New Roman"/>
                <w:snapToGrid w:val="0"/>
                <w:color w:val="000000" w:themeColor="text1"/>
                <w:kern w:val="0"/>
                <w:sz w:val="24"/>
                <w:szCs w:val="24"/>
                <w:lang w:val="en-US" w:eastAsia="zh-CN" w:bidi="ar-SA"/>
                <w14:textFill>
                  <w14:solidFill>
                    <w14:schemeClr w14:val="tx1"/>
                  </w14:solidFill>
                </w14:textFill>
                <w14:ligatures w14:val="none"/>
              </w:rPr>
              <w:t>主要</w:t>
            </w:r>
            <w:r>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植物有针茅、羊茅、冰草、委陵菜等。</w:t>
            </w:r>
          </w:p>
          <w:p w14:paraId="7104D961">
            <w:pPr>
              <w:bidi w:val="0"/>
              <w:ind w:left="0" w:leftChars="0" w:firstLine="504" w:firstLineChars="200"/>
              <w:jc w:val="left"/>
              <w:rPr>
                <w:rFonts w:hint="default" w:ascii="Times New Roman" w:hAnsi="Times New Roman" w:eastAsia="宋体" w:cs="Times New Roman"/>
                <w:b/>
                <w:bCs/>
                <w:color w:val="000000" w:themeColor="text1"/>
                <w:spacing w:val="6"/>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区域主要的野生植物具体名录见报告表3.2-</w:t>
            </w:r>
            <w:r>
              <w:rPr>
                <w:rFonts w:hint="eastAsia" w:cs="Times New Roman"/>
                <w:color w:val="000000" w:themeColor="text1"/>
                <w:spacing w:val="6"/>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w:t>
            </w:r>
          </w:p>
          <w:p w14:paraId="3E7AA85C">
            <w:pPr>
              <w:pStyle w:val="18"/>
              <w:bidi w:val="0"/>
              <w:rPr>
                <w:rFonts w:hint="default" w:ascii="Times New Roman" w:hAnsi="Times New Roman" w:eastAsia="宋体" w:cs="Times New Roman"/>
                <w:b/>
                <w:color w:val="000000" w:themeColor="text1"/>
                <w:kern w:val="0"/>
                <w:szCs w:val="20"/>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表3.2-</w:t>
            </w:r>
            <w:r>
              <w:rPr>
                <w:rFonts w:hint="eastAsia"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项目区及周边区域植物名录</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7"/>
              <w:gridCol w:w="917"/>
              <w:gridCol w:w="917"/>
              <w:gridCol w:w="1454"/>
              <w:gridCol w:w="3534"/>
              <w:gridCol w:w="831"/>
            </w:tblGrid>
            <w:tr w14:paraId="3E08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37" w:type="dxa"/>
                  <w:tcBorders>
                    <w:tl2br w:val="nil"/>
                    <w:tr2bl w:val="nil"/>
                  </w:tcBorders>
                  <w:noWrap w:val="0"/>
                  <w:vAlign w:val="center"/>
                </w:tcPr>
                <w:p w14:paraId="017C3F7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科</w:t>
                  </w:r>
                </w:p>
              </w:tc>
              <w:tc>
                <w:tcPr>
                  <w:tcW w:w="917" w:type="dxa"/>
                  <w:tcBorders>
                    <w:tl2br w:val="nil"/>
                    <w:tr2bl w:val="nil"/>
                  </w:tcBorders>
                  <w:noWrap w:val="0"/>
                  <w:vAlign w:val="center"/>
                </w:tcPr>
                <w:p w14:paraId="57CD8612">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属</w:t>
                  </w:r>
                </w:p>
              </w:tc>
              <w:tc>
                <w:tcPr>
                  <w:tcW w:w="917" w:type="dxa"/>
                  <w:tcBorders>
                    <w:tl2br w:val="nil"/>
                    <w:tr2bl w:val="nil"/>
                  </w:tcBorders>
                  <w:noWrap w:val="0"/>
                  <w:vAlign w:val="center"/>
                </w:tcPr>
                <w:p w14:paraId="37561730">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种名</w:t>
                  </w:r>
                </w:p>
              </w:tc>
              <w:tc>
                <w:tcPr>
                  <w:tcW w:w="1454" w:type="dxa"/>
                  <w:tcBorders>
                    <w:tl2br w:val="nil"/>
                    <w:tr2bl w:val="nil"/>
                  </w:tcBorders>
                  <w:noWrap w:val="0"/>
                  <w:vAlign w:val="center"/>
                </w:tcPr>
                <w:p w14:paraId="0D7567E5">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拉丁名</w:t>
                  </w:r>
                </w:p>
              </w:tc>
              <w:tc>
                <w:tcPr>
                  <w:tcW w:w="3534" w:type="dxa"/>
                  <w:tcBorders>
                    <w:tl2br w:val="nil"/>
                    <w:tr2bl w:val="nil"/>
                  </w:tcBorders>
                  <w:noWrap w:val="0"/>
                  <w:vAlign w:val="center"/>
                </w:tcPr>
                <w:p w14:paraId="72E28E71">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形态特征及生活习性</w:t>
                  </w:r>
                </w:p>
              </w:tc>
              <w:tc>
                <w:tcPr>
                  <w:tcW w:w="831" w:type="dxa"/>
                  <w:tcBorders>
                    <w:tl2br w:val="nil"/>
                    <w:tr2bl w:val="nil"/>
                  </w:tcBorders>
                  <w:noWrap w:val="0"/>
                  <w:vAlign w:val="center"/>
                </w:tcPr>
                <w:p w14:paraId="15FFA913">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保护级别</w:t>
                  </w:r>
                </w:p>
              </w:tc>
            </w:tr>
            <w:tr w14:paraId="6C3E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tcBorders>
                    <w:tl2br w:val="nil"/>
                    <w:tr2bl w:val="nil"/>
                  </w:tcBorders>
                  <w:noWrap w:val="0"/>
                  <w:vAlign w:val="center"/>
                </w:tcPr>
                <w:p w14:paraId="4B1BC211">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蔷薇科</w:t>
                  </w:r>
                </w:p>
              </w:tc>
              <w:tc>
                <w:tcPr>
                  <w:tcW w:w="917" w:type="dxa"/>
                  <w:tcBorders>
                    <w:tl2br w:val="nil"/>
                    <w:tr2bl w:val="nil"/>
                  </w:tcBorders>
                  <w:noWrap w:val="0"/>
                  <w:vAlign w:val="center"/>
                </w:tcPr>
                <w:p w14:paraId="101EE53E">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委陵菜属</w:t>
                  </w:r>
                </w:p>
              </w:tc>
              <w:tc>
                <w:tcPr>
                  <w:tcW w:w="917" w:type="dxa"/>
                  <w:tcBorders>
                    <w:tl2br w:val="nil"/>
                    <w:tr2bl w:val="nil"/>
                  </w:tcBorders>
                  <w:noWrap w:val="0"/>
                  <w:vAlign w:val="center"/>
                </w:tcPr>
                <w:p w14:paraId="52FCAA27">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委陵菜</w:t>
                  </w:r>
                </w:p>
              </w:tc>
              <w:tc>
                <w:tcPr>
                  <w:tcW w:w="1454" w:type="dxa"/>
                  <w:tcBorders>
                    <w:tl2br w:val="nil"/>
                    <w:tr2bl w:val="nil"/>
                  </w:tcBorders>
                  <w:noWrap w:val="0"/>
                  <w:vAlign w:val="center"/>
                </w:tcPr>
                <w:p w14:paraId="2577864F">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Potentilla multifida</w:t>
                  </w:r>
                </w:p>
              </w:tc>
              <w:tc>
                <w:tcPr>
                  <w:tcW w:w="3534" w:type="dxa"/>
                  <w:tcBorders>
                    <w:tl2br w:val="nil"/>
                    <w:tr2bl w:val="nil"/>
                  </w:tcBorders>
                  <w:noWrap w:val="0"/>
                  <w:vAlign w:val="center"/>
                </w:tcPr>
                <w:p w14:paraId="717BAF60">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叶片：基生羽状裂叶，叶片深裂、布满细密柔毛，质感偏灰绿色，贴地丛生；</w:t>
                  </w:r>
                </w:p>
                <w:p w14:paraId="2400A87F">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生长环境：高寒草原、草甸，常和紫花针茅、弱小火绒草混生；</w:t>
                  </w:r>
                </w:p>
                <w:p w14:paraId="41C04353">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花：春夏季开出黄色五瓣小花（照片里暂时没有花期）。</w:t>
                  </w:r>
                </w:p>
              </w:tc>
              <w:tc>
                <w:tcPr>
                  <w:tcW w:w="831" w:type="dxa"/>
                  <w:tcBorders>
                    <w:tl2br w:val="nil"/>
                    <w:tr2bl w:val="nil"/>
                  </w:tcBorders>
                  <w:noWrap w:val="0"/>
                  <w:vAlign w:val="center"/>
                </w:tcPr>
                <w:p w14:paraId="0328AF36">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08E0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restart"/>
                  <w:tcBorders>
                    <w:tl2br w:val="nil"/>
                    <w:tr2bl w:val="nil"/>
                  </w:tcBorders>
                  <w:noWrap w:val="0"/>
                  <w:vAlign w:val="center"/>
                </w:tcPr>
                <w:p w14:paraId="74F94FB7">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菊科</w:t>
                  </w:r>
                </w:p>
              </w:tc>
              <w:tc>
                <w:tcPr>
                  <w:tcW w:w="917" w:type="dxa"/>
                  <w:tcBorders>
                    <w:tl2br w:val="nil"/>
                    <w:tr2bl w:val="nil"/>
                  </w:tcBorders>
                  <w:noWrap w:val="0"/>
                  <w:vAlign w:val="center"/>
                </w:tcPr>
                <w:p w14:paraId="459DD1F0">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火绒草属</w:t>
                  </w:r>
                </w:p>
              </w:tc>
              <w:tc>
                <w:tcPr>
                  <w:tcW w:w="917" w:type="dxa"/>
                  <w:tcBorders>
                    <w:tl2br w:val="nil"/>
                    <w:tr2bl w:val="nil"/>
                  </w:tcBorders>
                  <w:noWrap w:val="0"/>
                  <w:vAlign w:val="center"/>
                </w:tcPr>
                <w:p w14:paraId="26D67569">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火绒草</w:t>
                  </w:r>
                </w:p>
              </w:tc>
              <w:tc>
                <w:tcPr>
                  <w:tcW w:w="1454" w:type="dxa"/>
                  <w:tcBorders>
                    <w:tl2br w:val="nil"/>
                    <w:tr2bl w:val="nil"/>
                  </w:tcBorders>
                  <w:noWrap w:val="0"/>
                  <w:vAlign w:val="center"/>
                </w:tcPr>
                <w:p w14:paraId="4E5DA5BE">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Leontopodium</w:t>
                  </w:r>
                </w:p>
                <w:p w14:paraId="0EBACD85">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campestre</w:t>
                  </w:r>
                </w:p>
              </w:tc>
              <w:tc>
                <w:tcPr>
                  <w:tcW w:w="3534" w:type="dxa"/>
                  <w:tcBorders>
                    <w:tl2br w:val="nil"/>
                    <w:tr2bl w:val="nil"/>
                  </w:tcBorders>
                  <w:noWrap w:val="0"/>
                  <w:vAlign w:val="center"/>
                </w:tcPr>
                <w:p w14:paraId="46BE028C">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植株低矮、贴地丛生；叶片长椭圆形，表面密被银白色绵毛，呈现灰绿发白的外观；典型高寒物种，常和紫花针茅伴生；白色绒毛可以抵御高原强紫外线、霜冻与大风。</w:t>
                  </w:r>
                </w:p>
              </w:tc>
              <w:tc>
                <w:tcPr>
                  <w:tcW w:w="831" w:type="dxa"/>
                  <w:tcBorders>
                    <w:tl2br w:val="nil"/>
                    <w:tr2bl w:val="nil"/>
                  </w:tcBorders>
                  <w:noWrap w:val="0"/>
                  <w:vAlign w:val="center"/>
                </w:tcPr>
                <w:p w14:paraId="4134C05A">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6D51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continue"/>
                  <w:tcBorders>
                    <w:tl2br w:val="nil"/>
                    <w:tr2bl w:val="nil"/>
                  </w:tcBorders>
                  <w:noWrap w:val="0"/>
                  <w:vAlign w:val="center"/>
                </w:tcPr>
                <w:p w14:paraId="28EA20BA">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17" w:type="dxa"/>
                  <w:tcBorders>
                    <w:tl2br w:val="nil"/>
                    <w:tr2bl w:val="nil"/>
                  </w:tcBorders>
                  <w:shd w:val="clear" w:color="auto" w:fill="auto"/>
                  <w:noWrap w:val="0"/>
                  <w:vAlign w:val="center"/>
                </w:tcPr>
                <w:p w14:paraId="5B641AA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白目菊科</w:t>
                  </w:r>
                </w:p>
              </w:tc>
              <w:tc>
                <w:tcPr>
                  <w:tcW w:w="917" w:type="dxa"/>
                  <w:tcBorders>
                    <w:tl2br w:val="nil"/>
                    <w:tr2bl w:val="nil"/>
                  </w:tcBorders>
                  <w:shd w:val="clear" w:color="auto" w:fill="auto"/>
                  <w:noWrap w:val="0"/>
                  <w:vAlign w:val="center"/>
                </w:tcPr>
                <w:p w14:paraId="1E67AE8C">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白蒿</w:t>
                  </w:r>
                </w:p>
              </w:tc>
              <w:tc>
                <w:tcPr>
                  <w:tcW w:w="1454" w:type="dxa"/>
                  <w:tcBorders>
                    <w:tl2br w:val="nil"/>
                    <w:tr2bl w:val="nil"/>
                  </w:tcBorders>
                  <w:shd w:val="clear" w:color="auto" w:fill="auto"/>
                  <w:noWrap w:val="0"/>
                  <w:vAlign w:val="center"/>
                </w:tcPr>
                <w:p w14:paraId="6607892B">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Artemisia sieversiana Ehrhart ex Willd.</w:t>
                  </w:r>
                </w:p>
              </w:tc>
              <w:tc>
                <w:tcPr>
                  <w:tcW w:w="3534" w:type="dxa"/>
                  <w:tcBorders>
                    <w:tl2br w:val="nil"/>
                    <w:tr2bl w:val="nil"/>
                  </w:tcBorders>
                  <w:shd w:val="clear" w:color="auto" w:fill="auto"/>
                  <w:noWrap w:val="0"/>
                  <w:vAlign w:val="center"/>
                </w:tcPr>
                <w:p w14:paraId="1B405ABD">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白蒿是菊科蒿属一或二年生草本，高50-150cm。主根单一，呈纺锤形。茎下部稍木质化，纵棱明显，茎、枝被灰白色微柔毛。叶互生，叶柄长1-4cm；下部与中部叶宽卵形或宽卵圆形，长4-8cm，宽3-6cm，二至三回羽状全裂，每侧有裂片2-3枚，小裂片线形或线状披针形，基部有小型羽状分裂的假托叶。头状花序，多数，半球形或近球形，具短梗，基部常有线形的小苞叶；两性花多层，80-120朵；花冠管状；花药上端附属物尖，长三角形，基部有短尖头；花柱与花冠等长，先端叉开，叉端截形，有睫毛。瘦果长圆形。花果期6-10月。</w:t>
                  </w:r>
                </w:p>
              </w:tc>
              <w:tc>
                <w:tcPr>
                  <w:tcW w:w="831" w:type="dxa"/>
                  <w:tcBorders>
                    <w:tl2br w:val="nil"/>
                    <w:tr2bl w:val="nil"/>
                  </w:tcBorders>
                  <w:noWrap w:val="0"/>
                  <w:vAlign w:val="center"/>
                </w:tcPr>
                <w:p w14:paraId="0D837B89">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7A55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continue"/>
                  <w:tcBorders>
                    <w:tl2br w:val="nil"/>
                    <w:tr2bl w:val="nil"/>
                  </w:tcBorders>
                  <w:noWrap w:val="0"/>
                  <w:vAlign w:val="center"/>
                </w:tcPr>
                <w:p w14:paraId="76A9C323">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17" w:type="dxa"/>
                  <w:tcBorders>
                    <w:tl2br w:val="nil"/>
                    <w:tr2bl w:val="nil"/>
                  </w:tcBorders>
                  <w:shd w:val="clear" w:color="auto" w:fill="auto"/>
                  <w:noWrap w:val="0"/>
                  <w:vAlign w:val="center"/>
                </w:tcPr>
                <w:p w14:paraId="089ECA0D">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蒲公英属</w:t>
                  </w:r>
                </w:p>
              </w:tc>
              <w:tc>
                <w:tcPr>
                  <w:tcW w:w="917" w:type="dxa"/>
                  <w:tcBorders>
                    <w:tl2br w:val="nil"/>
                    <w:tr2bl w:val="nil"/>
                  </w:tcBorders>
                  <w:shd w:val="clear" w:color="auto" w:fill="auto"/>
                  <w:noWrap w:val="0"/>
                  <w:vAlign w:val="center"/>
                </w:tcPr>
                <w:p w14:paraId="4FD8BE8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蒲公英</w:t>
                  </w:r>
                </w:p>
              </w:tc>
              <w:tc>
                <w:tcPr>
                  <w:tcW w:w="1454" w:type="dxa"/>
                  <w:tcBorders>
                    <w:tl2br w:val="nil"/>
                    <w:tr2bl w:val="nil"/>
                  </w:tcBorders>
                  <w:shd w:val="clear" w:color="auto" w:fill="auto"/>
                  <w:noWrap w:val="0"/>
                  <w:vAlign w:val="center"/>
                </w:tcPr>
                <w:p w14:paraId="209F08A2">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Taraxacumtianschanicum</w:t>
                  </w:r>
                </w:p>
              </w:tc>
              <w:tc>
                <w:tcPr>
                  <w:tcW w:w="3534" w:type="dxa"/>
                  <w:tcBorders>
                    <w:tl2br w:val="nil"/>
                    <w:tr2bl w:val="nil"/>
                  </w:tcBorders>
                  <w:shd w:val="clear" w:color="auto" w:fill="auto"/>
                  <w:noWrap w:val="0"/>
                  <w:vAlign w:val="center"/>
                </w:tcPr>
                <w:p w14:paraId="7EB7E4C4">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根圆柱状，黑褐色，粗壮。叶倒卵状披针形、倒披针形或长圆状披针形；花葶1至数个，与叶等长或稍长，头状花序，舌状花黄色，边缘花舌片背面具紫红色条纹，花药和柱头暗绿色；瘦果倒卵状披针形，暗褐色。花期4-9月，果期5-10月。</w:t>
                  </w:r>
                </w:p>
              </w:tc>
              <w:tc>
                <w:tcPr>
                  <w:tcW w:w="831" w:type="dxa"/>
                  <w:tcBorders>
                    <w:tl2br w:val="nil"/>
                    <w:tr2bl w:val="nil"/>
                  </w:tcBorders>
                  <w:noWrap w:val="0"/>
                  <w:vAlign w:val="center"/>
                </w:tcPr>
                <w:p w14:paraId="31EF7557">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7D3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continue"/>
                  <w:tcBorders>
                    <w:tl2br w:val="nil"/>
                    <w:tr2bl w:val="nil"/>
                  </w:tcBorders>
                  <w:noWrap w:val="0"/>
                  <w:vAlign w:val="center"/>
                </w:tcPr>
                <w:p w14:paraId="30EA5265">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17" w:type="dxa"/>
                  <w:tcBorders>
                    <w:tl2br w:val="nil"/>
                    <w:tr2bl w:val="nil"/>
                  </w:tcBorders>
                  <w:shd w:val="clear" w:color="auto" w:fill="auto"/>
                  <w:noWrap w:val="0"/>
                  <w:vAlign w:val="center"/>
                </w:tcPr>
                <w:p w14:paraId="0698E9EF">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z w:val="21"/>
                      <w:szCs w:val="21"/>
                      <w:highlight w:val="none"/>
                    </w:rPr>
                    <w:t>绢蒿</w:t>
                  </w:r>
                </w:p>
              </w:tc>
              <w:tc>
                <w:tcPr>
                  <w:tcW w:w="917" w:type="dxa"/>
                  <w:tcBorders>
                    <w:tl2br w:val="nil"/>
                    <w:tr2bl w:val="nil"/>
                  </w:tcBorders>
                  <w:shd w:val="clear" w:color="auto" w:fill="auto"/>
                  <w:noWrap w:val="0"/>
                  <w:vAlign w:val="center"/>
                </w:tcPr>
                <w:p w14:paraId="06996B0E">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z w:val="21"/>
                      <w:szCs w:val="21"/>
                      <w:highlight w:val="none"/>
                    </w:rPr>
                    <w:t>绢蒿属</w:t>
                  </w:r>
                </w:p>
              </w:tc>
              <w:tc>
                <w:tcPr>
                  <w:tcW w:w="1454" w:type="dxa"/>
                  <w:tcBorders>
                    <w:tl2br w:val="nil"/>
                    <w:tr2bl w:val="nil"/>
                  </w:tcBorders>
                  <w:shd w:val="clear" w:color="auto" w:fill="auto"/>
                  <w:noWrap w:val="0"/>
                  <w:vAlign w:val="center"/>
                </w:tcPr>
                <w:p w14:paraId="690A7B7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Seriphidium(BesserexLess.)Fourr</w:t>
                  </w:r>
                </w:p>
              </w:tc>
              <w:tc>
                <w:tcPr>
                  <w:tcW w:w="3534" w:type="dxa"/>
                  <w:tcBorders>
                    <w:tl2br w:val="nil"/>
                    <w:tr2bl w:val="nil"/>
                  </w:tcBorders>
                  <w:shd w:val="clear" w:color="auto" w:fill="auto"/>
                  <w:noWrap w:val="0"/>
                  <w:vAlign w:val="center"/>
                </w:tcPr>
                <w:p w14:paraId="413E4544">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为多年生草本或半灌木状植物，具浓烈香味。其根粗大木质，叶互生，二至三回羽状全裂，头状花序组成穗状或圆锥状排列；全为两性花，花冠管状，黄色，花药线形或披针形。瘦果小，略扁，果壁上具不明显的细纵纹。</w:t>
                  </w:r>
                </w:p>
              </w:tc>
              <w:tc>
                <w:tcPr>
                  <w:tcW w:w="831" w:type="dxa"/>
                  <w:tcBorders>
                    <w:tl2br w:val="nil"/>
                    <w:tr2bl w:val="nil"/>
                  </w:tcBorders>
                  <w:noWrap w:val="0"/>
                  <w:vAlign w:val="center"/>
                </w:tcPr>
                <w:p w14:paraId="61C12766">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CD5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restart"/>
                  <w:tcBorders>
                    <w:tl2br w:val="nil"/>
                    <w:tr2bl w:val="nil"/>
                  </w:tcBorders>
                  <w:noWrap w:val="0"/>
                  <w:vAlign w:val="center"/>
                </w:tcPr>
                <w:p w14:paraId="05F108E2">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禾本科</w:t>
                  </w:r>
                </w:p>
              </w:tc>
              <w:tc>
                <w:tcPr>
                  <w:tcW w:w="917" w:type="dxa"/>
                  <w:tcBorders>
                    <w:tl2br w:val="nil"/>
                    <w:tr2bl w:val="nil"/>
                  </w:tcBorders>
                  <w:noWrap w:val="0"/>
                  <w:vAlign w:val="center"/>
                </w:tcPr>
                <w:p w14:paraId="674707C0">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针茅属</w:t>
                  </w:r>
                </w:p>
              </w:tc>
              <w:tc>
                <w:tcPr>
                  <w:tcW w:w="917" w:type="dxa"/>
                  <w:tcBorders>
                    <w:tl2br w:val="nil"/>
                    <w:tr2bl w:val="nil"/>
                  </w:tcBorders>
                  <w:noWrap w:val="0"/>
                  <w:vAlign w:val="center"/>
                </w:tcPr>
                <w:p w14:paraId="455B4F4F">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针茅</w:t>
                  </w:r>
                </w:p>
              </w:tc>
              <w:tc>
                <w:tcPr>
                  <w:tcW w:w="1454" w:type="dxa"/>
                  <w:tcBorders>
                    <w:tl2br w:val="nil"/>
                    <w:tr2bl w:val="nil"/>
                  </w:tcBorders>
                  <w:noWrap w:val="0"/>
                  <w:vAlign w:val="center"/>
                </w:tcPr>
                <w:p w14:paraId="597BAEFE">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Stipa capillata L.</w:t>
                  </w:r>
                </w:p>
              </w:tc>
              <w:tc>
                <w:tcPr>
                  <w:tcW w:w="3534" w:type="dxa"/>
                  <w:tcBorders>
                    <w:tl2br w:val="nil"/>
                    <w:tr2bl w:val="nil"/>
                  </w:tcBorders>
                  <w:noWrap w:val="0"/>
                  <w:vAlign w:val="center"/>
                </w:tcPr>
                <w:p w14:paraId="181DE49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禾本科针茅属多年生密丛草本，高寒草原优势建群种，耐寒耐旱，小穗常带紫褐色，具细长芒；主要分布于西藏、青海、新疆等高海拔区域。</w:t>
                  </w:r>
                </w:p>
              </w:tc>
              <w:tc>
                <w:tcPr>
                  <w:tcW w:w="831" w:type="dxa"/>
                  <w:tcBorders>
                    <w:tl2br w:val="nil"/>
                    <w:tr2bl w:val="nil"/>
                  </w:tcBorders>
                  <w:noWrap w:val="0"/>
                  <w:vAlign w:val="center"/>
                </w:tcPr>
                <w:p w14:paraId="0027F89E">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1743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continue"/>
                  <w:tcBorders>
                    <w:tl2br w:val="nil"/>
                    <w:tr2bl w:val="nil"/>
                  </w:tcBorders>
                  <w:noWrap w:val="0"/>
                  <w:vAlign w:val="center"/>
                </w:tcPr>
                <w:p w14:paraId="6DCC122E">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17" w:type="dxa"/>
                  <w:tcBorders>
                    <w:tl2br w:val="nil"/>
                    <w:tr2bl w:val="nil"/>
                  </w:tcBorders>
                  <w:noWrap w:val="0"/>
                  <w:vAlign w:val="center"/>
                </w:tcPr>
                <w:p w14:paraId="204BC09A">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针茅属</w:t>
                  </w:r>
                </w:p>
              </w:tc>
              <w:tc>
                <w:tcPr>
                  <w:tcW w:w="917" w:type="dxa"/>
                  <w:tcBorders>
                    <w:tl2br w:val="nil"/>
                    <w:tr2bl w:val="nil"/>
                  </w:tcBorders>
                  <w:noWrap w:val="0"/>
                  <w:vAlign w:val="center"/>
                </w:tcPr>
                <w:p w14:paraId="3593C8F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紫花针茅</w:t>
                  </w:r>
                </w:p>
              </w:tc>
              <w:tc>
                <w:tcPr>
                  <w:tcW w:w="1454" w:type="dxa"/>
                  <w:tcBorders>
                    <w:tl2br w:val="nil"/>
                    <w:tr2bl w:val="nil"/>
                  </w:tcBorders>
                  <w:noWrap w:val="0"/>
                  <w:vAlign w:val="center"/>
                </w:tcPr>
                <w:p w14:paraId="38646DA5">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Stipa purpurea Griseb.</w:t>
                  </w:r>
                </w:p>
              </w:tc>
              <w:tc>
                <w:tcPr>
                  <w:tcW w:w="3534" w:type="dxa"/>
                  <w:tcBorders>
                    <w:tl2br w:val="nil"/>
                    <w:tr2bl w:val="nil"/>
                  </w:tcBorders>
                  <w:noWrap w:val="0"/>
                  <w:vAlign w:val="center"/>
                </w:tcPr>
                <w:p w14:paraId="70A26D3B">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禾本科针茅属，多年生密丛型寒旱生草本，株高20～45cm，秆细瘦丛生，基部留存干枯老叶鞘；叶片内卷呈针状，适应高原强蒸发、大风环境；小穗呈淡紫色（名称由来）；芒二回膝曲、带白色柔毛，成熟后可借助风力传播种子；须根发达、韧性强，根系网络固土能力突出。</w:t>
                  </w:r>
                </w:p>
              </w:tc>
              <w:tc>
                <w:tcPr>
                  <w:tcW w:w="831" w:type="dxa"/>
                  <w:tcBorders>
                    <w:tl2br w:val="nil"/>
                    <w:tr2bl w:val="nil"/>
                  </w:tcBorders>
                  <w:noWrap w:val="0"/>
                  <w:vAlign w:val="center"/>
                </w:tcPr>
                <w:p w14:paraId="10D05E8C">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BDA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continue"/>
                  <w:tcBorders>
                    <w:tl2br w:val="nil"/>
                    <w:tr2bl w:val="nil"/>
                  </w:tcBorders>
                  <w:noWrap w:val="0"/>
                  <w:vAlign w:val="center"/>
                </w:tcPr>
                <w:p w14:paraId="798BC39A">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17" w:type="dxa"/>
                  <w:tcBorders>
                    <w:tl2br w:val="nil"/>
                    <w:tr2bl w:val="nil"/>
                  </w:tcBorders>
                  <w:noWrap w:val="0"/>
                  <w:vAlign w:val="center"/>
                </w:tcPr>
                <w:p w14:paraId="223F25B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冰草属</w:t>
                  </w:r>
                </w:p>
              </w:tc>
              <w:tc>
                <w:tcPr>
                  <w:tcW w:w="917" w:type="dxa"/>
                  <w:tcBorders>
                    <w:tl2br w:val="nil"/>
                    <w:tr2bl w:val="nil"/>
                  </w:tcBorders>
                  <w:noWrap w:val="0"/>
                  <w:vAlign w:val="center"/>
                </w:tcPr>
                <w:p w14:paraId="01D28E02">
                  <w:pPr>
                    <w:pStyle w:val="16"/>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扁穗冰草</w:t>
                  </w:r>
                </w:p>
              </w:tc>
              <w:tc>
                <w:tcPr>
                  <w:tcW w:w="1454" w:type="dxa"/>
                  <w:tcBorders>
                    <w:tl2br w:val="nil"/>
                    <w:tr2bl w:val="nil"/>
                  </w:tcBorders>
                  <w:noWrap w:val="0"/>
                  <w:vAlign w:val="center"/>
                </w:tcPr>
                <w:p w14:paraId="1C0FB7DF">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Agropyron cristatum</w:t>
                  </w:r>
                </w:p>
              </w:tc>
              <w:tc>
                <w:tcPr>
                  <w:tcW w:w="3534" w:type="dxa"/>
                  <w:tcBorders>
                    <w:tl2br w:val="nil"/>
                    <w:tr2bl w:val="nil"/>
                  </w:tcBorders>
                  <w:noWrap w:val="0"/>
                  <w:vAlign w:val="center"/>
                </w:tcPr>
                <w:p w14:paraId="289DF541">
                  <w:pPr>
                    <w:pStyle w:val="16"/>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禾本科冰草属，多年生疏丛型旱生禾草，我国西北干旱、半干旱草原常见物种，植株：秆直立疏丛生长，株高30～75cm</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根系：须根极发达，根系外层附有砂套，固土固沙能力突出，入土深度可达1～2m，存在短根茎，分蘖能力强；叶片：线形，干旱条件下叶片内卷，减少水分蒸腾；花序（名称来源）：穗状花序扁平，小穗整齐排列呈篦齿状，紧贴穗轴，外稃顶端具短芒。</w:t>
                  </w:r>
                </w:p>
              </w:tc>
              <w:tc>
                <w:tcPr>
                  <w:tcW w:w="831" w:type="dxa"/>
                  <w:tcBorders>
                    <w:tl2br w:val="nil"/>
                    <w:tr2bl w:val="nil"/>
                  </w:tcBorders>
                  <w:noWrap w:val="0"/>
                  <w:vAlign w:val="center"/>
                </w:tcPr>
                <w:p w14:paraId="0FBF6C71">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0860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37" w:type="dxa"/>
                  <w:vMerge w:val="continue"/>
                  <w:tcBorders>
                    <w:tl2br w:val="nil"/>
                    <w:tr2bl w:val="nil"/>
                  </w:tcBorders>
                  <w:noWrap w:val="0"/>
                  <w:vAlign w:val="center"/>
                </w:tcPr>
                <w:p w14:paraId="7FCD6C68">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17" w:type="dxa"/>
                  <w:tcBorders>
                    <w:tl2br w:val="nil"/>
                    <w:tr2bl w:val="nil"/>
                  </w:tcBorders>
                  <w:noWrap w:val="0"/>
                  <w:vAlign w:val="center"/>
                </w:tcPr>
                <w:p w14:paraId="35B020B1">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羊茅属</w:t>
                  </w:r>
                </w:p>
              </w:tc>
              <w:tc>
                <w:tcPr>
                  <w:tcW w:w="917" w:type="dxa"/>
                  <w:tcBorders>
                    <w:tl2br w:val="nil"/>
                    <w:tr2bl w:val="nil"/>
                  </w:tcBorders>
                  <w:noWrap w:val="0"/>
                  <w:vAlign w:val="center"/>
                </w:tcPr>
                <w:p w14:paraId="6D975147">
                  <w:pPr>
                    <w:pStyle w:val="16"/>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假羊茅草</w:t>
                  </w:r>
                </w:p>
              </w:tc>
              <w:tc>
                <w:tcPr>
                  <w:tcW w:w="1454" w:type="dxa"/>
                  <w:tcBorders>
                    <w:tl2br w:val="nil"/>
                    <w:tr2bl w:val="nil"/>
                  </w:tcBorders>
                  <w:noWrap w:val="0"/>
                  <w:vAlign w:val="center"/>
                </w:tcPr>
                <w:p w14:paraId="2BE0FA9F">
                  <w:pPr>
                    <w:pStyle w:val="16"/>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Festuca valesiaca</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subsp.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pseudovina</w:t>
                  </w:r>
                </w:p>
              </w:tc>
              <w:tc>
                <w:tcPr>
                  <w:tcW w:w="3534" w:type="dxa"/>
                  <w:tcBorders>
                    <w:tl2br w:val="nil"/>
                    <w:tr2bl w:val="nil"/>
                  </w:tcBorders>
                  <w:noWrap w:val="0"/>
                  <w:vAlign w:val="center"/>
                </w:tcPr>
                <w:p w14:paraId="21001C6B">
                  <w:pPr>
                    <w:pStyle w:val="16"/>
                    <w:bidi w:val="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假羊茅集中分布于中国新疆天山山脉、塔尔巴哈台山及阿尔泰山地区，生长于草原、冲积扇地及山顶草地</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。小穗长度范围为4-6毫米，含小花2-5枚，以3-4枚为主，第一颖长1-1.5毫米，第二颖长1.5-2毫米，均显著短于近缘种寒生羊茅叶舌长度约0.5毫米，秆高与凉山羊茅（60-80厘米）存在差异。</w:t>
                  </w:r>
                </w:p>
              </w:tc>
              <w:tc>
                <w:tcPr>
                  <w:tcW w:w="831" w:type="dxa"/>
                  <w:tcBorders>
                    <w:tl2br w:val="nil"/>
                    <w:tr2bl w:val="nil"/>
                  </w:tcBorders>
                  <w:noWrap w:val="0"/>
                  <w:vAlign w:val="center"/>
                </w:tcPr>
                <w:p w14:paraId="45640569">
                  <w:pPr>
                    <w:pStyle w:val="16"/>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bl>
          <w:p w14:paraId="0D2B60A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t>从样方调查来看，项目区植被覆盖</w:t>
            </w:r>
            <w:r>
              <w:rPr>
                <w:rFonts w:hint="eastAsia" w:cs="Times New Roman"/>
                <w:snapToGrid/>
                <w:color w:val="000000" w:themeColor="text1"/>
                <w:kern w:val="2"/>
                <w:sz w:val="24"/>
                <w:szCs w:val="24"/>
                <w:highlight w:val="none"/>
                <w:lang w:val="en-US" w:eastAsia="zh-CN" w:bidi="ar-SA"/>
                <w14:textFill>
                  <w14:solidFill>
                    <w14:schemeClr w14:val="tx1"/>
                  </w14:solidFill>
                </w14:textFill>
              </w:rPr>
              <w:t>度</w:t>
            </w:r>
            <w:r>
              <w:rPr>
                <w:rFonts w:hint="eastAsia"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rPr>
              <w:t>较高。</w:t>
            </w:r>
            <w:r>
              <w:rPr>
                <w:rFonts w:hint="default" w:ascii="Times New Roman" w:hAnsi="Times New Roman" w:cs="Times New Roman"/>
                <w:b w:val="0"/>
                <w:bCs/>
                <w:color w:val="000000" w:themeColor="text1"/>
                <w:highlight w:val="none"/>
                <w:lang w:val="en-US" w:eastAsia="zh-CN"/>
                <w14:textFill>
                  <w14:solidFill>
                    <w14:schemeClr w14:val="tx1"/>
                  </w14:solidFill>
                </w14:textFill>
              </w:rPr>
              <w:t>项目不涉及《国家重点保护野生植物名录（2021）》</w:t>
            </w:r>
            <w:r>
              <w:rPr>
                <w:rFonts w:hint="default" w:ascii="Times New Roman" w:hAnsi="Times New Roman" w:cs="Times New Roman"/>
                <w:color w:val="000000" w:themeColor="text1"/>
                <w:highlight w:val="none"/>
                <w14:textFill>
                  <w14:solidFill>
                    <w14:schemeClr w14:val="tx1"/>
                  </w14:solidFill>
                </w14:textFill>
              </w:rPr>
              <w:t>《关于公布新疆维吾尔自治区重点保护野生植物名录的通知》</w:t>
            </w:r>
            <w:r>
              <w:rPr>
                <w:rFonts w:hint="default" w:ascii="Times New Roman" w:hAnsi="Times New Roman" w:cs="Times New Roman"/>
                <w:color w:val="000000" w:themeColor="text1"/>
                <w:highlight w:val="none"/>
                <w:lang w:eastAsia="zh-CN"/>
                <w14:textFill>
                  <w14:solidFill>
                    <w14:schemeClr w14:val="tx1"/>
                  </w14:solidFill>
                </w14:textFill>
              </w:rPr>
              <w:t>（新政发〔2023〕63号）</w:t>
            </w:r>
            <w:r>
              <w:rPr>
                <w:rFonts w:hint="default" w:ascii="Times New Roman" w:hAnsi="Times New Roman" w:cs="Times New Roman"/>
                <w:b w:val="0"/>
                <w:bCs/>
                <w:color w:val="000000" w:themeColor="text1"/>
                <w:highlight w:val="none"/>
                <w:lang w:val="en-US" w:eastAsia="zh-CN"/>
                <w14:textFill>
                  <w14:solidFill>
                    <w14:schemeClr w14:val="tx1"/>
                  </w14:solidFill>
                </w14:textFill>
              </w:rPr>
              <w:t>等，项目区内未发现重点保护植物。</w:t>
            </w:r>
          </w:p>
          <w:p w14:paraId="35295C80">
            <w:pPr>
              <w:pStyle w:val="2"/>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3.2.4项目占地对生态系统服务功能的影响</w:t>
            </w:r>
          </w:p>
          <w:p w14:paraId="2E9D0273">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本项目占地位于Ⅲ天山山地温性草原、森林生态区—Ⅲ3天山南坡草原牧业、绿洲农业生态亚区‑42.托木尔峰和天山南坡中段冰雪水源及生物多样性保护生态功能区，现状为高寒草甸草地，区域高寒草甸主要提供水源涵养、土壤保持、生物多样性维持、牧草供给生态系统服务功能。本项目不新增场外占地，生产设施布置在已批复的伊阿铁路独库公路左侧渣场1弃渣场内部，利用弃渣场既有扰动用地，项目加工区占地4189m²，占用的是弃渣场内已经受到铁路建设扰动的高寒草甸地块，并非原生未受扰动的完整高寒草甸，但仍会对局部地块生态系统服务产生叠加扰动，下面分项开展影响分析。</w:t>
            </w:r>
          </w:p>
          <w:p w14:paraId="1F465D3A">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（1）水源涵养服务功能影响</w:t>
            </w:r>
          </w:p>
          <w:p w14:paraId="5FFD6FDB">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高寒草甸根系盘结形成致密草毡层，是区域水源涵养的核心载体，通过土壤孔隙滞留降水、延缓地表径流，补给周边河流，对天山山区径流调节十分关键。</w:t>
            </w:r>
          </w:p>
          <w:p w14:paraId="24EDB9BA">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①施工阶段：设备基础开挖、场地平整会局部剥离草毡层，破坏土壤孔隙结构，短期内降低局部地块入渗能力，增大地表径流，存在加剧局部水土流失、削弱小范围水源涵养能力的风险。本项目仅在弃渣场内作业，不向外扩展扰动边界，影响为局地、小范围，不会改变整个流域水源涵养格局。</w:t>
            </w:r>
          </w:p>
          <w:p w14:paraId="1671B3EB">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②运营阶段：生产车间、堆场硬化、封闭，减少降水下渗；项目严格落实截排水系统，将厂区汇水导入弃渣场原有排导系统，不直接冲刷外部原生草地；生产抑尘用水全部蒸发或被物料吸附，</w:t>
            </w:r>
            <w:r>
              <w:rPr>
                <w:rFonts w:hint="eastAsia"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洗车废水经沉淀池沉淀后循环使用不外</w:t>
            </w: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排。</w:t>
            </w:r>
          </w:p>
          <w:p w14:paraId="38F2D8C1">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③服务期满后：拆除全部建构筑物，回覆前期剥离的草地表土，播撒紫花针茅、扁穗冰草等乡土草种，重建草毡层结构，逐步恢复地块水源涵养能力，消除长期不利影响。</w:t>
            </w:r>
          </w:p>
          <w:p w14:paraId="755DB335">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（2）土壤保持服务功能影响</w:t>
            </w:r>
          </w:p>
          <w:p w14:paraId="13DCED6E">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评价区属于天山山区水土流失重点预防区，高寒草甸植被根系固土、地表植被覆盖可以显著降低水力、风力侵蚀。项目区土壤为亚高山草原土，土层薄、钙积层发育，抗侵蚀能力弱，表层一旦剥离极易发生风蚀、水蚀，甚至形成局部</w:t>
            </w:r>
            <w:r>
              <w:rPr>
                <w:rFonts w:hint="eastAsia"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黑土滩</w:t>
            </w:r>
            <w:r>
              <w:rPr>
                <w:rFonts w:hint="eastAsia"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退化斑块。</w:t>
            </w:r>
          </w:p>
          <w:p w14:paraId="099E1099">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①施工期：基础开挖会局部移除地表植被与腐殖质层，土壤抗蚀能力下降；高寒地区存在冻融交替作用，开挖扰动会加剧冻融侵蚀风险。由于本项目是在既有弃渣场内布设生产线，地块已经受铁路弃渣堆存扰动，原生草毡层已经部分受损，本项目属于二次利用，不再新增对场外原生草地的开挖破坏。施工中严格表土剥离、集中堆存并防尘网遮盖，禁止施工车辆碾压弃渣场以外草地，可把土壤侵蚀控制在厂区内部。</w:t>
            </w:r>
          </w:p>
          <w:p w14:paraId="410166A4">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②运营期：生产车间、堆场封闭，减少风蚀；厂区设置截排水沟，疏导降雨径流，避免径流冲刷裸露边坡；抑尘喷淋采取少量多次，防止大水漫灌冲刷土壤；除尘灰集中收集暂存于弃渣场，待服务期满后用于场地平整，避免粉尘沉降覆盖周边草地，抑制土壤沙化、退化。</w:t>
            </w:r>
          </w:p>
          <w:p w14:paraId="45B5789F">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（3）生物多样性维持服务功能影响</w:t>
            </w:r>
          </w:p>
          <w:p w14:paraId="462533F0">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区域高寒草甸为草原鸟类、啮齿类、昆虫等小型动物提供觅食、栖息环境；现场调查范围内无国家、自治区重点保护野生植物，大型野生动物已迁徙至远离工程区的深山。</w:t>
            </w:r>
          </w:p>
          <w:p w14:paraId="57A688B9">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施工、运营噪声、人员活动会对厂区内部小型动物造成驱赶效应，局部改变小型动物微栖息地；但评价区周边大范围同质高寒草甸生境保存完好，动物可就近迁移至周边生境，不会造成物种消失、种群下降。项目不在自然保护区、生态保护红线内，不存在珍稀物种栖息地破坏。</w:t>
            </w:r>
          </w:p>
          <w:p w14:paraId="04BA89E7">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（4）牧草供给（牧业生产）服务功能</w:t>
            </w:r>
          </w:p>
          <w:p w14:paraId="6A7865C2">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4"/>
                <w:szCs w:val="24"/>
                <w:highlight w:val="none"/>
                <w:lang w:val="en-US" w:eastAsia="zh-CN" w:bidi="ar-SA"/>
                <w14:textFill>
                  <w14:solidFill>
                    <w14:schemeClr w14:val="tx1"/>
                  </w14:solidFill>
                </w14:textFill>
                <w14:ligatures w14:val="none"/>
              </w:rPr>
              <w:t>项目占地全部位于铁路已批复弃渣场用地范围内，该地块已经纳入铁路工程征占用地，不再作为放牧利用草场。本项目不再新占牧民放牧草地，不会造成区域牧业草场面积净损失，项目临时占地期满后，按要求对草地进行生态恢复；项目场外周边草场维持原有放牧功能不受影响。因此本项目对区域牧草供给服务功能影响有限。</w:t>
            </w:r>
          </w:p>
          <w:p w14:paraId="5094525C">
            <w:pPr>
              <w:keepNext w:val="0"/>
              <w:keepLines w:val="0"/>
              <w:pageBreakBefore w:val="0"/>
              <w:kinsoku/>
              <w:wordWrap/>
              <w:overflowPunct/>
              <w:topLinePunct w:val="0"/>
              <w:autoSpaceDE/>
              <w:autoSpaceDN/>
              <w:bidi w:val="0"/>
              <w:adjustRightInd w:val="0"/>
              <w:snapToGrid w:val="0"/>
              <w:spacing w:line="500" w:lineRule="exact"/>
              <w:ind w:left="0" w:leftChars="0" w:firstLine="0" w:firstLineChars="0"/>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w:t>
            </w:r>
            <w:r>
              <w:rPr>
                <w:rFonts w:hint="default" w:ascii="Times New Roman" w:hAnsi="Times New Roman" w:cs="Times New Roman"/>
                <w:b/>
                <w:color w:val="000000" w:themeColor="text1"/>
                <w:highlight w:val="none"/>
                <w:lang w:val="en-US" w:eastAsia="zh-CN"/>
                <w14:textFill>
                  <w14:solidFill>
                    <w14:schemeClr w14:val="tx1"/>
                  </w14:solidFill>
                </w14:textFill>
              </w:rPr>
              <w:t>2.</w:t>
            </w:r>
            <w:r>
              <w:rPr>
                <w:rFonts w:hint="eastAsia" w:cs="Times New Roman"/>
                <w:b/>
                <w:color w:val="000000" w:themeColor="text1"/>
                <w:highlight w:val="none"/>
                <w:lang w:val="en-US" w:eastAsia="zh-CN"/>
                <w14:textFill>
                  <w14:solidFill>
                    <w14:schemeClr w14:val="tx1"/>
                  </w14:solidFill>
                </w14:textFill>
              </w:rPr>
              <w:t>5</w:t>
            </w:r>
            <w:r>
              <w:rPr>
                <w:rFonts w:hint="default" w:ascii="Times New Roman" w:hAnsi="Times New Roman" w:cs="Times New Roman"/>
                <w:b/>
                <w:bCs/>
                <w:color w:val="000000" w:themeColor="text1"/>
                <w:highlight w:val="none"/>
                <w:lang w:val="en-US" w:eastAsia="zh-CN"/>
                <w14:textFill>
                  <w14:solidFill>
                    <w14:schemeClr w14:val="tx1"/>
                  </w14:solidFill>
                </w14:textFill>
              </w:rPr>
              <w:t>野生动物现状调查</w:t>
            </w:r>
          </w:p>
          <w:p w14:paraId="13D11376">
            <w:pPr>
              <w:keepNext w:val="0"/>
              <w:keepLines w:val="0"/>
              <w:pageBreakBefore w:val="0"/>
              <w:kinsoku/>
              <w:wordWrap/>
              <w:overflowPunct/>
              <w:topLinePunct w:val="0"/>
              <w:autoSpaceDE/>
              <w:autoSpaceDN/>
              <w:bidi w:val="0"/>
              <w:adjustRightInd w:val="0"/>
              <w:snapToGrid w:val="0"/>
              <w:spacing w:line="500" w:lineRule="exact"/>
              <w:ind w:left="0"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本次野生动物调查引用《新建铁路伊宁至阿克苏线环境影响报告书》中调查内容。</w:t>
            </w:r>
          </w:p>
          <w:p w14:paraId="774BAFC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调查时间：2022年7月26至30日、2024年7月25日至28日</w:t>
            </w:r>
          </w:p>
          <w:p w14:paraId="65D0F911">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样线设置：根据收集资料及咨询专家的情况，野生保护动物主要分布在DK228-DK466段，本次共布设37条代表性样线进行重点调查，主要分布在沿线沟谷内，采用驾车、徒步、无人机监测等方式开展，同步记录所观察到野生动物的种类、数量、生境、活动痕迹等信息，并详细描述外形和行为特征。本次环评引用距离本项目较近的样线8条，详细情况见下表。</w:t>
            </w:r>
          </w:p>
          <w:p w14:paraId="14DF8EE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表3.2-</w:t>
            </w:r>
            <w:r>
              <w:rPr>
                <w:rFonts w:hint="eastAsia" w:eastAsia="宋体" w:cs="Times New Roman"/>
                <w:b/>
                <w:bCs/>
                <w:color w:val="000000" w:themeColor="text1"/>
                <w:lang w:val="en-US" w:eastAsia="zh-CN"/>
                <w14:textFill>
                  <w14:solidFill>
                    <w14:schemeClr w14:val="tx1"/>
                  </w14:solidFill>
                </w14:textFill>
              </w:rPr>
              <w:t>8</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野生动物样线一览表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512"/>
              <w:gridCol w:w="1528"/>
              <w:gridCol w:w="839"/>
              <w:gridCol w:w="839"/>
              <w:gridCol w:w="839"/>
              <w:gridCol w:w="839"/>
              <w:gridCol w:w="839"/>
              <w:gridCol w:w="839"/>
              <w:gridCol w:w="839"/>
            </w:tblGrid>
            <w:tr w14:paraId="61D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113D32B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序号</w:t>
                  </w:r>
                </w:p>
              </w:tc>
              <w:tc>
                <w:tcPr>
                  <w:tcW w:w="512" w:type="dxa"/>
                  <w:vAlign w:val="center"/>
                </w:tcPr>
                <w:p w14:paraId="776CA3F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样线编号</w:t>
                  </w:r>
                </w:p>
              </w:tc>
              <w:tc>
                <w:tcPr>
                  <w:tcW w:w="1528" w:type="dxa"/>
                  <w:vAlign w:val="center"/>
                </w:tcPr>
                <w:p w14:paraId="0F38C08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调查日期</w:t>
                  </w:r>
                </w:p>
              </w:tc>
              <w:tc>
                <w:tcPr>
                  <w:tcW w:w="839" w:type="dxa"/>
                  <w:vAlign w:val="center"/>
                </w:tcPr>
                <w:p w14:paraId="7C7B8EE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起止时间</w:t>
                  </w:r>
                </w:p>
              </w:tc>
              <w:tc>
                <w:tcPr>
                  <w:tcW w:w="839" w:type="dxa"/>
                  <w:vAlign w:val="center"/>
                </w:tcPr>
                <w:p w14:paraId="40CC9D5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对应铁路桩号</w:t>
                  </w:r>
                </w:p>
              </w:tc>
              <w:tc>
                <w:tcPr>
                  <w:tcW w:w="839" w:type="dxa"/>
                  <w:vAlign w:val="center"/>
                </w:tcPr>
                <w:p w14:paraId="4B604E2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样线长度（km）</w:t>
                  </w:r>
                </w:p>
              </w:tc>
              <w:tc>
                <w:tcPr>
                  <w:tcW w:w="839" w:type="dxa"/>
                  <w:vAlign w:val="center"/>
                </w:tcPr>
                <w:p w14:paraId="7858783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海拔高度（m）</w:t>
                  </w:r>
                </w:p>
              </w:tc>
              <w:tc>
                <w:tcPr>
                  <w:tcW w:w="839" w:type="dxa"/>
                  <w:vAlign w:val="center"/>
                </w:tcPr>
                <w:p w14:paraId="7C62C9D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地貌</w:t>
                  </w:r>
                </w:p>
              </w:tc>
              <w:tc>
                <w:tcPr>
                  <w:tcW w:w="839" w:type="dxa"/>
                  <w:vAlign w:val="center"/>
                </w:tcPr>
                <w:p w14:paraId="73BB27B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涉及生境</w:t>
                  </w:r>
                </w:p>
              </w:tc>
              <w:tc>
                <w:tcPr>
                  <w:tcW w:w="839" w:type="dxa"/>
                  <w:vAlign w:val="center"/>
                </w:tcPr>
                <w:p w14:paraId="51A7FE9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调查人员</w:t>
                  </w:r>
                </w:p>
              </w:tc>
            </w:tr>
            <w:tr w14:paraId="1324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43097CB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w:t>
                  </w:r>
                </w:p>
              </w:tc>
              <w:tc>
                <w:tcPr>
                  <w:tcW w:w="512" w:type="dxa"/>
                  <w:vAlign w:val="center"/>
                </w:tcPr>
                <w:p w14:paraId="3749257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L8</w:t>
                  </w:r>
                </w:p>
              </w:tc>
              <w:tc>
                <w:tcPr>
                  <w:tcW w:w="1528" w:type="dxa"/>
                  <w:vAlign w:val="center"/>
                </w:tcPr>
                <w:p w14:paraId="29E5047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2022年7月28日</w:t>
                  </w:r>
                </w:p>
              </w:tc>
              <w:tc>
                <w:tcPr>
                  <w:tcW w:w="839" w:type="dxa"/>
                  <w:vAlign w:val="center"/>
                </w:tcPr>
                <w:p w14:paraId="4063164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13:35-14:32</w:t>
                  </w:r>
                </w:p>
              </w:tc>
              <w:tc>
                <w:tcPr>
                  <w:tcW w:w="839" w:type="dxa"/>
                  <w:vAlign w:val="center"/>
                </w:tcPr>
                <w:p w14:paraId="68C9E54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DK355</w:t>
                  </w:r>
                </w:p>
              </w:tc>
              <w:tc>
                <w:tcPr>
                  <w:tcW w:w="839" w:type="dxa"/>
                  <w:vAlign w:val="center"/>
                </w:tcPr>
                <w:p w14:paraId="7BDE167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8.94</w:t>
                  </w:r>
                </w:p>
              </w:tc>
              <w:tc>
                <w:tcPr>
                  <w:tcW w:w="839" w:type="dxa"/>
                  <w:vAlign w:val="center"/>
                </w:tcPr>
                <w:p w14:paraId="55BE8AA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2455-2522</w:t>
                  </w:r>
                </w:p>
              </w:tc>
              <w:tc>
                <w:tcPr>
                  <w:tcW w:w="839" w:type="dxa"/>
                  <w:vAlign w:val="center"/>
                </w:tcPr>
                <w:p w14:paraId="40DFD73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尤勒都斯盆地</w:t>
                  </w:r>
                </w:p>
              </w:tc>
              <w:tc>
                <w:tcPr>
                  <w:tcW w:w="839" w:type="dxa"/>
                  <w:vAlign w:val="center"/>
                </w:tcPr>
                <w:p w14:paraId="71AD1F0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草地</w:t>
                  </w:r>
                </w:p>
              </w:tc>
              <w:tc>
                <w:tcPr>
                  <w:tcW w:w="839" w:type="dxa"/>
                  <w:vMerge w:val="restart"/>
                  <w:vAlign w:val="center"/>
                </w:tcPr>
                <w:p w14:paraId="16B5B23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王硕、李风</w:t>
                  </w:r>
                </w:p>
                <w:p w14:paraId="45CC590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云、张辉、</w:t>
                  </w:r>
                </w:p>
                <w:p w14:paraId="1BD1429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李振聪、宋</w:t>
                  </w:r>
                </w:p>
                <w:p w14:paraId="54755B7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合川、孙晓</w:t>
                  </w:r>
                </w:p>
                <w:p w14:paraId="328B1D7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宇</w:t>
                  </w:r>
                </w:p>
              </w:tc>
            </w:tr>
            <w:tr w14:paraId="5056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0BE638A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w:t>
                  </w:r>
                </w:p>
              </w:tc>
              <w:tc>
                <w:tcPr>
                  <w:tcW w:w="512" w:type="dxa"/>
                  <w:vAlign w:val="center"/>
                </w:tcPr>
                <w:p w14:paraId="30A3778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L9</w:t>
                  </w:r>
                </w:p>
              </w:tc>
              <w:tc>
                <w:tcPr>
                  <w:tcW w:w="1528" w:type="dxa"/>
                  <w:vAlign w:val="center"/>
                </w:tcPr>
                <w:p w14:paraId="73613B3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2022年7月28日</w:t>
                  </w:r>
                </w:p>
              </w:tc>
              <w:tc>
                <w:tcPr>
                  <w:tcW w:w="839" w:type="dxa"/>
                  <w:shd w:val="clear" w:color="auto" w:fill="auto"/>
                  <w:vAlign w:val="center"/>
                </w:tcPr>
                <w:p w14:paraId="7F70EFE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15:15-16:42</w:t>
                  </w:r>
                </w:p>
              </w:tc>
              <w:tc>
                <w:tcPr>
                  <w:tcW w:w="839" w:type="dxa"/>
                  <w:vAlign w:val="center"/>
                </w:tcPr>
                <w:p w14:paraId="2D48AC6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DK340</w:t>
                  </w:r>
                </w:p>
              </w:tc>
              <w:tc>
                <w:tcPr>
                  <w:tcW w:w="839" w:type="dxa"/>
                  <w:vAlign w:val="center"/>
                </w:tcPr>
                <w:p w14:paraId="42AA765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8.9</w:t>
                  </w:r>
                </w:p>
              </w:tc>
              <w:tc>
                <w:tcPr>
                  <w:tcW w:w="839" w:type="dxa"/>
                  <w:vAlign w:val="center"/>
                </w:tcPr>
                <w:p w14:paraId="3F65BEB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2467-2644</w:t>
                  </w:r>
                </w:p>
              </w:tc>
              <w:tc>
                <w:tcPr>
                  <w:tcW w:w="839" w:type="dxa"/>
                  <w:vAlign w:val="center"/>
                </w:tcPr>
                <w:p w14:paraId="50C0690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尤勒都斯盆地</w:t>
                  </w:r>
                </w:p>
              </w:tc>
              <w:tc>
                <w:tcPr>
                  <w:tcW w:w="839" w:type="dxa"/>
                  <w:vAlign w:val="center"/>
                </w:tcPr>
                <w:p w14:paraId="5BC3C18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草地</w:t>
                  </w:r>
                </w:p>
              </w:tc>
              <w:tc>
                <w:tcPr>
                  <w:tcW w:w="839" w:type="dxa"/>
                  <w:vMerge w:val="continue"/>
                  <w:vAlign w:val="center"/>
                </w:tcPr>
                <w:p w14:paraId="47D447DE">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4BBF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4865912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w:t>
                  </w:r>
                </w:p>
              </w:tc>
              <w:tc>
                <w:tcPr>
                  <w:tcW w:w="512" w:type="dxa"/>
                  <w:vAlign w:val="center"/>
                </w:tcPr>
                <w:p w14:paraId="52A3B72E">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L10</w:t>
                  </w:r>
                </w:p>
              </w:tc>
              <w:tc>
                <w:tcPr>
                  <w:tcW w:w="1528" w:type="dxa"/>
                  <w:vAlign w:val="center"/>
                </w:tcPr>
                <w:p w14:paraId="427F1D7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2022年7月28日</w:t>
                  </w:r>
                </w:p>
              </w:tc>
              <w:tc>
                <w:tcPr>
                  <w:tcW w:w="839" w:type="dxa"/>
                  <w:shd w:val="clear" w:color="auto" w:fill="auto"/>
                  <w:vAlign w:val="center"/>
                </w:tcPr>
                <w:p w14:paraId="0E7B55C9">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17:35-18:22</w:t>
                  </w:r>
                </w:p>
              </w:tc>
              <w:tc>
                <w:tcPr>
                  <w:tcW w:w="839" w:type="dxa"/>
                  <w:vAlign w:val="center"/>
                </w:tcPr>
                <w:p w14:paraId="03BFC0B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DK346</w:t>
                  </w:r>
                </w:p>
              </w:tc>
              <w:tc>
                <w:tcPr>
                  <w:tcW w:w="839" w:type="dxa"/>
                  <w:vAlign w:val="center"/>
                </w:tcPr>
                <w:p w14:paraId="5D49D75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7.96</w:t>
                  </w:r>
                </w:p>
              </w:tc>
              <w:tc>
                <w:tcPr>
                  <w:tcW w:w="839" w:type="dxa"/>
                  <w:vAlign w:val="center"/>
                </w:tcPr>
                <w:p w14:paraId="5100821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2497-2674</w:t>
                  </w:r>
                </w:p>
              </w:tc>
              <w:tc>
                <w:tcPr>
                  <w:tcW w:w="839" w:type="dxa"/>
                  <w:vAlign w:val="center"/>
                </w:tcPr>
                <w:p w14:paraId="3573C9C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尤勒都斯盆地</w:t>
                  </w:r>
                </w:p>
              </w:tc>
              <w:tc>
                <w:tcPr>
                  <w:tcW w:w="839" w:type="dxa"/>
                  <w:vAlign w:val="center"/>
                </w:tcPr>
                <w:p w14:paraId="322697F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草地</w:t>
                  </w:r>
                </w:p>
              </w:tc>
              <w:tc>
                <w:tcPr>
                  <w:tcW w:w="839" w:type="dxa"/>
                  <w:vMerge w:val="continue"/>
                  <w:vAlign w:val="center"/>
                </w:tcPr>
                <w:p w14:paraId="5B76F19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6780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29AD8BE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4</w:t>
                  </w:r>
                </w:p>
              </w:tc>
              <w:tc>
                <w:tcPr>
                  <w:tcW w:w="512" w:type="dxa"/>
                  <w:vAlign w:val="center"/>
                </w:tcPr>
                <w:p w14:paraId="1260FF2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L11</w:t>
                  </w:r>
                </w:p>
              </w:tc>
              <w:tc>
                <w:tcPr>
                  <w:tcW w:w="1528" w:type="dxa"/>
                  <w:vAlign w:val="center"/>
                </w:tcPr>
                <w:p w14:paraId="7CA912E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2022年7月29日</w:t>
                  </w:r>
                </w:p>
              </w:tc>
              <w:tc>
                <w:tcPr>
                  <w:tcW w:w="839" w:type="dxa"/>
                  <w:vAlign w:val="center"/>
                </w:tcPr>
                <w:p w14:paraId="4E7F378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10:35-11:22</w:t>
                  </w:r>
                </w:p>
              </w:tc>
              <w:tc>
                <w:tcPr>
                  <w:tcW w:w="839" w:type="dxa"/>
                  <w:vAlign w:val="center"/>
                </w:tcPr>
                <w:p w14:paraId="1A1BD5E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DK282-DK296</w:t>
                  </w:r>
                </w:p>
              </w:tc>
              <w:tc>
                <w:tcPr>
                  <w:tcW w:w="839" w:type="dxa"/>
                  <w:vAlign w:val="center"/>
                </w:tcPr>
                <w:p w14:paraId="433B9FD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11</w:t>
                  </w:r>
                </w:p>
              </w:tc>
              <w:tc>
                <w:tcPr>
                  <w:tcW w:w="839" w:type="dxa"/>
                  <w:vAlign w:val="center"/>
                </w:tcPr>
                <w:p w14:paraId="31566D0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2455-2505</w:t>
                  </w:r>
                </w:p>
              </w:tc>
              <w:tc>
                <w:tcPr>
                  <w:tcW w:w="839" w:type="dxa"/>
                  <w:vAlign w:val="center"/>
                </w:tcPr>
                <w:p w14:paraId="70F0D60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尤勒都斯盆地</w:t>
                  </w:r>
                </w:p>
              </w:tc>
              <w:tc>
                <w:tcPr>
                  <w:tcW w:w="839" w:type="dxa"/>
                  <w:vAlign w:val="center"/>
                </w:tcPr>
                <w:p w14:paraId="3F35A4C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草地</w:t>
                  </w:r>
                </w:p>
              </w:tc>
              <w:tc>
                <w:tcPr>
                  <w:tcW w:w="839" w:type="dxa"/>
                  <w:vMerge w:val="continue"/>
                  <w:vAlign w:val="center"/>
                </w:tcPr>
                <w:p w14:paraId="2D04EF6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4DF5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2F5E8BD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5</w:t>
                  </w:r>
                </w:p>
              </w:tc>
              <w:tc>
                <w:tcPr>
                  <w:tcW w:w="512" w:type="dxa"/>
                  <w:vAlign w:val="center"/>
                </w:tcPr>
                <w:p w14:paraId="290AB8B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L12</w:t>
                  </w:r>
                </w:p>
              </w:tc>
              <w:tc>
                <w:tcPr>
                  <w:tcW w:w="1528" w:type="dxa"/>
                  <w:vAlign w:val="center"/>
                </w:tcPr>
                <w:p w14:paraId="07559F0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2022年7月29日</w:t>
                  </w:r>
                </w:p>
              </w:tc>
              <w:tc>
                <w:tcPr>
                  <w:tcW w:w="839" w:type="dxa"/>
                  <w:vAlign w:val="center"/>
                </w:tcPr>
                <w:p w14:paraId="4916EBE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11:35-11:56</w:t>
                  </w:r>
                </w:p>
              </w:tc>
              <w:tc>
                <w:tcPr>
                  <w:tcW w:w="839" w:type="dxa"/>
                  <w:vAlign w:val="center"/>
                </w:tcPr>
                <w:p w14:paraId="5BAF57D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DK285</w:t>
                  </w:r>
                </w:p>
              </w:tc>
              <w:tc>
                <w:tcPr>
                  <w:tcW w:w="839" w:type="dxa"/>
                  <w:vAlign w:val="center"/>
                </w:tcPr>
                <w:p w14:paraId="253A237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1.58</w:t>
                  </w:r>
                </w:p>
              </w:tc>
              <w:tc>
                <w:tcPr>
                  <w:tcW w:w="839" w:type="dxa"/>
                  <w:vAlign w:val="center"/>
                </w:tcPr>
                <w:p w14:paraId="3646047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2460-2476</w:t>
                  </w:r>
                </w:p>
              </w:tc>
              <w:tc>
                <w:tcPr>
                  <w:tcW w:w="839" w:type="dxa"/>
                  <w:vAlign w:val="center"/>
                </w:tcPr>
                <w:p w14:paraId="2B690EB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尤勒都斯盆地</w:t>
                  </w:r>
                </w:p>
              </w:tc>
              <w:tc>
                <w:tcPr>
                  <w:tcW w:w="839" w:type="dxa"/>
                  <w:vAlign w:val="center"/>
                </w:tcPr>
                <w:p w14:paraId="0752FE0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草地</w:t>
                  </w:r>
                </w:p>
              </w:tc>
              <w:tc>
                <w:tcPr>
                  <w:tcW w:w="839" w:type="dxa"/>
                  <w:vMerge w:val="continue"/>
                  <w:vAlign w:val="center"/>
                </w:tcPr>
                <w:p w14:paraId="1D8225D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4C36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6C13B15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6</w:t>
                  </w:r>
                </w:p>
              </w:tc>
              <w:tc>
                <w:tcPr>
                  <w:tcW w:w="512" w:type="dxa"/>
                  <w:vAlign w:val="center"/>
                </w:tcPr>
                <w:p w14:paraId="0477B21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L13</w:t>
                  </w:r>
                </w:p>
              </w:tc>
              <w:tc>
                <w:tcPr>
                  <w:tcW w:w="1528" w:type="dxa"/>
                  <w:vAlign w:val="center"/>
                </w:tcPr>
                <w:p w14:paraId="7C623D1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2022年7月29日</w:t>
                  </w:r>
                </w:p>
              </w:tc>
              <w:tc>
                <w:tcPr>
                  <w:tcW w:w="839" w:type="dxa"/>
                  <w:vAlign w:val="center"/>
                </w:tcPr>
                <w:p w14:paraId="29FB717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12:14-14:43</w:t>
                  </w:r>
                </w:p>
              </w:tc>
              <w:tc>
                <w:tcPr>
                  <w:tcW w:w="839" w:type="dxa"/>
                  <w:vAlign w:val="center"/>
                </w:tcPr>
                <w:p w14:paraId="3EBA2BC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沿G217线</w:t>
                  </w:r>
                </w:p>
              </w:tc>
              <w:tc>
                <w:tcPr>
                  <w:tcW w:w="839" w:type="dxa"/>
                  <w:vAlign w:val="center"/>
                </w:tcPr>
                <w:p w14:paraId="05FF478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40.18</w:t>
                  </w:r>
                </w:p>
              </w:tc>
              <w:tc>
                <w:tcPr>
                  <w:tcW w:w="839" w:type="dxa"/>
                  <w:vAlign w:val="center"/>
                </w:tcPr>
                <w:p w14:paraId="3463763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1646-2741</w:t>
                  </w:r>
                </w:p>
              </w:tc>
              <w:tc>
                <w:tcPr>
                  <w:tcW w:w="839" w:type="dxa"/>
                  <w:vAlign w:val="center"/>
                </w:tcPr>
                <w:p w14:paraId="6883889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那拉提中高山区</w:t>
                  </w:r>
                </w:p>
              </w:tc>
              <w:tc>
                <w:tcPr>
                  <w:tcW w:w="839" w:type="dxa"/>
                  <w:vAlign w:val="center"/>
                </w:tcPr>
                <w:p w14:paraId="4347DA3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森林、灌丛、草地</w:t>
                  </w:r>
                </w:p>
              </w:tc>
              <w:tc>
                <w:tcPr>
                  <w:tcW w:w="839" w:type="dxa"/>
                  <w:vMerge w:val="continue"/>
                  <w:vAlign w:val="center"/>
                </w:tcPr>
                <w:p w14:paraId="74996DF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5029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348A915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7</w:t>
                  </w:r>
                </w:p>
              </w:tc>
              <w:tc>
                <w:tcPr>
                  <w:tcW w:w="512" w:type="dxa"/>
                  <w:vAlign w:val="center"/>
                </w:tcPr>
                <w:p w14:paraId="71D3A19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L14</w:t>
                  </w:r>
                </w:p>
              </w:tc>
              <w:tc>
                <w:tcPr>
                  <w:tcW w:w="1528" w:type="dxa"/>
                  <w:vAlign w:val="center"/>
                </w:tcPr>
                <w:p w14:paraId="69C534C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2022年7月29日</w:t>
                  </w:r>
                </w:p>
              </w:tc>
              <w:tc>
                <w:tcPr>
                  <w:tcW w:w="839" w:type="dxa"/>
                  <w:vAlign w:val="center"/>
                </w:tcPr>
                <w:p w14:paraId="32D8C6E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15:11-15:48</w:t>
                  </w:r>
                </w:p>
              </w:tc>
              <w:tc>
                <w:tcPr>
                  <w:tcW w:w="839" w:type="dxa"/>
                  <w:vAlign w:val="center"/>
                </w:tcPr>
                <w:p w14:paraId="1894508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DK246</w:t>
                  </w:r>
                </w:p>
              </w:tc>
              <w:tc>
                <w:tcPr>
                  <w:tcW w:w="839" w:type="dxa"/>
                  <w:vAlign w:val="center"/>
                </w:tcPr>
                <w:p w14:paraId="5036647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2.53</w:t>
                  </w:r>
                </w:p>
              </w:tc>
              <w:tc>
                <w:tcPr>
                  <w:tcW w:w="839" w:type="dxa"/>
                  <w:vAlign w:val="center"/>
                </w:tcPr>
                <w:p w14:paraId="28F9FB9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1702-1791</w:t>
                  </w:r>
                </w:p>
              </w:tc>
              <w:tc>
                <w:tcPr>
                  <w:tcW w:w="839" w:type="dxa"/>
                  <w:vAlign w:val="center"/>
                </w:tcPr>
                <w:p w14:paraId="6B3FA43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那拉提中高山区</w:t>
                  </w:r>
                </w:p>
              </w:tc>
              <w:tc>
                <w:tcPr>
                  <w:tcW w:w="839" w:type="dxa"/>
                  <w:vAlign w:val="center"/>
                </w:tcPr>
                <w:p w14:paraId="1A11424E">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森林、草地</w:t>
                  </w:r>
                </w:p>
              </w:tc>
              <w:tc>
                <w:tcPr>
                  <w:tcW w:w="839" w:type="dxa"/>
                  <w:vMerge w:val="continue"/>
                  <w:vAlign w:val="center"/>
                </w:tcPr>
                <w:p w14:paraId="73A4F6D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54B8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7EB755F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8</w:t>
                  </w:r>
                </w:p>
              </w:tc>
              <w:tc>
                <w:tcPr>
                  <w:tcW w:w="512" w:type="dxa"/>
                  <w:vAlign w:val="center"/>
                </w:tcPr>
                <w:p w14:paraId="6A1EAD0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L15</w:t>
                  </w:r>
                </w:p>
              </w:tc>
              <w:tc>
                <w:tcPr>
                  <w:tcW w:w="1528" w:type="dxa"/>
                  <w:vAlign w:val="center"/>
                </w:tcPr>
                <w:p w14:paraId="2A27A80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2022年7月29日</w:t>
                  </w:r>
                </w:p>
              </w:tc>
              <w:tc>
                <w:tcPr>
                  <w:tcW w:w="839" w:type="dxa"/>
                  <w:vAlign w:val="center"/>
                </w:tcPr>
                <w:p w14:paraId="793B4FD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16:16-17:29</w:t>
                  </w:r>
                </w:p>
              </w:tc>
              <w:tc>
                <w:tcPr>
                  <w:tcW w:w="839" w:type="dxa"/>
                  <w:vAlign w:val="center"/>
                </w:tcPr>
                <w:p w14:paraId="0BBF7D9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DK235</w:t>
                  </w:r>
                </w:p>
              </w:tc>
              <w:tc>
                <w:tcPr>
                  <w:tcW w:w="839" w:type="dxa"/>
                  <w:vAlign w:val="center"/>
                </w:tcPr>
                <w:p w14:paraId="6360609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5.25</w:t>
                  </w:r>
                </w:p>
              </w:tc>
              <w:tc>
                <w:tcPr>
                  <w:tcW w:w="839" w:type="dxa"/>
                  <w:vAlign w:val="center"/>
                </w:tcPr>
                <w:p w14:paraId="2B26659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1614-1768</w:t>
                  </w:r>
                </w:p>
              </w:tc>
              <w:tc>
                <w:tcPr>
                  <w:tcW w:w="839" w:type="dxa"/>
                  <w:vAlign w:val="center"/>
                </w:tcPr>
                <w:p w14:paraId="4BF0D62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那拉提中高山区</w:t>
                  </w:r>
                </w:p>
              </w:tc>
              <w:tc>
                <w:tcPr>
                  <w:tcW w:w="839" w:type="dxa"/>
                  <w:vAlign w:val="center"/>
                </w:tcPr>
                <w:p w14:paraId="62E6852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森林、草地</w:t>
                  </w:r>
                </w:p>
              </w:tc>
              <w:tc>
                <w:tcPr>
                  <w:tcW w:w="839" w:type="dxa"/>
                  <w:vMerge w:val="continue"/>
                  <w:vAlign w:val="center"/>
                </w:tcPr>
                <w:p w14:paraId="32EF9F2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bl>
          <w:p w14:paraId="29BCB84F">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根据中国动物地理区划，本项目铁路穿越古北界―中亚亚界―蒙新区―天山山地亚区的中天山小区和伊塔亚区的巴尔喀什小区两个动物区系单元。动物地理分布具有明显的过渡特征，西</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区</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系组成相对混杂。分布于该区动物区系在整体上主要由北方寒湿型（北方型）、欧亚温湿型（欧亚型）和中亚荒漠耐旱种类（种亚型）等为主。哺乳纲中以有蹄类和啮齿类最多，食虫类和翼手类很少；鸟纲中以雀形目种类较为常见；两栖纲贫乏，爬行纲中以蜥蜴目占主要地位。</w:t>
            </w:r>
          </w:p>
          <w:p w14:paraId="605031E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表3.2</w:t>
            </w:r>
            <w:r>
              <w:rPr>
                <w:rFonts w:hint="eastAsia" w:ascii="Times New Roman" w:hAnsi="Times New Roman" w:eastAsia="宋体" w:cs="Times New Roman"/>
                <w:b/>
                <w:bCs/>
                <w:color w:val="000000" w:themeColor="text1"/>
                <w:lang w:val="en-US" w:eastAsia="zh-CN"/>
                <w14:textFill>
                  <w14:solidFill>
                    <w14:schemeClr w14:val="tx1"/>
                  </w14:solidFill>
                </w14:textFill>
              </w:rPr>
              <w:t>-</w:t>
            </w:r>
            <w:r>
              <w:rPr>
                <w:rFonts w:hint="eastAsia" w:eastAsia="宋体" w:cs="Times New Roman"/>
                <w:b/>
                <w:bCs/>
                <w:color w:val="000000" w:themeColor="text1"/>
                <w:lang w:val="en-US" w:eastAsia="zh-CN"/>
                <w14:textFill>
                  <w14:solidFill>
                    <w14:schemeClr w14:val="tx1"/>
                  </w14:solidFill>
                </w14:textFill>
              </w:rPr>
              <w:t>9</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野生动物</w:t>
            </w:r>
            <w:r>
              <w:rPr>
                <w:rFonts w:hint="eastAsia" w:ascii="Times New Roman" w:hAnsi="Times New Roman" w:eastAsia="宋体" w:cs="Times New Roman"/>
                <w:b/>
                <w:bCs/>
                <w:color w:val="000000" w:themeColor="text1"/>
                <w:lang w:val="en-US" w:eastAsia="zh-CN"/>
                <w14:textFill>
                  <w14:solidFill>
                    <w14:schemeClr w14:val="tx1"/>
                  </w14:solidFill>
                </w14:textFill>
              </w:rPr>
              <w:t>种类及分布</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4"/>
              <w:gridCol w:w="2063"/>
              <w:gridCol w:w="1187"/>
              <w:gridCol w:w="1375"/>
              <w:gridCol w:w="1001"/>
            </w:tblGrid>
            <w:tr w14:paraId="6AEB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Merge w:val="restart"/>
                  <w:vAlign w:val="top"/>
                </w:tcPr>
                <w:p w14:paraId="136CCDF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物种学名</w:t>
                  </w:r>
                </w:p>
              </w:tc>
              <w:tc>
                <w:tcPr>
                  <w:tcW w:w="2063" w:type="dxa"/>
                  <w:vMerge w:val="restart"/>
                  <w:vAlign w:val="top"/>
                </w:tcPr>
                <w:p w14:paraId="6EB5A1E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分布型</w:t>
                  </w:r>
                </w:p>
              </w:tc>
              <w:tc>
                <w:tcPr>
                  <w:tcW w:w="2562" w:type="dxa"/>
                  <w:gridSpan w:val="2"/>
                  <w:vAlign w:val="top"/>
                </w:tcPr>
                <w:p w14:paraId="6D520CA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保护等级</w:t>
                  </w:r>
                </w:p>
              </w:tc>
              <w:tc>
                <w:tcPr>
                  <w:tcW w:w="1001" w:type="dxa"/>
                  <w:vMerge w:val="restart"/>
                  <w:vAlign w:val="top"/>
                </w:tcPr>
                <w:p w14:paraId="05E0BAC4">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备注</w:t>
                  </w:r>
                </w:p>
              </w:tc>
            </w:tr>
            <w:tr w14:paraId="31B0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Merge w:val="continue"/>
                  <w:vAlign w:val="top"/>
                </w:tcPr>
                <w:p w14:paraId="7ABF9D8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063" w:type="dxa"/>
                  <w:vMerge w:val="continue"/>
                  <w:vAlign w:val="top"/>
                </w:tcPr>
                <w:p w14:paraId="473AECD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vAlign w:val="top"/>
                </w:tcPr>
                <w:p w14:paraId="3C78B27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新疆</w:t>
                  </w:r>
                </w:p>
              </w:tc>
              <w:tc>
                <w:tcPr>
                  <w:tcW w:w="1375" w:type="dxa"/>
                  <w:vAlign w:val="top"/>
                </w:tcPr>
                <w:p w14:paraId="6C36A6D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国家</w:t>
                  </w:r>
                </w:p>
              </w:tc>
              <w:tc>
                <w:tcPr>
                  <w:tcW w:w="1001" w:type="dxa"/>
                  <w:vMerge w:val="continue"/>
                  <w:vAlign w:val="top"/>
                </w:tcPr>
                <w:p w14:paraId="1DB0992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2F9A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0" w:type="dxa"/>
                  <w:gridSpan w:val="5"/>
                  <w:vAlign w:val="top"/>
                </w:tcPr>
                <w:p w14:paraId="4B0350F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Ⅰ哺乳纲MAMMALIA</w:t>
                  </w:r>
                </w:p>
              </w:tc>
            </w:tr>
            <w:tr w14:paraId="7B34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4D7070E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一、食虫目</w:t>
                  </w:r>
                </w:p>
                <w:p w14:paraId="716B77C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INSECTIVORA</w:t>
                  </w:r>
                </w:p>
              </w:tc>
              <w:tc>
                <w:tcPr>
                  <w:tcW w:w="2063" w:type="dxa"/>
                  <w:vAlign w:val="top"/>
                </w:tcPr>
                <w:p w14:paraId="51AE466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vAlign w:val="top"/>
                </w:tcPr>
                <w:p w14:paraId="0DB3A7F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375" w:type="dxa"/>
                  <w:vAlign w:val="top"/>
                </w:tcPr>
                <w:p w14:paraId="2F4A760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001" w:type="dxa"/>
                  <w:vAlign w:val="top"/>
                </w:tcPr>
                <w:p w14:paraId="50263CC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05C3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1F7CD366">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大耳猬 Hemiechines auritus</w:t>
                  </w:r>
                </w:p>
              </w:tc>
              <w:tc>
                <w:tcPr>
                  <w:tcW w:w="2063" w:type="dxa"/>
                  <w:vAlign w:val="top"/>
                </w:tcPr>
                <w:p w14:paraId="27CD75A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vAlign w:val="top"/>
                </w:tcPr>
                <w:p w14:paraId="0BB351E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375" w:type="dxa"/>
                  <w:vAlign w:val="top"/>
                </w:tcPr>
                <w:p w14:paraId="16C11715">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001" w:type="dxa"/>
                  <w:vAlign w:val="top"/>
                </w:tcPr>
                <w:p w14:paraId="75DC9D2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5530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3215500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雪豹 Panthera uncia</w:t>
                  </w:r>
                </w:p>
              </w:tc>
              <w:tc>
                <w:tcPr>
                  <w:tcW w:w="2063" w:type="dxa"/>
                  <w:shd w:val="clear" w:color="auto" w:fill="auto"/>
                  <w:vAlign w:val="top"/>
                </w:tcPr>
                <w:p w14:paraId="2312E799">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420D2C54">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01163ED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2021719C">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22B5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1A3A77C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野猪 Sus scrofa</w:t>
                  </w:r>
                </w:p>
              </w:tc>
              <w:tc>
                <w:tcPr>
                  <w:tcW w:w="2063" w:type="dxa"/>
                  <w:shd w:val="clear" w:color="auto" w:fill="auto"/>
                  <w:vAlign w:val="top"/>
                </w:tcPr>
                <w:p w14:paraId="48829D18">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300145E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5638795B">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39627CEA">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现场</w:t>
                  </w:r>
                </w:p>
              </w:tc>
            </w:tr>
            <w:tr w14:paraId="08C2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0C31846F">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 xml:space="preserve">鹅喉羚 Gazella subgutturosa </w:t>
                  </w:r>
                </w:p>
              </w:tc>
              <w:tc>
                <w:tcPr>
                  <w:tcW w:w="2063" w:type="dxa"/>
                  <w:vAlign w:val="top"/>
                </w:tcPr>
                <w:p w14:paraId="7A443A5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 xml:space="preserve">古北种 </w:t>
                  </w:r>
                </w:p>
              </w:tc>
              <w:tc>
                <w:tcPr>
                  <w:tcW w:w="1187" w:type="dxa"/>
                  <w:vAlign w:val="top"/>
                </w:tcPr>
                <w:p w14:paraId="3AC7EF29">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375" w:type="dxa"/>
                  <w:vAlign w:val="top"/>
                </w:tcPr>
                <w:p w14:paraId="21A2886B">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 xml:space="preserve">II </w:t>
                  </w:r>
                </w:p>
              </w:tc>
              <w:tc>
                <w:tcPr>
                  <w:tcW w:w="1001" w:type="dxa"/>
                  <w:vAlign w:val="top"/>
                </w:tcPr>
                <w:p w14:paraId="78C3654D">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280E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2AF098E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二、兔形目 LAGOMORPHA</w:t>
                  </w:r>
                </w:p>
              </w:tc>
              <w:tc>
                <w:tcPr>
                  <w:tcW w:w="2063" w:type="dxa"/>
                  <w:vAlign w:val="top"/>
                </w:tcPr>
                <w:p w14:paraId="2B2530F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vAlign w:val="top"/>
                </w:tcPr>
                <w:p w14:paraId="5AADDAB8">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375" w:type="dxa"/>
                  <w:vAlign w:val="top"/>
                </w:tcPr>
                <w:p w14:paraId="71EE5FA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001" w:type="dxa"/>
                  <w:vAlign w:val="top"/>
                </w:tcPr>
                <w:p w14:paraId="0A09221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3897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21DA4A5E">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蒙古兔 Lepus tolai</w:t>
                  </w:r>
                </w:p>
              </w:tc>
              <w:tc>
                <w:tcPr>
                  <w:tcW w:w="2063" w:type="dxa"/>
                  <w:shd w:val="clear" w:color="auto" w:fill="auto"/>
                  <w:vAlign w:val="top"/>
                </w:tcPr>
                <w:p w14:paraId="6966F0F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1889293F">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7B2FBF0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1848D5E2">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172A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4F5E85F3">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三、啮齿目 RODENTIA</w:t>
                  </w:r>
                </w:p>
              </w:tc>
              <w:tc>
                <w:tcPr>
                  <w:tcW w:w="2063" w:type="dxa"/>
                  <w:shd w:val="clear" w:color="auto" w:fill="auto"/>
                  <w:vAlign w:val="top"/>
                </w:tcPr>
                <w:p w14:paraId="5C6E0502">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shd w:val="clear" w:color="auto" w:fill="auto"/>
                  <w:vAlign w:val="top"/>
                </w:tcPr>
                <w:p w14:paraId="6D24542F">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0C439ED9">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199841D7">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092D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31609F7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小家鼠 Mus musculus</w:t>
                  </w:r>
                </w:p>
              </w:tc>
              <w:tc>
                <w:tcPr>
                  <w:tcW w:w="2063" w:type="dxa"/>
                  <w:shd w:val="clear" w:color="auto" w:fill="auto"/>
                  <w:vAlign w:val="top"/>
                </w:tcPr>
                <w:p w14:paraId="28A6CF47">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 xml:space="preserve">古北种 </w:t>
                  </w:r>
                </w:p>
              </w:tc>
              <w:tc>
                <w:tcPr>
                  <w:tcW w:w="1187" w:type="dxa"/>
                  <w:shd w:val="clear" w:color="auto" w:fill="auto"/>
                  <w:vAlign w:val="top"/>
                </w:tcPr>
                <w:p w14:paraId="62366CD9">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75037BD9">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42CE25A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65C3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588F2F2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大沙鼠 Rhombomys opimus</w:t>
                  </w:r>
                </w:p>
              </w:tc>
              <w:tc>
                <w:tcPr>
                  <w:tcW w:w="2063" w:type="dxa"/>
                  <w:shd w:val="clear" w:color="auto" w:fill="auto"/>
                  <w:vAlign w:val="top"/>
                </w:tcPr>
                <w:p w14:paraId="188B3338">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 xml:space="preserve">古北种 </w:t>
                  </w:r>
                </w:p>
              </w:tc>
              <w:tc>
                <w:tcPr>
                  <w:tcW w:w="1187" w:type="dxa"/>
                  <w:shd w:val="clear" w:color="auto" w:fill="auto"/>
                  <w:vAlign w:val="top"/>
                </w:tcPr>
                <w:p w14:paraId="46F4224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3DE969DF">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680A5017">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007C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0" w:type="dxa"/>
                  <w:gridSpan w:val="5"/>
                  <w:vAlign w:val="top"/>
                </w:tcPr>
                <w:p w14:paraId="3E2FC1B4">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Ⅱ鸟纲 AVES</w:t>
                  </w:r>
                </w:p>
              </w:tc>
            </w:tr>
            <w:tr w14:paraId="6B28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7603BFF2">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雁形目 ANSERIFORMES</w:t>
                  </w:r>
                </w:p>
              </w:tc>
              <w:tc>
                <w:tcPr>
                  <w:tcW w:w="2063" w:type="dxa"/>
                  <w:shd w:val="clear" w:color="auto" w:fill="auto"/>
                  <w:vAlign w:val="top"/>
                </w:tcPr>
                <w:p w14:paraId="144DEA85">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shd w:val="clear" w:color="auto" w:fill="auto"/>
                  <w:vAlign w:val="top"/>
                </w:tcPr>
                <w:p w14:paraId="2DFA1D37">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08508768">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38E27F8F">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64D0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08D6C48E">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灰雁 Anser anse</w:t>
                  </w:r>
                </w:p>
              </w:tc>
              <w:tc>
                <w:tcPr>
                  <w:tcW w:w="2063" w:type="dxa"/>
                  <w:shd w:val="clear" w:color="auto" w:fill="auto"/>
                  <w:vAlign w:val="top"/>
                </w:tcPr>
                <w:p w14:paraId="007864A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4C3F1EBA">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1786CC6D">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36CDED54">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2F2B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3CD94661">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绿头鸭 Anas platyrhynchos</w:t>
                  </w:r>
                </w:p>
              </w:tc>
              <w:tc>
                <w:tcPr>
                  <w:tcW w:w="2063" w:type="dxa"/>
                  <w:shd w:val="clear" w:color="auto" w:fill="auto"/>
                  <w:vAlign w:val="top"/>
                </w:tcPr>
                <w:p w14:paraId="72E1AA35">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04E33571">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796827A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524F22AD">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4D86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5432BFE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鸦科 Corvidae</w:t>
                  </w:r>
                </w:p>
              </w:tc>
              <w:tc>
                <w:tcPr>
                  <w:tcW w:w="2063" w:type="dxa"/>
                  <w:shd w:val="clear" w:color="auto" w:fill="auto"/>
                  <w:vAlign w:val="top"/>
                </w:tcPr>
                <w:p w14:paraId="0494B05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shd w:val="clear" w:color="auto" w:fill="auto"/>
                  <w:vAlign w:val="top"/>
                </w:tcPr>
                <w:p w14:paraId="19B5A31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1BC4E15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3CA24E4C">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4E12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0F9F598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寒鸦 Corvus mnedula</w:t>
                  </w:r>
                </w:p>
              </w:tc>
              <w:tc>
                <w:tcPr>
                  <w:tcW w:w="2063" w:type="dxa"/>
                  <w:shd w:val="clear" w:color="auto" w:fill="auto"/>
                  <w:vAlign w:val="top"/>
                </w:tcPr>
                <w:p w14:paraId="09522C6D">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6D1DB845">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189579E4">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27F29BE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4D25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0E5E88F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雀科 Passeridae</w:t>
                  </w:r>
                </w:p>
              </w:tc>
              <w:tc>
                <w:tcPr>
                  <w:tcW w:w="2063" w:type="dxa"/>
                  <w:shd w:val="clear" w:color="auto" w:fill="auto"/>
                  <w:vAlign w:val="top"/>
                </w:tcPr>
                <w:p w14:paraId="7968250C">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187" w:type="dxa"/>
                  <w:shd w:val="clear" w:color="auto" w:fill="auto"/>
                  <w:vAlign w:val="top"/>
                </w:tcPr>
                <w:p w14:paraId="3621D0F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7423612C">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53020B11">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6594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41CBD65A">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家麻雀 Passer domesticus</w:t>
                  </w:r>
                </w:p>
              </w:tc>
              <w:tc>
                <w:tcPr>
                  <w:tcW w:w="2063" w:type="dxa"/>
                  <w:shd w:val="clear" w:color="auto" w:fill="auto"/>
                  <w:vAlign w:val="top"/>
                </w:tcPr>
                <w:p w14:paraId="6AE51BE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6E86409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788E2F17">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32598671">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现场</w:t>
                  </w:r>
                </w:p>
              </w:tc>
            </w:tr>
            <w:tr w14:paraId="535A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0" w:type="dxa"/>
                  <w:gridSpan w:val="5"/>
                  <w:vAlign w:val="top"/>
                </w:tcPr>
                <w:p w14:paraId="780765A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Ⅲ爬行纲 RAPTLIA</w:t>
                  </w:r>
                </w:p>
              </w:tc>
            </w:tr>
            <w:tr w14:paraId="018A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0C66873C">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新疆沙虎 Teratoscincus przewalskii</w:t>
                  </w:r>
                </w:p>
              </w:tc>
              <w:tc>
                <w:tcPr>
                  <w:tcW w:w="2063" w:type="dxa"/>
                  <w:shd w:val="clear" w:color="auto" w:fill="auto"/>
                  <w:vAlign w:val="top"/>
                </w:tcPr>
                <w:p w14:paraId="080275D3">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5C6085C0">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t>I</w:t>
                  </w:r>
                </w:p>
              </w:tc>
              <w:tc>
                <w:tcPr>
                  <w:tcW w:w="1375" w:type="dxa"/>
                  <w:shd w:val="clear" w:color="auto" w:fill="auto"/>
                  <w:vAlign w:val="top"/>
                </w:tcPr>
                <w:p w14:paraId="38A7A62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3FEF6FE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资料</w:t>
                  </w:r>
                </w:p>
              </w:tc>
            </w:tr>
            <w:tr w14:paraId="4192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71556FA7">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白条锦蛇 Elaphe dione</w:t>
                  </w:r>
                </w:p>
              </w:tc>
              <w:tc>
                <w:tcPr>
                  <w:tcW w:w="2063" w:type="dxa"/>
                  <w:shd w:val="clear" w:color="auto" w:fill="auto"/>
                  <w:vAlign w:val="top"/>
                </w:tcPr>
                <w:p w14:paraId="42BBA04F">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古北种</w:t>
                  </w:r>
                </w:p>
              </w:tc>
              <w:tc>
                <w:tcPr>
                  <w:tcW w:w="1187" w:type="dxa"/>
                  <w:shd w:val="clear" w:color="auto" w:fill="auto"/>
                  <w:vAlign w:val="top"/>
                </w:tcPr>
                <w:p w14:paraId="59A86EEB">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4D11070E">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02D64964">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t>资料</w:t>
                  </w:r>
                </w:p>
              </w:tc>
            </w:tr>
            <w:tr w14:paraId="09A5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0" w:type="dxa"/>
                  <w:gridSpan w:val="5"/>
                  <w:vAlign w:val="top"/>
                </w:tcPr>
                <w:p w14:paraId="41F008A5">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t>Ⅳ两栖纲 AMPHIBIA</w:t>
                  </w:r>
                </w:p>
              </w:tc>
            </w:tr>
            <w:tr w14:paraId="32FB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4" w:type="dxa"/>
                  <w:vAlign w:val="top"/>
                </w:tcPr>
                <w:p w14:paraId="526EAEB0">
                  <w:pPr>
                    <w:pStyle w:val="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绿蟾蜍 Bufo viridis</w:t>
                  </w:r>
                </w:p>
              </w:tc>
              <w:tc>
                <w:tcPr>
                  <w:tcW w:w="2063" w:type="dxa"/>
                  <w:shd w:val="clear" w:color="auto" w:fill="auto"/>
                  <w:vAlign w:val="top"/>
                </w:tcPr>
                <w:p w14:paraId="379B8A48">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广布种</w:t>
                  </w:r>
                </w:p>
              </w:tc>
              <w:tc>
                <w:tcPr>
                  <w:tcW w:w="1187" w:type="dxa"/>
                  <w:shd w:val="clear" w:color="auto" w:fill="auto"/>
                  <w:vAlign w:val="top"/>
                </w:tcPr>
                <w:p w14:paraId="58DBB6DF">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375" w:type="dxa"/>
                  <w:shd w:val="clear" w:color="auto" w:fill="auto"/>
                  <w:vAlign w:val="top"/>
                </w:tcPr>
                <w:p w14:paraId="56A4022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p>
              </w:tc>
              <w:tc>
                <w:tcPr>
                  <w:tcW w:w="1001" w:type="dxa"/>
                  <w:shd w:val="clear" w:color="auto" w:fill="auto"/>
                  <w:vAlign w:val="top"/>
                </w:tcPr>
                <w:p w14:paraId="79EE5D95">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pPr>
                  <w:r>
                    <w:rPr>
                      <w:rFonts w:hint="default" w:ascii="Times New Roman" w:hAnsi="Times New Roman" w:eastAsia="宋体" w:cs="Times New Roman"/>
                      <w:b w:val="0"/>
                      <w:bCs w:val="0"/>
                      <w:snapToGrid w:val="0"/>
                      <w:color w:val="000000" w:themeColor="text1"/>
                      <w:kern w:val="0"/>
                      <w:sz w:val="21"/>
                      <w:szCs w:val="21"/>
                      <w:vertAlign w:val="baseline"/>
                      <w:lang w:val="en-US" w:eastAsia="zh-CN" w:bidi="ar-SA"/>
                      <w14:textFill>
                        <w14:solidFill>
                          <w14:schemeClr w14:val="tx1"/>
                        </w14:solidFill>
                      </w14:textFill>
                      <w14:ligatures w14:val="none"/>
                    </w:rPr>
                    <w:t>资料</w:t>
                  </w:r>
                </w:p>
              </w:tc>
            </w:tr>
          </w:tbl>
          <w:p w14:paraId="561DCB0A">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区域野生动物以鸟类和啮齿类为主，主要分布于林缘、草地，多集中于山岭区。伊阿铁路DK228到DK466穿越天山山脉的区段，线路在G217和G218国道沿线。由于公路及其周边的农牧业活动影响显著，根据最近的实地调查，项目区域内的大型野生动物已经变得十分稀少。大型动物已经迁移到更偏远的山区，活动范围和栖息地正在逐年减少。从当地牧民和林场工作人员了解到，</w:t>
            </w:r>
            <w:r>
              <w:rPr>
                <w:rFonts w:hint="default" w:ascii="Times New Roman" w:hAnsi="Times New Roman" w:cs="Times New Roman"/>
                <w:color w:val="000000" w:themeColor="text1"/>
                <w:highlight w:val="none"/>
                <w:lang w:val="en-US" w:eastAsia="zh-CN"/>
                <w14:textFill>
                  <w14:solidFill>
                    <w14:schemeClr w14:val="tx1"/>
                  </w14:solidFill>
                </w14:textFill>
              </w:rPr>
              <w:t>很少看到大型野生动物。根据《国家重点保护野生动物名录（2021年版）》</w:t>
            </w:r>
            <w:r>
              <w:rPr>
                <w:rFonts w:hint="default" w:ascii="Times New Roman" w:hAnsi="Times New Roman" w:cs="Times New Roman"/>
                <w:color w:val="000000" w:themeColor="text1"/>
                <w:highlight w:val="none"/>
                <w14:textFill>
                  <w14:solidFill>
                    <w14:schemeClr w14:val="tx1"/>
                  </w14:solidFill>
                </w14:textFill>
              </w:rPr>
              <w:t>《关于发布新疆维吾尔自治区重点保护野生动物名录（修订）的通知》（新政发〔2022〕75号）</w:t>
            </w:r>
            <w:r>
              <w:rPr>
                <w:rFonts w:hint="default" w:ascii="Times New Roman" w:hAnsi="Times New Roman" w:cs="Times New Roman"/>
                <w:color w:val="000000" w:themeColor="text1"/>
                <w:highlight w:val="none"/>
                <w:lang w:val="en-US" w:eastAsia="zh-CN"/>
                <w14:textFill>
                  <w14:solidFill>
                    <w14:schemeClr w14:val="tx1"/>
                  </w14:solidFill>
                </w14:textFill>
              </w:rPr>
              <w:t>，项目不在国家级自然保护区内，评价区未发现重点野生保护动物。</w:t>
            </w:r>
          </w:p>
          <w:p w14:paraId="1D64E2A6">
            <w:pPr>
              <w:keepNext w:val="0"/>
              <w:keepLines w:val="0"/>
              <w:pageBreakBefore w:val="0"/>
              <w:kinsoku/>
              <w:wordWrap/>
              <w:overflowPunct/>
              <w:topLinePunct w:val="0"/>
              <w:autoSpaceDE/>
              <w:autoSpaceDN/>
              <w:bidi w:val="0"/>
              <w:adjustRightInd w:val="0"/>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3.2.</w:t>
            </w:r>
            <w:r>
              <w:rPr>
                <w:rFonts w:hint="eastAsia" w:cs="Times New Roman"/>
                <w:b/>
                <w:bCs/>
                <w:color w:val="000000" w:themeColor="text1"/>
                <w:highlight w:val="none"/>
                <w:lang w:val="en-US" w:eastAsia="zh-CN"/>
                <w14:textFill>
                  <w14:solidFill>
                    <w14:schemeClr w14:val="tx1"/>
                  </w14:solidFill>
                </w14:textFill>
              </w:rPr>
              <w:t>6</w:t>
            </w:r>
            <w:r>
              <w:rPr>
                <w:rFonts w:hint="default" w:ascii="Times New Roman" w:hAnsi="Times New Roman" w:cs="Times New Roman"/>
                <w:b/>
                <w:bCs/>
                <w:color w:val="000000" w:themeColor="text1"/>
                <w:highlight w:val="none"/>
                <w:lang w:val="en-US" w:eastAsia="zh-CN"/>
                <w14:textFill>
                  <w14:solidFill>
                    <w14:schemeClr w14:val="tx1"/>
                  </w14:solidFill>
                </w14:textFill>
              </w:rPr>
              <w:t>水土流失现状调查</w:t>
            </w:r>
          </w:p>
          <w:p w14:paraId="67DACC15">
            <w:pPr>
              <w:keepNext w:val="0"/>
              <w:keepLines w:val="0"/>
              <w:pageBreakBefore w:val="0"/>
              <w:kinsoku/>
              <w:wordWrap/>
              <w:overflowPunct/>
              <w:topLinePunct w:val="0"/>
              <w:autoSpaceDE/>
              <w:autoSpaceDN/>
              <w:bidi w:val="0"/>
              <w:adjustRightInd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根据《关于巴音郭楞蒙古自治州水土流失重点预防区和重点治理区划分成果的公告》和静县属于天山山区重点预防区。项目水土流失分布图见附图1</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068BA570">
            <w:pPr>
              <w:keepNext w:val="0"/>
              <w:keepLines w:val="0"/>
              <w:pageBreakBefore w:val="0"/>
              <w:kinsoku/>
              <w:wordWrap/>
              <w:overflowPunct/>
              <w:topLinePunct w:val="0"/>
              <w:autoSpaceDE/>
              <w:autoSpaceDN/>
              <w:bidi w:val="0"/>
              <w:adjustRightInd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天山山区自治区级重点预防区水土流失面积1.76万平方公里，占涉及县域土地总面积的22.02%。其中，水力侵蚀、风力侵蚀面积分别为0.94万平方公里、0.82万平方公里，分别占水土流失面积的53.52%、46.48%。按侵蚀强度分，轻度、中度、强烈及以上侵蚀面积分别为1.45万平方公里、0.20万平方公里、0.11万平方公里，分别占其水土流失面积的82.59%、11.38%、6.04%。与2024年相比，水土流失面积减少356.17平方公里，减幅0.62%。</w:t>
            </w:r>
          </w:p>
          <w:p w14:paraId="0FD7B5F8">
            <w:pPr>
              <w:keepNext w:val="0"/>
              <w:keepLines w:val="0"/>
              <w:pageBreakBefore w:val="0"/>
              <w:kinsoku/>
              <w:wordWrap/>
              <w:overflowPunct/>
              <w:topLinePunct w:val="0"/>
              <w:autoSpaceDE/>
              <w:autoSpaceDN/>
              <w:bidi w:val="0"/>
              <w:adjustRightInd w:val="0"/>
              <w:spacing w:line="500" w:lineRule="exact"/>
              <w:ind w:left="0" w:leftChars="0" w:firstLine="0" w:firstLineChars="0"/>
              <w:textAlignment w:val="auto"/>
              <w:rPr>
                <w:rFonts w:hint="default" w:ascii="Times New Roman" w:hAnsi="Times New Roman" w:eastAsia="宋体" w:cs="Times New Roman"/>
                <w:b/>
                <w:bCs/>
                <w:color w:val="000000" w:themeColor="text1"/>
                <w:kern w:val="0"/>
                <w:sz w:val="24"/>
                <w:szCs w:val="32"/>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32"/>
                <w:highlight w:val="none"/>
                <w:lang w:val="en-US" w:eastAsia="zh-CN" w:bidi="ar-SA"/>
                <w14:textFill>
                  <w14:solidFill>
                    <w14:schemeClr w14:val="tx1"/>
                  </w14:solidFill>
                </w14:textFill>
              </w:rPr>
              <w:t>3.2.</w:t>
            </w:r>
            <w:r>
              <w:rPr>
                <w:rFonts w:hint="eastAsia" w:cs="Times New Roman"/>
                <w:b/>
                <w:bCs/>
                <w:color w:val="000000" w:themeColor="text1"/>
                <w:kern w:val="0"/>
                <w:sz w:val="24"/>
                <w:szCs w:val="32"/>
                <w:highlight w:val="none"/>
                <w:lang w:val="en-US" w:eastAsia="zh-CN" w:bidi="ar-SA"/>
                <w14:textFill>
                  <w14:solidFill>
                    <w14:schemeClr w14:val="tx1"/>
                  </w14:solidFill>
                </w14:textFill>
              </w:rPr>
              <w:t>7</w:t>
            </w:r>
            <w:r>
              <w:rPr>
                <w:rFonts w:hint="default" w:ascii="Times New Roman" w:hAnsi="Times New Roman" w:eastAsia="宋体" w:cs="Times New Roman"/>
                <w:b/>
                <w:bCs/>
                <w:color w:val="000000" w:themeColor="text1"/>
                <w:kern w:val="0"/>
                <w:sz w:val="24"/>
                <w:szCs w:val="32"/>
                <w:highlight w:val="none"/>
                <w:lang w:val="en-US" w:eastAsia="zh-CN" w:bidi="ar-SA"/>
                <w14:textFill>
                  <w14:solidFill>
                    <w14:schemeClr w14:val="tx1"/>
                  </w14:solidFill>
                </w14:textFill>
              </w:rPr>
              <w:t>土地沙化现状调查</w:t>
            </w:r>
          </w:p>
          <w:p w14:paraId="1E9566EF">
            <w:pPr>
              <w:keepNext w:val="0"/>
              <w:keepLines w:val="0"/>
              <w:pageBreakBefore w:val="0"/>
              <w:kinsoku/>
              <w:wordWrap/>
              <w:overflowPunct/>
              <w:topLinePunct w:val="0"/>
              <w:autoSpaceDE/>
              <w:autoSpaceDN/>
              <w:bidi w:val="0"/>
              <w:adjustRightInd w:val="0"/>
              <w:spacing w:line="500" w:lineRule="exact"/>
              <w:ind w:left="0" w:leftChars="0" w:firstLine="48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根据《新疆防沙治沙规划（2021—2030年）》，和静县属于</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塔克拉玛干沙漠生态保护修复区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中</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天山南麓丘陵－平原戈壁生态保护修复小区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。和静县沙化土地总面积为344500亩，本项目所在区域降水量少，干旱和半干旱是生态的主要特征，干旱多风的气候条件，造成地表出现以风沙活动为主要标志的土地退化和土壤盐渍化。</w:t>
            </w:r>
            <w:r>
              <w:rPr>
                <w:rFonts w:hint="default" w:ascii="Times New Roman" w:hAnsi="Times New Roman" w:cs="Times New Roman"/>
                <w:color w:val="000000" w:themeColor="text1"/>
                <w:highlight w:val="none"/>
                <w:lang w:val="en-US" w:eastAsia="zh-CN"/>
                <w14:textFill>
                  <w14:solidFill>
                    <w14:schemeClr w14:val="tx1"/>
                  </w14:solidFill>
                </w14:textFill>
              </w:rPr>
              <w:t>土地沙化分布图见附图1</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，根据沙化土地分布图可知，本项目所在区域为非沙化土地。</w:t>
            </w:r>
          </w:p>
          <w:p w14:paraId="4F452B89">
            <w:pPr>
              <w:keepNext w:val="0"/>
              <w:keepLines w:val="0"/>
              <w:pageBreakBefore w:val="0"/>
              <w:kinsoku/>
              <w:wordWrap/>
              <w:overflowPunct/>
              <w:topLinePunct w:val="0"/>
              <w:autoSpaceDE/>
              <w:autoSpaceDN/>
              <w:bidi w:val="0"/>
              <w:adjustRightInd w:val="0"/>
              <w:ind w:left="0" w:leftChars="0" w:firstLine="0" w:firstLineChars="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3.3环境空气质量评价</w:t>
            </w:r>
          </w:p>
          <w:p w14:paraId="329B7122">
            <w:pPr>
              <w:keepNext w:val="0"/>
              <w:keepLines w:val="0"/>
              <w:pageBreakBefore w:val="0"/>
              <w:kinsoku/>
              <w:wordWrap/>
              <w:overflowPunct/>
              <w:topLinePunct w:val="0"/>
              <w:autoSpaceDE/>
              <w:autoSpaceDN/>
              <w:bidi w:val="0"/>
              <w:adjustRightInd w:val="0"/>
              <w:ind w:left="0" w:leftChars="0" w:firstLine="0" w:firstLineChars="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3.3.1达标区判定</w:t>
            </w:r>
          </w:p>
          <w:p w14:paraId="54D89F71">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本项目位于新疆维吾尔自治区巴音郭楞蒙古自治州和静县巴音布鲁克乡东北方向，直线距离约55千米处，行政区划属巴音郭楞蒙古自治州和静县管辖。</w:t>
            </w:r>
            <w:r>
              <w:rPr>
                <w:rFonts w:hint="default" w:ascii="Times New Roman" w:hAnsi="Times New Roman" w:cs="Times New Roman"/>
                <w:color w:val="000000" w:themeColor="text1"/>
                <w:highlight w:val="none"/>
                <w14:textFill>
                  <w14:solidFill>
                    <w14:schemeClr w14:val="tx1"/>
                  </w14:solidFill>
                </w14:textFill>
              </w:rPr>
              <w:t>本次评价收集了生态环境部环境工程评估中心</w:t>
            </w:r>
            <w:r>
              <w:rPr>
                <w:rFonts w:hint="default" w:ascii="Times New Roman" w:hAnsi="Times New Roman" w:cs="Times New Roman"/>
                <w:color w:val="000000" w:themeColor="text1"/>
                <w:highlight w:val="none"/>
                <w:lang w:val="en-US" w:eastAsia="zh-CN"/>
                <w14:textFill>
                  <w14:solidFill>
                    <w14:schemeClr w14:val="tx1"/>
                  </w14:solidFill>
                </w14:textFill>
              </w:rPr>
              <w:t>发布的2024年</w:t>
            </w:r>
            <w:r>
              <w:rPr>
                <w:rFonts w:hint="default" w:ascii="Times New Roman" w:hAnsi="Times New Roman" w:cs="Times New Roman"/>
                <w:color w:val="000000" w:themeColor="text1"/>
                <w:highlight w:val="none"/>
                <w14:textFill>
                  <w14:solidFill>
                    <w14:schemeClr w14:val="tx1"/>
                  </w14:solidFill>
                </w14:textFill>
              </w:rPr>
              <w:t>巴音郭楞蒙古自治州例行监测点的监测数据作为基本污染物环境空气质量现状数据，并对各污染物的年评价指标进行环境质量现状评价，现状评价结果见表</w:t>
            </w:r>
            <w:r>
              <w:rPr>
                <w:rFonts w:hint="default" w:ascii="Times New Roman" w:hAnsi="Times New Roman" w:cs="Times New Roman"/>
                <w:color w:val="000000" w:themeColor="text1"/>
                <w:highlight w:val="none"/>
                <w:lang w:val="en-US" w:eastAsia="zh-CN"/>
                <w14:textFill>
                  <w14:solidFill>
                    <w14:schemeClr w14:val="tx1"/>
                  </w14:solidFill>
                </w14:textFill>
              </w:rPr>
              <w:t>3.3</w:t>
            </w:r>
            <w:r>
              <w:rPr>
                <w:rFonts w:hint="default" w:ascii="Times New Roman" w:hAnsi="Times New Roman" w:cs="Times New Roman"/>
                <w:color w:val="000000" w:themeColor="text1"/>
                <w:highlight w:val="none"/>
                <w14:textFill>
                  <w14:solidFill>
                    <w14:schemeClr w14:val="tx1"/>
                  </w14:solidFill>
                </w14:textFill>
              </w:rPr>
              <w:t>-1所示。</w:t>
            </w:r>
          </w:p>
          <w:p w14:paraId="337E0DC2">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表3.3-1    巴音郭楞蒙古自治州环境空气质量现状评价一览表</w:t>
            </w:r>
          </w:p>
          <w:tbl>
            <w:tblPr>
              <w:tblStyle w:val="24"/>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016"/>
              <w:gridCol w:w="3181"/>
              <w:gridCol w:w="980"/>
              <w:gridCol w:w="1098"/>
              <w:gridCol w:w="1090"/>
              <w:gridCol w:w="1015"/>
            </w:tblGrid>
            <w:tr w14:paraId="7E9E64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tcBorders>
                    <w:tl2br w:val="nil"/>
                    <w:tr2bl w:val="nil"/>
                  </w:tcBorders>
                  <w:noWrap w:val="0"/>
                  <w:vAlign w:val="center"/>
                </w:tcPr>
                <w:p w14:paraId="6BAE55A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1897" w:type="pct"/>
                  <w:tcBorders>
                    <w:tl2br w:val="nil"/>
                    <w:tr2bl w:val="nil"/>
                  </w:tcBorders>
                  <w:noWrap w:val="0"/>
                  <w:vAlign w:val="center"/>
                </w:tcPr>
                <w:p w14:paraId="3D49C22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年评价指标</w:t>
                  </w:r>
                </w:p>
              </w:tc>
              <w:tc>
                <w:tcPr>
                  <w:tcW w:w="585" w:type="pct"/>
                  <w:tcBorders>
                    <w:tl2br w:val="nil"/>
                    <w:tr2bl w:val="nil"/>
                  </w:tcBorders>
                  <w:noWrap w:val="0"/>
                  <w:vAlign w:val="center"/>
                </w:tcPr>
                <w:p w14:paraId="50F313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现状浓度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μg/m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55" w:type="pct"/>
                  <w:tcBorders>
                    <w:tl2br w:val="nil"/>
                    <w:tr2bl w:val="nil"/>
                  </w:tcBorders>
                  <w:noWrap w:val="0"/>
                  <w:vAlign w:val="center"/>
                </w:tcPr>
                <w:p w14:paraId="7C51FD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标准限值</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μg/m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50" w:type="pct"/>
                  <w:tcBorders>
                    <w:tl2br w:val="nil"/>
                    <w:tr2bl w:val="nil"/>
                  </w:tcBorders>
                  <w:noWrap w:val="0"/>
                  <w:vAlign w:val="center"/>
                </w:tcPr>
                <w:p w14:paraId="327DCF5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占标率</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05" w:type="pct"/>
                  <w:tcBorders>
                    <w:tl2br w:val="nil"/>
                    <w:tr2bl w:val="nil"/>
                  </w:tcBorders>
                  <w:noWrap w:val="0"/>
                  <w:vAlign w:val="center"/>
                </w:tcPr>
                <w:p w14:paraId="3C1018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达标情况</w:t>
                  </w:r>
                </w:p>
              </w:tc>
            </w:tr>
            <w:tr w14:paraId="28EFCB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17EA83E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p>
              </w:tc>
              <w:tc>
                <w:tcPr>
                  <w:tcW w:w="1897" w:type="pct"/>
                  <w:tcBorders>
                    <w:tl2br w:val="nil"/>
                    <w:tr2bl w:val="nil"/>
                  </w:tcBorders>
                  <w:noWrap w:val="0"/>
                  <w:vAlign w:val="center"/>
                </w:tcPr>
                <w:p w14:paraId="64AF7D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w:t>
                  </w:r>
                </w:p>
              </w:tc>
              <w:tc>
                <w:tcPr>
                  <w:tcW w:w="585" w:type="pct"/>
                  <w:tcBorders>
                    <w:tl2br w:val="nil"/>
                    <w:tr2bl w:val="nil"/>
                  </w:tcBorders>
                  <w:noWrap w:val="0"/>
                  <w:vAlign w:val="center"/>
                </w:tcPr>
                <w:p w14:paraId="284649B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655" w:type="pct"/>
                  <w:tcBorders>
                    <w:tl2br w:val="nil"/>
                    <w:tr2bl w:val="nil"/>
                  </w:tcBorders>
                  <w:noWrap w:val="0"/>
                  <w:vAlign w:val="center"/>
                </w:tcPr>
                <w:p w14:paraId="51E673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w:t>
                  </w:r>
                </w:p>
              </w:tc>
              <w:tc>
                <w:tcPr>
                  <w:tcW w:w="650" w:type="pct"/>
                  <w:tcBorders>
                    <w:tl2br w:val="nil"/>
                    <w:tr2bl w:val="nil"/>
                  </w:tcBorders>
                  <w:noWrap w:val="0"/>
                  <w:vAlign w:val="center"/>
                </w:tcPr>
                <w:p w14:paraId="7418B343">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8.3</w:t>
                  </w:r>
                </w:p>
              </w:tc>
              <w:tc>
                <w:tcPr>
                  <w:tcW w:w="605" w:type="pct"/>
                  <w:tcBorders>
                    <w:tl2br w:val="nil"/>
                    <w:tr2bl w:val="nil"/>
                  </w:tcBorders>
                  <w:noWrap w:val="0"/>
                  <w:vAlign w:val="center"/>
                </w:tcPr>
                <w:p w14:paraId="7745FFD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40FFB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7E4CC81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897" w:type="pct"/>
                  <w:tcBorders>
                    <w:tl2br w:val="nil"/>
                    <w:tr2bl w:val="nil"/>
                  </w:tcBorders>
                  <w:noWrap w:val="0"/>
                  <w:vAlign w:val="center"/>
                </w:tcPr>
                <w:p w14:paraId="718FB0C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24h平均第98百分位数</w:t>
                  </w:r>
                </w:p>
              </w:tc>
              <w:tc>
                <w:tcPr>
                  <w:tcW w:w="585" w:type="pct"/>
                  <w:tcBorders>
                    <w:tl2br w:val="nil"/>
                    <w:tr2bl w:val="nil"/>
                  </w:tcBorders>
                  <w:noWrap w:val="0"/>
                  <w:vAlign w:val="center"/>
                </w:tcPr>
                <w:p w14:paraId="6A91A3F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655" w:type="pct"/>
                  <w:tcBorders>
                    <w:tl2br w:val="nil"/>
                    <w:tr2bl w:val="nil"/>
                  </w:tcBorders>
                  <w:noWrap w:val="0"/>
                  <w:vAlign w:val="center"/>
                </w:tcPr>
                <w:p w14:paraId="5E24859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150</w:t>
                  </w:r>
                </w:p>
              </w:tc>
              <w:tc>
                <w:tcPr>
                  <w:tcW w:w="650" w:type="pct"/>
                  <w:tcBorders>
                    <w:tl2br w:val="nil"/>
                    <w:tr2bl w:val="nil"/>
                  </w:tcBorders>
                  <w:noWrap w:val="0"/>
                  <w:vAlign w:val="center"/>
                </w:tcPr>
                <w:p w14:paraId="25183C14">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8</w:t>
                  </w:r>
                </w:p>
              </w:tc>
              <w:tc>
                <w:tcPr>
                  <w:tcW w:w="605" w:type="pct"/>
                  <w:tcBorders>
                    <w:tl2br w:val="nil"/>
                    <w:tr2bl w:val="nil"/>
                  </w:tcBorders>
                  <w:noWrap w:val="0"/>
                  <w:vAlign w:val="center"/>
                </w:tcPr>
                <w:p w14:paraId="4ED6A7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32D1A7E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02E56B3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p>
              </w:tc>
              <w:tc>
                <w:tcPr>
                  <w:tcW w:w="1897" w:type="pct"/>
                  <w:tcBorders>
                    <w:tl2br w:val="nil"/>
                    <w:tr2bl w:val="nil"/>
                  </w:tcBorders>
                  <w:noWrap w:val="0"/>
                  <w:vAlign w:val="center"/>
                </w:tcPr>
                <w:p w14:paraId="793BB58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w:t>
                  </w:r>
                </w:p>
              </w:tc>
              <w:tc>
                <w:tcPr>
                  <w:tcW w:w="585" w:type="pct"/>
                  <w:tcBorders>
                    <w:tl2br w:val="nil"/>
                    <w:tr2bl w:val="nil"/>
                  </w:tcBorders>
                  <w:noWrap w:val="0"/>
                  <w:vAlign w:val="center"/>
                </w:tcPr>
                <w:p w14:paraId="2A7D18B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655" w:type="pct"/>
                  <w:tcBorders>
                    <w:tl2br w:val="nil"/>
                    <w:tr2bl w:val="nil"/>
                  </w:tcBorders>
                  <w:noWrap w:val="0"/>
                  <w:vAlign w:val="center"/>
                </w:tcPr>
                <w:p w14:paraId="00C96E2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c>
                <w:tcPr>
                  <w:tcW w:w="650" w:type="pct"/>
                  <w:tcBorders>
                    <w:tl2br w:val="nil"/>
                    <w:tr2bl w:val="nil"/>
                  </w:tcBorders>
                  <w:noWrap w:val="0"/>
                  <w:vAlign w:val="center"/>
                </w:tcPr>
                <w:p w14:paraId="26F87ADE">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48</w:t>
                  </w:r>
                </w:p>
              </w:tc>
              <w:tc>
                <w:tcPr>
                  <w:tcW w:w="605" w:type="pct"/>
                  <w:tcBorders>
                    <w:tl2br w:val="nil"/>
                    <w:tr2bl w:val="nil"/>
                  </w:tcBorders>
                  <w:noWrap w:val="0"/>
                  <w:vAlign w:val="center"/>
                </w:tcPr>
                <w:p w14:paraId="5F4185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05747E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2CEBC0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897" w:type="pct"/>
                  <w:tcBorders>
                    <w:tl2br w:val="nil"/>
                    <w:tr2bl w:val="nil"/>
                  </w:tcBorders>
                  <w:noWrap w:val="0"/>
                  <w:vAlign w:val="center"/>
                </w:tcPr>
                <w:p w14:paraId="1DD241F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24h平均第98百分位数</w:t>
                  </w:r>
                </w:p>
              </w:tc>
              <w:tc>
                <w:tcPr>
                  <w:tcW w:w="585" w:type="pct"/>
                  <w:tcBorders>
                    <w:tl2br w:val="nil"/>
                    <w:tr2bl w:val="nil"/>
                  </w:tcBorders>
                  <w:noWrap w:val="0"/>
                  <w:vAlign w:val="center"/>
                </w:tcPr>
                <w:p w14:paraId="0A0A257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655" w:type="pct"/>
                  <w:tcBorders>
                    <w:tl2br w:val="nil"/>
                    <w:tr2bl w:val="nil"/>
                  </w:tcBorders>
                  <w:noWrap w:val="0"/>
                  <w:vAlign w:val="center"/>
                </w:tcPr>
                <w:p w14:paraId="126B72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w:t>
                  </w:r>
                </w:p>
              </w:tc>
              <w:tc>
                <w:tcPr>
                  <w:tcW w:w="650" w:type="pct"/>
                  <w:tcBorders>
                    <w:tl2br w:val="nil"/>
                    <w:tr2bl w:val="nil"/>
                  </w:tcBorders>
                  <w:noWrap w:val="0"/>
                  <w:vAlign w:val="center"/>
                </w:tcPr>
                <w:p w14:paraId="218EDC59">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61</w:t>
                  </w:r>
                </w:p>
              </w:tc>
              <w:tc>
                <w:tcPr>
                  <w:tcW w:w="605" w:type="pct"/>
                  <w:tcBorders>
                    <w:tl2br w:val="nil"/>
                    <w:tr2bl w:val="nil"/>
                  </w:tcBorders>
                  <w:noWrap w:val="0"/>
                  <w:vAlign w:val="center"/>
                </w:tcPr>
                <w:p w14:paraId="2D6C11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4E755D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tcBorders>
                    <w:tl2br w:val="nil"/>
                    <w:tr2bl w:val="nil"/>
                  </w:tcBorders>
                  <w:noWrap w:val="0"/>
                  <w:vAlign w:val="center"/>
                </w:tcPr>
                <w:p w14:paraId="61BBCB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1897" w:type="pct"/>
                  <w:tcBorders>
                    <w:tl2br w:val="nil"/>
                    <w:tr2bl w:val="nil"/>
                  </w:tcBorders>
                  <w:noWrap w:val="0"/>
                  <w:vAlign w:val="center"/>
                </w:tcPr>
                <w:p w14:paraId="2E0601F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第95百分位数日平均浓度</w:t>
                  </w:r>
                </w:p>
              </w:tc>
              <w:tc>
                <w:tcPr>
                  <w:tcW w:w="585" w:type="pct"/>
                  <w:tcBorders>
                    <w:tl2br w:val="nil"/>
                    <w:tr2bl w:val="nil"/>
                  </w:tcBorders>
                  <w:noWrap w:val="0"/>
                  <w:vAlign w:val="center"/>
                </w:tcPr>
                <w:p w14:paraId="3A626FE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2.2</w:t>
                  </w:r>
                </w:p>
              </w:tc>
              <w:tc>
                <w:tcPr>
                  <w:tcW w:w="655" w:type="pct"/>
                  <w:tcBorders>
                    <w:tl2br w:val="nil"/>
                    <w:tr2bl w:val="nil"/>
                  </w:tcBorders>
                  <w:noWrap w:val="0"/>
                  <w:vAlign w:val="center"/>
                </w:tcPr>
                <w:p w14:paraId="48D4D7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650" w:type="pct"/>
                  <w:tcBorders>
                    <w:tl2br w:val="nil"/>
                    <w:tr2bl w:val="nil"/>
                  </w:tcBorders>
                  <w:noWrap w:val="0"/>
                  <w:vAlign w:val="center"/>
                </w:tcPr>
                <w:p w14:paraId="1D8F8066">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55</w:t>
                  </w:r>
                </w:p>
              </w:tc>
              <w:tc>
                <w:tcPr>
                  <w:tcW w:w="605" w:type="pct"/>
                  <w:tcBorders>
                    <w:tl2br w:val="nil"/>
                    <w:tr2bl w:val="nil"/>
                  </w:tcBorders>
                  <w:noWrap w:val="0"/>
                  <w:vAlign w:val="center"/>
                </w:tcPr>
                <w:p w14:paraId="3C7095F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5741D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tcBorders>
                    <w:tl2br w:val="nil"/>
                    <w:tr2bl w:val="nil"/>
                  </w:tcBorders>
                  <w:noWrap w:val="0"/>
                  <w:vAlign w:val="center"/>
                </w:tcPr>
                <w:p w14:paraId="4CFF13C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p>
              </w:tc>
              <w:tc>
                <w:tcPr>
                  <w:tcW w:w="1897" w:type="pct"/>
                  <w:tcBorders>
                    <w:tl2br w:val="nil"/>
                    <w:tr2bl w:val="nil"/>
                  </w:tcBorders>
                  <w:noWrap w:val="0"/>
                  <w:vAlign w:val="center"/>
                </w:tcPr>
                <w:p w14:paraId="435562B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第90百分位数最大8h平均浓度</w:t>
                  </w:r>
                </w:p>
              </w:tc>
              <w:tc>
                <w:tcPr>
                  <w:tcW w:w="585" w:type="pct"/>
                  <w:tcBorders>
                    <w:tl2br w:val="nil"/>
                    <w:tr2bl w:val="nil"/>
                  </w:tcBorders>
                  <w:noWrap w:val="0"/>
                  <w:vAlign w:val="center"/>
                </w:tcPr>
                <w:p w14:paraId="3129E71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130</w:t>
                  </w:r>
                </w:p>
              </w:tc>
              <w:tc>
                <w:tcPr>
                  <w:tcW w:w="655" w:type="pct"/>
                  <w:tcBorders>
                    <w:tl2br w:val="nil"/>
                    <w:tr2bl w:val="nil"/>
                  </w:tcBorders>
                  <w:noWrap w:val="0"/>
                  <w:vAlign w:val="center"/>
                </w:tcPr>
                <w:p w14:paraId="520E1F9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160</w:t>
                  </w:r>
                </w:p>
              </w:tc>
              <w:tc>
                <w:tcPr>
                  <w:tcW w:w="650" w:type="pct"/>
                  <w:tcBorders>
                    <w:tl2br w:val="nil"/>
                    <w:tr2bl w:val="nil"/>
                  </w:tcBorders>
                  <w:noWrap w:val="0"/>
                  <w:vAlign w:val="center"/>
                </w:tcPr>
                <w:p w14:paraId="3A305620">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81</w:t>
                  </w:r>
                </w:p>
              </w:tc>
              <w:tc>
                <w:tcPr>
                  <w:tcW w:w="605" w:type="pct"/>
                  <w:tcBorders>
                    <w:tl2br w:val="nil"/>
                    <w:tr2bl w:val="nil"/>
                  </w:tcBorders>
                  <w:noWrap w:val="0"/>
                  <w:vAlign w:val="center"/>
                </w:tcPr>
                <w:p w14:paraId="3D2B06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64DB2C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273B05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10</w:t>
                  </w:r>
                </w:p>
              </w:tc>
              <w:tc>
                <w:tcPr>
                  <w:tcW w:w="1897" w:type="pct"/>
                  <w:tcBorders>
                    <w:tl2br w:val="nil"/>
                    <w:tr2bl w:val="nil"/>
                  </w:tcBorders>
                  <w:noWrap w:val="0"/>
                  <w:vAlign w:val="center"/>
                </w:tcPr>
                <w:p w14:paraId="599A2D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w:t>
                  </w:r>
                </w:p>
              </w:tc>
              <w:tc>
                <w:tcPr>
                  <w:tcW w:w="585" w:type="pct"/>
                  <w:tcBorders>
                    <w:tl2br w:val="nil"/>
                    <w:tr2bl w:val="nil"/>
                  </w:tcBorders>
                  <w:noWrap w:val="0"/>
                  <w:vAlign w:val="center"/>
                </w:tcPr>
                <w:p w14:paraId="34A9742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108</w:t>
                  </w:r>
                </w:p>
              </w:tc>
              <w:tc>
                <w:tcPr>
                  <w:tcW w:w="655" w:type="pct"/>
                  <w:tcBorders>
                    <w:tl2br w:val="nil"/>
                    <w:tr2bl w:val="nil"/>
                  </w:tcBorders>
                  <w:noWrap w:val="0"/>
                  <w:vAlign w:val="center"/>
                </w:tcPr>
                <w:p w14:paraId="4D1A15D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w:t>
                  </w:r>
                </w:p>
              </w:tc>
              <w:tc>
                <w:tcPr>
                  <w:tcW w:w="650" w:type="pct"/>
                  <w:tcBorders>
                    <w:tl2br w:val="nil"/>
                    <w:tr2bl w:val="nil"/>
                  </w:tcBorders>
                  <w:noWrap w:val="0"/>
                  <w:vAlign w:val="center"/>
                </w:tcPr>
                <w:p w14:paraId="6D6464E0">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180</w:t>
                  </w:r>
                </w:p>
              </w:tc>
              <w:tc>
                <w:tcPr>
                  <w:tcW w:w="605" w:type="pct"/>
                  <w:tcBorders>
                    <w:tl2br w:val="nil"/>
                    <w:tr2bl w:val="nil"/>
                  </w:tcBorders>
                  <w:noWrap w:val="0"/>
                  <w:vAlign w:val="center"/>
                </w:tcPr>
                <w:p w14:paraId="6F6A158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w:t>
                  </w: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32BC30B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0E8798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897" w:type="pct"/>
                  <w:tcBorders>
                    <w:tl2br w:val="nil"/>
                    <w:tr2bl w:val="nil"/>
                  </w:tcBorders>
                  <w:noWrap w:val="0"/>
                  <w:vAlign w:val="center"/>
                </w:tcPr>
                <w:p w14:paraId="27A1A2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24h平均第9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百分位数</w:t>
                  </w:r>
                </w:p>
              </w:tc>
              <w:tc>
                <w:tcPr>
                  <w:tcW w:w="585" w:type="pct"/>
                  <w:tcBorders>
                    <w:tl2br w:val="nil"/>
                    <w:tr2bl w:val="nil"/>
                  </w:tcBorders>
                  <w:noWrap w:val="0"/>
                  <w:vAlign w:val="center"/>
                </w:tcPr>
                <w:p w14:paraId="557D53A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318</w:t>
                  </w:r>
                </w:p>
              </w:tc>
              <w:tc>
                <w:tcPr>
                  <w:tcW w:w="655" w:type="pct"/>
                  <w:tcBorders>
                    <w:tl2br w:val="nil"/>
                    <w:tr2bl w:val="nil"/>
                  </w:tcBorders>
                  <w:noWrap w:val="0"/>
                  <w:vAlign w:val="center"/>
                </w:tcPr>
                <w:p w14:paraId="769AC2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650" w:type="pct"/>
                  <w:tcBorders>
                    <w:tl2br w:val="nil"/>
                    <w:tr2bl w:val="nil"/>
                  </w:tcBorders>
                  <w:noWrap w:val="0"/>
                  <w:vAlign w:val="center"/>
                </w:tcPr>
                <w:p w14:paraId="75D71BD5">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265</w:t>
                  </w:r>
                </w:p>
              </w:tc>
              <w:tc>
                <w:tcPr>
                  <w:tcW w:w="605" w:type="pct"/>
                  <w:tcBorders>
                    <w:tl2br w:val="nil"/>
                    <w:tr2bl w:val="nil"/>
                  </w:tcBorders>
                  <w:noWrap w:val="0"/>
                  <w:vAlign w:val="center"/>
                </w:tcPr>
                <w:p w14:paraId="431DFBD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w:t>
                  </w: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5A912F7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324C558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2.5</w:t>
                  </w:r>
                </w:p>
              </w:tc>
              <w:tc>
                <w:tcPr>
                  <w:tcW w:w="1897" w:type="pct"/>
                  <w:tcBorders>
                    <w:tl2br w:val="nil"/>
                    <w:tr2bl w:val="nil"/>
                  </w:tcBorders>
                  <w:noWrap w:val="0"/>
                  <w:vAlign w:val="center"/>
                </w:tcPr>
                <w:p w14:paraId="242E7A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w:t>
                  </w:r>
                </w:p>
              </w:tc>
              <w:tc>
                <w:tcPr>
                  <w:tcW w:w="585" w:type="pct"/>
                  <w:tcBorders>
                    <w:tl2br w:val="nil"/>
                    <w:tr2bl w:val="nil"/>
                  </w:tcBorders>
                  <w:noWrap w:val="0"/>
                  <w:vAlign w:val="center"/>
                </w:tcPr>
                <w:p w14:paraId="0A86757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26</w:t>
                  </w:r>
                </w:p>
              </w:tc>
              <w:tc>
                <w:tcPr>
                  <w:tcW w:w="655" w:type="pct"/>
                  <w:tcBorders>
                    <w:tl2br w:val="nil"/>
                    <w:tr2bl w:val="nil"/>
                  </w:tcBorders>
                  <w:noWrap w:val="0"/>
                  <w:vAlign w:val="center"/>
                </w:tcPr>
                <w:p w14:paraId="4D9F254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w:t>
                  </w:r>
                </w:p>
              </w:tc>
              <w:tc>
                <w:tcPr>
                  <w:tcW w:w="650" w:type="pct"/>
                  <w:tcBorders>
                    <w:tl2br w:val="nil"/>
                    <w:tr2bl w:val="nil"/>
                  </w:tcBorders>
                  <w:noWrap w:val="0"/>
                  <w:vAlign w:val="center"/>
                </w:tcPr>
                <w:p w14:paraId="7E9B3625">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86.67</w:t>
                  </w:r>
                </w:p>
              </w:tc>
              <w:tc>
                <w:tcPr>
                  <w:tcW w:w="605" w:type="pct"/>
                  <w:tcBorders>
                    <w:tl2br w:val="nil"/>
                    <w:tr2bl w:val="nil"/>
                  </w:tcBorders>
                  <w:noWrap w:val="0"/>
                  <w:vAlign w:val="center"/>
                </w:tcPr>
                <w:p w14:paraId="5B2D7EC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0DD83B9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0930B5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897" w:type="pct"/>
                  <w:tcBorders>
                    <w:tl2br w:val="nil"/>
                    <w:tr2bl w:val="nil"/>
                  </w:tcBorders>
                  <w:noWrap w:val="0"/>
                  <w:vAlign w:val="center"/>
                </w:tcPr>
                <w:p w14:paraId="07A90EC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24h平均第9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百分位数</w:t>
                  </w:r>
                </w:p>
              </w:tc>
              <w:tc>
                <w:tcPr>
                  <w:tcW w:w="585" w:type="pct"/>
                  <w:tcBorders>
                    <w:tl2br w:val="nil"/>
                    <w:tr2bl w:val="nil"/>
                  </w:tcBorders>
                  <w:noWrap w:val="0"/>
                  <w:vAlign w:val="center"/>
                </w:tcPr>
                <w:p w14:paraId="02F4E15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78</w:t>
                  </w:r>
                </w:p>
              </w:tc>
              <w:tc>
                <w:tcPr>
                  <w:tcW w:w="655" w:type="pct"/>
                  <w:tcBorders>
                    <w:tl2br w:val="nil"/>
                    <w:tr2bl w:val="nil"/>
                  </w:tcBorders>
                  <w:noWrap w:val="0"/>
                  <w:vAlign w:val="center"/>
                </w:tcPr>
                <w:p w14:paraId="44EC1D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w:t>
                  </w:r>
                </w:p>
              </w:tc>
              <w:tc>
                <w:tcPr>
                  <w:tcW w:w="650" w:type="pct"/>
                  <w:tcBorders>
                    <w:tl2br w:val="nil"/>
                    <w:tr2bl w:val="nil"/>
                  </w:tcBorders>
                  <w:noWrap w:val="0"/>
                  <w:vAlign w:val="center"/>
                </w:tcPr>
                <w:p w14:paraId="535BBD49">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130</w:t>
                  </w:r>
                </w:p>
              </w:tc>
              <w:tc>
                <w:tcPr>
                  <w:tcW w:w="605" w:type="pct"/>
                  <w:tcBorders>
                    <w:tl2br w:val="nil"/>
                    <w:tr2bl w:val="nil"/>
                  </w:tcBorders>
                  <w:noWrap w:val="0"/>
                  <w:vAlign w:val="center"/>
                </w:tcPr>
                <w:p w14:paraId="77121D7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w:t>
                  </w: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bl>
          <w:p w14:paraId="701860AC">
            <w:pPr>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和静县空气自动监测站2024年空气质量监测总天数为365天。受沙尘天气影响，PM</w:t>
            </w:r>
            <w:r>
              <w:rPr>
                <w:rFonts w:hint="default" w:ascii="Times New Roman" w:hAnsi="Times New Roman" w:cs="Times New Roman"/>
                <w:color w:val="000000" w:themeColor="text1"/>
                <w:highlight w:val="none"/>
                <w:vertAlign w:val="subscript"/>
                <w14:textFill>
                  <w14:solidFill>
                    <w14:schemeClr w14:val="tx1"/>
                  </w14:solidFill>
                </w14:textFill>
              </w:rPr>
              <w:t>2.5</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24h平均第95百分位数和PM</w:t>
            </w:r>
            <w:r>
              <w:rPr>
                <w:rFonts w:hint="default" w:ascii="Times New Roman" w:hAnsi="Times New Roman" w:cs="Times New Roman"/>
                <w:color w:val="000000" w:themeColor="text1"/>
                <w:highlight w:val="none"/>
                <w:vertAlign w:val="sub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年平均及24h平均第95百分位数浓度超过《环境空气质量标准》（GB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3095-2026）表1中过渡阶段二级标准，SO</w:t>
            </w:r>
            <w:r>
              <w:rPr>
                <w:rFonts w:hint="default" w:ascii="Times New Roman" w:hAnsi="Times New Roman" w:cs="Times New Roman"/>
                <w:color w:val="000000" w:themeColor="text1"/>
                <w:highlight w:val="none"/>
                <w:vertAlign w:val="sub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、NO</w:t>
            </w:r>
            <w:r>
              <w:rPr>
                <w:rFonts w:hint="default" w:ascii="Times New Roman" w:hAnsi="Times New Roman" w:cs="Times New Roman"/>
                <w:color w:val="000000" w:themeColor="text1"/>
                <w:highlight w:val="none"/>
                <w:vertAlign w:val="sub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、CO、O</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等其他监测指标均满足二级标准，因此判断本项目所在区域为不达标区。</w:t>
            </w:r>
          </w:p>
          <w:p w14:paraId="3CBED40E">
            <w:pPr>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对于环境空气质量不达标区域需提交《大气环境不达标区域削减方案》，根据生态环境部办公厅出具的《关于将巴音郭楞蒙古自治州 吐鲁番市 哈密市纳入执行（环境影响评价技术导则</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大气环境（HJ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2.2-2018））差别化政策范围的复函》（环办环评函〔2020〕341号），同意对巴音郭楞蒙古自治州实施环境影响评价差别化政策，本项目可不提供颗粒物区域削减方案。</w:t>
            </w:r>
          </w:p>
          <w:p w14:paraId="50D111C8">
            <w:pPr>
              <w:keepNext w:val="0"/>
              <w:keepLines w:val="0"/>
              <w:pageBreakBefore w:val="0"/>
              <w:widowControl/>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3.3.2特征污染物质量现状评价</w:t>
            </w:r>
          </w:p>
          <w:p w14:paraId="6DF1BE99">
            <w:pPr>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（1）监测布点</w:t>
            </w:r>
          </w:p>
          <w:p w14:paraId="7DC7B11C">
            <w:pPr>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000000" w:themeColor="text1"/>
                <w:spacing w:val="6"/>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大气环境现状监测依据《建设项目环境影响报告表编制技术指南（污染影响类）（试行）》</w:t>
            </w:r>
            <w:r>
              <w:rPr>
                <w:rFonts w:hint="eastAsia" w:cs="Times New Roman"/>
                <w:color w:val="000000" w:themeColor="text1"/>
                <w:highlight w:val="none"/>
                <w:lang w:val="en-US" w:eastAsia="zh-CN"/>
                <w14:textFill>
                  <w14:solidFill>
                    <w14:schemeClr w14:val="tx1"/>
                  </w14:solidFill>
                </w14:textFill>
              </w:rPr>
              <w:t>“排放国家、地方环境空气质量标准中有标准限值要求的特征污染物时，引用建设项目周边5km范围内近3年的现有监测数据”。</w:t>
            </w:r>
            <w:r>
              <w:rPr>
                <w:rFonts w:hint="default" w:ascii="Times New Roman" w:hAnsi="Times New Roman" w:cs="Times New Roman"/>
                <w:color w:val="000000" w:themeColor="text1"/>
                <w:highlight w:val="none"/>
                <w:lang w:val="en-US" w:eastAsia="zh-CN"/>
                <w14:textFill>
                  <w14:solidFill>
                    <w14:schemeClr w14:val="tx1"/>
                  </w14:solidFill>
                </w14:textFill>
              </w:rPr>
              <w:t>本次TSP现状监测数据引用巴州朗霁云程环保技术咨询有限公司编制的《和静县润通矿业有限公司新疆和静县巴音布鲁克石英岩矿建设项目环境影响报告书》中委托新疆国联环保科技有限公司于2025年8月22日至8月29日对润通矿业石英岩矿加工区下风向点位（东经84°16′26.51″，北纬43°05′17.226″）所在区域污染物环境质量进行监测的数据。监测点位图详见附图1</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0C035350">
            <w:pPr>
              <w:pStyle w:val="18"/>
              <w:bidi w:val="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表3.3-2   其他污染物补充监测点位基本信息表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1773"/>
              <w:gridCol w:w="1385"/>
              <w:gridCol w:w="1044"/>
              <w:gridCol w:w="1379"/>
              <w:gridCol w:w="1888"/>
            </w:tblGrid>
            <w:tr w14:paraId="2B30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49" w:type="pct"/>
                  <w:tcBorders>
                    <w:tl2br w:val="nil"/>
                    <w:tr2bl w:val="nil"/>
                  </w:tcBorders>
                  <w:noWrap w:val="0"/>
                  <w:vAlign w:val="center"/>
                </w:tcPr>
                <w:p w14:paraId="4E21BCBE">
                  <w:pPr>
                    <w:autoSpaceDE w:val="0"/>
                    <w:autoSpaceDN w:val="0"/>
                    <w:spacing w:line="240" w:lineRule="auto"/>
                    <w:ind w:firstLine="0" w:firstLineChars="0"/>
                    <w:jc w:val="center"/>
                    <w:textAlignment w:val="bottom"/>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监测点位名称</w:t>
                  </w:r>
                </w:p>
              </w:tc>
              <w:tc>
                <w:tcPr>
                  <w:tcW w:w="1056" w:type="pct"/>
                  <w:tcBorders>
                    <w:tl2br w:val="nil"/>
                    <w:tr2bl w:val="nil"/>
                  </w:tcBorders>
                  <w:noWrap w:val="0"/>
                  <w:vAlign w:val="center"/>
                </w:tcPr>
                <w:p w14:paraId="44D715E4">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监测因子</w:t>
                  </w:r>
                </w:p>
              </w:tc>
              <w:tc>
                <w:tcPr>
                  <w:tcW w:w="826" w:type="pct"/>
                  <w:tcBorders>
                    <w:tl2br w:val="nil"/>
                    <w:tr2bl w:val="nil"/>
                  </w:tcBorders>
                  <w:noWrap w:val="0"/>
                  <w:vAlign w:val="center"/>
                </w:tcPr>
                <w:p w14:paraId="1153DCE4">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监测时段</w:t>
                  </w:r>
                </w:p>
              </w:tc>
              <w:tc>
                <w:tcPr>
                  <w:tcW w:w="621" w:type="pct"/>
                  <w:tcBorders>
                    <w:tl2br w:val="nil"/>
                    <w:tr2bl w:val="nil"/>
                  </w:tcBorders>
                  <w:noWrap w:val="0"/>
                  <w:vAlign w:val="center"/>
                </w:tcPr>
                <w:p w14:paraId="7F5AE8D9">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相对方位</w:t>
                  </w:r>
                </w:p>
              </w:tc>
              <w:tc>
                <w:tcPr>
                  <w:tcW w:w="822" w:type="pct"/>
                  <w:tcBorders>
                    <w:tl2br w:val="nil"/>
                    <w:tr2bl w:val="nil"/>
                  </w:tcBorders>
                  <w:noWrap w:val="0"/>
                  <w:vAlign w:val="center"/>
                </w:tcPr>
                <w:p w14:paraId="44B1A2F5">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相对距离/m</w:t>
                  </w:r>
                </w:p>
              </w:tc>
              <w:tc>
                <w:tcPr>
                  <w:tcW w:w="1124" w:type="pct"/>
                  <w:tcBorders>
                    <w:tl2br w:val="nil"/>
                    <w:tr2bl w:val="nil"/>
                  </w:tcBorders>
                  <w:noWrap w:val="0"/>
                  <w:vAlign w:val="center"/>
                </w:tcPr>
                <w:p w14:paraId="05E5E93A">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数据来源</w:t>
                  </w:r>
                </w:p>
              </w:tc>
            </w:tr>
            <w:tr w14:paraId="1369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49" w:type="pct"/>
                  <w:tcBorders>
                    <w:tl2br w:val="nil"/>
                    <w:tr2bl w:val="nil"/>
                  </w:tcBorders>
                  <w:noWrap w:val="0"/>
                  <w:vAlign w:val="center"/>
                </w:tcPr>
                <w:p w14:paraId="5F83B7C3">
                  <w:pPr>
                    <w:autoSpaceDE w:val="0"/>
                    <w:autoSpaceDN w:val="0"/>
                    <w:spacing w:line="240" w:lineRule="auto"/>
                    <w:ind w:firstLine="0" w:firstLineChars="0"/>
                    <w:jc w:val="center"/>
                    <w:textAlignment w:val="bottom"/>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加工区下风向</w:t>
                  </w:r>
                </w:p>
              </w:tc>
              <w:tc>
                <w:tcPr>
                  <w:tcW w:w="1056" w:type="pct"/>
                  <w:tcBorders>
                    <w:tl2br w:val="nil"/>
                    <w:tr2bl w:val="nil"/>
                  </w:tcBorders>
                  <w:noWrap w:val="0"/>
                  <w:vAlign w:val="center"/>
                </w:tcPr>
                <w:p w14:paraId="44FC38D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TSP</w:t>
                  </w:r>
                </w:p>
              </w:tc>
              <w:tc>
                <w:tcPr>
                  <w:tcW w:w="826" w:type="pct"/>
                  <w:tcBorders>
                    <w:tl2br w:val="nil"/>
                    <w:tr2bl w:val="nil"/>
                  </w:tcBorders>
                  <w:noWrap w:val="0"/>
                  <w:vAlign w:val="center"/>
                </w:tcPr>
                <w:p w14:paraId="51D7E586">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00:00-24:00</w:t>
                  </w:r>
                </w:p>
              </w:tc>
              <w:tc>
                <w:tcPr>
                  <w:tcW w:w="621" w:type="pct"/>
                  <w:tcBorders>
                    <w:tl2br w:val="nil"/>
                    <w:tr2bl w:val="nil"/>
                  </w:tcBorders>
                  <w:noWrap w:val="0"/>
                  <w:vAlign w:val="center"/>
                </w:tcPr>
                <w:p w14:paraId="1BD49C4C">
                  <w:pPr>
                    <w:autoSpaceDE w:val="0"/>
                    <w:autoSpaceDN w:val="0"/>
                    <w:spacing w:line="240" w:lineRule="auto"/>
                    <w:ind w:firstLine="0" w:firstLineChars="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西</w:t>
                  </w:r>
                </w:p>
              </w:tc>
              <w:tc>
                <w:tcPr>
                  <w:tcW w:w="822" w:type="pct"/>
                  <w:tcBorders>
                    <w:tl2br w:val="nil"/>
                    <w:tr2bl w:val="nil"/>
                  </w:tcBorders>
                  <w:noWrap w:val="0"/>
                  <w:vAlign w:val="center"/>
                </w:tcPr>
                <w:p w14:paraId="1D97194C">
                  <w:pPr>
                    <w:autoSpaceDE w:val="0"/>
                    <w:autoSpaceDN w:val="0"/>
                    <w:spacing w:line="240" w:lineRule="auto"/>
                    <w:ind w:firstLine="0" w:firstLineChars="0"/>
                    <w:jc w:val="center"/>
                    <w:textAlignment w:val="bottom"/>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3900</w:t>
                  </w:r>
                </w:p>
              </w:tc>
              <w:tc>
                <w:tcPr>
                  <w:tcW w:w="1124" w:type="pct"/>
                  <w:tcBorders>
                    <w:tl2br w:val="nil"/>
                    <w:tr2bl w:val="nil"/>
                  </w:tcBorders>
                  <w:noWrap w:val="0"/>
                  <w:vAlign w:val="center"/>
                </w:tcPr>
                <w:p w14:paraId="126DC66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委托监测</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引用</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p>
              </w:tc>
            </w:tr>
          </w:tbl>
          <w:p w14:paraId="5DD8633B">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（2）监测时间及监测方法</w:t>
            </w:r>
          </w:p>
          <w:p w14:paraId="65F226C5">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监测时间为连续采样3天，采样要求按照《环境空气质量标准》（GB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3095-2026）及《环境空气质量手工监测技术规范》（HJ/T 194-2018）及相关要求执行。</w:t>
            </w:r>
          </w:p>
          <w:p w14:paraId="387B399E">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（3）评价方法</w:t>
            </w:r>
          </w:p>
          <w:p w14:paraId="27103130">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采用最大占标百分比，计算公式如下：</w:t>
            </w:r>
          </w:p>
          <w:p w14:paraId="007A42BD">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Pi=Ci/Coi×100%</w:t>
            </w:r>
          </w:p>
          <w:p w14:paraId="38F2EB93">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式中：Pi——i评价因子最大浓度占标率；</w:t>
            </w:r>
          </w:p>
          <w:p w14:paraId="079EF42D">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Ci——i评价因子的最大监测浓度（mg/m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3A76A177">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Coi——i评价因子的评价标准（mg/m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132A405F">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（4）监测结果及评价</w:t>
            </w:r>
          </w:p>
          <w:p w14:paraId="40ED4391">
            <w:pPr>
              <w:bidi w:val="0"/>
              <w:rPr>
                <w:rFonts w:hint="default" w:ascii="Times New Roman" w:hAnsi="Times New Roman" w:eastAsia="宋体" w:cs="Times New Roman"/>
                <w:color w:val="000000" w:themeColor="text1"/>
                <w:spacing w:val="6"/>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特征污染物环境质量现状监测结果见表3.3-3。</w:t>
            </w:r>
          </w:p>
          <w:p w14:paraId="2E8C4CB6">
            <w:pPr>
              <w:pStyle w:val="18"/>
              <w:bidi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表3.3-3   特征污染物环境质量现状监测结果</w:t>
            </w:r>
          </w:p>
          <w:tbl>
            <w:tblPr>
              <w:tblStyle w:val="11"/>
              <w:tblW w:w="4993"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235"/>
              <w:gridCol w:w="1154"/>
              <w:gridCol w:w="1423"/>
              <w:gridCol w:w="1221"/>
              <w:gridCol w:w="963"/>
              <w:gridCol w:w="1204"/>
            </w:tblGrid>
            <w:tr w14:paraId="4FF3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l2br w:val="nil"/>
                    <w:tr2bl w:val="nil"/>
                  </w:tcBorders>
                  <w:noWrap w:val="0"/>
                  <w:vAlign w:val="center"/>
                </w:tcPr>
                <w:p w14:paraId="16751CC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w:t>
                  </w:r>
                </w:p>
              </w:tc>
              <w:tc>
                <w:tcPr>
                  <w:tcW w:w="736" w:type="pct"/>
                  <w:tcBorders>
                    <w:tl2br w:val="nil"/>
                    <w:tr2bl w:val="nil"/>
                  </w:tcBorders>
                  <w:noWrap w:val="0"/>
                  <w:vAlign w:val="center"/>
                </w:tcPr>
                <w:p w14:paraId="1C70439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平均</w:t>
                  </w:r>
                </w:p>
                <w:p w14:paraId="578171F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时间</w:t>
                  </w:r>
                </w:p>
              </w:tc>
              <w:tc>
                <w:tcPr>
                  <w:tcW w:w="689" w:type="pct"/>
                  <w:tcBorders>
                    <w:tl2br w:val="nil"/>
                    <w:tr2bl w:val="nil"/>
                  </w:tcBorders>
                  <w:noWrap w:val="0"/>
                  <w:vAlign w:val="center"/>
                </w:tcPr>
                <w:p w14:paraId="2742C53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评价标准（μg/m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w:t>
                  </w:r>
                </w:p>
              </w:tc>
              <w:tc>
                <w:tcPr>
                  <w:tcW w:w="849" w:type="pct"/>
                  <w:tcBorders>
                    <w:tl2br w:val="nil"/>
                    <w:tr2bl w:val="nil"/>
                  </w:tcBorders>
                  <w:noWrap w:val="0"/>
                  <w:vAlign w:val="center"/>
                </w:tcPr>
                <w:p w14:paraId="4FA53D0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监测浓度范围（μg/m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w:t>
                  </w:r>
                </w:p>
              </w:tc>
              <w:tc>
                <w:tcPr>
                  <w:tcW w:w="728" w:type="pct"/>
                  <w:tcBorders>
                    <w:tl2br w:val="nil"/>
                    <w:tr2bl w:val="nil"/>
                  </w:tcBorders>
                  <w:noWrap w:val="0"/>
                  <w:vAlign w:val="center"/>
                </w:tcPr>
                <w:p w14:paraId="64945CF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最大浓度占标率%</w:t>
                  </w:r>
                </w:p>
              </w:tc>
              <w:tc>
                <w:tcPr>
                  <w:tcW w:w="574" w:type="pct"/>
                  <w:tcBorders>
                    <w:tl2br w:val="nil"/>
                    <w:tr2bl w:val="nil"/>
                  </w:tcBorders>
                  <w:noWrap w:val="0"/>
                  <w:vAlign w:val="center"/>
                </w:tcPr>
                <w:p w14:paraId="1FD1FA3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超标率%</w:t>
                  </w:r>
                </w:p>
              </w:tc>
              <w:tc>
                <w:tcPr>
                  <w:tcW w:w="718" w:type="pct"/>
                  <w:tcBorders>
                    <w:tl2br w:val="nil"/>
                    <w:tr2bl w:val="nil"/>
                  </w:tcBorders>
                  <w:noWrap w:val="0"/>
                  <w:vAlign w:val="center"/>
                </w:tcPr>
                <w:p w14:paraId="5012C79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达标情况</w:t>
                  </w:r>
                </w:p>
              </w:tc>
            </w:tr>
            <w:tr w14:paraId="33F3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l2br w:val="nil"/>
                    <w:tr2bl w:val="nil"/>
                  </w:tcBorders>
                  <w:noWrap w:val="0"/>
                  <w:vAlign w:val="center"/>
                </w:tcPr>
                <w:p w14:paraId="70EB891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TSP</w:t>
                  </w:r>
                </w:p>
              </w:tc>
              <w:tc>
                <w:tcPr>
                  <w:tcW w:w="736" w:type="pct"/>
                  <w:tcBorders>
                    <w:tl2br w:val="nil"/>
                    <w:tr2bl w:val="nil"/>
                  </w:tcBorders>
                  <w:noWrap w:val="0"/>
                  <w:vAlign w:val="center"/>
                </w:tcPr>
                <w:p w14:paraId="2D739A7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24小时</w:t>
                  </w:r>
                </w:p>
              </w:tc>
              <w:tc>
                <w:tcPr>
                  <w:tcW w:w="689" w:type="pct"/>
                  <w:tcBorders>
                    <w:tl2br w:val="nil"/>
                    <w:tr2bl w:val="nil"/>
                  </w:tcBorders>
                  <w:noWrap w:val="0"/>
                  <w:vAlign w:val="center"/>
                </w:tcPr>
                <w:p w14:paraId="50CE7BC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300</w:t>
                  </w:r>
                </w:p>
              </w:tc>
              <w:tc>
                <w:tcPr>
                  <w:tcW w:w="849" w:type="pct"/>
                  <w:tcBorders>
                    <w:tl2br w:val="nil"/>
                    <w:tr2bl w:val="nil"/>
                  </w:tcBorders>
                  <w:noWrap w:val="0"/>
                  <w:vAlign w:val="center"/>
                </w:tcPr>
                <w:p w14:paraId="20E35E4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＜7（未检出）</w:t>
                  </w:r>
                </w:p>
              </w:tc>
              <w:tc>
                <w:tcPr>
                  <w:tcW w:w="728" w:type="pct"/>
                  <w:tcBorders>
                    <w:tl2br w:val="nil"/>
                    <w:tr2bl w:val="nil"/>
                  </w:tcBorders>
                  <w:noWrap w:val="0"/>
                  <w:vAlign w:val="center"/>
                </w:tcPr>
                <w:p w14:paraId="6902D78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2.3</w:t>
                  </w:r>
                </w:p>
              </w:tc>
              <w:tc>
                <w:tcPr>
                  <w:tcW w:w="574" w:type="pct"/>
                  <w:tcBorders>
                    <w:tl2br w:val="nil"/>
                    <w:tr2bl w:val="nil"/>
                  </w:tcBorders>
                  <w:noWrap w:val="0"/>
                  <w:vAlign w:val="center"/>
                </w:tcPr>
                <w:p w14:paraId="6F28AC0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否</w:t>
                  </w:r>
                </w:p>
              </w:tc>
              <w:tc>
                <w:tcPr>
                  <w:tcW w:w="718" w:type="pct"/>
                  <w:tcBorders>
                    <w:tl2br w:val="nil"/>
                    <w:tr2bl w:val="nil"/>
                  </w:tcBorders>
                  <w:noWrap w:val="0"/>
                  <w:vAlign w:val="center"/>
                </w:tcPr>
                <w:p w14:paraId="01CC578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达标</w:t>
                  </w:r>
                </w:p>
              </w:tc>
            </w:tr>
          </w:tbl>
          <w:p w14:paraId="56AE6927">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从监测结果可知，TSP 24小时平均值符合《环境空气质量标准》（GB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3095-2026）二级标准限值要求。</w:t>
            </w:r>
          </w:p>
          <w:p w14:paraId="09F51E9C">
            <w:pPr>
              <w:bidi w:val="0"/>
              <w:rPr>
                <w:rFonts w:hint="default" w:ascii="Times New Roman" w:hAnsi="Times New Roman" w:eastAsia="宋体" w:cs="Times New Roman"/>
                <w:color w:val="000000" w:themeColor="text1"/>
                <w:spacing w:val="6"/>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综上所述，评价区现状空气质量良好，TSP可满足相应的浓度限值要求。</w:t>
            </w:r>
          </w:p>
          <w:p w14:paraId="78B2673A">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3.4声环境质量现状</w:t>
            </w:r>
          </w:p>
          <w:p w14:paraId="5FB6AA3E">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根据《建设项目环境影响报告表编制技术指南（污染影响类）（试行）》</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厂界周边50m范围内存在声环境保护目标的建设项目，应监测保护目标声环境质量现状并评价达标情况。</w:t>
            </w:r>
            <w:r>
              <w:rPr>
                <w:rFonts w:hint="eastAsia" w:cs="Times New Roman"/>
                <w:color w:val="000000" w:themeColor="text1"/>
                <w:highlight w:val="none"/>
                <w:lang w:val="en-US" w:eastAsia="zh-CN"/>
                <w14:textFill>
                  <w14:solidFill>
                    <w14:schemeClr w14:val="tx1"/>
                  </w14:solidFill>
                </w14:textFill>
              </w:rPr>
              <w:t>”</w:t>
            </w:r>
          </w:p>
          <w:p w14:paraId="0026AB2F">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本项目厂界外周边50m范围内不存在声环境保护目标，因此本项目可不进行声环境现状监测。</w:t>
            </w:r>
          </w:p>
          <w:p w14:paraId="47FDB3BE">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3.5地表水环境质量现状</w:t>
            </w:r>
          </w:p>
          <w:p w14:paraId="3700766E">
            <w:pPr>
              <w:keepNext w:val="0"/>
              <w:keepLines w:val="0"/>
              <w:pageBreakBefore w:val="0"/>
              <w:kinsoku/>
              <w:wordWrap/>
              <w:overflowPunct/>
              <w:topLinePunct w:val="0"/>
              <w:bidi w:val="0"/>
              <w:adjustRightInd w:val="0"/>
              <w:snapToGrid w:val="0"/>
              <w:spacing w:line="500" w:lineRule="exact"/>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开都河位于项目区南侧，距离本项目2.6km，拉尔敦赫尔萨拉河位于项目区东北侧，距离本项目0.34km</w:t>
            </w:r>
            <w:r>
              <w:rPr>
                <w:rFonts w:hint="eastAsia"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车辆冲洗废水经沉淀池沉淀后全部循环回用，不外排；各工序抑尘喷淋用水</w:t>
            </w:r>
            <w:r>
              <w:rPr>
                <w:rFonts w:hint="eastAsia" w:cs="Times New Roman"/>
                <w:color w:val="000000" w:themeColor="text1"/>
                <w:highlight w:val="none"/>
                <w:lang w:val="en-US" w:eastAsia="zh-CN"/>
                <w14:textFill>
                  <w14:solidFill>
                    <w14:schemeClr w14:val="tx1"/>
                  </w14:solidFill>
                </w14:textFill>
              </w:rPr>
              <w:t>自然蒸发</w:t>
            </w:r>
            <w:r>
              <w:rPr>
                <w:rFonts w:hint="default" w:ascii="Times New Roman" w:hAnsi="Times New Roman" w:cs="Times New Roman"/>
                <w:color w:val="000000" w:themeColor="text1"/>
                <w:highlight w:val="none"/>
                <w:lang w:val="en-US" w:eastAsia="zh-CN"/>
                <w14:textFill>
                  <w14:solidFill>
                    <w14:schemeClr w14:val="tx1"/>
                  </w14:solidFill>
                </w14:textFill>
              </w:rPr>
              <w:t>，无生产废水外排。生活污水：工作人员居住在中铁隧道局新建伊阿铁路SⅩ标段项目部，项目部与本项目直线距离约1.9km，项目部生活污水采用化粪池收集后定期拉运至巴音布鲁克污水处理厂处理，本项目不直接向外环境地表水体排放废水。根据《环境影响评价技术导则 地表水环境》（HJ2.3-2018），本项目水污染影响型地表水环境评价等级确定为三级B</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三级B项目可不进行地表水环境质量现状调查，因此本次不进行地表水环境质量调查与分析。</w:t>
            </w:r>
          </w:p>
          <w:p w14:paraId="79CD5129">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3.6地下水、土壤环境现状调查</w:t>
            </w:r>
          </w:p>
          <w:p w14:paraId="710377F9">
            <w:pPr>
              <w:keepNext w:val="0"/>
              <w:keepLines w:val="0"/>
              <w:pageBreakBefore w:val="0"/>
              <w:kinsoku/>
              <w:wordWrap/>
              <w:overflowPunct/>
              <w:topLinePunct w:val="0"/>
              <w:bidi w:val="0"/>
              <w:adjustRightInd w:val="0"/>
              <w:snapToGrid w:val="0"/>
              <w:spacing w:line="500" w:lineRule="exact"/>
              <w:ind w:firstLine="480" w:firstLineChars="200"/>
              <w:jc w:val="left"/>
              <w:textAlignment w:val="auto"/>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pPr>
            <w:r>
              <w:rPr>
                <w:rFonts w:hint="default" w:ascii="Times New Roman" w:hAnsi="Times New Roman"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参照《建设项目环境影响报告表</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编制技术指南</w:t>
            </w:r>
            <w:r>
              <w:rPr>
                <w:rFonts w:hint="default" w:ascii="Times New Roman" w:hAnsi="Times New Roman"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（污染影响类）</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（试行）</w:t>
            </w:r>
            <w:r>
              <w:rPr>
                <w:rFonts w:hint="default" w:ascii="Times New Roman" w:hAnsi="Times New Roman"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地下水、土壤环境原则上不开展环境质量现状调查。建设项目存在土壤、地下水环境污染途径的，应结合污染源、保护目标分布情况开展现状调查以留作背景值。本项目利用的弃渣场已修建截排水沟，项目生产车间、</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危险废物贮存点</w:t>
            </w:r>
            <w:r>
              <w:rPr>
                <w:rFonts w:hint="default" w:ascii="Times New Roman" w:hAnsi="Times New Roman"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、柴油储存区、洗车平台按要求做好防渗措施，故不存在土壤、地下水环境污染途径，</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可不</w:t>
            </w:r>
            <w:r>
              <w:rPr>
                <w:rFonts w:hint="default" w:ascii="Times New Roman" w:hAnsi="Times New Roman"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开展现状监测。</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 xml:space="preserve">参照《环境影响评价技术导则 </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地下水环境</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》（HJ</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 xml:space="preserve"> 610</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-201</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1</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）附录A</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“J非金属矿采选及制品制造，62石材加工”本项目为</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Ⅳ类项目</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故不再进行区域</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地下水</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环境质量现状调查。</w:t>
            </w:r>
          </w:p>
          <w:p w14:paraId="58D859A4">
            <w:pPr>
              <w:keepNext w:val="0"/>
              <w:keepLines w:val="0"/>
              <w:pageBreakBefore w:val="0"/>
              <w:kinsoku/>
              <w:wordWrap/>
              <w:overflowPunct/>
              <w:topLinePunct w:val="0"/>
              <w:bidi w:val="0"/>
              <w:adjustRightInd w:val="0"/>
              <w:snapToGrid w:val="0"/>
              <w:spacing w:line="500" w:lineRule="exact"/>
              <w:ind w:firstLine="480" w:firstLineChars="200"/>
              <w:jc w:val="left"/>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参照《环境影响评价技术导则 土壤环境（试行）》（HJ964-2018）附录A中表A.1土壤环境影响评价项目类别，本项目属于</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其他行业</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w:t>
            </w:r>
            <w:r>
              <w:rPr>
                <w:rFonts w:hint="eastAsia"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本项目</w:t>
            </w:r>
            <w:r>
              <w:rPr>
                <w:rFonts w:hint="default" w:ascii="Times New Roman" w:hAnsi="Times New Roman" w:eastAsia="宋体" w:cs="Times New Roman"/>
                <w:b w:val="0"/>
                <w:bCs/>
                <w:snapToGrid w:val="0"/>
                <w:color w:val="000000" w:themeColor="text1"/>
                <w:kern w:val="2"/>
                <w:sz w:val="24"/>
                <w:szCs w:val="24"/>
                <w:highlight w:val="none"/>
                <w:lang w:val="en-US" w:eastAsia="zh-CN" w:bidi="ar-SA"/>
                <w14:textFill>
                  <w14:solidFill>
                    <w14:schemeClr w14:val="tx1"/>
                  </w14:solidFill>
                </w14:textFill>
                <w14:ligatures w14:val="none"/>
              </w:rPr>
              <w:t>为Ⅳ类项目，且工程自身不属于敏感目标建设项目，故不再开展土壤环境影响评价，不开展土壤环境质量监测，故不再进行区域土壤环境质量现状调查。</w:t>
            </w:r>
          </w:p>
        </w:tc>
      </w:tr>
      <w:tr w14:paraId="250C43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2" w:hRule="atLeast"/>
          <w:jc w:val="center"/>
        </w:trPr>
        <w:tc>
          <w:tcPr>
            <w:tcW w:w="392" w:type="dxa"/>
            <w:vAlign w:val="center"/>
          </w:tcPr>
          <w:p w14:paraId="3234FB0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环境保护目标</w:t>
            </w:r>
          </w:p>
        </w:tc>
        <w:tc>
          <w:tcPr>
            <w:tcW w:w="8616" w:type="dxa"/>
            <w:vAlign w:val="center"/>
          </w:tcPr>
          <w:p w14:paraId="31A8CB6D">
            <w:pPr>
              <w:pStyle w:val="3"/>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w:t>
            </w:r>
            <w:r>
              <w:rPr>
                <w:rFonts w:hint="default" w:ascii="Times New Roman" w:hAnsi="Times New Roman" w:cs="Times New Roman"/>
                <w:b/>
                <w:bCs/>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highlight w:val="none"/>
                <w14:textFill>
                  <w14:solidFill>
                    <w14:schemeClr w14:val="tx1"/>
                  </w14:solidFill>
                </w14:textFill>
              </w:rPr>
              <w:t>大气环境</w:t>
            </w:r>
          </w:p>
          <w:p w14:paraId="5FCFB87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根据《建设项目环境影响报告表编制指南（污染影响类）（试行）》，</w:t>
            </w:r>
            <w:r>
              <w:rPr>
                <w:rFonts w:hint="default" w:ascii="Times New Roman" w:hAnsi="Times New Roman" w:eastAsia="宋体" w:cs="Times New Roman"/>
                <w:bCs/>
                <w:color w:val="000000" w:themeColor="text1"/>
                <w:szCs w:val="21"/>
                <w:highlight w:val="none"/>
                <w14:textFill>
                  <w14:solidFill>
                    <w14:schemeClr w14:val="tx1"/>
                  </w14:solidFill>
                </w14:textFill>
              </w:rPr>
              <w:t>本项目厂界外500</w:t>
            </w: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szCs w:val="21"/>
                <w:highlight w:val="none"/>
                <w14:textFill>
                  <w14:solidFill>
                    <w14:schemeClr w14:val="tx1"/>
                  </w14:solidFill>
                </w14:textFill>
              </w:rPr>
              <w:t>范围内无</w:t>
            </w:r>
            <w:r>
              <w:rPr>
                <w:rFonts w:hint="eastAsia" w:cs="Times New Roman"/>
                <w:bCs/>
                <w:color w:val="000000" w:themeColor="text1"/>
                <w:szCs w:val="21"/>
                <w:highlight w:val="none"/>
                <w:lang w:val="en-US" w:eastAsia="zh-CN"/>
                <w14:textFill>
                  <w14:solidFill>
                    <w14:schemeClr w14:val="tx1"/>
                  </w14:solidFill>
                </w14:textFill>
              </w:rPr>
              <w:t>自然保护区、风景名胜区、居住区、文化区和农村地区中人群较集中的区域。综上，本项目无大气环境保护目标。</w:t>
            </w:r>
          </w:p>
          <w:p w14:paraId="4711BE31">
            <w:pPr>
              <w:pStyle w:val="3"/>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w:t>
            </w:r>
            <w:r>
              <w:rPr>
                <w:rFonts w:hint="default" w:ascii="Times New Roman" w:hAnsi="Times New Roman" w:cs="Times New Roman"/>
                <w:b/>
                <w:bCs/>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highlight w:val="none"/>
                <w14:textFill>
                  <w14:solidFill>
                    <w14:schemeClr w14:val="tx1"/>
                  </w14:solidFill>
                </w14:textFill>
              </w:rPr>
              <w:t>声环境</w:t>
            </w:r>
          </w:p>
          <w:p w14:paraId="4BA0446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根据《建设项目环境影响报告表编制指南（污染影响类）（试行）》，</w:t>
            </w:r>
            <w:r>
              <w:rPr>
                <w:rFonts w:hint="default" w:ascii="Times New Roman" w:hAnsi="Times New Roman" w:eastAsia="宋体" w:cs="Times New Roman"/>
                <w:bCs/>
                <w:color w:val="000000" w:themeColor="text1"/>
                <w:szCs w:val="21"/>
                <w:highlight w:val="none"/>
                <w14:textFill>
                  <w14:solidFill>
                    <w14:schemeClr w14:val="tx1"/>
                  </w14:solidFill>
                </w14:textFill>
              </w:rPr>
              <w:t>本项目厂界外50</w:t>
            </w: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szCs w:val="21"/>
                <w:highlight w:val="none"/>
                <w14:textFill>
                  <w14:solidFill>
                    <w14:schemeClr w14:val="tx1"/>
                  </w14:solidFill>
                </w14:textFill>
              </w:rPr>
              <w:t>范围内无声环境保护目标。</w:t>
            </w:r>
            <w:r>
              <w:rPr>
                <w:rFonts w:hint="eastAsia" w:cs="Times New Roman"/>
                <w:bCs/>
                <w:color w:val="000000" w:themeColor="text1"/>
                <w:szCs w:val="21"/>
                <w:highlight w:val="none"/>
                <w:lang w:val="en-US" w:eastAsia="zh-CN"/>
                <w14:textFill>
                  <w14:solidFill>
                    <w14:schemeClr w14:val="tx1"/>
                  </w14:solidFill>
                </w14:textFill>
              </w:rPr>
              <w:t>综上，本项目无声环境保护目标。</w:t>
            </w:r>
          </w:p>
          <w:p w14:paraId="010A354F">
            <w:pPr>
              <w:pStyle w:val="3"/>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w:t>
            </w:r>
            <w:r>
              <w:rPr>
                <w:rFonts w:hint="default" w:ascii="Times New Roman" w:hAnsi="Times New Roman" w:cs="Times New Roman"/>
                <w:b/>
                <w:bCs/>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highlight w:val="none"/>
                <w14:textFill>
                  <w14:solidFill>
                    <w14:schemeClr w14:val="tx1"/>
                  </w14:solidFill>
                </w14:textFill>
              </w:rPr>
              <w:t>地下水环境</w:t>
            </w:r>
          </w:p>
          <w:p w14:paraId="43ED64E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根据《建设项目环境影响报告表编制指南（污染影响类）（试行）》，</w:t>
            </w:r>
            <w:r>
              <w:rPr>
                <w:rFonts w:hint="default" w:ascii="Times New Roman" w:hAnsi="Times New Roman" w:eastAsia="宋体" w:cs="Times New Roman"/>
                <w:bCs/>
                <w:color w:val="000000" w:themeColor="text1"/>
                <w:szCs w:val="21"/>
                <w:highlight w:val="none"/>
                <w14:textFill>
                  <w14:solidFill>
                    <w14:schemeClr w14:val="tx1"/>
                  </w14:solidFill>
                </w14:textFill>
              </w:rPr>
              <w:t>本项目厂界外500</w:t>
            </w: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szCs w:val="21"/>
                <w:highlight w:val="none"/>
                <w14:textFill>
                  <w14:solidFill>
                    <w14:schemeClr w14:val="tx1"/>
                  </w14:solidFill>
                </w14:textFill>
              </w:rPr>
              <w:t>范围内无地下水集中式饮用水水源和热水、矿泉水、温泉等特殊地下水资源。</w:t>
            </w:r>
            <w:r>
              <w:rPr>
                <w:rFonts w:hint="eastAsia" w:cs="Times New Roman"/>
                <w:bCs/>
                <w:color w:val="000000" w:themeColor="text1"/>
                <w:szCs w:val="21"/>
                <w:highlight w:val="none"/>
                <w:lang w:val="en-US" w:eastAsia="zh-CN"/>
                <w14:textFill>
                  <w14:solidFill>
                    <w14:schemeClr w14:val="tx1"/>
                  </w14:solidFill>
                </w14:textFill>
              </w:rPr>
              <w:t>综上，本项目无地下水环境保护目标。</w:t>
            </w:r>
          </w:p>
          <w:p w14:paraId="442E160D">
            <w:pPr>
              <w:pStyle w:val="3"/>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w:t>
            </w:r>
            <w:r>
              <w:rPr>
                <w:rFonts w:hint="default" w:ascii="Times New Roman" w:hAnsi="Times New Roman" w:cs="Times New Roman"/>
                <w:b/>
                <w:bCs/>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highlight w:val="none"/>
                <w14:textFill>
                  <w14:solidFill>
                    <w14:schemeClr w14:val="tx1"/>
                  </w14:solidFill>
                </w14:textFill>
              </w:rPr>
              <w:t>生态环境</w:t>
            </w:r>
          </w:p>
          <w:p w14:paraId="3B18E41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本项目厂界外300m范围内无自然保护区、世界文化和自然遗产地等特殊生态敏感区，不涉及风景名胜区、森林公园、饮用水水源保护地等重要生态敏感区，项目不在和静县生态保护红线范围内。</w:t>
            </w:r>
            <w:r>
              <w:rPr>
                <w:rFonts w:hint="eastAsia" w:cs="Times New Roman"/>
                <w:color w:val="000000" w:themeColor="text1"/>
                <w:highlight w:val="none"/>
                <w:lang w:val="en-US" w:eastAsia="zh-CN"/>
                <w14:textFill>
                  <w14:solidFill>
                    <w14:schemeClr w14:val="tx1"/>
                  </w14:solidFill>
                </w14:textFill>
              </w:rPr>
              <w:t>综上，本项目无生态环境保护目标。</w:t>
            </w:r>
          </w:p>
        </w:tc>
      </w:tr>
      <w:tr w14:paraId="51B1A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2" w:type="dxa"/>
            <w:tcMar>
              <w:left w:w="28" w:type="dxa"/>
              <w:right w:w="28" w:type="dxa"/>
            </w:tcMar>
            <w:vAlign w:val="center"/>
          </w:tcPr>
          <w:p w14:paraId="6FAB8788">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污染物排放控制标准</w:t>
            </w:r>
          </w:p>
        </w:tc>
        <w:tc>
          <w:tcPr>
            <w:tcW w:w="8616" w:type="dxa"/>
          </w:tcPr>
          <w:p w14:paraId="2C549BD8">
            <w:pPr>
              <w:pStyle w:val="3"/>
              <w:bidi w:val="0"/>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3.1</w:t>
            </w:r>
            <w:r>
              <w:rPr>
                <w:rFonts w:hint="default" w:ascii="Times New Roman" w:hAnsi="Times New Roman" w:cs="Times New Roman"/>
                <w:b/>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b/>
                <w:color w:val="000000" w:themeColor="text1"/>
                <w:highlight w:val="none"/>
                <w14:textFill>
                  <w14:solidFill>
                    <w14:schemeClr w14:val="tx1"/>
                  </w14:solidFill>
                </w14:textFill>
              </w:rPr>
              <w:t>大气污染物排放标准</w:t>
            </w:r>
          </w:p>
          <w:p w14:paraId="73818584">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施工期扬尘执行《大气污染物综合排放标准》（GB16297-1996）</w:t>
            </w:r>
            <w:r>
              <w:rPr>
                <w:rFonts w:hint="default" w:ascii="Times New Roman" w:hAnsi="Times New Roman" w:cs="Times New Roman"/>
                <w:color w:val="000000" w:themeColor="text1"/>
                <w:highlight w:val="none"/>
                <w:lang w:val="en-US" w:eastAsia="zh-CN"/>
                <w14:textFill>
                  <w14:solidFill>
                    <w14:schemeClr w14:val="tx1"/>
                  </w14:solidFill>
                </w14:textFill>
              </w:rPr>
              <w:t>中相关</w:t>
            </w:r>
            <w:r>
              <w:rPr>
                <w:rFonts w:hint="default" w:ascii="Times New Roman" w:hAnsi="Times New Roman" w:cs="Times New Roman"/>
                <w:color w:val="000000" w:themeColor="text1"/>
                <w:highlight w:val="none"/>
                <w14:textFill>
                  <w14:solidFill>
                    <w14:schemeClr w14:val="tx1"/>
                  </w14:solidFill>
                </w14:textFill>
              </w:rPr>
              <w:t>限值；</w:t>
            </w:r>
          </w:p>
          <w:p w14:paraId="423FDB26">
            <w:pPr>
              <w:bidi w:val="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项目运营产</w:t>
            </w:r>
            <w:r>
              <w:rPr>
                <w:rFonts w:hint="default" w:ascii="Times New Roman" w:hAnsi="Times New Roman" w:cs="Times New Roman"/>
                <w:color w:val="000000" w:themeColor="text1"/>
                <w:highlight w:val="none"/>
                <w:lang w:eastAsia="zh-CN"/>
                <w14:textFill>
                  <w14:solidFill>
                    <w14:schemeClr w14:val="tx1"/>
                  </w14:solidFill>
                </w14:textFill>
              </w:rPr>
              <w:t>生的</w:t>
            </w:r>
            <w:r>
              <w:rPr>
                <w:rFonts w:hint="default" w:ascii="Times New Roman" w:hAnsi="Times New Roman" w:cs="Times New Roman"/>
                <w:color w:val="000000" w:themeColor="text1"/>
                <w:highlight w:val="none"/>
                <w:lang w:val="en-US" w:eastAsia="zh-CN"/>
                <w14:textFill>
                  <w14:solidFill>
                    <w14:schemeClr w14:val="tx1"/>
                  </w14:solidFill>
                </w14:textFill>
              </w:rPr>
              <w:t>有组织</w:t>
            </w:r>
            <w:r>
              <w:rPr>
                <w:rFonts w:hint="default" w:ascii="Times New Roman" w:hAnsi="Times New Roman" w:cs="Times New Roman"/>
                <w:color w:val="000000" w:themeColor="text1"/>
                <w:highlight w:val="none"/>
                <w14:textFill>
                  <w14:solidFill>
                    <w14:schemeClr w14:val="tx1"/>
                  </w14:solidFill>
                </w14:textFill>
              </w:rPr>
              <w:t>颗粒物排放执行《</w:t>
            </w:r>
            <w:r>
              <w:rPr>
                <w:rFonts w:hint="default" w:ascii="Times New Roman" w:hAnsi="Times New Roman"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cs="Times New Roman"/>
                <w:color w:val="000000" w:themeColor="text1"/>
                <w:highlight w:val="none"/>
                <w14:textFill>
                  <w14:solidFill>
                    <w14:schemeClr w14:val="tx1"/>
                  </w14:solidFill>
                </w14:textFill>
              </w:rPr>
              <w:t>》（GB</w:t>
            </w:r>
            <w:r>
              <w:rPr>
                <w:rFonts w:hint="default" w:ascii="Times New Roman" w:hAnsi="Times New Roman" w:cs="Times New Roman"/>
                <w:color w:val="000000" w:themeColor="text1"/>
                <w:highlight w:val="none"/>
                <w:lang w:val="en-US" w:eastAsia="zh-CN"/>
                <w14:textFill>
                  <w14:solidFill>
                    <w14:schemeClr w14:val="tx1"/>
                  </w14:solidFill>
                </w14:textFill>
              </w:rPr>
              <w:t>16297-1996</w:t>
            </w: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2中二级标准，无组织颗粒物排放执行</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cs="Times New Roman"/>
                <w:color w:val="000000" w:themeColor="text1"/>
                <w:highlight w:val="none"/>
                <w14:textFill>
                  <w14:solidFill>
                    <w14:schemeClr w14:val="tx1"/>
                  </w14:solidFill>
                </w14:textFill>
              </w:rPr>
              <w:t>》（GB</w:t>
            </w:r>
            <w:r>
              <w:rPr>
                <w:rFonts w:hint="default" w:ascii="Times New Roman" w:hAnsi="Times New Roman" w:cs="Times New Roman"/>
                <w:color w:val="000000" w:themeColor="text1"/>
                <w:highlight w:val="none"/>
                <w:lang w:val="en-US" w:eastAsia="zh-CN"/>
                <w14:textFill>
                  <w14:solidFill>
                    <w14:schemeClr w14:val="tx1"/>
                  </w14:solidFill>
                </w14:textFill>
              </w:rPr>
              <w:t>16297-1996</w:t>
            </w: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2中无组织排放浓度限值。</w:t>
            </w:r>
            <w:r>
              <w:rPr>
                <w:rFonts w:hint="default" w:ascii="Times New Roman" w:hAnsi="Times New Roman" w:cs="Times New Roman"/>
                <w:color w:val="000000" w:themeColor="text1"/>
                <w:highlight w:val="none"/>
                <w14:textFill>
                  <w14:solidFill>
                    <w14:schemeClr w14:val="tx1"/>
                  </w14:solidFill>
                </w14:textFill>
              </w:rPr>
              <w:t>具体限值见表3</w:t>
            </w:r>
            <w:r>
              <w:rPr>
                <w:rFonts w:hint="default" w:ascii="Times New Roman" w:hAnsi="Times New Roman" w:cs="Times New Roman"/>
                <w:color w:val="000000" w:themeColor="text1"/>
                <w:highlight w:val="none"/>
                <w:lang w:val="en-US" w:eastAsia="zh-CN"/>
                <w14:textFill>
                  <w14:solidFill>
                    <w14:schemeClr w14:val="tx1"/>
                  </w14:solidFill>
                </w14:textFill>
              </w:rPr>
              <w:t>.11-1</w:t>
            </w:r>
            <w:r>
              <w:rPr>
                <w:rFonts w:hint="default" w:ascii="Times New Roman" w:hAnsi="Times New Roman" w:cs="Times New Roman"/>
                <w:color w:val="000000" w:themeColor="text1"/>
                <w:highlight w:val="none"/>
                <w14:textFill>
                  <w14:solidFill>
                    <w14:schemeClr w14:val="tx1"/>
                  </w14:solidFill>
                </w14:textFill>
              </w:rPr>
              <w:t>。</w:t>
            </w:r>
          </w:p>
          <w:p w14:paraId="48D4AF0F">
            <w:pPr>
              <w:pStyle w:val="18"/>
              <w:bidi w:val="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表3</w:t>
            </w:r>
            <w:r>
              <w:rPr>
                <w:rFonts w:hint="default" w:ascii="Times New Roman" w:hAnsi="Times New Roman" w:cs="Times New Roman"/>
                <w:color w:val="000000" w:themeColor="text1"/>
                <w:highlight w:val="none"/>
                <w:lang w:val="en-US" w:eastAsia="zh-CN"/>
                <w14:textFill>
                  <w14:solidFill>
                    <w14:schemeClr w14:val="tx1"/>
                  </w14:solidFill>
                </w14:textFill>
              </w:rPr>
              <w:t>.11</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 xml:space="preserve">  大气污染物排放标准限值一览表</w:t>
            </w:r>
          </w:p>
          <w:tbl>
            <w:tblPr>
              <w:tblStyle w:val="11"/>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51"/>
              <w:gridCol w:w="1067"/>
              <w:gridCol w:w="1360"/>
              <w:gridCol w:w="1602"/>
              <w:gridCol w:w="2648"/>
            </w:tblGrid>
            <w:tr w14:paraId="77B378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tcBorders>
                    <w:tl2br w:val="nil"/>
                    <w:tr2bl w:val="nil"/>
                  </w:tcBorders>
                  <w:vAlign w:val="center"/>
                </w:tcPr>
                <w:p w14:paraId="2FC6930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w:t>
                  </w:r>
                </w:p>
              </w:tc>
              <w:tc>
                <w:tcPr>
                  <w:tcW w:w="508" w:type="pct"/>
                  <w:tcBorders>
                    <w:tl2br w:val="nil"/>
                    <w:tr2bl w:val="nil"/>
                  </w:tcBorders>
                  <w:vAlign w:val="center"/>
                </w:tcPr>
                <w:p w14:paraId="046FE27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排放形式</w:t>
                  </w:r>
                </w:p>
              </w:tc>
              <w:tc>
                <w:tcPr>
                  <w:tcW w:w="636" w:type="pct"/>
                  <w:tcBorders>
                    <w:tl2br w:val="nil"/>
                    <w:tr2bl w:val="nil"/>
                  </w:tcBorders>
                  <w:vAlign w:val="center"/>
                </w:tcPr>
                <w:p w14:paraId="7595B53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w:t>
                  </w:r>
                </w:p>
              </w:tc>
              <w:tc>
                <w:tcPr>
                  <w:tcW w:w="812" w:type="pct"/>
                  <w:tcBorders>
                    <w:tl2br w:val="nil"/>
                    <w:tr2bl w:val="nil"/>
                  </w:tcBorders>
                  <w:vAlign w:val="center"/>
                </w:tcPr>
                <w:p w14:paraId="3E51AE5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浓度限值（mg/m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w:t>
                  </w:r>
                </w:p>
              </w:tc>
              <w:tc>
                <w:tcPr>
                  <w:tcW w:w="955" w:type="pct"/>
                  <w:tcBorders>
                    <w:tl2br w:val="nil"/>
                    <w:tr2bl w:val="nil"/>
                  </w:tcBorders>
                  <w:vAlign w:val="center"/>
                </w:tcPr>
                <w:p w14:paraId="0F45EBC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最高允许排放速率</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15m高排气筒</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（kg/h）</w:t>
                  </w:r>
                </w:p>
              </w:tc>
              <w:tc>
                <w:tcPr>
                  <w:tcW w:w="1579" w:type="pct"/>
                  <w:tcBorders>
                    <w:tl2br w:val="nil"/>
                    <w:tr2bl w:val="nil"/>
                  </w:tcBorders>
                  <w:vAlign w:val="center"/>
                </w:tcPr>
                <w:p w14:paraId="4CF6718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执行标准</w:t>
                  </w:r>
                </w:p>
              </w:tc>
            </w:tr>
            <w:tr w14:paraId="562FF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8" w:type="pct"/>
                  <w:tcBorders>
                    <w:tl2br w:val="nil"/>
                    <w:tr2bl w:val="nil"/>
                  </w:tcBorders>
                  <w:vAlign w:val="center"/>
                </w:tcPr>
                <w:p w14:paraId="688FEF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施工期</w:t>
                  </w:r>
                </w:p>
              </w:tc>
              <w:tc>
                <w:tcPr>
                  <w:tcW w:w="508" w:type="pct"/>
                  <w:tcBorders>
                    <w:tl2br w:val="nil"/>
                    <w:tr2bl w:val="nil"/>
                  </w:tcBorders>
                  <w:vAlign w:val="center"/>
                </w:tcPr>
                <w:p w14:paraId="33BB9EB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c>
                <w:tcPr>
                  <w:tcW w:w="636" w:type="pct"/>
                  <w:tcBorders>
                    <w:tl2br w:val="nil"/>
                    <w:tr2bl w:val="nil"/>
                  </w:tcBorders>
                  <w:vAlign w:val="center"/>
                </w:tcPr>
                <w:p w14:paraId="7E93EC9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812" w:type="pct"/>
                  <w:tcBorders>
                    <w:tl2br w:val="nil"/>
                    <w:tr2bl w:val="nil"/>
                  </w:tcBorders>
                  <w:vAlign w:val="center"/>
                </w:tcPr>
                <w:p w14:paraId="7BB5C0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955" w:type="pct"/>
                  <w:tcBorders>
                    <w:tl2br w:val="nil"/>
                    <w:tr2bl w:val="nil"/>
                  </w:tcBorders>
                  <w:vAlign w:val="center"/>
                </w:tcPr>
                <w:p w14:paraId="6BA5D1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579" w:type="pct"/>
                  <w:tcBorders>
                    <w:tl2br w:val="nil"/>
                    <w:tr2bl w:val="nil"/>
                  </w:tcBorders>
                  <w:vAlign w:val="center"/>
                </w:tcPr>
                <w:p w14:paraId="72D3846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16297-1996）</w:t>
                  </w:r>
                </w:p>
              </w:tc>
            </w:tr>
            <w:tr w14:paraId="434CE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Merge w:val="restart"/>
                  <w:tcBorders>
                    <w:tl2br w:val="nil"/>
                    <w:tr2bl w:val="nil"/>
                  </w:tcBorders>
                  <w:vAlign w:val="center"/>
                </w:tcPr>
                <w:p w14:paraId="76B8072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运营期</w:t>
                  </w:r>
                </w:p>
              </w:tc>
              <w:tc>
                <w:tcPr>
                  <w:tcW w:w="508" w:type="pct"/>
                  <w:tcBorders>
                    <w:tl2br w:val="nil"/>
                    <w:tr2bl w:val="nil"/>
                  </w:tcBorders>
                  <w:vAlign w:val="center"/>
                </w:tcPr>
                <w:p w14:paraId="7AA2D49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无组织</w:t>
                  </w:r>
                </w:p>
              </w:tc>
              <w:tc>
                <w:tcPr>
                  <w:tcW w:w="636" w:type="pct"/>
                  <w:tcBorders>
                    <w:tl2br w:val="nil"/>
                    <w:tr2bl w:val="nil"/>
                  </w:tcBorders>
                  <w:vAlign w:val="center"/>
                </w:tcPr>
                <w:p w14:paraId="5469949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颗粒物</w:t>
                  </w:r>
                </w:p>
              </w:tc>
              <w:tc>
                <w:tcPr>
                  <w:tcW w:w="812" w:type="pct"/>
                  <w:tcBorders>
                    <w:tl2br w:val="nil"/>
                    <w:tr2bl w:val="nil"/>
                  </w:tcBorders>
                  <w:vAlign w:val="center"/>
                </w:tcPr>
                <w:p w14:paraId="4AC13A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955" w:type="pct"/>
                  <w:tcBorders>
                    <w:tl2br w:val="nil"/>
                    <w:tr2bl w:val="nil"/>
                  </w:tcBorders>
                  <w:vAlign w:val="center"/>
                </w:tcPr>
                <w:p w14:paraId="19C6F1D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1579" w:type="pct"/>
                  <w:tcBorders>
                    <w:tl2br w:val="nil"/>
                    <w:tr2bl w:val="nil"/>
                  </w:tcBorders>
                  <w:vAlign w:val="center"/>
                </w:tcPr>
                <w:p w14:paraId="24E256E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16297-1996）</w:t>
                  </w:r>
                  <w:r>
                    <w:rPr>
                      <w:rFonts w:hint="default" w:ascii="Times New Roman" w:hAnsi="Times New Roman" w:cs="Times New Roman"/>
                      <w:color w:val="000000" w:themeColor="text1"/>
                      <w:highlight w:val="none"/>
                      <w:lang w:val="en-US" w:eastAsia="zh-CN"/>
                      <w14:textFill>
                        <w14:solidFill>
                          <w14:schemeClr w14:val="tx1"/>
                        </w14:solidFill>
                      </w14:textFill>
                    </w:rPr>
                    <w:t>表2</w:t>
                  </w:r>
                </w:p>
              </w:tc>
            </w:tr>
            <w:tr w14:paraId="08A47C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Merge w:val="continue"/>
                  <w:tcBorders>
                    <w:tl2br w:val="nil"/>
                    <w:tr2bl w:val="nil"/>
                  </w:tcBorders>
                  <w:vAlign w:val="center"/>
                </w:tcPr>
                <w:p w14:paraId="5521E05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08" w:type="pct"/>
                  <w:tcBorders>
                    <w:tl2br w:val="nil"/>
                    <w:tr2bl w:val="nil"/>
                  </w:tcBorders>
                  <w:vAlign w:val="center"/>
                </w:tcPr>
                <w:p w14:paraId="0FD6C1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有组织</w:t>
                  </w:r>
                </w:p>
              </w:tc>
              <w:tc>
                <w:tcPr>
                  <w:tcW w:w="636" w:type="pct"/>
                  <w:tcBorders>
                    <w:tl2br w:val="nil"/>
                    <w:tr2bl w:val="nil"/>
                  </w:tcBorders>
                  <w:shd w:val="clear" w:color="auto" w:fill="auto"/>
                  <w:vAlign w:val="center"/>
                </w:tcPr>
                <w:p w14:paraId="090F32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颗粒物</w:t>
                  </w:r>
                </w:p>
              </w:tc>
              <w:tc>
                <w:tcPr>
                  <w:tcW w:w="812" w:type="pct"/>
                  <w:tcBorders>
                    <w:tl2br w:val="nil"/>
                    <w:tr2bl w:val="nil"/>
                  </w:tcBorders>
                  <w:shd w:val="clear" w:color="auto" w:fill="auto"/>
                  <w:vAlign w:val="center"/>
                </w:tcPr>
                <w:p w14:paraId="3A92EA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120</w:t>
                  </w:r>
                </w:p>
              </w:tc>
              <w:tc>
                <w:tcPr>
                  <w:tcW w:w="955" w:type="pct"/>
                  <w:tcBorders>
                    <w:tl2br w:val="nil"/>
                    <w:tr2bl w:val="nil"/>
                  </w:tcBorders>
                  <w:shd w:val="clear" w:color="auto" w:fill="auto"/>
                  <w:vAlign w:val="center"/>
                </w:tcPr>
                <w:p w14:paraId="58B760B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15m</w:t>
                  </w:r>
                </w:p>
              </w:tc>
              <w:tc>
                <w:tcPr>
                  <w:tcW w:w="1579" w:type="pct"/>
                  <w:tcBorders>
                    <w:tl2br w:val="nil"/>
                    <w:tr2bl w:val="nil"/>
                  </w:tcBorders>
                  <w:shd w:val="clear" w:color="auto" w:fill="auto"/>
                  <w:vAlign w:val="center"/>
                </w:tcPr>
                <w:p w14:paraId="7F0B313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16297-1996）表</w:t>
                  </w:r>
                  <w:r>
                    <w:rPr>
                      <w:rFonts w:hint="default" w:ascii="Times New Roman" w:hAnsi="Times New Roman" w:cs="Times New Roman"/>
                      <w:color w:val="000000" w:themeColor="text1"/>
                      <w:highlight w:val="none"/>
                      <w:lang w:val="en-US" w:eastAsia="zh-CN"/>
                      <w14:textFill>
                        <w14:solidFill>
                          <w14:schemeClr w14:val="tx1"/>
                        </w14:solidFill>
                      </w14:textFill>
                    </w:rPr>
                    <w:t>2二级标准</w:t>
                  </w:r>
                </w:p>
              </w:tc>
            </w:tr>
          </w:tbl>
          <w:p w14:paraId="3B97BF47">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非道路移动机械废气参照执行《非道路移动机械用柴油机排气污染物排放限值及测量方法（中国第三、四阶段）》（GB 20891-2014）及修改单中第四阶段排放限值要求，详见表3.11-2。</w:t>
            </w:r>
          </w:p>
          <w:p w14:paraId="74AAC886">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 xml:space="preserve">3.11-2   </w:t>
            </w:r>
            <w:r>
              <w:rPr>
                <w:rFonts w:hint="default" w:ascii="Times New Roman" w:hAnsi="Times New Roman" w:cs="Times New Roman"/>
                <w:color w:val="000000" w:themeColor="text1"/>
                <w:highlight w:val="none"/>
                <w:lang w:eastAsia="zh-CN"/>
                <w14:textFill>
                  <w14:solidFill>
                    <w14:schemeClr w14:val="tx1"/>
                  </w14:solidFill>
                </w14:textFill>
              </w:rPr>
              <w:t>非道路移动机械用柴油机排气污染物排放限值</w:t>
            </w:r>
          </w:p>
          <w:tbl>
            <w:tblPr>
              <w:tblStyle w:val="1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040"/>
              <w:gridCol w:w="1284"/>
              <w:gridCol w:w="1121"/>
              <w:gridCol w:w="1134"/>
              <w:gridCol w:w="1802"/>
              <w:gridCol w:w="1298"/>
            </w:tblGrid>
            <w:tr w14:paraId="4A9D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0" w:type="pct"/>
                  <w:tcBorders>
                    <w:tl2br w:val="nil"/>
                    <w:tr2bl w:val="nil"/>
                  </w:tcBorders>
                  <w:noWrap w:val="0"/>
                  <w:vAlign w:val="center"/>
                </w:tcPr>
                <w:p w14:paraId="6B561D1A">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阶段</w:t>
                  </w:r>
                </w:p>
              </w:tc>
              <w:tc>
                <w:tcPr>
                  <w:tcW w:w="620" w:type="pct"/>
                  <w:tcBorders>
                    <w:tl2br w:val="nil"/>
                    <w:tr2bl w:val="nil"/>
                  </w:tcBorders>
                  <w:noWrap w:val="0"/>
                  <w:vAlign w:val="center"/>
                </w:tcPr>
                <w:p w14:paraId="161E50DF">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额定功率</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kW</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766" w:type="pct"/>
                  <w:tcBorders>
                    <w:tl2br w:val="nil"/>
                    <w:tr2bl w:val="nil"/>
                  </w:tcBorders>
                  <w:noWrap w:val="0"/>
                  <w:vAlign w:val="center"/>
                </w:tcPr>
                <w:p w14:paraId="0E420ABD">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CO(g/kWh)</w:t>
                  </w:r>
                </w:p>
              </w:tc>
              <w:tc>
                <w:tcPr>
                  <w:tcW w:w="668" w:type="pct"/>
                  <w:tcBorders>
                    <w:tl2br w:val="nil"/>
                    <w:tr2bl w:val="nil"/>
                  </w:tcBorders>
                  <w:noWrap w:val="0"/>
                  <w:vAlign w:val="center"/>
                </w:tcPr>
                <w:p w14:paraId="636381EB">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HC</w:t>
                  </w:r>
                  <w:r>
                    <w:rPr>
                      <w:rFonts w:hint="default" w:ascii="Times New Roman" w:hAnsi="Times New Roman" w:cs="Times New Roman"/>
                      <w:color w:val="000000" w:themeColor="text1"/>
                      <w:sz w:val="21"/>
                      <w:szCs w:val="21"/>
                      <w:highlight w:val="none"/>
                      <w14:textFill>
                        <w14:solidFill>
                          <w14:schemeClr w14:val="tx1"/>
                        </w14:solidFill>
                      </w14:textFill>
                    </w:rPr>
                    <w:t>(g/kWh)</w:t>
                  </w:r>
                </w:p>
              </w:tc>
              <w:tc>
                <w:tcPr>
                  <w:tcW w:w="676" w:type="pct"/>
                  <w:tcBorders>
                    <w:tl2br w:val="nil"/>
                    <w:tr2bl w:val="nil"/>
                  </w:tcBorders>
                  <w:noWrap w:val="0"/>
                  <w:vAlign w:val="center"/>
                </w:tcPr>
                <w:p w14:paraId="28447DBA">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NO</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x</w:t>
                  </w:r>
                  <w:r>
                    <w:rPr>
                      <w:rFonts w:hint="default" w:ascii="Times New Roman" w:hAnsi="Times New Roman" w:cs="Times New Roman"/>
                      <w:color w:val="000000" w:themeColor="text1"/>
                      <w:sz w:val="21"/>
                      <w:szCs w:val="21"/>
                      <w:highlight w:val="none"/>
                      <w14:textFill>
                        <w14:solidFill>
                          <w14:schemeClr w14:val="tx1"/>
                        </w14:solidFill>
                      </w14:textFill>
                    </w:rPr>
                    <w:t>(g/kWh)</w:t>
                  </w:r>
                </w:p>
              </w:tc>
              <w:tc>
                <w:tcPr>
                  <w:tcW w:w="1074" w:type="pct"/>
                  <w:tcBorders>
                    <w:tl2br w:val="nil"/>
                    <w:tr2bl w:val="nil"/>
                  </w:tcBorders>
                  <w:noWrap w:val="0"/>
                  <w:vAlign w:val="center"/>
                </w:tcPr>
                <w:p w14:paraId="67A79662">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HC</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NOₓ</w:t>
                  </w:r>
                  <w:r>
                    <w:rPr>
                      <w:rFonts w:hint="default" w:ascii="Times New Roman" w:hAnsi="Times New Roman" w:cs="Times New Roman"/>
                      <w:color w:val="000000" w:themeColor="text1"/>
                      <w:sz w:val="21"/>
                      <w:szCs w:val="21"/>
                      <w:highlight w:val="none"/>
                      <w14:textFill>
                        <w14:solidFill>
                          <w14:schemeClr w14:val="tx1"/>
                        </w14:solidFill>
                      </w14:textFill>
                    </w:rPr>
                    <w:t>(g/kWh)</w:t>
                  </w:r>
                </w:p>
              </w:tc>
              <w:tc>
                <w:tcPr>
                  <w:tcW w:w="773" w:type="pct"/>
                  <w:tcBorders>
                    <w:tl2br w:val="nil"/>
                    <w:tr2bl w:val="nil"/>
                  </w:tcBorders>
                  <w:noWrap w:val="0"/>
                  <w:vAlign w:val="center"/>
                </w:tcPr>
                <w:p w14:paraId="58B55741">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PM(g/kWh)</w:t>
                  </w:r>
                </w:p>
              </w:tc>
            </w:tr>
            <w:tr w14:paraId="14DE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0" w:type="pct"/>
                  <w:tcBorders>
                    <w:tl2br w:val="nil"/>
                    <w:tr2bl w:val="nil"/>
                  </w:tcBorders>
                  <w:noWrap w:val="0"/>
                  <w:vAlign w:val="center"/>
                </w:tcPr>
                <w:p w14:paraId="4BA4D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第</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w:t>
                  </w:r>
                  <w:r>
                    <w:rPr>
                      <w:rFonts w:hint="default" w:ascii="Times New Roman" w:hAnsi="Times New Roman" w:cs="Times New Roman"/>
                      <w:color w:val="000000" w:themeColor="text1"/>
                      <w:sz w:val="21"/>
                      <w:szCs w:val="21"/>
                      <w:highlight w:val="none"/>
                      <w14:textFill>
                        <w14:solidFill>
                          <w14:schemeClr w14:val="tx1"/>
                        </w14:solidFill>
                      </w14:textFill>
                    </w:rPr>
                    <w:t>阶段</w:t>
                  </w:r>
                </w:p>
              </w:tc>
              <w:tc>
                <w:tcPr>
                  <w:tcW w:w="620" w:type="pct"/>
                  <w:tcBorders>
                    <w:tl2br w:val="nil"/>
                    <w:tr2bl w:val="nil"/>
                  </w:tcBorders>
                  <w:noWrap w:val="0"/>
                  <w:vAlign w:val="center"/>
                </w:tcPr>
                <w:p w14:paraId="2F7784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P</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max</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＜130</w:t>
                  </w:r>
                </w:p>
              </w:tc>
              <w:tc>
                <w:tcPr>
                  <w:tcW w:w="766" w:type="pct"/>
                  <w:tcBorders>
                    <w:tl2br w:val="nil"/>
                    <w:tr2bl w:val="nil"/>
                  </w:tcBorders>
                  <w:noWrap w:val="0"/>
                  <w:vAlign w:val="center"/>
                </w:tcPr>
                <w:p w14:paraId="44D01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w:t>
                  </w:r>
                </w:p>
              </w:tc>
              <w:tc>
                <w:tcPr>
                  <w:tcW w:w="668" w:type="pct"/>
                  <w:tcBorders>
                    <w:tl2br w:val="nil"/>
                    <w:tr2bl w:val="nil"/>
                  </w:tcBorders>
                  <w:noWrap w:val="0"/>
                  <w:vAlign w:val="center"/>
                </w:tcPr>
                <w:p w14:paraId="76621F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0.19</w:t>
                  </w:r>
                </w:p>
              </w:tc>
              <w:tc>
                <w:tcPr>
                  <w:tcW w:w="676" w:type="pct"/>
                  <w:tcBorders>
                    <w:tl2br w:val="nil"/>
                    <w:tr2bl w:val="nil"/>
                  </w:tcBorders>
                  <w:noWrap w:val="0"/>
                  <w:vAlign w:val="center"/>
                </w:tcPr>
                <w:p w14:paraId="0D9C0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3.3</w:t>
                  </w:r>
                </w:p>
              </w:tc>
              <w:tc>
                <w:tcPr>
                  <w:tcW w:w="1074" w:type="pct"/>
                  <w:tcBorders>
                    <w:tl2br w:val="nil"/>
                    <w:tr2bl w:val="nil"/>
                  </w:tcBorders>
                  <w:noWrap w:val="0"/>
                  <w:vAlign w:val="center"/>
                </w:tcPr>
                <w:p w14:paraId="2BAC6E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773" w:type="pct"/>
                  <w:tcBorders>
                    <w:tl2br w:val="nil"/>
                    <w:tr2bl w:val="nil"/>
                  </w:tcBorders>
                  <w:noWrap w:val="0"/>
                  <w:vAlign w:val="center"/>
                </w:tcPr>
                <w:p w14:paraId="25AA6B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0.025</w:t>
                  </w:r>
                </w:p>
              </w:tc>
            </w:tr>
          </w:tbl>
          <w:p w14:paraId="39E1E5EB">
            <w:pPr>
              <w:pStyle w:val="3"/>
              <w:bidi w:val="0"/>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3.1</w:t>
            </w:r>
            <w:r>
              <w:rPr>
                <w:rFonts w:hint="default" w:ascii="Times New Roman" w:hAnsi="Times New Roman" w:cs="Times New Roman"/>
                <w:b/>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highlight w:val="none"/>
                <w14:textFill>
                  <w14:solidFill>
                    <w14:schemeClr w14:val="tx1"/>
                  </w14:solidFill>
                </w14:textFill>
              </w:rPr>
              <w:t>噪声排放标准</w:t>
            </w:r>
          </w:p>
          <w:p w14:paraId="21389F04">
            <w:pPr>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施工噪声排放执行</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建筑施工噪声排放标准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 12523-2025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相关规定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即昼间≤</w:t>
            </w:r>
            <w:r>
              <w:rPr>
                <w:rFonts w:hint="default" w:ascii="Times New Roman" w:hAnsi="Times New Roman" w:cs="Times New Roman"/>
                <w:color w:val="000000" w:themeColor="text1"/>
                <w:highlight w:val="none"/>
                <w:lang w:val="en-US" w:eastAsia="zh-CN"/>
                <w14:textFill>
                  <w14:solidFill>
                    <w14:schemeClr w14:val="tx1"/>
                  </w14:solidFill>
                </w14:textFill>
              </w:rPr>
              <w:t>70</w:t>
            </w:r>
            <w:r>
              <w:rPr>
                <w:rFonts w:hint="default" w:ascii="Times New Roman" w:hAnsi="Times New Roman" w:cs="Times New Roman"/>
                <w:color w:val="000000" w:themeColor="text1"/>
                <w:highlight w:val="none"/>
                <w14:textFill>
                  <w14:solidFill>
                    <w14:schemeClr w14:val="tx1"/>
                  </w14:solidFill>
                </w14:textFill>
              </w:rPr>
              <w:t>dB(A)，夜间≤5</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dB(A)</w:t>
            </w:r>
            <w:r>
              <w:rPr>
                <w:rFonts w:hint="default" w:ascii="Times New Roman" w:hAnsi="Times New Roman" w:cs="Times New Roman"/>
                <w:color w:val="000000" w:themeColor="text1"/>
                <w:highlight w:val="none"/>
                <w:lang w:eastAsia="zh-CN"/>
                <w14:textFill>
                  <w14:solidFill>
                    <w14:schemeClr w14:val="tx1"/>
                  </w14:solidFill>
                </w14:textFill>
              </w:rPr>
              <w:t>。</w:t>
            </w:r>
          </w:p>
          <w:p w14:paraId="1536E4E2">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运营期噪声执行《工业企业厂界环境噪声排放标准》（GB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12348-2008）中</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类标准，即昼间≤</w:t>
            </w:r>
            <w:r>
              <w:rPr>
                <w:rFonts w:hint="default" w:ascii="Times New Roman" w:hAnsi="Times New Roman" w:eastAsia="宋体" w:cs="Times New Roman"/>
                <w:color w:val="000000" w:themeColor="text1"/>
                <w:highlight w:val="none"/>
                <w:lang w:val="en-US" w:eastAsia="zh-CN"/>
                <w14:textFill>
                  <w14:solidFill>
                    <w14:schemeClr w14:val="tx1"/>
                  </w14:solidFill>
                </w14:textFill>
              </w:rPr>
              <w:t>60</w:t>
            </w:r>
            <w:r>
              <w:rPr>
                <w:rFonts w:hint="default" w:ascii="Times New Roman" w:hAnsi="Times New Roman" w:eastAsia="宋体" w:cs="Times New Roman"/>
                <w:color w:val="000000" w:themeColor="text1"/>
                <w:highlight w:val="none"/>
                <w14:textFill>
                  <w14:solidFill>
                    <w14:schemeClr w14:val="tx1"/>
                  </w14:solidFill>
                </w14:textFill>
              </w:rPr>
              <w:t>dB(A)，夜间≤</w:t>
            </w:r>
            <w:r>
              <w:rPr>
                <w:rFonts w:hint="default" w:ascii="Times New Roman" w:hAnsi="Times New Roman" w:eastAsia="宋体" w:cs="Times New Roman"/>
                <w:color w:val="000000" w:themeColor="text1"/>
                <w:highlight w:val="none"/>
                <w:lang w:val="en-US" w:eastAsia="zh-CN"/>
                <w14:textFill>
                  <w14:solidFill>
                    <w14:schemeClr w14:val="tx1"/>
                  </w14:solidFill>
                </w14:textFill>
              </w:rPr>
              <w:t>50</w:t>
            </w:r>
            <w:r>
              <w:rPr>
                <w:rFonts w:hint="default" w:ascii="Times New Roman" w:hAnsi="Times New Roman" w:eastAsia="宋体" w:cs="Times New Roman"/>
                <w:color w:val="000000" w:themeColor="text1"/>
                <w:highlight w:val="none"/>
                <w14:textFill>
                  <w14:solidFill>
                    <w14:schemeClr w14:val="tx1"/>
                  </w14:solidFill>
                </w14:textFill>
              </w:rPr>
              <w:t>dB(A)。</w:t>
            </w:r>
          </w:p>
          <w:p w14:paraId="435699E2">
            <w:pPr>
              <w:pStyle w:val="3"/>
              <w:bidi w:val="0"/>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3.1</w:t>
            </w:r>
            <w:r>
              <w:rPr>
                <w:rFonts w:hint="default" w:ascii="Times New Roman" w:hAnsi="Times New Roman" w:cs="Times New Roman"/>
                <w:b/>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highlight w:val="none"/>
                <w14:textFill>
                  <w14:solidFill>
                    <w14:schemeClr w14:val="tx1"/>
                  </w14:solidFill>
                </w14:textFill>
              </w:rPr>
              <w:t>固废排放标准</w:t>
            </w:r>
          </w:p>
          <w:p w14:paraId="625DC64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本项目产生的固体废</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弃</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物其贮存参考《一般工业固体废弃物贮存和填埋污染控制标准》（GB18599-2020）中防渗漏、防雨淋、防扬尘等环境保护要求。</w:t>
            </w:r>
          </w:p>
          <w:p w14:paraId="177D7A1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危险废物贮存执行《危险废物贮存污染控制标准》（GB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18597-2023）。</w:t>
            </w:r>
          </w:p>
          <w:p w14:paraId="241675E9">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生活垃圾执行《生活垃圾填埋场污染控制标准》（GB</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 xml:space="preserve"> </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16889-2024）。</w:t>
            </w:r>
          </w:p>
        </w:tc>
      </w:tr>
      <w:tr w14:paraId="1C1BF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392" w:type="dxa"/>
            <w:vAlign w:val="center"/>
          </w:tcPr>
          <w:p w14:paraId="28979CCB">
            <w:pPr>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总量控制指</w:t>
            </w:r>
            <w:r>
              <w:rPr>
                <w:rFonts w:hint="default" w:ascii="Times New Roman" w:hAnsi="Times New Roman" w:cs="Times New Roman"/>
                <w:color w:val="000000" w:themeColor="text1"/>
                <w:highlight w:val="none"/>
                <w14:textFill>
                  <w14:solidFill>
                    <w14:schemeClr w14:val="tx1"/>
                  </w14:solidFill>
                </w14:textFill>
              </w:rPr>
              <w:t>标</w:t>
            </w:r>
          </w:p>
        </w:tc>
        <w:tc>
          <w:tcPr>
            <w:tcW w:w="8616" w:type="dxa"/>
            <w:vAlign w:val="center"/>
          </w:tcPr>
          <w:p w14:paraId="10F6C581">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w:t>
            </w:r>
          </w:p>
        </w:tc>
      </w:tr>
    </w:tbl>
    <w:p w14:paraId="646A2E4D">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eastAsia="黑体" w:cs="Times New Roman"/>
          <w:color w:val="000000" w:themeColor="text1"/>
          <w:sz w:val="36"/>
          <w:szCs w:val="36"/>
          <w:highlight w:val="none"/>
          <w14:textFill>
            <w14:solidFill>
              <w14:schemeClr w14:val="tx1"/>
            </w14:solidFill>
          </w14:textFill>
        </w:rPr>
        <w:br w:type="page"/>
      </w:r>
      <w:r>
        <w:rPr>
          <w:rFonts w:hint="default" w:ascii="Times New Roman" w:hAnsi="Times New Roman" w:eastAsia="黑体" w:cs="Times New Roman"/>
          <w:color w:val="000000" w:themeColor="text1"/>
          <w:sz w:val="30"/>
          <w:szCs w:val="30"/>
          <w:highlight w:val="none"/>
          <w14:textFill>
            <w14:solidFill>
              <w14:schemeClr w14:val="tx1"/>
            </w14:solidFill>
          </w14:textFill>
        </w:rPr>
        <w:t>四、主要环境影响和保护措施</w:t>
      </w:r>
    </w:p>
    <w:tbl>
      <w:tblPr>
        <w:tblStyle w:val="11"/>
        <w:tblW w:w="89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1"/>
        <w:gridCol w:w="8461"/>
      </w:tblGrid>
      <w:tr w14:paraId="0E3C5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42" w:hRule="atLeast"/>
          <w:jc w:val="center"/>
        </w:trPr>
        <w:tc>
          <w:tcPr>
            <w:tcW w:w="461" w:type="dxa"/>
            <w:tcMar>
              <w:left w:w="28" w:type="dxa"/>
              <w:right w:w="28" w:type="dxa"/>
            </w:tcMar>
            <w:vAlign w:val="center"/>
          </w:tcPr>
          <w:p w14:paraId="4405210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default" w:ascii="Times New Roman" w:hAnsi="Times New Roman" w:cs="Times New Roman"/>
                <w:color w:val="000000" w:themeColor="text1"/>
                <w:kern w:val="2"/>
                <w:highlight w:val="none"/>
                <w14:textFill>
                  <w14:solidFill>
                    <w14:schemeClr w14:val="tx1"/>
                  </w14:solidFill>
                </w14:textFill>
              </w:rPr>
              <w:t>施工期环境保护措</w:t>
            </w:r>
            <w:r>
              <w:rPr>
                <w:rFonts w:hint="eastAsia" w:cs="Times New Roman"/>
                <w:color w:val="000000" w:themeColor="text1"/>
                <w:kern w:val="2"/>
                <w:highlight w:val="none"/>
                <w:lang w:val="en-US" w:eastAsia="zh-CN"/>
                <w14:textFill>
                  <w14:solidFill>
                    <w14:schemeClr w14:val="tx1"/>
                  </w14:solidFill>
                </w14:textFill>
              </w:rPr>
              <w:t>施</w:t>
            </w:r>
          </w:p>
          <w:p w14:paraId="4525457A">
            <w:pPr>
              <w:jc w:val="center"/>
              <w:rPr>
                <w:rFonts w:hint="default" w:ascii="Times New Roman" w:hAnsi="Times New Roman" w:cs="Times New Roman"/>
                <w:bCs/>
                <w:color w:val="000000" w:themeColor="text1"/>
                <w:kern w:val="2"/>
                <w:highlight w:val="none"/>
                <w14:textFill>
                  <w14:solidFill>
                    <w14:schemeClr w14:val="tx1"/>
                  </w14:solidFill>
                </w14:textFill>
              </w:rPr>
            </w:pPr>
            <w:r>
              <w:rPr>
                <w:rFonts w:hint="default" w:ascii="Times New Roman" w:hAnsi="Times New Roman" w:cs="Times New Roman"/>
                <w:color w:val="000000" w:themeColor="text1"/>
                <w:kern w:val="2"/>
                <w:highlight w:val="none"/>
                <w14:textFill>
                  <w14:solidFill>
                    <w14:schemeClr w14:val="tx1"/>
                  </w14:solidFill>
                </w14:textFill>
              </w:rPr>
              <w:t>施</w:t>
            </w:r>
          </w:p>
        </w:tc>
        <w:tc>
          <w:tcPr>
            <w:tcW w:w="8461" w:type="dxa"/>
          </w:tcPr>
          <w:p w14:paraId="2963D1FB">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4.1施工期环境影响分析</w:t>
            </w:r>
          </w:p>
          <w:p w14:paraId="078B5991">
            <w:pPr>
              <w:pageBreakBefore w:val="0"/>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本项目施工期主要的环境影响为</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施工</w:t>
            </w:r>
            <w:r>
              <w:rPr>
                <w:rFonts w:hint="default" w:ascii="Times New Roman" w:hAnsi="Times New Roman" w:eastAsia="宋体" w:cs="Times New Roman"/>
                <w:b w:val="0"/>
                <w:bCs w:val="0"/>
                <w:color w:val="000000" w:themeColor="text1"/>
                <w:highlight w:val="none"/>
                <w14:textFill>
                  <w14:solidFill>
                    <w14:schemeClr w14:val="tx1"/>
                  </w14:solidFill>
                </w14:textFill>
              </w:rPr>
              <w:t>过程产生的废水、废气、噪声、固体废物排放对环境的影响。</w:t>
            </w:r>
          </w:p>
          <w:p w14:paraId="315EEF33">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3" w:name="_Toc417384482"/>
            <w:bookmarkStart w:id="4" w:name="_Toc417384594"/>
            <w:bookmarkStart w:id="5" w:name="_Toc417384593"/>
            <w:bookmarkStart w:id="6" w:name="_Toc417384481"/>
            <w:r>
              <w:rPr>
                <w:rFonts w:hint="default" w:ascii="Times New Roman" w:hAnsi="Times New Roman" w:eastAsia="宋体" w:cs="Times New Roman"/>
                <w:b/>
                <w:bCs/>
                <w:color w:val="000000" w:themeColor="text1"/>
                <w:highlight w:val="none"/>
                <w14:textFill>
                  <w14:solidFill>
                    <w14:schemeClr w14:val="tx1"/>
                  </w14:solidFill>
                </w14:textFill>
              </w:rPr>
              <w:t>4.1.</w:t>
            </w:r>
            <w:bookmarkEnd w:id="3"/>
            <w:bookmarkEnd w:id="4"/>
            <w:r>
              <w:rPr>
                <w:rFonts w:hint="default" w:ascii="Times New Roman" w:hAnsi="Times New Roman" w:eastAsia="宋体" w:cs="Times New Roman"/>
                <w:b/>
                <w:bCs/>
                <w:color w:val="000000" w:themeColor="text1"/>
                <w:highlight w:val="none"/>
                <w14:textFill>
                  <w14:solidFill>
                    <w14:schemeClr w14:val="tx1"/>
                  </w14:solidFill>
                </w14:textFill>
              </w:rPr>
              <w:t>1</w:t>
            </w:r>
            <w:r>
              <w:rPr>
                <w:rFonts w:hint="default" w:ascii="Times New Roman" w:hAnsi="Times New Roman" w:cs="Times New Roman"/>
                <w:b/>
                <w:bCs/>
                <w:color w:val="000000" w:themeColor="text1"/>
                <w:highlight w:val="none"/>
                <w:lang w:val="en-US" w:eastAsia="zh-CN"/>
                <w14:textFill>
                  <w14:solidFill>
                    <w14:schemeClr w14:val="tx1"/>
                  </w14:solidFill>
                </w14:textFill>
              </w:rPr>
              <w:t>大气环境影响分析</w:t>
            </w:r>
            <w:r>
              <w:rPr>
                <w:rFonts w:hint="eastAsia" w:cs="Times New Roman"/>
                <w:b/>
                <w:bCs/>
                <w:color w:val="000000" w:themeColor="text1"/>
                <w:highlight w:val="none"/>
                <w:lang w:val="en-US" w:eastAsia="zh-CN"/>
                <w14:textFill>
                  <w14:solidFill>
                    <w14:schemeClr w14:val="tx1"/>
                  </w14:solidFill>
                </w14:textFill>
              </w:rPr>
              <w:t>及防治措施</w:t>
            </w:r>
          </w:p>
          <w:p w14:paraId="27D6E21F">
            <w:pPr>
              <w:keepNext/>
              <w:keepLines/>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2"/>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拟建项目在建设过程中，大气污染物主要包括施工作业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设备</w:t>
            </w:r>
            <w:r>
              <w:rPr>
                <w:rFonts w:hint="default" w:ascii="Times New Roman" w:hAnsi="Times New Roman" w:cs="Times New Roman"/>
                <w:color w:val="000000" w:themeColor="text1"/>
                <w:highlight w:val="none"/>
                <w:lang w:val="en-US" w:eastAsia="zh-CN"/>
                <w14:textFill>
                  <w14:solidFill>
                    <w14:schemeClr w14:val="tx1"/>
                  </w14:solidFill>
                </w14:textFill>
              </w:rPr>
              <w:t>安装</w:t>
            </w:r>
            <w:r>
              <w:rPr>
                <w:rFonts w:hint="default" w:ascii="Times New Roman" w:hAnsi="Times New Roman" w:eastAsia="宋体" w:cs="Times New Roman"/>
                <w:color w:val="000000" w:themeColor="text1"/>
                <w:highlight w:val="none"/>
                <w14:textFill>
                  <w14:solidFill>
                    <w14:schemeClr w14:val="tx1"/>
                  </w14:solidFill>
                </w14:textFill>
              </w:rPr>
              <w:t>和</w:t>
            </w:r>
            <w:r>
              <w:rPr>
                <w:rFonts w:hint="default" w:ascii="Times New Roman" w:hAnsi="Times New Roman" w:cs="Times New Roman"/>
                <w:color w:val="000000" w:themeColor="text1"/>
                <w:highlight w:val="none"/>
                <w:lang w:val="en-US" w:eastAsia="zh-CN"/>
                <w14:textFill>
                  <w14:solidFill>
                    <w14:schemeClr w14:val="tx1"/>
                  </w14:solidFill>
                </w14:textFill>
              </w:rPr>
              <w:t>运输</w:t>
            </w:r>
            <w:r>
              <w:rPr>
                <w:rFonts w:hint="default" w:ascii="Times New Roman" w:hAnsi="Times New Roman" w:eastAsia="宋体" w:cs="Times New Roman"/>
                <w:color w:val="000000" w:themeColor="text1"/>
                <w:highlight w:val="none"/>
                <w14:textFill>
                  <w14:solidFill>
                    <w14:schemeClr w14:val="tx1"/>
                  </w14:solidFill>
                </w14:textFill>
              </w:rPr>
              <w:t>车辆排放的尾气，以及施工作业产生的粉尘。</w:t>
            </w:r>
          </w:p>
          <w:p w14:paraId="406B0CE8">
            <w:pPr>
              <w:keepNext/>
              <w:keepLines/>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2"/>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对施工废气的控制措施包括：</w:t>
            </w:r>
          </w:p>
          <w:p w14:paraId="5D378524">
            <w:pPr>
              <w:keepNext/>
              <w:keepLines/>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2"/>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①施工扰动作业面不间断洒水增湿，干旱条件下合理控制洒水量，避免冻土冻融加剧；开挖土方、剥离表土全部采用高密度防尘网全覆盖，抑制风力侵蚀，防止起沙起尘。</w:t>
            </w:r>
            <w:r>
              <w:rPr>
                <w:rFonts w:hint="eastAsia" w:cs="Times New Roman"/>
                <w:color w:val="000000" w:themeColor="text1"/>
                <w:highlight w:val="none"/>
                <w:lang w:val="en-US" w:eastAsia="zh-CN"/>
                <w14:textFill>
                  <w14:solidFill>
                    <w14:schemeClr w14:val="tx1"/>
                  </w14:solidFill>
                </w14:textFill>
              </w:rPr>
              <w:t>冬季施工时，禁止洒水作业，规避洒水结冰带来的安全风险与生态影响。采取正午错峰作业，雪天结冰，采取机械除冰，仅通行硬化点位限制性使用环保无氯融雪剂，严禁大面积撒布普通氯盐融雪剂。</w:t>
            </w:r>
          </w:p>
          <w:p w14:paraId="5B598D04">
            <w:pPr>
              <w:keepNext/>
              <w:keepLines/>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2"/>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highlight w:val="none"/>
                <w14:textFill>
                  <w14:solidFill>
                    <w14:schemeClr w14:val="tx1"/>
                  </w14:solidFill>
                </w14:textFill>
              </w:rPr>
              <w:t>选用国四及以上非道路移动机械设备，定期维护保养，减少机械尾气排放。</w:t>
            </w:r>
          </w:p>
          <w:p w14:paraId="50FDCAF8">
            <w:pPr>
              <w:keepNext/>
              <w:keepLines/>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2"/>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highlight w:val="none"/>
                <w14:textFill>
                  <w14:solidFill>
                    <w14:schemeClr w14:val="tx1"/>
                  </w14:solidFill>
                </w14:textFill>
              </w:rPr>
              <w:t>施工结束后及时清理场地松散弃土，减少裸露地表时间，降低风蚀沙化风险。</w:t>
            </w:r>
          </w:p>
          <w:p w14:paraId="3E2EFA5A">
            <w:pPr>
              <w:pStyle w:val="3"/>
              <w:bidi w:val="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4.1.2施工期水环境影响分析</w:t>
            </w:r>
            <w:bookmarkEnd w:id="5"/>
            <w:bookmarkEnd w:id="6"/>
            <w:r>
              <w:rPr>
                <w:rFonts w:hint="default" w:ascii="Times New Roman" w:hAnsi="Times New Roman" w:eastAsia="宋体" w:cs="Times New Roman"/>
                <w:b/>
                <w:bCs/>
                <w:color w:val="000000" w:themeColor="text1"/>
                <w:highlight w:val="none"/>
                <w14:textFill>
                  <w14:solidFill>
                    <w14:schemeClr w14:val="tx1"/>
                  </w14:solidFill>
                </w14:textFill>
              </w:rPr>
              <w:t>及防治</w:t>
            </w:r>
            <w:r>
              <w:rPr>
                <w:rFonts w:hint="default" w:ascii="Times New Roman" w:hAnsi="Times New Roman" w:cs="Times New Roman"/>
                <w:b/>
                <w:bCs/>
                <w:color w:val="000000" w:themeColor="text1"/>
                <w:highlight w:val="none"/>
                <w:lang w:val="en-US" w:eastAsia="zh-CN"/>
                <w14:textFill>
                  <w14:solidFill>
                    <w14:schemeClr w14:val="tx1"/>
                  </w14:solidFill>
                </w14:textFill>
              </w:rPr>
              <w:t>措施</w:t>
            </w:r>
          </w:p>
          <w:p w14:paraId="04834C4C">
            <w:pPr>
              <w:pageBreakBefore w:val="0"/>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施工期污水主要是施工人员生活污水，各种施工车辆冲洗废水。</w:t>
            </w:r>
          </w:p>
          <w:p w14:paraId="15CB1377">
            <w:pPr>
              <w:pageBreakBefore w:val="0"/>
              <w:kinsoku/>
              <w:wordWrap/>
              <w:overflowPunct/>
              <w:topLinePunct w:val="0"/>
              <w:bidi w:val="0"/>
              <w:adjustRightInd w:val="0"/>
              <w:snapToGrid w:val="0"/>
              <w:spacing w:line="500" w:lineRule="exact"/>
              <w:ind w:firstLine="48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施工期</w:t>
            </w:r>
            <w:r>
              <w:rPr>
                <w:rFonts w:hint="default" w:ascii="Times New Roman" w:hAnsi="Times New Roman" w:eastAsia="宋体" w:cs="Times New Roman"/>
                <w:color w:val="000000" w:themeColor="text1"/>
                <w:highlight w:val="none"/>
                <w14:textFill>
                  <w14:solidFill>
                    <w14:schemeClr w14:val="tx1"/>
                  </w14:solidFill>
                </w14:textFill>
              </w:rPr>
              <w:t>工作人员居住在中铁隧道局新建伊阿铁路SⅩ标段项目部，</w:t>
            </w:r>
            <w:r>
              <w:rPr>
                <w:rFonts w:hint="eastAsia" w:cs="Times New Roman"/>
                <w:color w:val="000000" w:themeColor="text1"/>
                <w:highlight w:val="none"/>
                <w:lang w:val="en-US" w:eastAsia="zh-CN"/>
                <w14:textFill>
                  <w14:solidFill>
                    <w14:schemeClr w14:val="tx1"/>
                  </w14:solidFill>
                </w14:textFill>
              </w:rPr>
              <w:t>与本项目直线</w:t>
            </w:r>
            <w:r>
              <w:rPr>
                <w:rFonts w:hint="default" w:ascii="Times New Roman" w:hAnsi="Times New Roman" w:eastAsia="宋体" w:cs="Times New Roman"/>
                <w:color w:val="000000" w:themeColor="text1"/>
                <w:highlight w:val="none"/>
                <w14:textFill>
                  <w14:solidFill>
                    <w14:schemeClr w14:val="tx1"/>
                  </w14:solidFill>
                </w14:textFill>
              </w:rPr>
              <w:t>距离约1</w:t>
            </w:r>
            <w:r>
              <w:rPr>
                <w:rFonts w:hint="default" w:ascii="Times New Roman" w:hAnsi="Times New Roman"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14:textFill>
                  <w14:solidFill>
                    <w14:schemeClr w14:val="tx1"/>
                  </w14:solidFill>
                </w14:textFill>
              </w:rPr>
              <w:t>km，</w:t>
            </w:r>
            <w:r>
              <w:rPr>
                <w:rFonts w:hint="default" w:ascii="Times New Roman" w:hAnsi="Times New Roman" w:cs="Times New Roman"/>
                <w:color w:val="000000" w:themeColor="text1"/>
                <w:highlight w:val="none"/>
                <w:lang w:val="en-US" w:eastAsia="zh-CN"/>
                <w14:textFill>
                  <w14:solidFill>
                    <w14:schemeClr w14:val="tx1"/>
                  </w14:solidFill>
                </w14:textFill>
              </w:rPr>
              <w:t>项目部生活污水采用化粪池收集后定期使用吸污车拉运至</w:t>
            </w:r>
            <w:r>
              <w:rPr>
                <w:rFonts w:hint="eastAsia" w:cs="Times New Roman"/>
                <w:color w:val="000000" w:themeColor="text1"/>
                <w:highlight w:val="none"/>
                <w:lang w:val="en-US" w:eastAsia="zh-CN"/>
                <w14:textFill>
                  <w14:solidFill>
                    <w14:schemeClr w14:val="tx1"/>
                  </w14:solidFill>
                </w14:textFill>
              </w:rPr>
              <w:t>巴音布鲁克污水处理厂处理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施工车辆冲洗废水，设置临时沉淀池，沉淀后用于洒水降尘。</w:t>
            </w:r>
          </w:p>
          <w:p w14:paraId="69CB3B88">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施工车辆及机械冲洗废水：施工期主要冲洗对象为挖掘机、装载机、运输自卸车等，施工高峰期车辆冲洗频次约15次/d，冲洗用水定额参照《建筑给水排水设计标准》（GB 50015‑2019）取100L/辆・次，则冲洗用水量1.5m³/d；排水系数取0.8，施工车辆冲洗废水量约1.2m³/d。</w:t>
            </w:r>
          </w:p>
          <w:p w14:paraId="30EE7D82">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（一）施工期水环境影响预测</w:t>
            </w:r>
          </w:p>
          <w:p w14:paraId="4B47E5F7">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废水主要污染因子为SS、极少量石油类，若冲洗废水未经收集直接漫流施工场地紧邻的高寒草甸，废水携带泥沙会冲刷地表，破坏表层草毡层，加剧水力侵蚀；废水中少量石油类物质下渗，可造成局部土壤污染；区域存在季节性冻土层，冻土隔水作用会造成污染物在冻土层上部富集，存在局部土壤污染风险；在暴雨、融雪径流条件下，漫流废水存在随地表径流间接进入地表水体的潜在风险。</w:t>
            </w:r>
          </w:p>
          <w:p w14:paraId="44C12DD5">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（二）防治措施</w:t>
            </w:r>
          </w:p>
          <w:p w14:paraId="16AD0115">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施工场地设置临时防渗沉淀池，车辆机械冲洗废水全部导入临时沉淀池处理，废水经沉淀除泥沙后回用于施工场地洒水抑尘，废水全部循环回用，不外排至外环境。</w:t>
            </w:r>
          </w:p>
          <w:p w14:paraId="141E8278">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color w:val="000000" w:themeColor="text1"/>
                <w:lang w:val="en-US" w:eastAsia="zh-CN"/>
                <w14:textFill>
                  <w14:solidFill>
                    <w14:schemeClr w14:val="tx1"/>
                  </w14:solidFill>
                </w14:textFill>
              </w:rPr>
            </w:pPr>
            <w:r>
              <w:rPr>
                <w:rFonts w:hint="default"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临时沉淀池需采取保温措施防止结冰失效。同时，鉴于高寒草甸下伏土壤渗透性差异，临时沉淀池必须铺设防渗土工膜，防止含油、含泥废水下渗污染浅层地下水或冻土层。</w:t>
            </w:r>
          </w:p>
          <w:p w14:paraId="5F3871A9">
            <w:pPr>
              <w:pStyle w:val="3"/>
              <w:bidi w:val="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bookmarkStart w:id="7" w:name="_Toc417384483"/>
            <w:bookmarkStart w:id="8" w:name="_Toc417384595"/>
            <w:r>
              <w:rPr>
                <w:rFonts w:hint="default" w:ascii="Times New Roman" w:hAnsi="Times New Roman" w:eastAsia="宋体" w:cs="Times New Roman"/>
                <w:b/>
                <w:bCs/>
                <w:color w:val="000000" w:themeColor="text1"/>
                <w:highlight w:val="none"/>
                <w14:textFill>
                  <w14:solidFill>
                    <w14:schemeClr w14:val="tx1"/>
                  </w14:solidFill>
                </w14:textFill>
              </w:rPr>
              <w:t>4.1.3施工噪声环境影响分析</w:t>
            </w:r>
            <w:bookmarkEnd w:id="7"/>
            <w:bookmarkEnd w:id="8"/>
            <w:r>
              <w:rPr>
                <w:rFonts w:hint="default" w:ascii="Times New Roman" w:hAnsi="Times New Roman" w:eastAsia="宋体" w:cs="Times New Roman"/>
                <w:b/>
                <w:bCs/>
                <w:color w:val="000000" w:themeColor="text1"/>
                <w:highlight w:val="none"/>
                <w14:textFill>
                  <w14:solidFill>
                    <w14:schemeClr w14:val="tx1"/>
                  </w14:solidFill>
                </w14:textFill>
              </w:rPr>
              <w:t>及防治</w:t>
            </w:r>
            <w:r>
              <w:rPr>
                <w:rFonts w:hint="default" w:ascii="Times New Roman" w:hAnsi="Times New Roman" w:cs="Times New Roman"/>
                <w:b/>
                <w:bCs/>
                <w:color w:val="000000" w:themeColor="text1"/>
                <w:highlight w:val="none"/>
                <w:lang w:val="en-US" w:eastAsia="zh-CN"/>
                <w14:textFill>
                  <w14:solidFill>
                    <w14:schemeClr w14:val="tx1"/>
                  </w14:solidFill>
                </w14:textFill>
              </w:rPr>
              <w:t>措施</w:t>
            </w:r>
          </w:p>
          <w:p w14:paraId="38ACF1A7">
            <w:pPr>
              <w:pageBreakBefore w:val="0"/>
              <w:numPr>
                <w:ilvl w:val="0"/>
                <w:numId w:val="0"/>
              </w:numPr>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本项目施工期噪声污染主要来自施工期机械设备</w:t>
            </w:r>
            <w:r>
              <w:rPr>
                <w:rFonts w:hint="default" w:ascii="Times New Roman" w:hAnsi="Times New Roman" w:cs="Times New Roman"/>
                <w:color w:val="000000" w:themeColor="text1"/>
                <w:highlight w:val="none"/>
                <w:lang w:val="en-US" w:eastAsia="zh-CN"/>
                <w14:textFill>
                  <w14:solidFill>
                    <w14:schemeClr w14:val="tx1"/>
                  </w14:solidFill>
                </w14:textFill>
              </w:rPr>
              <w:t>安装</w:t>
            </w:r>
            <w:r>
              <w:rPr>
                <w:rFonts w:hint="default" w:ascii="Times New Roman" w:hAnsi="Times New Roman" w:eastAsia="宋体" w:cs="Times New Roman"/>
                <w:color w:val="000000" w:themeColor="text1"/>
                <w:highlight w:val="none"/>
                <w14:textFill>
                  <w14:solidFill>
                    <w14:schemeClr w14:val="tx1"/>
                  </w14:solidFill>
                </w14:textFill>
              </w:rPr>
              <w:t>产生的噪声。</w:t>
            </w:r>
          </w:p>
          <w:p w14:paraId="2728E029">
            <w:pPr>
              <w:pageBreakBefore w:val="0"/>
              <w:numPr>
                <w:ilvl w:val="0"/>
                <w:numId w:val="0"/>
              </w:numPr>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highlight w:val="none"/>
                <w14:textFill>
                  <w14:solidFill>
                    <w14:schemeClr w14:val="tx1"/>
                  </w14:solidFill>
                </w14:textFill>
              </w:rPr>
              <w:t>高寒地区野生动物多在晨昏活动，建议避免在清晨（06:00-08:00）和傍晚（20:00-22:00）进行高噪声作业，减少对野生动物的惊扰。</w:t>
            </w:r>
          </w:p>
          <w:p w14:paraId="05CC6652">
            <w:pPr>
              <w:pageBreakBefore w:val="0"/>
              <w:numPr>
                <w:ilvl w:val="0"/>
                <w:numId w:val="0"/>
              </w:numPr>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在低温环境下，机械设备润滑效果变差，摩擦噪声增大。必须加强设备润滑保养，确保机械处于低噪运行状态。</w:t>
            </w:r>
          </w:p>
          <w:p w14:paraId="77868E36">
            <w:pPr>
              <w:pageBreakBefore w:val="0"/>
              <w:numPr>
                <w:ilvl w:val="0"/>
                <w:numId w:val="0"/>
              </w:numPr>
              <w:kinsoku/>
              <w:wordWrap/>
              <w:overflowPunct/>
              <w:topLinePunct w:val="0"/>
              <w:bidi w:val="0"/>
              <w:adjustRightInd w:val="0"/>
              <w:snapToGrid w:val="0"/>
              <w:spacing w:line="500" w:lineRule="exact"/>
              <w:ind w:firstLine="480" w:firstLineChars="200"/>
              <w:textAlignment w:val="auto"/>
              <w:rPr>
                <w:rFonts w:hint="eastAsia"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加强施工期噪声监测等措施</w:t>
            </w:r>
            <w:r>
              <w:rPr>
                <w:rFonts w:hint="eastAsia" w:cs="Times New Roman"/>
                <w:color w:val="000000" w:themeColor="text1"/>
                <w:highlight w:val="none"/>
                <w:lang w:eastAsia="zh-CN"/>
                <w14:textFill>
                  <w14:solidFill>
                    <w14:schemeClr w14:val="tx1"/>
                  </w14:solidFill>
                </w14:textFill>
              </w:rPr>
              <w:t>。</w:t>
            </w:r>
          </w:p>
          <w:p w14:paraId="4433958C">
            <w:pPr>
              <w:pageBreakBefore w:val="0"/>
              <w:numPr>
                <w:ilvl w:val="0"/>
                <w:numId w:val="0"/>
              </w:numPr>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通过采取上述措施，</w:t>
            </w:r>
            <w:r>
              <w:rPr>
                <w:rFonts w:hint="default" w:ascii="Times New Roman" w:hAnsi="Times New Roman" w:eastAsia="宋体" w:cs="Times New Roman"/>
                <w:color w:val="000000" w:themeColor="text1"/>
                <w:highlight w:val="none"/>
                <w14:textFill>
                  <w14:solidFill>
                    <w14:schemeClr w14:val="tx1"/>
                  </w14:solidFill>
                </w14:textFill>
              </w:rPr>
              <w:t>施工期噪声可达到《建筑施工噪声排放标准》（GB 12523-2025）的要求，对周围环境影响较小</w:t>
            </w:r>
            <w:r>
              <w:rPr>
                <w:rFonts w:hint="default" w:ascii="Times New Roman" w:hAnsi="Times New Roman" w:cs="Times New Roman"/>
                <w:color w:val="000000" w:themeColor="text1"/>
                <w:highlight w:val="none"/>
                <w:lang w:eastAsia="zh-CN"/>
                <w14:textFill>
                  <w14:solidFill>
                    <w14:schemeClr w14:val="tx1"/>
                  </w14:solidFill>
                </w14:textFill>
              </w:rPr>
              <w:t>。</w:t>
            </w:r>
          </w:p>
          <w:p w14:paraId="28B1A96D">
            <w:pPr>
              <w:pStyle w:val="3"/>
              <w:bidi w:val="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bookmarkStart w:id="9" w:name="_Toc417384596"/>
            <w:bookmarkStart w:id="10" w:name="_Toc417384484"/>
            <w:r>
              <w:rPr>
                <w:rFonts w:hint="default" w:ascii="Times New Roman" w:hAnsi="Times New Roman" w:eastAsia="宋体" w:cs="Times New Roman"/>
                <w:b/>
                <w:bCs/>
                <w:color w:val="000000" w:themeColor="text1"/>
                <w:highlight w:val="none"/>
                <w14:textFill>
                  <w14:solidFill>
                    <w14:schemeClr w14:val="tx1"/>
                  </w14:solidFill>
                </w14:textFill>
              </w:rPr>
              <w:t>4.1.4施工期固体废物影响分析</w:t>
            </w:r>
            <w:bookmarkEnd w:id="9"/>
            <w:bookmarkEnd w:id="10"/>
            <w:r>
              <w:rPr>
                <w:rFonts w:hint="default" w:ascii="Times New Roman" w:hAnsi="Times New Roman" w:eastAsia="宋体" w:cs="Times New Roman"/>
                <w:b/>
                <w:bCs/>
                <w:color w:val="000000" w:themeColor="text1"/>
                <w:highlight w:val="none"/>
                <w14:textFill>
                  <w14:solidFill>
                    <w14:schemeClr w14:val="tx1"/>
                  </w14:solidFill>
                </w14:textFill>
              </w:rPr>
              <w:t>及防治</w:t>
            </w:r>
            <w:r>
              <w:rPr>
                <w:rFonts w:hint="default" w:ascii="Times New Roman" w:hAnsi="Times New Roman" w:cs="Times New Roman"/>
                <w:b/>
                <w:bCs/>
                <w:color w:val="000000" w:themeColor="text1"/>
                <w:highlight w:val="none"/>
                <w:lang w:val="en-US" w:eastAsia="zh-CN"/>
                <w14:textFill>
                  <w14:solidFill>
                    <w14:schemeClr w14:val="tx1"/>
                  </w14:solidFill>
                </w14:textFill>
              </w:rPr>
              <w:t>措施</w:t>
            </w:r>
          </w:p>
          <w:p w14:paraId="2B23359F">
            <w:pPr>
              <w:keepNext w:val="0"/>
              <w:keepLines w:val="0"/>
              <w:pageBreakBefore w:val="0"/>
              <w:kinsoku/>
              <w:wordWrap/>
              <w:overflowPunct/>
              <w:topLinePunct w:val="0"/>
              <w:autoSpaceDE/>
              <w:autoSpaceDN/>
              <w:bidi w:val="0"/>
              <w:adjustRightInd w:val="0"/>
              <w:snapToGrid w:val="0"/>
              <w:spacing w:line="500" w:lineRule="exact"/>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施工固废主要来自施工期间所产生的建筑垃圾和施工队伍生活产生的生活垃圾。施工期间将涉及土地开挖、材料运输、基础工程等工程，对施工现场要及时进行清理，建筑垃圾要及时清运、加以利用，防止其因长期堆放而产生扬尘。</w:t>
            </w:r>
          </w:p>
          <w:p w14:paraId="125DD3F9">
            <w:pPr>
              <w:keepNext w:val="0"/>
              <w:keepLines w:val="0"/>
              <w:pageBreakBefore w:val="0"/>
              <w:kinsoku/>
              <w:wordWrap/>
              <w:overflowPunct/>
              <w:topLinePunct w:val="0"/>
              <w:autoSpaceDE/>
              <w:autoSpaceDN/>
              <w:bidi w:val="0"/>
              <w:adjustRightInd w:val="0"/>
              <w:snapToGrid w:val="0"/>
              <w:spacing w:line="500" w:lineRule="exac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施工人员的生活垃圾专门收集，严禁乱堆乱扔，防止产生二次污染。</w:t>
            </w:r>
          </w:p>
          <w:p w14:paraId="46D8477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highlight w:val="none"/>
                <w14:textFill>
                  <w14:solidFill>
                    <w14:schemeClr w14:val="tx1"/>
                  </w14:solidFill>
                </w14:textFill>
              </w:rPr>
              <w:t>工程施工高峰人数约</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highlight w:val="none"/>
                <w14:textFill>
                  <w14:solidFill>
                    <w14:schemeClr w14:val="tx1"/>
                  </w14:solidFill>
                </w14:textFill>
              </w:rPr>
              <w:t>人/d，工地生活垃圾按0.5kg/人·d计，则生活垃圾产生量</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kg/d。</w:t>
            </w:r>
            <w:r>
              <w:rPr>
                <w:rFonts w:hint="default" w:ascii="Times New Roman" w:hAnsi="Times New Roman" w:cs="Times New Roman"/>
                <w:color w:val="000000" w:themeColor="text1"/>
                <w:highlight w:val="none"/>
                <w:lang w:val="en-US" w:eastAsia="zh-CN"/>
                <w14:textFill>
                  <w14:solidFill>
                    <w14:schemeClr w14:val="tx1"/>
                  </w14:solidFill>
                </w14:textFill>
              </w:rPr>
              <w:t>工作人员居住在中铁隧道局新建伊阿铁路SⅩ标段项目部，产生的生活垃圾由项目部统一处置</w:t>
            </w:r>
            <w:r>
              <w:rPr>
                <w:rFonts w:hint="default" w:ascii="Times New Roman" w:hAnsi="Times New Roman" w:eastAsia="宋体" w:cs="Times New Roman"/>
                <w:color w:val="000000" w:themeColor="text1"/>
                <w:highlight w:val="none"/>
                <w14:textFill>
                  <w14:solidFill>
                    <w14:schemeClr w14:val="tx1"/>
                  </w14:solidFill>
                </w14:textFill>
              </w:rPr>
              <w:t>。</w:t>
            </w:r>
          </w:p>
          <w:p w14:paraId="2B149968">
            <w:pPr>
              <w:pStyle w:val="3"/>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4.1.</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5施工期</w:t>
            </w:r>
            <w:r>
              <w:rPr>
                <w:rFonts w:hint="default" w:ascii="Times New Roman" w:hAnsi="Times New Roman" w:cs="Times New Roman"/>
                <w:b/>
                <w:bCs/>
                <w:color w:val="000000" w:themeColor="text1"/>
                <w:highlight w:val="none"/>
                <w:lang w:val="en-US" w:eastAsia="zh-CN"/>
                <w14:textFill>
                  <w14:solidFill>
                    <w14:schemeClr w14:val="tx1"/>
                  </w14:solidFill>
                </w14:textFill>
              </w:rPr>
              <w:t>土地沙化影响分析及防治</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措施</w:t>
            </w:r>
          </w:p>
          <w:p w14:paraId="77D53A0A">
            <w:pPr>
              <w:pageBreakBefore w:val="0"/>
              <w:widowControl w:val="0"/>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施工期间的场地平整和道路修筑会破坏地表结皮。在干旱大风作用下，裸露地表抗风蚀能力下降。若不采取覆盖措施，施工便道将成为新的风沙源，导致周边草地被流沙掩埋，造成永久性退化。</w:t>
            </w:r>
          </w:p>
          <w:p w14:paraId="5E8578C1">
            <w:pPr>
              <w:pageBreakBefore w:val="0"/>
              <w:widowControl w:val="0"/>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施工期</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采取的</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防沙治沙措施：</w:t>
            </w:r>
          </w:p>
          <w:p w14:paraId="4738EB4C">
            <w:pPr>
              <w:pageBreakBefore w:val="0"/>
              <w:widowControl w:val="0"/>
              <w:numPr>
                <w:ilvl w:val="0"/>
                <w:numId w:val="0"/>
              </w:numPr>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（1）严格划定施工活动范围，严格控制和管理运输车辆的运行路线和范围，不得离开运输公路随意行驶，加剧土地沙化；</w:t>
            </w:r>
          </w:p>
          <w:p w14:paraId="2CC205DD">
            <w:pPr>
              <w:pageBreakBefore w:val="0"/>
              <w:widowControl w:val="0"/>
              <w:numPr>
                <w:ilvl w:val="0"/>
                <w:numId w:val="0"/>
              </w:numPr>
              <w:kinsoku/>
              <w:wordWrap/>
              <w:overflowPunct/>
              <w:topLinePunct w:val="0"/>
              <w:bidi w:val="0"/>
              <w:adjustRightInd w:val="0"/>
              <w:snapToGrid w:val="0"/>
              <w:spacing w:line="500" w:lineRule="exact"/>
              <w:ind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（2）施工土方堆存使用防尘网，并定期洒水抑尘；施工结束后，对施工场地进行清理、平整。</w:t>
            </w:r>
          </w:p>
          <w:p w14:paraId="73CC7DE6">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4.1.6施工期生态影响分析</w:t>
            </w:r>
            <w:r>
              <w:rPr>
                <w:rFonts w:hint="eastAsia" w:cs="Times New Roman"/>
                <w:color w:val="000000" w:themeColor="text1"/>
                <w:highlight w:val="none"/>
                <w:lang w:val="en-US" w:eastAsia="zh-CN"/>
                <w14:textFill>
                  <w14:solidFill>
                    <w14:schemeClr w14:val="tx1"/>
                  </w14:solidFill>
                </w14:textFill>
              </w:rPr>
              <w:t>及防治措施</w:t>
            </w:r>
          </w:p>
          <w:p w14:paraId="4B513E1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（1）工程占地影响分析</w:t>
            </w:r>
          </w:p>
          <w:p w14:paraId="30D6D30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施工时对占地影响主要是项目区表面清理、生产线建设等会对地表进行开挖，主要占地类型为草地，使土地利用的结构和类型发生改变，地表植被遭到破坏，施工期间需要加强管理，施工结束后采取措施恢复原有功能和合理开发利用，其影响是暂时的。</w:t>
            </w:r>
          </w:p>
          <w:p w14:paraId="626C18E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（2）水土流失问题</w:t>
            </w:r>
          </w:p>
          <w:p w14:paraId="04D7F1B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在工程的建设过程中，土方开挖及回填等，使裸露面表层结构疏松，植被覆盖度降低，区域内土壤抗侵蚀能力降低，水土流失加剧。本项目施工期较短，土方作业应尽量避开雨天进⾏，降低对水土流失的影响。</w:t>
            </w:r>
          </w:p>
          <w:p w14:paraId="7366AE4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（3）对生态系统的影响分析</w:t>
            </w:r>
          </w:p>
          <w:p w14:paraId="4C19C2D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eastAsia" w:cs="Times New Roman"/>
                <w:b w:val="0"/>
                <w:bCs/>
                <w:color w:val="000000" w:themeColor="text1"/>
                <w:highlight w:val="none"/>
                <w:lang w:val="en-US" w:eastAsia="zh-CN"/>
                <w14:textFill>
                  <w14:solidFill>
                    <w14:schemeClr w14:val="tx1"/>
                  </w14:solidFill>
                </w14:textFill>
              </w:rPr>
              <w:t>1.</w:t>
            </w:r>
            <w:r>
              <w:rPr>
                <w:rFonts w:hint="default" w:ascii="Times New Roman" w:hAnsi="Times New Roman" w:cs="Times New Roman"/>
                <w:b w:val="0"/>
                <w:bCs/>
                <w:color w:val="000000" w:themeColor="text1"/>
                <w:highlight w:val="none"/>
                <w:lang w:val="en-US" w:eastAsia="zh-CN"/>
                <w14:textFill>
                  <w14:solidFill>
                    <w14:schemeClr w14:val="tx1"/>
                  </w14:solidFill>
                </w14:textFill>
              </w:rPr>
              <w:t>对生态系统结构与功能影响分析</w:t>
            </w:r>
          </w:p>
          <w:p w14:paraId="57E44BB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本次评价将从植物生产能力变化、生态体系稳定状况、区域环境综合质量变化等方面入手，分析工程建设对区域生态体系结构与功能影响。</w:t>
            </w:r>
          </w:p>
          <w:p w14:paraId="2FEAFA4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eastAsia" w:cs="Times New Roman"/>
                <w:b w:val="0"/>
                <w:bCs/>
                <w:color w:val="000000" w:themeColor="text1"/>
                <w:highlight w:val="none"/>
                <w:lang w:val="en-US" w:eastAsia="zh-CN"/>
                <w14:textFill>
                  <w14:solidFill>
                    <w14:schemeClr w14:val="tx1"/>
                  </w14:solidFill>
                </w14:textFill>
              </w:rPr>
              <w:t>2.</w:t>
            </w:r>
            <w:r>
              <w:rPr>
                <w:rFonts w:hint="default" w:ascii="Times New Roman" w:hAnsi="Times New Roman" w:cs="Times New Roman"/>
                <w:b w:val="0"/>
                <w:bCs/>
                <w:color w:val="000000" w:themeColor="text1"/>
                <w:highlight w:val="none"/>
                <w:lang w:val="en-US" w:eastAsia="zh-CN"/>
                <w14:textFill>
                  <w14:solidFill>
                    <w14:schemeClr w14:val="tx1"/>
                  </w14:solidFill>
                </w14:textFill>
              </w:rPr>
              <w:t>对陆生动植物的影响</w:t>
            </w:r>
          </w:p>
          <w:p w14:paraId="146EDFC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由现状调查可知，工程建设对植物的影响主要表现为工程占地对其造成的破坏以及由此产生的生物量损失，本次评价将通过计算量化该部分生物量损失。工程建设对保护植物的影响主要为工程占地对其种类资源量造成影响。</w:t>
            </w:r>
          </w:p>
          <w:p w14:paraId="590751C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工程区内分布的野生动物主要为常见的爬行类和鸟类，无保护动物分布。工程建设后对该区域野生动物的影响主要表现为使部分动物觅食场所减少，由于工程区周围类似生境分布广泛，工程建设不会对其觅食产生大的影响。工程施工将对施工区域生存、繁衍环境带来一定的干扰和破坏，施工结束和植被恢复后，影响将消失。</w:t>
            </w:r>
          </w:p>
          <w:p w14:paraId="666D8991">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snapToGrid w:val="0"/>
                <w:color w:val="000000" w:themeColor="text1"/>
                <w:kern w:val="0"/>
                <w:sz w:val="24"/>
                <w:szCs w:val="24"/>
                <w:lang w:val="en-US" w:eastAsia="zh-CN" w:bidi="ar-SA"/>
                <w14:textFill>
                  <w14:solidFill>
                    <w14:schemeClr w14:val="tx1"/>
                  </w14:solidFill>
                </w14:textFill>
                <w14:ligatures w14:val="none"/>
              </w:rPr>
              <w:t>（4）</w:t>
            </w:r>
            <w:r>
              <w:rPr>
                <w:rFonts w:hint="eastAsia" w:ascii="Times New Roman" w:hAnsi="Times New Roman" w:cs="Times New Roman"/>
                <w:b w:val="0"/>
                <w:bCs/>
                <w:color w:val="000000" w:themeColor="text1"/>
                <w:highlight w:val="none"/>
                <w:lang w:val="en-US" w:eastAsia="zh-CN"/>
                <w14:textFill>
                  <w14:solidFill>
                    <w14:schemeClr w14:val="tx1"/>
                  </w14:solidFill>
                </w14:textFill>
              </w:rPr>
              <w:t>冻土扰动影响分析</w:t>
            </w:r>
          </w:p>
          <w:p w14:paraId="6D644D76">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cs="Times New Roman"/>
                <w:b w:val="0"/>
                <w:bCs/>
                <w:color w:val="000000" w:themeColor="text1"/>
                <w:highlight w:val="none"/>
                <w:lang w:val="en-US" w:eastAsia="zh-CN"/>
                <w14:textFill>
                  <w14:solidFill>
                    <w14:schemeClr w14:val="tx1"/>
                  </w14:solidFill>
                </w14:textFill>
              </w:rPr>
              <w:t>基础开挖（如沉淀池、设备基础）深度若触及冻土层，可能导致地基不均匀沉降，同时在融冻期引发热融沉陷，破坏地表植被根系，形成</w:t>
            </w:r>
            <w:r>
              <w:rPr>
                <w:rFonts w:hint="eastAsia" w:ascii="Times New Roman" w:hAnsi="Times New Roman" w:cs="Times New Roman"/>
                <w:b w:val="0"/>
                <w:bCs/>
                <w:color w:val="000000" w:themeColor="text1"/>
                <w:highlight w:val="none"/>
                <w:lang w:val="en-US" w:eastAsia="zh-CN"/>
                <w14:textFill>
                  <w14:solidFill>
                    <w14:schemeClr w14:val="tx1"/>
                  </w14:solidFill>
                </w14:textFill>
              </w:rPr>
              <w:t>“</w:t>
            </w:r>
            <w:r>
              <w:rPr>
                <w:rFonts w:hint="default" w:ascii="Times New Roman" w:hAnsi="Times New Roman" w:cs="Times New Roman"/>
                <w:b w:val="0"/>
                <w:bCs/>
                <w:color w:val="000000" w:themeColor="text1"/>
                <w:highlight w:val="none"/>
                <w:lang w:val="en-US" w:eastAsia="zh-CN"/>
                <w14:textFill>
                  <w14:solidFill>
                    <w14:schemeClr w14:val="tx1"/>
                  </w14:solidFill>
                </w14:textFill>
              </w:rPr>
              <w:t>黑土滩</w:t>
            </w:r>
            <w:r>
              <w:rPr>
                <w:rFonts w:hint="eastAsia" w:ascii="Times New Roman" w:hAnsi="Times New Roman" w:cs="Times New Roman"/>
                <w:b w:val="0"/>
                <w:bCs/>
                <w:color w:val="000000" w:themeColor="text1"/>
                <w:highlight w:val="none"/>
                <w:lang w:val="en-US" w:eastAsia="zh-CN"/>
                <w14:textFill>
                  <w14:solidFill>
                    <w14:schemeClr w14:val="tx1"/>
                  </w14:solidFill>
                </w14:textFill>
              </w:rPr>
              <w:t>”</w:t>
            </w:r>
            <w:r>
              <w:rPr>
                <w:rFonts w:hint="default" w:ascii="Times New Roman" w:hAnsi="Times New Roman" w:cs="Times New Roman"/>
                <w:b w:val="0"/>
                <w:bCs/>
                <w:color w:val="000000" w:themeColor="text1"/>
                <w:highlight w:val="none"/>
                <w:lang w:val="en-US" w:eastAsia="zh-CN"/>
                <w14:textFill>
                  <w14:solidFill>
                    <w14:schemeClr w14:val="tx1"/>
                  </w14:solidFill>
                </w14:textFill>
              </w:rPr>
              <w:t>式的退化斑块。</w:t>
            </w:r>
          </w:p>
          <w:p w14:paraId="22A98A03">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cs="Times New Roman"/>
                <w:b w:val="0"/>
                <w:bCs/>
                <w:color w:val="000000" w:themeColor="text1"/>
                <w:highlight w:val="none"/>
                <w:lang w:val="en-US" w:eastAsia="zh-CN"/>
                <w14:textFill>
                  <w14:solidFill>
                    <w14:schemeClr w14:val="tx1"/>
                  </w14:solidFill>
                </w14:textFill>
              </w:rPr>
              <w:t>防治措施：</w:t>
            </w:r>
          </w:p>
          <w:p w14:paraId="0347AC25">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snapToGrid w:val="0"/>
                <w:color w:val="000000" w:themeColor="text1"/>
                <w:kern w:val="0"/>
                <w:sz w:val="24"/>
                <w:szCs w:val="24"/>
                <w:lang w:val="en-US" w:eastAsia="zh-CN" w:bidi="ar-SA"/>
                <w14:textFill>
                  <w14:solidFill>
                    <w14:schemeClr w14:val="tx1"/>
                  </w14:solidFill>
                </w14:textFill>
                <w14:ligatures w14:val="none"/>
              </w:rPr>
              <w:t>1.</w:t>
            </w:r>
            <w:r>
              <w:rPr>
                <w:rFonts w:hint="eastAsia" w:ascii="Times New Roman" w:hAnsi="Times New Roman" w:cs="Times New Roman"/>
                <w:b w:val="0"/>
                <w:bCs/>
                <w:color w:val="000000" w:themeColor="text1"/>
                <w:highlight w:val="none"/>
                <w:lang w:val="en-US" w:eastAsia="zh-CN"/>
                <w14:textFill>
                  <w14:solidFill>
                    <w14:schemeClr w14:val="tx1"/>
                  </w14:solidFill>
                </w14:textFill>
              </w:rPr>
              <w:t>施工前必须对占地范围内的表土层进行剥离，集中堆放在弃渣场指定区域，并用防尘网覆盖。严禁将表土作为填料回填，必须留作后期植被恢复用土。</w:t>
            </w:r>
          </w:p>
          <w:p w14:paraId="346E5E48">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0"/>
                <w:sz w:val="24"/>
                <w:szCs w:val="24"/>
                <w:lang w:val="en-US" w:eastAsia="zh-CN" w:bidi="ar-SA"/>
                <w14:textFill>
                  <w14:solidFill>
                    <w14:schemeClr w14:val="tx1"/>
                  </w14:solidFill>
                </w14:textFill>
                <w14:ligatures w14:val="none"/>
              </w:rPr>
              <w:t>2.</w:t>
            </w:r>
            <w:r>
              <w:rPr>
                <w:rFonts w:hint="default" w:ascii="Times New Roman" w:hAnsi="Times New Roman" w:cs="Times New Roman"/>
                <w:b w:val="0"/>
                <w:bCs/>
                <w:color w:val="000000" w:themeColor="text1"/>
                <w:highlight w:val="none"/>
                <w:lang w:val="en-US" w:eastAsia="zh-CN"/>
                <w14:textFill>
                  <w14:solidFill>
                    <w14:schemeClr w14:val="tx1"/>
                  </w14:solidFill>
                </w14:textFill>
              </w:rPr>
              <w:t>划定明确的施工红线，施工车辆严禁随意碾压草地，必须在指定便道行驶，减少对地表结皮的破坏面积。</w:t>
            </w:r>
          </w:p>
          <w:p w14:paraId="1B58089C">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cs="Times New Roman"/>
                <w:b w:val="0"/>
                <w:bCs/>
                <w:color w:val="000000" w:themeColor="text1"/>
                <w:highlight w:val="none"/>
                <w:lang w:val="en-US" w:eastAsia="zh-CN"/>
                <w14:textFill>
                  <w14:solidFill>
                    <w14:schemeClr w14:val="tx1"/>
                  </w14:solidFill>
                </w14:textFill>
              </w:rPr>
              <w:t>3.考虑到干旱区蒸发快，洒水抑尘需少量多次，并可添加环保型抑尘剂，延长保湿时间，防止水分快速蒸发失效。</w:t>
            </w:r>
          </w:p>
          <w:p w14:paraId="16519C6E">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cs="Times New Roman"/>
                <w:b w:val="0"/>
                <w:bCs/>
                <w:color w:val="000000" w:themeColor="text1"/>
                <w:highlight w:val="none"/>
                <w:lang w:val="en-US" w:eastAsia="zh-CN"/>
                <w14:textFill>
                  <w14:solidFill>
                    <w14:schemeClr w14:val="tx1"/>
                  </w14:solidFill>
                </w14:textFill>
              </w:rPr>
              <w:t>4.基础开挖尽量控制开挖深度，避免影响冻土层。</w:t>
            </w:r>
          </w:p>
          <w:p w14:paraId="0C022497">
            <w:pPr>
              <w:pStyle w:val="8"/>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b w:val="0"/>
                <w:bCs/>
                <w:color w:val="000000" w:themeColor="text1"/>
                <w:highlight w:val="none"/>
                <w:lang w:val="en-US" w:eastAsia="zh-CN"/>
                <w14:textFill>
                  <w14:solidFill>
                    <w14:schemeClr w14:val="tx1"/>
                  </w14:solidFill>
                </w14:textFill>
              </w:rPr>
            </w:pPr>
            <w:r>
              <w:rPr>
                <w:rFonts w:hint="eastAsia" w:ascii="Times New Roman" w:hAnsi="Times New Roman" w:cs="Times New Roman"/>
                <w:b w:val="0"/>
                <w:bCs/>
                <w:color w:val="000000" w:themeColor="text1"/>
                <w:highlight w:val="none"/>
                <w:lang w:val="en-US" w:eastAsia="zh-CN"/>
                <w14:textFill>
                  <w14:solidFill>
                    <w14:schemeClr w14:val="tx1"/>
                  </w14:solidFill>
                </w14:textFill>
              </w:rPr>
              <w:t>5.服务期满后，回覆预留的表土，选用紫花针茅、扁穗冰草等当地乡土草种进行混播，严禁引入外来物种，确保恢复后的植被群落与周边原生草地景观一致。</w:t>
            </w:r>
          </w:p>
          <w:p w14:paraId="21EBC82D">
            <w:pPr>
              <w:pStyle w:val="8"/>
              <w:keepNext w:val="0"/>
              <w:keepLines w:val="0"/>
              <w:pageBreakBefore w:val="0"/>
              <w:widowControl/>
              <w:numPr>
                <w:ilvl w:val="0"/>
                <w:numId w:val="0"/>
              </w:numPr>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snapToGrid w:val="0"/>
                <w:color w:val="000000" w:themeColor="text1"/>
                <w:kern w:val="44"/>
                <w:sz w:val="24"/>
                <w:szCs w:val="30"/>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bCs/>
                <w:snapToGrid w:val="0"/>
                <w:color w:val="000000" w:themeColor="text1"/>
                <w:kern w:val="44"/>
                <w:sz w:val="24"/>
                <w:szCs w:val="30"/>
                <w:highlight w:val="none"/>
                <w:lang w:val="en-US" w:eastAsia="zh-CN" w:bidi="ar-SA"/>
                <w14:textFill>
                  <w14:solidFill>
                    <w14:schemeClr w14:val="tx1"/>
                  </w14:solidFill>
                </w14:textFill>
                <w14:ligatures w14:val="none"/>
              </w:rPr>
              <w:t>4.1.7施工期监测计划</w:t>
            </w:r>
          </w:p>
          <w:p w14:paraId="11EB55DA">
            <w:pPr>
              <w:pStyle w:val="8"/>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napToGrid w:val="0"/>
                <w:color w:val="000000" w:themeColor="text1"/>
                <w:kern w:val="44"/>
                <w:sz w:val="21"/>
                <w:szCs w:val="21"/>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bCs/>
                <w:snapToGrid w:val="0"/>
                <w:color w:val="000000" w:themeColor="text1"/>
                <w:kern w:val="44"/>
                <w:sz w:val="21"/>
                <w:szCs w:val="21"/>
                <w:highlight w:val="none"/>
                <w:lang w:val="en-US" w:eastAsia="zh-CN" w:bidi="ar-SA"/>
                <w14:textFill>
                  <w14:solidFill>
                    <w14:schemeClr w14:val="tx1"/>
                  </w14:solidFill>
                </w14:textFill>
                <w14:ligatures w14:val="none"/>
              </w:rPr>
              <w:t>表4.1.7-1   施工期监测计划</w:t>
            </w:r>
          </w:p>
          <w:tbl>
            <w:tblPr>
              <w:tblStyle w:val="11"/>
              <w:tblW w:w="82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2"/>
              <w:gridCol w:w="543"/>
              <w:gridCol w:w="544"/>
              <w:gridCol w:w="1500"/>
              <w:gridCol w:w="1525"/>
              <w:gridCol w:w="1438"/>
              <w:gridCol w:w="1913"/>
            </w:tblGrid>
            <w:tr w14:paraId="28286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49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监测阶段</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02B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监测类型</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F44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监测点位</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88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监测因子</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56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监测频次</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52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执行标准</w:t>
                  </w:r>
                </w:p>
              </w:tc>
            </w:tr>
            <w:tr w14:paraId="3CDA2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jc w:val="center"/>
              </w:trPr>
              <w:tc>
                <w:tcPr>
                  <w:tcW w:w="782" w:type="dxa"/>
                  <w:vMerge w:val="restart"/>
                  <w:tcBorders>
                    <w:top w:val="single" w:color="000000" w:sz="4" w:space="0"/>
                    <w:left w:val="single" w:color="000000" w:sz="4" w:space="0"/>
                    <w:right w:val="single" w:color="000000" w:sz="4" w:space="0"/>
                  </w:tcBorders>
                  <w:shd w:val="clear" w:color="auto" w:fill="auto"/>
                  <w:vAlign w:val="center"/>
                </w:tcPr>
                <w:p w14:paraId="264E3E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施工期</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7BB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扬尘（TSP）</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95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施工场界上、下风向各1点</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D7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TSP</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5F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1次</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/月</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，每次24h</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3A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《大气污染物综合排放标准》</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GB16297</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noBreakHyphen/>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1996无组织监控限值</w:t>
                  </w:r>
                </w:p>
              </w:tc>
            </w:tr>
            <w:tr w14:paraId="3E75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jc w:val="center"/>
              </w:trPr>
              <w:tc>
                <w:tcPr>
                  <w:tcW w:w="782" w:type="dxa"/>
                  <w:vMerge w:val="continue"/>
                  <w:tcBorders>
                    <w:left w:val="single" w:color="000000" w:sz="4" w:space="0"/>
                    <w:right w:val="single" w:color="000000" w:sz="4" w:space="0"/>
                  </w:tcBorders>
                  <w:shd w:val="clear" w:color="auto" w:fill="auto"/>
                  <w:vAlign w:val="center"/>
                </w:tcPr>
                <w:p w14:paraId="382B59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F7E2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噪声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C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施工场界四周4个点</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57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等效连续A声级Leq(A)</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EF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1次</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/月</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，测昼间；夜间</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不施工</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CF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《建筑施工噪声排放标准》</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GB12523</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noBreakHyphen/>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2025</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w:t>
                  </w:r>
                </w:p>
              </w:tc>
            </w:tr>
            <w:tr w14:paraId="728A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jc w:val="center"/>
              </w:trPr>
              <w:tc>
                <w:tcPr>
                  <w:tcW w:w="782" w:type="dxa"/>
                  <w:vMerge w:val="continue"/>
                  <w:tcBorders>
                    <w:left w:val="single" w:color="000000" w:sz="4" w:space="0"/>
                    <w:bottom w:val="single" w:color="auto" w:sz="4" w:space="0"/>
                    <w:right w:val="single" w:color="000000" w:sz="4" w:space="0"/>
                  </w:tcBorders>
                  <w:shd w:val="clear" w:color="auto" w:fill="auto"/>
                  <w:vAlign w:val="center"/>
                </w:tcPr>
                <w:p w14:paraId="616AF8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8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534E9D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生态监测</w:t>
                  </w:r>
                </w:p>
              </w:tc>
              <w:tc>
                <w:tcPr>
                  <w:tcW w:w="1500" w:type="dxa"/>
                  <w:tcBorders>
                    <w:top w:val="single" w:color="000000" w:sz="4" w:space="0"/>
                    <w:left w:val="single" w:color="000000" w:sz="4" w:space="0"/>
                    <w:bottom w:val="single" w:color="auto" w:sz="4" w:space="0"/>
                    <w:right w:val="single" w:color="000000" w:sz="4" w:space="0"/>
                  </w:tcBorders>
                  <w:shd w:val="clear" w:color="auto" w:fill="auto"/>
                  <w:vAlign w:val="center"/>
                </w:tcPr>
                <w:p w14:paraId="30D131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施工红线及场外300m范围</w:t>
                  </w:r>
                </w:p>
              </w:tc>
              <w:tc>
                <w:tcPr>
                  <w:tcW w:w="1525" w:type="dxa"/>
                  <w:tcBorders>
                    <w:top w:val="single" w:color="000000" w:sz="4" w:space="0"/>
                    <w:left w:val="single" w:color="000000" w:sz="4" w:space="0"/>
                    <w:bottom w:val="single" w:color="auto" w:sz="4" w:space="0"/>
                    <w:right w:val="single" w:color="000000" w:sz="4" w:space="0"/>
                  </w:tcBorders>
                  <w:shd w:val="clear" w:color="auto" w:fill="auto"/>
                  <w:vAlign w:val="center"/>
                </w:tcPr>
                <w:p w14:paraId="6CCA93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扰动边界、植被盖度、水土流失、冻融扰动、野生动物活动痕迹、越界碾压情况</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37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每周1次现场巡查</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BE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落实环评生态保护要求，严控扰动范围</w:t>
                  </w:r>
                </w:p>
              </w:tc>
            </w:tr>
            <w:tr w14:paraId="4632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7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131D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施工结束后的验收监测</w:t>
                  </w:r>
                </w:p>
              </w:tc>
              <w:tc>
                <w:tcPr>
                  <w:tcW w:w="5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3E2E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TSP</w:t>
                  </w:r>
                </w:p>
              </w:tc>
              <w:tc>
                <w:tcPr>
                  <w:tcW w:w="544" w:type="dxa"/>
                  <w:tcBorders>
                    <w:top w:val="single" w:color="auto" w:sz="4" w:space="0"/>
                    <w:left w:val="single" w:color="auto" w:sz="4" w:space="0"/>
                    <w:bottom w:val="single" w:color="auto" w:sz="4" w:space="0"/>
                    <w:right w:val="single" w:color="auto" w:sz="4" w:space="0"/>
                  </w:tcBorders>
                  <w:shd w:val="clear" w:color="auto" w:fill="auto"/>
                  <w:vAlign w:val="center"/>
                </w:tcPr>
                <w:p w14:paraId="1D9D11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无组织</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60E2000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施工场界上</w:t>
                  </w: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风向1个点</w:t>
                  </w: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、下风向</w:t>
                  </w: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3个</w:t>
                  </w: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点</w:t>
                  </w: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5111A5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TSP</w:t>
                  </w:r>
                </w:p>
              </w:tc>
              <w:tc>
                <w:tcPr>
                  <w:tcW w:w="1438" w:type="dxa"/>
                  <w:vMerge w:val="restart"/>
                  <w:tcBorders>
                    <w:top w:val="single" w:color="000000" w:sz="4" w:space="0"/>
                    <w:left w:val="single" w:color="auto" w:sz="4" w:space="0"/>
                    <w:right w:val="single" w:color="000000" w:sz="4" w:space="0"/>
                  </w:tcBorders>
                  <w:shd w:val="clear" w:color="auto" w:fill="auto"/>
                  <w:vAlign w:val="center"/>
                </w:tcPr>
                <w:p w14:paraId="17288A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连续监测2天，每天3个小时值。</w:t>
                  </w:r>
                </w:p>
              </w:tc>
              <w:tc>
                <w:tcPr>
                  <w:tcW w:w="1913" w:type="dxa"/>
                  <w:vMerge w:val="restart"/>
                  <w:tcBorders>
                    <w:top w:val="single" w:color="000000" w:sz="4" w:space="0"/>
                    <w:left w:val="single" w:color="000000" w:sz="4" w:space="0"/>
                    <w:right w:val="single" w:color="000000" w:sz="4" w:space="0"/>
                  </w:tcBorders>
                  <w:shd w:val="clear" w:color="auto" w:fill="auto"/>
                  <w:vAlign w:val="center"/>
                </w:tcPr>
                <w:p w14:paraId="503241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《大气污染物综合排放标准》（GB16297-1996）</w:t>
                  </w:r>
                </w:p>
              </w:tc>
            </w:tr>
            <w:tr w14:paraId="18DB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jc w:val="center"/>
              </w:trPr>
              <w:tc>
                <w:tcPr>
                  <w:tcW w:w="7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F4B5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highlight w:val="none"/>
                    </w:rPr>
                  </w:pPr>
                </w:p>
              </w:tc>
              <w:tc>
                <w:tcPr>
                  <w:tcW w:w="5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C57E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highlight w:val="none"/>
                    </w:rPr>
                  </w:pPr>
                </w:p>
              </w:tc>
              <w:tc>
                <w:tcPr>
                  <w:tcW w:w="544" w:type="dxa"/>
                  <w:tcBorders>
                    <w:top w:val="single" w:color="auto" w:sz="4" w:space="0"/>
                    <w:left w:val="single" w:color="auto" w:sz="4" w:space="0"/>
                    <w:bottom w:val="single" w:color="auto" w:sz="4" w:space="0"/>
                    <w:right w:val="single" w:color="auto" w:sz="4" w:space="0"/>
                  </w:tcBorders>
                  <w:shd w:val="clear" w:color="auto" w:fill="auto"/>
                  <w:vAlign w:val="center"/>
                </w:tcPr>
                <w:p w14:paraId="47FBB6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eastAsia="宋体"/>
                      <w:highlight w:val="none"/>
                      <w:lang w:val="en-US" w:eastAsia="zh-CN"/>
                    </w:rPr>
                  </w:pPr>
                  <w:r>
                    <w:rPr>
                      <w:rFonts w:hint="eastAsia" w:eastAsia="宋体"/>
                      <w:highlight w:val="none"/>
                      <w:lang w:val="en-US" w:eastAsia="zh-CN"/>
                    </w:rPr>
                    <w:t>有组织</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441A63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DA001排气筒</w:t>
                  </w: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5B9C52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TSP</w:t>
                  </w:r>
                </w:p>
              </w:tc>
              <w:tc>
                <w:tcPr>
                  <w:tcW w:w="1438" w:type="dxa"/>
                  <w:vMerge w:val="continue"/>
                  <w:tcBorders>
                    <w:left w:val="single" w:color="auto" w:sz="4" w:space="0"/>
                    <w:bottom w:val="single" w:color="000000" w:sz="4" w:space="0"/>
                    <w:right w:val="single" w:color="000000" w:sz="4" w:space="0"/>
                  </w:tcBorders>
                  <w:shd w:val="clear" w:color="auto" w:fill="auto"/>
                  <w:vAlign w:val="center"/>
                </w:tcPr>
                <w:p w14:paraId="256913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p>
              </w:tc>
              <w:tc>
                <w:tcPr>
                  <w:tcW w:w="1913" w:type="dxa"/>
                  <w:vMerge w:val="continue"/>
                  <w:tcBorders>
                    <w:left w:val="single" w:color="000000" w:sz="4" w:space="0"/>
                    <w:bottom w:val="single" w:color="000000" w:sz="4" w:space="0"/>
                    <w:right w:val="single" w:color="000000" w:sz="4" w:space="0"/>
                  </w:tcBorders>
                  <w:shd w:val="clear" w:color="auto" w:fill="auto"/>
                  <w:vAlign w:val="center"/>
                </w:tcPr>
                <w:p w14:paraId="711FE9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p>
              </w:tc>
            </w:tr>
            <w:tr w14:paraId="2DD8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jc w:val="center"/>
              </w:trPr>
              <w:tc>
                <w:tcPr>
                  <w:tcW w:w="7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E5B7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p>
              </w:tc>
              <w:tc>
                <w:tcPr>
                  <w:tcW w:w="108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D58B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噪声</w:t>
                  </w:r>
                </w:p>
              </w:tc>
              <w:tc>
                <w:tcPr>
                  <w:tcW w:w="1500" w:type="dxa"/>
                  <w:tcBorders>
                    <w:top w:val="single" w:color="auto" w:sz="4" w:space="0"/>
                    <w:left w:val="single" w:color="auto" w:sz="4" w:space="0"/>
                    <w:bottom w:val="single" w:color="000000" w:sz="4" w:space="0"/>
                    <w:right w:val="single" w:color="000000" w:sz="4" w:space="0"/>
                  </w:tcBorders>
                  <w:shd w:val="clear" w:color="auto" w:fill="auto"/>
                  <w:vAlign w:val="center"/>
                </w:tcPr>
                <w:p w14:paraId="369327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厂界东、南、西、北</w:t>
                  </w:r>
                </w:p>
              </w:tc>
              <w:tc>
                <w:tcPr>
                  <w:tcW w:w="1525" w:type="dxa"/>
                  <w:tcBorders>
                    <w:top w:val="single" w:color="auto" w:sz="4" w:space="0"/>
                    <w:left w:val="single" w:color="000000" w:sz="4" w:space="0"/>
                    <w:bottom w:val="single" w:color="000000" w:sz="4" w:space="0"/>
                    <w:right w:val="single" w:color="000000" w:sz="4" w:space="0"/>
                  </w:tcBorders>
                  <w:shd w:val="clear" w:color="auto" w:fill="auto"/>
                  <w:vAlign w:val="center"/>
                </w:tcPr>
                <w:p w14:paraId="6970BA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等效连续A声级Leq(A)</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C6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连续2天，昼、夜各监测1次。GPS定位监测点坐标。注明监测期间工况。</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C3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《工业企业厂界环境噪声排放标准》（GB 12348-2008）</w:t>
                  </w:r>
                </w:p>
              </w:tc>
            </w:tr>
          </w:tbl>
          <w:p w14:paraId="5FE445BE">
            <w:pPr>
              <w:pStyle w:val="8"/>
              <w:keepNext w:val="0"/>
              <w:keepLines w:val="0"/>
              <w:pageBreakBefore w:val="0"/>
              <w:widowControl/>
              <w:numPr>
                <w:ilvl w:val="0"/>
                <w:numId w:val="0"/>
              </w:numPr>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b/>
                <w:bCs/>
                <w:snapToGrid w:val="0"/>
                <w:color w:val="000000" w:themeColor="text1"/>
                <w:kern w:val="44"/>
                <w:sz w:val="24"/>
                <w:szCs w:val="30"/>
                <w:highlight w:val="none"/>
                <w:lang w:val="en-US" w:eastAsia="zh-CN" w:bidi="ar-SA"/>
                <w14:textFill>
                  <w14:solidFill>
                    <w14:schemeClr w14:val="tx1"/>
                  </w14:solidFill>
                </w14:textFill>
                <w14:ligatures w14:val="none"/>
              </w:rPr>
            </w:pPr>
          </w:p>
        </w:tc>
      </w:tr>
      <w:tr w14:paraId="0797C3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dxa"/>
            <w:shd w:val="clear" w:color="auto" w:fill="auto"/>
            <w:tcMar>
              <w:left w:w="28" w:type="dxa"/>
              <w:right w:w="28" w:type="dxa"/>
            </w:tcMar>
            <w:vAlign w:val="center"/>
          </w:tcPr>
          <w:p w14:paraId="494E36A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Cs/>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cs="Times New Roman"/>
                <w:bCs/>
                <w:color w:val="000000" w:themeColor="text1"/>
                <w:highlight w:val="none"/>
                <w14:textFill>
                  <w14:solidFill>
                    <w14:schemeClr w14:val="tx1"/>
                  </w14:solidFill>
                </w14:textFill>
              </w:rPr>
              <w:t>运营期环境影响和保护措施</w:t>
            </w:r>
          </w:p>
        </w:tc>
        <w:tc>
          <w:tcPr>
            <w:tcW w:w="8461" w:type="dxa"/>
            <w:shd w:val="clear" w:color="auto" w:fill="auto"/>
            <w:vAlign w:val="top"/>
          </w:tcPr>
          <w:p w14:paraId="70BBA3DD">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4.2大气环境影响分析及保护措施</w:t>
            </w:r>
          </w:p>
          <w:p w14:paraId="37A9CBAD">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4.2.1废气源强</w:t>
            </w:r>
          </w:p>
          <w:p w14:paraId="331C0271">
            <w:pPr>
              <w:pStyle w:val="18"/>
              <w:bidi w:val="0"/>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 xml:space="preserve">-1 </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大气污染产生、治理及排放情况汇总表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3"/>
              <w:gridCol w:w="661"/>
              <w:gridCol w:w="276"/>
              <w:gridCol w:w="541"/>
              <w:gridCol w:w="685"/>
              <w:gridCol w:w="601"/>
              <w:gridCol w:w="1274"/>
              <w:gridCol w:w="408"/>
              <w:gridCol w:w="481"/>
              <w:gridCol w:w="553"/>
              <w:gridCol w:w="625"/>
              <w:gridCol w:w="601"/>
              <w:gridCol w:w="865"/>
              <w:gridCol w:w="332"/>
            </w:tblGrid>
            <w:tr w14:paraId="5284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93" w:type="dxa"/>
                  <w:gridSpan w:val="2"/>
                  <w:tcBorders>
                    <w:tl2br w:val="nil"/>
                    <w:tr2bl w:val="nil"/>
                  </w:tcBorders>
                  <w:noWrap/>
                  <w:vAlign w:val="center"/>
                </w:tcPr>
                <w:p w14:paraId="652C0AA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污染源</w:t>
                  </w:r>
                </w:p>
              </w:tc>
              <w:tc>
                <w:tcPr>
                  <w:tcW w:w="276" w:type="dxa"/>
                  <w:vMerge w:val="restart"/>
                  <w:tcBorders>
                    <w:tl2br w:val="nil"/>
                    <w:tr2bl w:val="nil"/>
                  </w:tcBorders>
                  <w:noWrap/>
                  <w:vAlign w:val="center"/>
                </w:tcPr>
                <w:p w14:paraId="1959F8A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污染物名称</w:t>
                  </w:r>
                </w:p>
              </w:tc>
              <w:tc>
                <w:tcPr>
                  <w:tcW w:w="540" w:type="dxa"/>
                  <w:vMerge w:val="restart"/>
                  <w:tcBorders>
                    <w:tl2br w:val="nil"/>
                    <w:tr2bl w:val="nil"/>
                  </w:tcBorders>
                  <w:noWrap/>
                  <w:vAlign w:val="center"/>
                </w:tcPr>
                <w:p w14:paraId="012D175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运行时间h/a</w:t>
                  </w:r>
                </w:p>
              </w:tc>
              <w:tc>
                <w:tcPr>
                  <w:tcW w:w="1284" w:type="dxa"/>
                  <w:gridSpan w:val="2"/>
                  <w:tcBorders>
                    <w:tl2br w:val="nil"/>
                    <w:tr2bl w:val="nil"/>
                  </w:tcBorders>
                  <w:noWrap/>
                  <w:vAlign w:val="center"/>
                </w:tcPr>
                <w:p w14:paraId="588D62C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产生情况</w:t>
                  </w:r>
                </w:p>
              </w:tc>
              <w:tc>
                <w:tcPr>
                  <w:tcW w:w="1272" w:type="dxa"/>
                  <w:vMerge w:val="restart"/>
                  <w:tcBorders>
                    <w:tl2br w:val="nil"/>
                    <w:tr2bl w:val="nil"/>
                  </w:tcBorders>
                  <w:noWrap/>
                  <w:vAlign w:val="center"/>
                </w:tcPr>
                <w:p w14:paraId="1CED8F5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治理</w:t>
                  </w:r>
                </w:p>
                <w:p w14:paraId="1AE4147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措施</w:t>
                  </w:r>
                </w:p>
              </w:tc>
              <w:tc>
                <w:tcPr>
                  <w:tcW w:w="408" w:type="dxa"/>
                  <w:vMerge w:val="restart"/>
                  <w:tcBorders>
                    <w:tl2br w:val="nil"/>
                    <w:tr2bl w:val="nil"/>
                  </w:tcBorders>
                  <w:noWrap/>
                  <w:vAlign w:val="center"/>
                </w:tcPr>
                <w:p w14:paraId="2ED29D8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是否可行</w:t>
                  </w:r>
                </w:p>
              </w:tc>
              <w:tc>
                <w:tcPr>
                  <w:tcW w:w="480" w:type="dxa"/>
                  <w:vMerge w:val="restart"/>
                  <w:tcBorders>
                    <w:tl2br w:val="nil"/>
                    <w:tr2bl w:val="nil"/>
                  </w:tcBorders>
                  <w:noWrap/>
                  <w:vAlign w:val="center"/>
                </w:tcPr>
                <w:p w14:paraId="6578BA9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收集率%</w:t>
                  </w:r>
                </w:p>
              </w:tc>
              <w:tc>
                <w:tcPr>
                  <w:tcW w:w="552" w:type="dxa"/>
                  <w:vMerge w:val="restart"/>
                  <w:tcBorders>
                    <w:tl2br w:val="nil"/>
                    <w:tr2bl w:val="nil"/>
                  </w:tcBorders>
                  <w:noWrap/>
                  <w:vAlign w:val="center"/>
                </w:tcPr>
                <w:p w14:paraId="0D0E112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去除率</w:t>
                  </w:r>
                </w:p>
                <w:p w14:paraId="262F6C1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2088" w:type="dxa"/>
                  <w:gridSpan w:val="3"/>
                  <w:tcBorders>
                    <w:tl2br w:val="nil"/>
                    <w:tr2bl w:val="nil"/>
                  </w:tcBorders>
                  <w:noWrap/>
                  <w:vAlign w:val="center"/>
                </w:tcPr>
                <w:p w14:paraId="4A50A93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排放情况</w:t>
                  </w:r>
                </w:p>
              </w:tc>
              <w:tc>
                <w:tcPr>
                  <w:tcW w:w="332" w:type="dxa"/>
                  <w:vMerge w:val="restart"/>
                  <w:tcBorders>
                    <w:tl2br w:val="nil"/>
                    <w:tr2bl w:val="nil"/>
                  </w:tcBorders>
                  <w:noWrap/>
                  <w:vAlign w:val="center"/>
                </w:tcPr>
                <w:p w14:paraId="5FE8701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排放方式</w:t>
                  </w:r>
                </w:p>
              </w:tc>
            </w:tr>
            <w:tr w14:paraId="64DF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noWrap/>
                  <w:vAlign w:val="center"/>
                </w:tcPr>
                <w:p w14:paraId="585661A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660" w:type="dxa"/>
                  <w:tcBorders>
                    <w:tl2br w:val="nil"/>
                    <w:tr2bl w:val="nil"/>
                  </w:tcBorders>
                  <w:noWrap/>
                  <w:vAlign w:val="center"/>
                </w:tcPr>
                <w:p w14:paraId="60F65CD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风</w:t>
                  </w:r>
                  <w:r>
                    <w:rPr>
                      <w:rFonts w:hint="default" w:ascii="Times New Roman" w:hAnsi="Times New Roman" w:cs="Times New Roman"/>
                      <w:color w:val="000000" w:themeColor="text1"/>
                      <w:highlight w:val="none"/>
                      <w14:textFill>
                        <w14:solidFill>
                          <w14:schemeClr w14:val="tx1"/>
                        </w14:solidFill>
                      </w14:textFill>
                    </w:rPr>
                    <w:t>量m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w:t>
                  </w:r>
                </w:p>
              </w:tc>
              <w:tc>
                <w:tcPr>
                  <w:tcW w:w="276" w:type="dxa"/>
                  <w:vMerge w:val="continue"/>
                  <w:tcBorders>
                    <w:tl2br w:val="nil"/>
                    <w:tr2bl w:val="nil"/>
                  </w:tcBorders>
                  <w:noWrap/>
                  <w:vAlign w:val="center"/>
                </w:tcPr>
                <w:p w14:paraId="24F539E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0" w:type="dxa"/>
                  <w:vMerge w:val="continue"/>
                  <w:tcBorders>
                    <w:tl2br w:val="nil"/>
                    <w:tr2bl w:val="nil"/>
                  </w:tcBorders>
                  <w:noWrap/>
                  <w:vAlign w:val="center"/>
                </w:tcPr>
                <w:p w14:paraId="3D0AB4F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84" w:type="dxa"/>
                  <w:tcBorders>
                    <w:tl2br w:val="nil"/>
                    <w:tr2bl w:val="nil"/>
                  </w:tcBorders>
                  <w:noWrap/>
                  <w:vAlign w:val="center"/>
                </w:tcPr>
                <w:p w14:paraId="7D4BA7E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产生速率kg/h</w:t>
                  </w:r>
                </w:p>
              </w:tc>
              <w:tc>
                <w:tcPr>
                  <w:tcW w:w="600" w:type="dxa"/>
                  <w:tcBorders>
                    <w:tl2br w:val="nil"/>
                    <w:tr2bl w:val="nil"/>
                  </w:tcBorders>
                  <w:noWrap/>
                  <w:vAlign w:val="center"/>
                </w:tcPr>
                <w:p w14:paraId="244FB22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产生量</w:t>
                  </w:r>
                </w:p>
                <w:p w14:paraId="59A4D9C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t/a</w:t>
                  </w:r>
                </w:p>
              </w:tc>
              <w:tc>
                <w:tcPr>
                  <w:tcW w:w="1272" w:type="dxa"/>
                  <w:vMerge w:val="continue"/>
                  <w:tcBorders>
                    <w:tl2br w:val="nil"/>
                    <w:tr2bl w:val="nil"/>
                  </w:tcBorders>
                  <w:noWrap/>
                  <w:vAlign w:val="center"/>
                </w:tcPr>
                <w:p w14:paraId="0B53AFE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08" w:type="dxa"/>
                  <w:vMerge w:val="continue"/>
                  <w:tcBorders>
                    <w:tl2br w:val="nil"/>
                    <w:tr2bl w:val="nil"/>
                  </w:tcBorders>
                  <w:noWrap/>
                  <w:vAlign w:val="center"/>
                </w:tcPr>
                <w:p w14:paraId="2E32417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80" w:type="dxa"/>
                  <w:vMerge w:val="continue"/>
                  <w:tcBorders>
                    <w:tl2br w:val="nil"/>
                    <w:tr2bl w:val="nil"/>
                  </w:tcBorders>
                  <w:noWrap/>
                  <w:vAlign w:val="center"/>
                </w:tcPr>
                <w:p w14:paraId="5E42455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52" w:type="dxa"/>
                  <w:vMerge w:val="continue"/>
                  <w:tcBorders>
                    <w:tl2br w:val="nil"/>
                    <w:tr2bl w:val="nil"/>
                  </w:tcBorders>
                  <w:noWrap/>
                  <w:vAlign w:val="center"/>
                </w:tcPr>
                <w:p w14:paraId="7124802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24" w:type="dxa"/>
                  <w:tcBorders>
                    <w:tl2br w:val="nil"/>
                    <w:tr2bl w:val="nil"/>
                  </w:tcBorders>
                  <w:noWrap/>
                  <w:tcMar>
                    <w:left w:w="0" w:type="dxa"/>
                    <w:right w:w="0" w:type="dxa"/>
                  </w:tcMar>
                  <w:vAlign w:val="center"/>
                </w:tcPr>
                <w:p w14:paraId="07E3E7A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排放口浓度mg/m</w:t>
                  </w:r>
                  <w:r>
                    <w:rPr>
                      <w:rFonts w:hint="default" w:ascii="Times New Roman" w:hAnsi="Times New Roman" w:cs="Times New Roman"/>
                      <w:color w:val="000000" w:themeColor="text1"/>
                      <w:highlight w:val="none"/>
                      <w:vertAlign w:val="superscript"/>
                      <w14:textFill>
                        <w14:solidFill>
                          <w14:schemeClr w14:val="tx1"/>
                        </w14:solidFill>
                      </w14:textFill>
                    </w:rPr>
                    <w:t>3</w:t>
                  </w:r>
                </w:p>
              </w:tc>
              <w:tc>
                <w:tcPr>
                  <w:tcW w:w="600" w:type="dxa"/>
                  <w:tcBorders>
                    <w:tl2br w:val="nil"/>
                    <w:tr2bl w:val="nil"/>
                  </w:tcBorders>
                  <w:noWrap/>
                  <w:vAlign w:val="center"/>
                </w:tcPr>
                <w:p w14:paraId="5E0957B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排放口速率kg/h</w:t>
                  </w:r>
                </w:p>
              </w:tc>
              <w:tc>
                <w:tcPr>
                  <w:tcW w:w="864" w:type="dxa"/>
                  <w:tcBorders>
                    <w:tl2br w:val="nil"/>
                    <w:tr2bl w:val="nil"/>
                  </w:tcBorders>
                  <w:noWrap/>
                  <w:vAlign w:val="center"/>
                </w:tcPr>
                <w:p w14:paraId="5C34F98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排放量t/a</w:t>
                  </w:r>
                </w:p>
              </w:tc>
              <w:tc>
                <w:tcPr>
                  <w:tcW w:w="332" w:type="dxa"/>
                  <w:vMerge w:val="continue"/>
                  <w:tcBorders>
                    <w:tl2br w:val="nil"/>
                    <w:tr2bl w:val="nil"/>
                  </w:tcBorders>
                  <w:noWrap/>
                  <w:vAlign w:val="center"/>
                </w:tcPr>
                <w:p w14:paraId="33D5371B">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28F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noWrap/>
                  <w:vAlign w:val="center"/>
                </w:tcPr>
                <w:p w14:paraId="22E19FC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车辆运输扬尘</w:t>
                  </w:r>
                </w:p>
              </w:tc>
              <w:tc>
                <w:tcPr>
                  <w:tcW w:w="660" w:type="dxa"/>
                  <w:tcBorders>
                    <w:tl2br w:val="nil"/>
                    <w:tr2bl w:val="nil"/>
                  </w:tcBorders>
                  <w:noWrap/>
                  <w:vAlign w:val="center"/>
                </w:tcPr>
                <w:p w14:paraId="1910B46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w:t>
                  </w:r>
                </w:p>
              </w:tc>
              <w:tc>
                <w:tcPr>
                  <w:tcW w:w="276" w:type="dxa"/>
                  <w:tcBorders>
                    <w:tl2br w:val="nil"/>
                    <w:tr2bl w:val="nil"/>
                  </w:tcBorders>
                  <w:noWrap/>
                  <w:vAlign w:val="center"/>
                </w:tcPr>
                <w:p w14:paraId="4E8BD0E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颗粒物</w:t>
                  </w:r>
                </w:p>
              </w:tc>
              <w:tc>
                <w:tcPr>
                  <w:tcW w:w="540" w:type="dxa"/>
                  <w:tcBorders>
                    <w:tl2br w:val="nil"/>
                    <w:tr2bl w:val="nil"/>
                  </w:tcBorders>
                  <w:noWrap/>
                  <w:vAlign w:val="center"/>
                </w:tcPr>
                <w:p w14:paraId="3797D1D7">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noWrap/>
                  <w:vAlign w:val="center"/>
                </w:tcPr>
                <w:p w14:paraId="62A6A8A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0.266</w:t>
                  </w:r>
                </w:p>
              </w:tc>
              <w:tc>
                <w:tcPr>
                  <w:tcW w:w="600" w:type="dxa"/>
                  <w:tcBorders>
                    <w:tl2br w:val="nil"/>
                    <w:tr2bl w:val="nil"/>
                  </w:tcBorders>
                  <w:noWrap/>
                  <w:vAlign w:val="center"/>
                </w:tcPr>
                <w:p w14:paraId="2AA2AF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0.64</w:t>
                  </w:r>
                </w:p>
              </w:tc>
              <w:tc>
                <w:tcPr>
                  <w:tcW w:w="1272" w:type="dxa"/>
                  <w:tcBorders>
                    <w:tl2br w:val="nil"/>
                    <w:tr2bl w:val="nil"/>
                  </w:tcBorders>
                  <w:noWrap/>
                  <w:vAlign w:val="center"/>
                </w:tcPr>
                <w:p w14:paraId="3C7B129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洒水抑尘、篷布遮盖、严禁超载、控制车速</w:t>
                  </w:r>
                </w:p>
              </w:tc>
              <w:tc>
                <w:tcPr>
                  <w:tcW w:w="408" w:type="dxa"/>
                  <w:tcBorders>
                    <w:tl2br w:val="nil"/>
                    <w:tr2bl w:val="nil"/>
                  </w:tcBorders>
                  <w:noWrap/>
                  <w:vAlign w:val="center"/>
                </w:tcPr>
                <w:p w14:paraId="15FFEDD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noWrap/>
                  <w:vAlign w:val="center"/>
                </w:tcPr>
                <w:p w14:paraId="031BCDD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noWrap/>
                  <w:vAlign w:val="center"/>
                </w:tcPr>
                <w:p w14:paraId="4143D3D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74%</w:t>
                  </w:r>
                </w:p>
              </w:tc>
              <w:tc>
                <w:tcPr>
                  <w:tcW w:w="624" w:type="dxa"/>
                  <w:tcBorders>
                    <w:tl2br w:val="nil"/>
                    <w:tr2bl w:val="nil"/>
                  </w:tcBorders>
                  <w:noWrap/>
                  <w:vAlign w:val="center"/>
                </w:tcPr>
                <w:p w14:paraId="77B92FD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00" w:type="dxa"/>
                  <w:tcBorders>
                    <w:tl2br w:val="nil"/>
                    <w:tr2bl w:val="nil"/>
                  </w:tcBorders>
                  <w:noWrap/>
                  <w:vAlign w:val="center"/>
                </w:tcPr>
                <w:p w14:paraId="00FA0AB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0.07</w:t>
                  </w:r>
                </w:p>
              </w:tc>
              <w:tc>
                <w:tcPr>
                  <w:tcW w:w="864" w:type="dxa"/>
                  <w:tcBorders>
                    <w:tl2br w:val="nil"/>
                    <w:tr2bl w:val="nil"/>
                  </w:tcBorders>
                  <w:noWrap/>
                  <w:vAlign w:val="center"/>
                </w:tcPr>
                <w:p w14:paraId="322CBF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0.166</w:t>
                  </w:r>
                </w:p>
              </w:tc>
              <w:tc>
                <w:tcPr>
                  <w:tcW w:w="332" w:type="dxa"/>
                  <w:tcBorders>
                    <w:tl2br w:val="nil"/>
                    <w:tr2bl w:val="nil"/>
                  </w:tcBorders>
                  <w:noWrap/>
                  <w:vAlign w:val="center"/>
                </w:tcPr>
                <w:p w14:paraId="42C21F2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7F43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noWrap/>
                  <w:vAlign w:val="center"/>
                </w:tcPr>
                <w:p w14:paraId="56996B7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堆场扬尘</w:t>
                  </w:r>
                </w:p>
              </w:tc>
              <w:tc>
                <w:tcPr>
                  <w:tcW w:w="660" w:type="dxa"/>
                  <w:tcBorders>
                    <w:tl2br w:val="nil"/>
                    <w:tr2bl w:val="nil"/>
                  </w:tcBorders>
                  <w:shd w:val="clear" w:color="auto" w:fill="auto"/>
                  <w:noWrap/>
                  <w:vAlign w:val="center"/>
                </w:tcPr>
                <w:p w14:paraId="60D5436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76" w:type="dxa"/>
                  <w:tcBorders>
                    <w:tl2br w:val="nil"/>
                    <w:tr2bl w:val="nil"/>
                  </w:tcBorders>
                  <w:shd w:val="clear" w:color="auto" w:fill="auto"/>
                  <w:noWrap/>
                  <w:vAlign w:val="center"/>
                </w:tcPr>
                <w:p w14:paraId="4175F6D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tcBorders>
                    <w:tl2br w:val="nil"/>
                    <w:tr2bl w:val="nil"/>
                  </w:tcBorders>
                  <w:shd w:val="clear" w:color="auto" w:fill="auto"/>
                  <w:noWrap/>
                  <w:vAlign w:val="center"/>
                </w:tcPr>
                <w:p w14:paraId="69B2141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shd w:val="clear" w:color="auto" w:fill="auto"/>
                  <w:noWrap/>
                  <w:vAlign w:val="center"/>
                </w:tcPr>
                <w:p w14:paraId="6705995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3.58</w:t>
                  </w:r>
                </w:p>
              </w:tc>
              <w:tc>
                <w:tcPr>
                  <w:tcW w:w="600" w:type="dxa"/>
                  <w:tcBorders>
                    <w:tl2br w:val="nil"/>
                    <w:tr2bl w:val="nil"/>
                  </w:tcBorders>
                  <w:shd w:val="clear" w:color="auto" w:fill="auto"/>
                  <w:noWrap/>
                  <w:vAlign w:val="center"/>
                </w:tcPr>
                <w:p w14:paraId="633F91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8.6</w:t>
                  </w:r>
                </w:p>
              </w:tc>
              <w:tc>
                <w:tcPr>
                  <w:tcW w:w="1272" w:type="dxa"/>
                  <w:tcBorders>
                    <w:tl2br w:val="nil"/>
                    <w:tr2bl w:val="nil"/>
                  </w:tcBorders>
                  <w:shd w:val="clear" w:color="auto" w:fill="auto"/>
                  <w:noWrap/>
                  <w:vAlign w:val="center"/>
                </w:tcPr>
                <w:p w14:paraId="5AF8840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全封闭，洒水抑尘</w:t>
                  </w:r>
                </w:p>
              </w:tc>
              <w:tc>
                <w:tcPr>
                  <w:tcW w:w="408" w:type="dxa"/>
                  <w:tcBorders>
                    <w:tl2br w:val="nil"/>
                    <w:tr2bl w:val="nil"/>
                  </w:tcBorders>
                  <w:shd w:val="clear" w:color="auto" w:fill="auto"/>
                  <w:noWrap/>
                  <w:vAlign w:val="center"/>
                </w:tcPr>
                <w:p w14:paraId="6758E2B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36A1B14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6D92651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24" w:type="dxa"/>
                  <w:tcBorders>
                    <w:tl2br w:val="nil"/>
                    <w:tr2bl w:val="nil"/>
                  </w:tcBorders>
                  <w:shd w:val="clear" w:color="auto" w:fill="auto"/>
                  <w:noWrap/>
                  <w:vAlign w:val="center"/>
                </w:tcPr>
                <w:p w14:paraId="39B02F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00" w:type="dxa"/>
                  <w:tcBorders>
                    <w:tl2br w:val="nil"/>
                    <w:tr2bl w:val="nil"/>
                  </w:tcBorders>
                  <w:shd w:val="clear" w:color="auto" w:fill="auto"/>
                  <w:noWrap/>
                  <w:vAlign w:val="center"/>
                </w:tcPr>
                <w:p w14:paraId="767915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0.01</w:t>
                  </w:r>
                </w:p>
              </w:tc>
              <w:tc>
                <w:tcPr>
                  <w:tcW w:w="864" w:type="dxa"/>
                  <w:tcBorders>
                    <w:tl2br w:val="nil"/>
                    <w:tr2bl w:val="nil"/>
                  </w:tcBorders>
                  <w:shd w:val="clear" w:color="auto" w:fill="auto"/>
                  <w:noWrap/>
                  <w:vAlign w:val="center"/>
                </w:tcPr>
                <w:p w14:paraId="0D7F425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0.02</w:t>
                  </w:r>
                </w:p>
              </w:tc>
              <w:tc>
                <w:tcPr>
                  <w:tcW w:w="332" w:type="dxa"/>
                  <w:tcBorders>
                    <w:tl2br w:val="nil"/>
                    <w:tr2bl w:val="nil"/>
                  </w:tcBorders>
                  <w:shd w:val="clear" w:color="auto" w:fill="auto"/>
                  <w:noWrap/>
                  <w:vAlign w:val="center"/>
                </w:tcPr>
                <w:p w14:paraId="785A24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789B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1" w:hRule="atLeast"/>
                <w:jc w:val="center"/>
              </w:trPr>
              <w:tc>
                <w:tcPr>
                  <w:tcW w:w="333" w:type="dxa"/>
                  <w:vMerge w:val="restart"/>
                  <w:tcBorders>
                    <w:tl2br w:val="nil"/>
                    <w:tr2bl w:val="nil"/>
                  </w:tcBorders>
                  <w:shd w:val="clear" w:color="auto" w:fill="auto"/>
                  <w:noWrap/>
                  <w:vAlign w:val="center"/>
                </w:tcPr>
                <w:p w14:paraId="0CB678C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一级破碎粉尘</w:t>
                  </w:r>
                </w:p>
              </w:tc>
              <w:tc>
                <w:tcPr>
                  <w:tcW w:w="660" w:type="dxa"/>
                  <w:vMerge w:val="restart"/>
                  <w:tcBorders>
                    <w:tl2br w:val="nil"/>
                    <w:tr2bl w:val="nil"/>
                  </w:tcBorders>
                  <w:shd w:val="clear" w:color="auto" w:fill="auto"/>
                  <w:noWrap/>
                  <w:vAlign w:val="center"/>
                </w:tcPr>
                <w:p w14:paraId="0543DD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50000</w:t>
                  </w:r>
                </w:p>
              </w:tc>
              <w:tc>
                <w:tcPr>
                  <w:tcW w:w="276" w:type="dxa"/>
                  <w:vMerge w:val="restart"/>
                  <w:tcBorders>
                    <w:tl2br w:val="nil"/>
                    <w:tr2bl w:val="nil"/>
                  </w:tcBorders>
                  <w:shd w:val="clear" w:color="auto" w:fill="auto"/>
                  <w:noWrap/>
                  <w:vAlign w:val="center"/>
                </w:tcPr>
                <w:p w14:paraId="736D6BD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vMerge w:val="restart"/>
                  <w:tcBorders>
                    <w:tl2br w:val="nil"/>
                    <w:tr2bl w:val="nil"/>
                  </w:tcBorders>
                  <w:shd w:val="clear" w:color="auto" w:fill="auto"/>
                  <w:noWrap/>
                  <w:vAlign w:val="center"/>
                </w:tcPr>
                <w:p w14:paraId="5E3BD90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vMerge w:val="restart"/>
                  <w:tcBorders>
                    <w:tl2br w:val="nil"/>
                    <w:tr2bl w:val="nil"/>
                  </w:tcBorders>
                  <w:shd w:val="clear" w:color="auto" w:fill="auto"/>
                  <w:noWrap/>
                  <w:vAlign w:val="center"/>
                </w:tcPr>
                <w:p w14:paraId="08CCC89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51.74</w:t>
                  </w:r>
                </w:p>
              </w:tc>
              <w:tc>
                <w:tcPr>
                  <w:tcW w:w="600" w:type="dxa"/>
                  <w:vMerge w:val="restart"/>
                  <w:tcBorders>
                    <w:tl2br w:val="nil"/>
                    <w:tr2bl w:val="nil"/>
                  </w:tcBorders>
                  <w:shd w:val="clear" w:color="auto" w:fill="auto"/>
                  <w:noWrap/>
                  <w:vAlign w:val="center"/>
                </w:tcPr>
                <w:p w14:paraId="640896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124.17</w:t>
                  </w:r>
                </w:p>
              </w:tc>
              <w:tc>
                <w:tcPr>
                  <w:tcW w:w="1272" w:type="dxa"/>
                  <w:vMerge w:val="restart"/>
                  <w:tcBorders>
                    <w:tl2br w:val="nil"/>
                    <w:tr2bl w:val="nil"/>
                  </w:tcBorders>
                  <w:shd w:val="clear" w:color="auto" w:fill="auto"/>
                  <w:noWrap/>
                  <w:vAlign w:val="center"/>
                </w:tcPr>
                <w:p w14:paraId="15C822C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全封闭生产车间，集气罩、</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布袋除尘器+15m高排气筒</w:t>
                  </w:r>
                </w:p>
              </w:tc>
              <w:tc>
                <w:tcPr>
                  <w:tcW w:w="408" w:type="dxa"/>
                  <w:tcBorders>
                    <w:tl2br w:val="nil"/>
                    <w:tr2bl w:val="nil"/>
                  </w:tcBorders>
                  <w:shd w:val="clear" w:color="auto" w:fill="auto"/>
                  <w:noWrap/>
                  <w:vAlign w:val="center"/>
                </w:tcPr>
                <w:p w14:paraId="5CAFD5E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480" w:type="dxa"/>
                  <w:tcBorders>
                    <w:tl2br w:val="nil"/>
                    <w:tr2bl w:val="nil"/>
                  </w:tcBorders>
                  <w:shd w:val="clear" w:color="auto" w:fill="auto"/>
                  <w:noWrap/>
                  <w:vAlign w:val="center"/>
                </w:tcPr>
                <w:p w14:paraId="4E95B0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548A18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24" w:type="dxa"/>
                  <w:tcBorders>
                    <w:tl2br w:val="nil"/>
                    <w:tr2bl w:val="nil"/>
                  </w:tcBorders>
                  <w:shd w:val="clear" w:color="auto" w:fill="auto"/>
                  <w:noWrap/>
                  <w:vAlign w:val="center"/>
                </w:tcPr>
                <w:p w14:paraId="1AE688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00" w:type="dxa"/>
                  <w:tcBorders>
                    <w:tl2br w:val="nil"/>
                    <w:tr2bl w:val="nil"/>
                  </w:tcBorders>
                  <w:shd w:val="clear" w:color="auto" w:fill="auto"/>
                  <w:noWrap/>
                  <w:vAlign w:val="center"/>
                </w:tcPr>
                <w:p w14:paraId="7B3A79B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29.8</w:t>
                  </w:r>
                </w:p>
              </w:tc>
              <w:tc>
                <w:tcPr>
                  <w:tcW w:w="864" w:type="dxa"/>
                  <w:tcBorders>
                    <w:tl2br w:val="nil"/>
                    <w:tr2bl w:val="nil"/>
                  </w:tcBorders>
                  <w:shd w:val="clear" w:color="auto" w:fill="auto"/>
                  <w:noWrap/>
                  <w:vAlign w:val="center"/>
                </w:tcPr>
                <w:p w14:paraId="4BB3A9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12.42</w:t>
                  </w:r>
                </w:p>
              </w:tc>
              <w:tc>
                <w:tcPr>
                  <w:tcW w:w="332" w:type="dxa"/>
                  <w:tcBorders>
                    <w:tl2br w:val="nil"/>
                    <w:tr2bl w:val="nil"/>
                  </w:tcBorders>
                  <w:shd w:val="clear" w:color="auto" w:fill="auto"/>
                  <w:noWrap/>
                  <w:vAlign w:val="center"/>
                </w:tcPr>
                <w:p w14:paraId="0275E9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6E70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jc w:val="center"/>
              </w:trPr>
              <w:tc>
                <w:tcPr>
                  <w:tcW w:w="333" w:type="dxa"/>
                  <w:vMerge w:val="continue"/>
                  <w:tcBorders>
                    <w:tl2br w:val="nil"/>
                    <w:tr2bl w:val="nil"/>
                  </w:tcBorders>
                  <w:shd w:val="clear" w:color="auto" w:fill="auto"/>
                  <w:noWrap/>
                  <w:vAlign w:val="center"/>
                </w:tcPr>
                <w:p w14:paraId="6CDD1F9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60" w:type="dxa"/>
                  <w:vMerge w:val="continue"/>
                  <w:tcBorders>
                    <w:tl2br w:val="nil"/>
                    <w:tr2bl w:val="nil"/>
                  </w:tcBorders>
                  <w:shd w:val="clear" w:color="auto" w:fill="auto"/>
                  <w:noWrap/>
                  <w:vAlign w:val="center"/>
                </w:tcPr>
                <w:p w14:paraId="30B62DA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76" w:type="dxa"/>
                  <w:vMerge w:val="continue"/>
                  <w:tcBorders>
                    <w:tl2br w:val="nil"/>
                    <w:tr2bl w:val="nil"/>
                  </w:tcBorders>
                  <w:shd w:val="clear" w:color="auto" w:fill="auto"/>
                  <w:noWrap/>
                  <w:vAlign w:val="center"/>
                </w:tcPr>
                <w:p w14:paraId="4320F18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0" w:type="dxa"/>
                  <w:vMerge w:val="continue"/>
                  <w:tcBorders>
                    <w:tl2br w:val="nil"/>
                    <w:tr2bl w:val="nil"/>
                  </w:tcBorders>
                  <w:shd w:val="clear" w:color="auto" w:fill="auto"/>
                  <w:noWrap/>
                  <w:vAlign w:val="center"/>
                </w:tcPr>
                <w:p w14:paraId="397E9E6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84" w:type="dxa"/>
                  <w:vMerge w:val="continue"/>
                  <w:tcBorders>
                    <w:tl2br w:val="nil"/>
                    <w:tr2bl w:val="nil"/>
                  </w:tcBorders>
                  <w:shd w:val="clear" w:color="auto" w:fill="auto"/>
                  <w:noWrap/>
                  <w:vAlign w:val="center"/>
                </w:tcPr>
                <w:p w14:paraId="5217C49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00" w:type="dxa"/>
                  <w:vMerge w:val="continue"/>
                  <w:tcBorders>
                    <w:tl2br w:val="nil"/>
                    <w:tr2bl w:val="nil"/>
                  </w:tcBorders>
                  <w:shd w:val="clear" w:color="auto" w:fill="auto"/>
                  <w:noWrap/>
                  <w:vAlign w:val="center"/>
                </w:tcPr>
                <w:p w14:paraId="651EE42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72" w:type="dxa"/>
                  <w:vMerge w:val="continue"/>
                  <w:tcBorders>
                    <w:tl2br w:val="nil"/>
                    <w:tr2bl w:val="nil"/>
                  </w:tcBorders>
                  <w:shd w:val="clear" w:color="auto" w:fill="auto"/>
                  <w:noWrap/>
                  <w:vAlign w:val="center"/>
                </w:tcPr>
                <w:p w14:paraId="3E4EB6C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08" w:type="dxa"/>
                  <w:tcBorders>
                    <w:tl2br w:val="nil"/>
                    <w:tr2bl w:val="nil"/>
                  </w:tcBorders>
                  <w:shd w:val="clear" w:color="auto" w:fill="auto"/>
                  <w:noWrap/>
                  <w:vAlign w:val="center"/>
                </w:tcPr>
                <w:p w14:paraId="0A68F791">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4CAD4A9A">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90%</w:t>
                  </w:r>
                </w:p>
              </w:tc>
              <w:tc>
                <w:tcPr>
                  <w:tcW w:w="552" w:type="dxa"/>
                  <w:tcBorders>
                    <w:tl2br w:val="nil"/>
                    <w:tr2bl w:val="nil"/>
                  </w:tcBorders>
                  <w:shd w:val="clear" w:color="auto" w:fill="auto"/>
                  <w:noWrap/>
                  <w:vAlign w:val="center"/>
                </w:tcPr>
                <w:p w14:paraId="1EDD73D2">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99%</w:t>
                  </w:r>
                </w:p>
              </w:tc>
              <w:tc>
                <w:tcPr>
                  <w:tcW w:w="624" w:type="dxa"/>
                  <w:tcBorders>
                    <w:tl2br w:val="nil"/>
                    <w:tr2bl w:val="nil"/>
                  </w:tcBorders>
                  <w:shd w:val="clear" w:color="auto" w:fill="auto"/>
                  <w:noWrap/>
                  <w:vAlign w:val="center"/>
                </w:tcPr>
                <w:p w14:paraId="7D9B0BC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9.31</w:t>
                  </w:r>
                </w:p>
              </w:tc>
              <w:tc>
                <w:tcPr>
                  <w:tcW w:w="600" w:type="dxa"/>
                  <w:tcBorders>
                    <w:tl2br w:val="nil"/>
                    <w:tr2bl w:val="nil"/>
                  </w:tcBorders>
                  <w:shd w:val="clear" w:color="auto" w:fill="auto"/>
                  <w:noWrap/>
                  <w:vAlign w:val="center"/>
                </w:tcPr>
                <w:p w14:paraId="0A3247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0.47</w:t>
                  </w:r>
                </w:p>
              </w:tc>
              <w:tc>
                <w:tcPr>
                  <w:tcW w:w="864" w:type="dxa"/>
                  <w:tcBorders>
                    <w:tl2br w:val="nil"/>
                    <w:tr2bl w:val="nil"/>
                  </w:tcBorders>
                  <w:shd w:val="clear" w:color="auto" w:fill="auto"/>
                  <w:noWrap/>
                  <w:vAlign w:val="center"/>
                </w:tcPr>
                <w:p w14:paraId="6A0EE9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1.12</w:t>
                  </w:r>
                </w:p>
              </w:tc>
              <w:tc>
                <w:tcPr>
                  <w:tcW w:w="332" w:type="dxa"/>
                  <w:tcBorders>
                    <w:tl2br w:val="nil"/>
                    <w:tr2bl w:val="nil"/>
                  </w:tcBorders>
                  <w:shd w:val="clear" w:color="auto" w:fill="auto"/>
                  <w:noWrap/>
                  <w:vAlign w:val="center"/>
                </w:tcPr>
                <w:p w14:paraId="6AD5832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有组织</w:t>
                  </w:r>
                </w:p>
              </w:tc>
            </w:tr>
            <w:tr w14:paraId="5713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3" w:hRule="atLeast"/>
                <w:jc w:val="center"/>
              </w:trPr>
              <w:tc>
                <w:tcPr>
                  <w:tcW w:w="333" w:type="dxa"/>
                  <w:vMerge w:val="restart"/>
                  <w:tcBorders>
                    <w:tl2br w:val="nil"/>
                    <w:tr2bl w:val="nil"/>
                  </w:tcBorders>
                  <w:shd w:val="clear" w:color="auto" w:fill="auto"/>
                  <w:noWrap/>
                  <w:vAlign w:val="center"/>
                </w:tcPr>
                <w:p w14:paraId="11EC588D">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二级破碎粉尘</w:t>
                  </w:r>
                </w:p>
                <w:p w14:paraId="3C0E2C4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60" w:type="dxa"/>
                  <w:vMerge w:val="restart"/>
                  <w:tcBorders>
                    <w:tl2br w:val="nil"/>
                    <w:tr2bl w:val="nil"/>
                  </w:tcBorders>
                  <w:shd w:val="clear" w:color="auto" w:fill="auto"/>
                  <w:noWrap/>
                  <w:vAlign w:val="center"/>
                </w:tcPr>
                <w:p w14:paraId="151BDCE1">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50000</w:t>
                  </w:r>
                </w:p>
              </w:tc>
              <w:tc>
                <w:tcPr>
                  <w:tcW w:w="276" w:type="dxa"/>
                  <w:vMerge w:val="restart"/>
                  <w:tcBorders>
                    <w:tl2br w:val="nil"/>
                    <w:tr2bl w:val="nil"/>
                  </w:tcBorders>
                  <w:shd w:val="clear" w:color="auto" w:fill="auto"/>
                  <w:noWrap/>
                  <w:vAlign w:val="center"/>
                </w:tcPr>
                <w:p w14:paraId="6AC4947A">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vMerge w:val="restart"/>
                  <w:tcBorders>
                    <w:tl2br w:val="nil"/>
                    <w:tr2bl w:val="nil"/>
                  </w:tcBorders>
                  <w:shd w:val="clear" w:color="auto" w:fill="auto"/>
                  <w:noWrap/>
                  <w:vAlign w:val="center"/>
                </w:tcPr>
                <w:p w14:paraId="239DDFA1">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vMerge w:val="restart"/>
                  <w:tcBorders>
                    <w:tl2br w:val="nil"/>
                    <w:tr2bl w:val="nil"/>
                  </w:tcBorders>
                  <w:shd w:val="clear" w:color="auto" w:fill="auto"/>
                  <w:noWrap/>
                  <w:vAlign w:val="center"/>
                </w:tcPr>
                <w:p w14:paraId="7755BC1B">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0.14</w:t>
                  </w:r>
                </w:p>
              </w:tc>
              <w:tc>
                <w:tcPr>
                  <w:tcW w:w="600" w:type="dxa"/>
                  <w:vMerge w:val="restart"/>
                  <w:tcBorders>
                    <w:tl2br w:val="nil"/>
                    <w:tr2bl w:val="nil"/>
                  </w:tcBorders>
                  <w:shd w:val="clear" w:color="auto" w:fill="auto"/>
                  <w:noWrap/>
                  <w:vAlign w:val="center"/>
                </w:tcPr>
                <w:p w14:paraId="713D0C1B">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37.25</w:t>
                  </w:r>
                </w:p>
              </w:tc>
              <w:tc>
                <w:tcPr>
                  <w:tcW w:w="1272" w:type="dxa"/>
                  <w:vMerge w:val="restart"/>
                  <w:tcBorders>
                    <w:tl2br w:val="nil"/>
                    <w:tr2bl w:val="nil"/>
                  </w:tcBorders>
                  <w:shd w:val="clear" w:color="auto" w:fill="auto"/>
                  <w:noWrap/>
                  <w:vAlign w:val="center"/>
                </w:tcPr>
                <w:p w14:paraId="1445B9A2">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全封闭生产车间，集气罩、</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布袋除尘器+15m高排气筒</w:t>
                  </w:r>
                </w:p>
              </w:tc>
              <w:tc>
                <w:tcPr>
                  <w:tcW w:w="408" w:type="dxa"/>
                  <w:tcBorders>
                    <w:tl2br w:val="nil"/>
                    <w:tr2bl w:val="nil"/>
                  </w:tcBorders>
                  <w:shd w:val="clear" w:color="auto" w:fill="auto"/>
                  <w:noWrap/>
                  <w:vAlign w:val="center"/>
                </w:tcPr>
                <w:p w14:paraId="0641F339">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480" w:type="dxa"/>
                  <w:tcBorders>
                    <w:tl2br w:val="nil"/>
                    <w:tr2bl w:val="nil"/>
                  </w:tcBorders>
                  <w:shd w:val="clear" w:color="auto" w:fill="auto"/>
                  <w:noWrap/>
                  <w:vAlign w:val="center"/>
                </w:tcPr>
                <w:p w14:paraId="04923693">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53927755">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624" w:type="dxa"/>
                  <w:tcBorders>
                    <w:tl2br w:val="nil"/>
                    <w:tr2bl w:val="nil"/>
                  </w:tcBorders>
                  <w:shd w:val="clear" w:color="auto" w:fill="auto"/>
                  <w:noWrap/>
                  <w:vAlign w:val="center"/>
                </w:tcPr>
                <w:p w14:paraId="169A61AF">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00" w:type="dxa"/>
                  <w:tcBorders>
                    <w:tl2br w:val="nil"/>
                    <w:tr2bl w:val="nil"/>
                  </w:tcBorders>
                  <w:shd w:val="clear" w:color="auto" w:fill="auto"/>
                  <w:noWrap/>
                  <w:vAlign w:val="center"/>
                </w:tcPr>
                <w:p w14:paraId="0D3C2AFC">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8.94</w:t>
                  </w:r>
                </w:p>
              </w:tc>
              <w:tc>
                <w:tcPr>
                  <w:tcW w:w="864" w:type="dxa"/>
                  <w:tcBorders>
                    <w:tl2br w:val="nil"/>
                    <w:tr2bl w:val="nil"/>
                  </w:tcBorders>
                  <w:shd w:val="clear" w:color="auto" w:fill="auto"/>
                  <w:noWrap/>
                  <w:vAlign w:val="center"/>
                </w:tcPr>
                <w:p w14:paraId="7A088FDC">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3.73</w:t>
                  </w:r>
                </w:p>
              </w:tc>
              <w:tc>
                <w:tcPr>
                  <w:tcW w:w="332" w:type="dxa"/>
                  <w:tcBorders>
                    <w:tl2br w:val="nil"/>
                    <w:tr2bl w:val="nil"/>
                  </w:tcBorders>
                  <w:shd w:val="clear" w:color="auto" w:fill="auto"/>
                  <w:noWrap/>
                  <w:vAlign w:val="center"/>
                </w:tcPr>
                <w:p w14:paraId="0927ED8B">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5078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jc w:val="center"/>
              </w:trPr>
              <w:tc>
                <w:tcPr>
                  <w:tcW w:w="333" w:type="dxa"/>
                  <w:vMerge w:val="continue"/>
                  <w:tcBorders>
                    <w:tl2br w:val="nil"/>
                    <w:tr2bl w:val="nil"/>
                  </w:tcBorders>
                  <w:shd w:val="clear" w:color="auto" w:fill="auto"/>
                  <w:noWrap/>
                  <w:vAlign w:val="center"/>
                </w:tcPr>
                <w:p w14:paraId="01EA905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60" w:type="dxa"/>
                  <w:vMerge w:val="continue"/>
                  <w:tcBorders>
                    <w:tl2br w:val="nil"/>
                    <w:tr2bl w:val="nil"/>
                  </w:tcBorders>
                  <w:shd w:val="clear" w:color="auto" w:fill="auto"/>
                  <w:noWrap/>
                  <w:vAlign w:val="center"/>
                </w:tcPr>
                <w:p w14:paraId="0DEA6B6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276" w:type="dxa"/>
                  <w:vMerge w:val="continue"/>
                  <w:tcBorders>
                    <w:tl2br w:val="nil"/>
                    <w:tr2bl w:val="nil"/>
                  </w:tcBorders>
                  <w:shd w:val="clear" w:color="auto" w:fill="auto"/>
                  <w:noWrap/>
                  <w:vAlign w:val="center"/>
                </w:tcPr>
                <w:p w14:paraId="4FA0DCE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0" w:type="dxa"/>
                  <w:vMerge w:val="continue"/>
                  <w:tcBorders>
                    <w:tl2br w:val="nil"/>
                    <w:tr2bl w:val="nil"/>
                  </w:tcBorders>
                  <w:shd w:val="clear" w:color="auto" w:fill="auto"/>
                  <w:noWrap/>
                  <w:vAlign w:val="center"/>
                </w:tcPr>
                <w:p w14:paraId="1ACE4FE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84" w:type="dxa"/>
                  <w:vMerge w:val="continue"/>
                  <w:tcBorders>
                    <w:tl2br w:val="nil"/>
                    <w:tr2bl w:val="nil"/>
                  </w:tcBorders>
                  <w:shd w:val="clear" w:color="auto" w:fill="auto"/>
                  <w:noWrap/>
                  <w:vAlign w:val="center"/>
                </w:tcPr>
                <w:p w14:paraId="231E7F7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00" w:type="dxa"/>
                  <w:vMerge w:val="continue"/>
                  <w:tcBorders>
                    <w:tl2br w:val="nil"/>
                    <w:tr2bl w:val="nil"/>
                  </w:tcBorders>
                  <w:shd w:val="clear" w:color="auto" w:fill="auto"/>
                  <w:noWrap/>
                  <w:vAlign w:val="center"/>
                </w:tcPr>
                <w:p w14:paraId="56D4DD4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72" w:type="dxa"/>
                  <w:vMerge w:val="continue"/>
                  <w:tcBorders>
                    <w:tl2br w:val="nil"/>
                    <w:tr2bl w:val="nil"/>
                  </w:tcBorders>
                  <w:shd w:val="clear" w:color="auto" w:fill="auto"/>
                  <w:noWrap/>
                  <w:vAlign w:val="center"/>
                </w:tcPr>
                <w:p w14:paraId="4CAABC9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08" w:type="dxa"/>
                  <w:tcBorders>
                    <w:tl2br w:val="nil"/>
                    <w:tr2bl w:val="nil"/>
                  </w:tcBorders>
                  <w:shd w:val="clear" w:color="auto" w:fill="auto"/>
                  <w:noWrap/>
                  <w:vAlign w:val="center"/>
                </w:tcPr>
                <w:p w14:paraId="7B3E3A8D">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1DAD4B1B">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90%</w:t>
                  </w:r>
                </w:p>
              </w:tc>
              <w:tc>
                <w:tcPr>
                  <w:tcW w:w="552" w:type="dxa"/>
                  <w:tcBorders>
                    <w:tl2br w:val="nil"/>
                    <w:tr2bl w:val="nil"/>
                  </w:tcBorders>
                  <w:shd w:val="clear" w:color="auto" w:fill="auto"/>
                  <w:noWrap/>
                  <w:vAlign w:val="center"/>
                </w:tcPr>
                <w:p w14:paraId="3BB924DF">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99%</w:t>
                  </w:r>
                </w:p>
              </w:tc>
              <w:tc>
                <w:tcPr>
                  <w:tcW w:w="624" w:type="dxa"/>
                  <w:tcBorders>
                    <w:tl2br w:val="nil"/>
                    <w:tr2bl w:val="nil"/>
                  </w:tcBorders>
                  <w:shd w:val="clear" w:color="auto" w:fill="auto"/>
                  <w:noWrap/>
                  <w:vAlign w:val="center"/>
                </w:tcPr>
                <w:p w14:paraId="70C0833E">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2.80</w:t>
                  </w:r>
                </w:p>
              </w:tc>
              <w:tc>
                <w:tcPr>
                  <w:tcW w:w="600" w:type="dxa"/>
                  <w:tcBorders>
                    <w:tl2br w:val="nil"/>
                    <w:tr2bl w:val="nil"/>
                  </w:tcBorders>
                  <w:shd w:val="clear" w:color="auto" w:fill="auto"/>
                  <w:noWrap/>
                  <w:vAlign w:val="center"/>
                </w:tcPr>
                <w:p w14:paraId="6ABD19D4">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0.14</w:t>
                  </w:r>
                </w:p>
              </w:tc>
              <w:tc>
                <w:tcPr>
                  <w:tcW w:w="864" w:type="dxa"/>
                  <w:tcBorders>
                    <w:tl2br w:val="nil"/>
                    <w:tr2bl w:val="nil"/>
                  </w:tcBorders>
                  <w:shd w:val="clear" w:color="auto" w:fill="auto"/>
                  <w:noWrap/>
                  <w:vAlign w:val="center"/>
                </w:tcPr>
                <w:p w14:paraId="0D0D30D6">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0.34</w:t>
                  </w:r>
                </w:p>
              </w:tc>
              <w:tc>
                <w:tcPr>
                  <w:tcW w:w="332" w:type="dxa"/>
                  <w:tcBorders>
                    <w:tl2br w:val="nil"/>
                    <w:tr2bl w:val="nil"/>
                  </w:tcBorders>
                  <w:shd w:val="clear" w:color="auto" w:fill="auto"/>
                  <w:noWrap/>
                  <w:vAlign w:val="center"/>
                </w:tcPr>
                <w:p w14:paraId="383EA333">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有组织</w:t>
                  </w:r>
                </w:p>
              </w:tc>
            </w:tr>
            <w:tr w14:paraId="1DC6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noWrap/>
                  <w:vAlign w:val="center"/>
                </w:tcPr>
                <w:p w14:paraId="28ADB0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皮带运输</w:t>
                  </w:r>
                </w:p>
              </w:tc>
              <w:tc>
                <w:tcPr>
                  <w:tcW w:w="660" w:type="dxa"/>
                  <w:tcBorders>
                    <w:tl2br w:val="nil"/>
                    <w:tr2bl w:val="nil"/>
                  </w:tcBorders>
                  <w:noWrap/>
                  <w:vAlign w:val="center"/>
                </w:tcPr>
                <w:p w14:paraId="365E039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76" w:type="dxa"/>
                  <w:tcBorders>
                    <w:tl2br w:val="nil"/>
                    <w:tr2bl w:val="nil"/>
                  </w:tcBorders>
                  <w:noWrap/>
                  <w:vAlign w:val="center"/>
                </w:tcPr>
                <w:p w14:paraId="3082EE1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tcBorders>
                    <w:tl2br w:val="nil"/>
                    <w:tr2bl w:val="nil"/>
                  </w:tcBorders>
                  <w:noWrap/>
                  <w:vAlign w:val="center"/>
                </w:tcPr>
                <w:p w14:paraId="50FAA2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noWrap/>
                  <w:vAlign w:val="center"/>
                </w:tcPr>
                <w:p w14:paraId="63E5FE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4.11</w:t>
                  </w:r>
                </w:p>
              </w:tc>
              <w:tc>
                <w:tcPr>
                  <w:tcW w:w="600" w:type="dxa"/>
                  <w:tcBorders>
                    <w:tl2br w:val="nil"/>
                    <w:tr2bl w:val="nil"/>
                  </w:tcBorders>
                  <w:noWrap/>
                  <w:vAlign w:val="center"/>
                </w:tcPr>
                <w:p w14:paraId="4746CE4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9.86</w:t>
                  </w:r>
                </w:p>
              </w:tc>
              <w:tc>
                <w:tcPr>
                  <w:tcW w:w="1272" w:type="dxa"/>
                  <w:tcBorders>
                    <w:tl2br w:val="nil"/>
                    <w:tr2bl w:val="nil"/>
                  </w:tcBorders>
                  <w:noWrap/>
                  <w:vAlign w:val="center"/>
                </w:tcPr>
                <w:p w14:paraId="139BF03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洒水抑尘、输送带全封闭</w:t>
                  </w:r>
                </w:p>
              </w:tc>
              <w:tc>
                <w:tcPr>
                  <w:tcW w:w="408" w:type="dxa"/>
                  <w:tcBorders>
                    <w:tl2br w:val="nil"/>
                    <w:tr2bl w:val="nil"/>
                  </w:tcBorders>
                  <w:noWrap/>
                  <w:vAlign w:val="center"/>
                </w:tcPr>
                <w:p w14:paraId="5EF0FD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noWrap/>
                  <w:vAlign w:val="center"/>
                </w:tcPr>
                <w:p w14:paraId="7EB072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noWrap/>
                  <w:vAlign w:val="center"/>
                </w:tcPr>
                <w:p w14:paraId="1406F9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99%</w:t>
                  </w:r>
                </w:p>
              </w:tc>
              <w:tc>
                <w:tcPr>
                  <w:tcW w:w="624" w:type="dxa"/>
                  <w:tcBorders>
                    <w:tl2br w:val="nil"/>
                    <w:tr2bl w:val="nil"/>
                  </w:tcBorders>
                  <w:noWrap/>
                  <w:vAlign w:val="center"/>
                </w:tcPr>
                <w:p w14:paraId="15196C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00" w:type="dxa"/>
                  <w:tcBorders>
                    <w:tl2br w:val="nil"/>
                    <w:tr2bl w:val="nil"/>
                  </w:tcBorders>
                  <w:noWrap/>
                  <w:vAlign w:val="center"/>
                </w:tcPr>
                <w:p w14:paraId="7A75749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0.04</w:t>
                  </w:r>
                </w:p>
              </w:tc>
              <w:tc>
                <w:tcPr>
                  <w:tcW w:w="864" w:type="dxa"/>
                  <w:tcBorders>
                    <w:tl2br w:val="nil"/>
                    <w:tr2bl w:val="nil"/>
                  </w:tcBorders>
                  <w:noWrap/>
                  <w:vAlign w:val="center"/>
                </w:tcPr>
                <w:p w14:paraId="6004CCC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0.10</w:t>
                  </w:r>
                </w:p>
              </w:tc>
              <w:tc>
                <w:tcPr>
                  <w:tcW w:w="332" w:type="dxa"/>
                  <w:tcBorders>
                    <w:tl2br w:val="nil"/>
                    <w:tr2bl w:val="nil"/>
                  </w:tcBorders>
                  <w:noWrap/>
                  <w:vAlign w:val="center"/>
                </w:tcPr>
                <w:p w14:paraId="5A1AE4B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4D92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shd w:val="clear" w:color="auto" w:fill="auto"/>
                  <w:noWrap/>
                  <w:vAlign w:val="center"/>
                </w:tcPr>
                <w:p w14:paraId="58FCC58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上料</w:t>
                  </w:r>
                </w:p>
              </w:tc>
              <w:tc>
                <w:tcPr>
                  <w:tcW w:w="660" w:type="dxa"/>
                  <w:tcBorders>
                    <w:tl2br w:val="nil"/>
                    <w:tr2bl w:val="nil"/>
                  </w:tcBorders>
                  <w:shd w:val="clear" w:color="auto" w:fill="auto"/>
                  <w:noWrap/>
                  <w:vAlign w:val="center"/>
                </w:tcPr>
                <w:p w14:paraId="4256B63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50000</w:t>
                  </w:r>
                </w:p>
              </w:tc>
              <w:tc>
                <w:tcPr>
                  <w:tcW w:w="276" w:type="dxa"/>
                  <w:tcBorders>
                    <w:tl2br w:val="nil"/>
                    <w:tr2bl w:val="nil"/>
                  </w:tcBorders>
                  <w:shd w:val="clear" w:color="auto" w:fill="auto"/>
                  <w:noWrap/>
                  <w:vAlign w:val="center"/>
                </w:tcPr>
                <w:p w14:paraId="6F75F55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tcBorders>
                    <w:tl2br w:val="nil"/>
                    <w:tr2bl w:val="nil"/>
                  </w:tcBorders>
                  <w:shd w:val="clear" w:color="auto" w:fill="auto"/>
                  <w:noWrap/>
                  <w:vAlign w:val="center"/>
                </w:tcPr>
                <w:p w14:paraId="43B284F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shd w:val="clear" w:color="auto" w:fill="auto"/>
                  <w:noWrap/>
                  <w:vAlign w:val="center"/>
                </w:tcPr>
                <w:p w14:paraId="0B73FB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0.016</w:t>
                  </w:r>
                </w:p>
              </w:tc>
              <w:tc>
                <w:tcPr>
                  <w:tcW w:w="600" w:type="dxa"/>
                  <w:tcBorders>
                    <w:tl2br w:val="nil"/>
                    <w:tr2bl w:val="nil"/>
                  </w:tcBorders>
                  <w:shd w:val="clear" w:color="auto" w:fill="auto"/>
                  <w:noWrap/>
                  <w:vAlign w:val="center"/>
                </w:tcPr>
                <w:p w14:paraId="6BCEFE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0.04</w:t>
                  </w:r>
                </w:p>
              </w:tc>
              <w:tc>
                <w:tcPr>
                  <w:tcW w:w="1272" w:type="dxa"/>
                  <w:tcBorders>
                    <w:tl2br w:val="nil"/>
                    <w:tr2bl w:val="nil"/>
                  </w:tcBorders>
                  <w:shd w:val="clear" w:color="auto" w:fill="auto"/>
                  <w:noWrap/>
                  <w:vAlign w:val="center"/>
                </w:tcPr>
                <w:p w14:paraId="45E307F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全封闭生产车间集气罩、</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布袋除尘器+15m高排气筒</w:t>
                  </w:r>
                </w:p>
              </w:tc>
              <w:tc>
                <w:tcPr>
                  <w:tcW w:w="408" w:type="dxa"/>
                  <w:tcBorders>
                    <w:tl2br w:val="nil"/>
                    <w:tr2bl w:val="nil"/>
                  </w:tcBorders>
                  <w:shd w:val="clear" w:color="auto" w:fill="auto"/>
                  <w:noWrap/>
                  <w:vAlign w:val="center"/>
                </w:tcPr>
                <w:p w14:paraId="5457CB2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6EE96F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4A9067D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99%</w:t>
                  </w:r>
                </w:p>
              </w:tc>
              <w:tc>
                <w:tcPr>
                  <w:tcW w:w="624" w:type="dxa"/>
                  <w:tcBorders>
                    <w:tl2br w:val="nil"/>
                    <w:tr2bl w:val="nil"/>
                  </w:tcBorders>
                  <w:shd w:val="clear" w:color="auto" w:fill="auto"/>
                  <w:noWrap/>
                  <w:vAlign w:val="center"/>
                </w:tcPr>
                <w:p w14:paraId="059ECB0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0.003</w:t>
                  </w:r>
                </w:p>
              </w:tc>
              <w:tc>
                <w:tcPr>
                  <w:tcW w:w="600" w:type="dxa"/>
                  <w:tcBorders>
                    <w:tl2br w:val="nil"/>
                    <w:tr2bl w:val="nil"/>
                  </w:tcBorders>
                  <w:shd w:val="clear" w:color="auto" w:fill="auto"/>
                  <w:noWrap/>
                  <w:vAlign w:val="center"/>
                </w:tcPr>
                <w:p w14:paraId="216CDB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0.0001</w:t>
                  </w:r>
                </w:p>
              </w:tc>
              <w:tc>
                <w:tcPr>
                  <w:tcW w:w="864" w:type="dxa"/>
                  <w:tcBorders>
                    <w:tl2br w:val="nil"/>
                    <w:tr2bl w:val="nil"/>
                  </w:tcBorders>
                  <w:shd w:val="clear" w:color="auto" w:fill="auto"/>
                  <w:noWrap/>
                  <w:vAlign w:val="center"/>
                </w:tcPr>
                <w:p w14:paraId="2D0B0B6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0.0004</w:t>
                  </w:r>
                </w:p>
              </w:tc>
              <w:tc>
                <w:tcPr>
                  <w:tcW w:w="332" w:type="dxa"/>
                  <w:tcBorders>
                    <w:tl2br w:val="nil"/>
                    <w:tr2bl w:val="nil"/>
                  </w:tcBorders>
                  <w:shd w:val="clear" w:color="auto" w:fill="auto"/>
                  <w:noWrap/>
                  <w:vAlign w:val="center"/>
                </w:tcPr>
                <w:p w14:paraId="0BD6DC3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79A3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shd w:val="clear" w:color="auto" w:fill="auto"/>
                  <w:noWrap/>
                  <w:vAlign w:val="center"/>
                </w:tcPr>
                <w:p w14:paraId="7D449E7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装卸粉尘</w:t>
                  </w:r>
                </w:p>
              </w:tc>
              <w:tc>
                <w:tcPr>
                  <w:tcW w:w="660" w:type="dxa"/>
                  <w:tcBorders>
                    <w:tl2br w:val="nil"/>
                    <w:tr2bl w:val="nil"/>
                  </w:tcBorders>
                  <w:shd w:val="clear" w:color="auto" w:fill="auto"/>
                  <w:noWrap/>
                  <w:vAlign w:val="center"/>
                </w:tcPr>
                <w:p w14:paraId="5CED7A2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76" w:type="dxa"/>
                  <w:tcBorders>
                    <w:tl2br w:val="nil"/>
                    <w:tr2bl w:val="nil"/>
                  </w:tcBorders>
                  <w:shd w:val="clear" w:color="auto" w:fill="auto"/>
                  <w:noWrap/>
                  <w:vAlign w:val="center"/>
                </w:tcPr>
                <w:p w14:paraId="45439E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tcBorders>
                    <w:tl2br w:val="nil"/>
                    <w:tr2bl w:val="nil"/>
                  </w:tcBorders>
                  <w:shd w:val="clear" w:color="auto" w:fill="auto"/>
                  <w:noWrap/>
                  <w:vAlign w:val="center"/>
                </w:tcPr>
                <w:p w14:paraId="191614D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shd w:val="clear" w:color="auto" w:fill="auto"/>
                  <w:noWrap/>
                  <w:vAlign w:val="center"/>
                </w:tcPr>
                <w:p w14:paraId="3AE7D80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0.27</w:t>
                  </w:r>
                </w:p>
              </w:tc>
              <w:tc>
                <w:tcPr>
                  <w:tcW w:w="600" w:type="dxa"/>
                  <w:tcBorders>
                    <w:tl2br w:val="nil"/>
                    <w:tr2bl w:val="nil"/>
                  </w:tcBorders>
                  <w:shd w:val="clear" w:color="auto" w:fill="auto"/>
                  <w:noWrap/>
                  <w:vAlign w:val="center"/>
                </w:tcPr>
                <w:p w14:paraId="7E9DD20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0.657</w:t>
                  </w:r>
                </w:p>
              </w:tc>
              <w:tc>
                <w:tcPr>
                  <w:tcW w:w="1272" w:type="dxa"/>
                  <w:tcBorders>
                    <w:tl2br w:val="nil"/>
                    <w:tr2bl w:val="nil"/>
                  </w:tcBorders>
                  <w:shd w:val="clear" w:color="auto" w:fill="auto"/>
                  <w:noWrap/>
                  <w:vAlign w:val="center"/>
                </w:tcPr>
                <w:p w14:paraId="1AF337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洒水抑尘</w:t>
                  </w:r>
                </w:p>
              </w:tc>
              <w:tc>
                <w:tcPr>
                  <w:tcW w:w="408" w:type="dxa"/>
                  <w:tcBorders>
                    <w:tl2br w:val="nil"/>
                    <w:tr2bl w:val="nil"/>
                  </w:tcBorders>
                  <w:shd w:val="clear" w:color="auto" w:fill="auto"/>
                  <w:noWrap/>
                  <w:vAlign w:val="center"/>
                </w:tcPr>
                <w:p w14:paraId="55B4D84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66AB6AF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59132EB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74%</w:t>
                  </w:r>
                </w:p>
              </w:tc>
              <w:tc>
                <w:tcPr>
                  <w:tcW w:w="624" w:type="dxa"/>
                  <w:tcBorders>
                    <w:tl2br w:val="nil"/>
                    <w:tr2bl w:val="nil"/>
                  </w:tcBorders>
                  <w:shd w:val="clear" w:color="auto" w:fill="auto"/>
                  <w:noWrap/>
                  <w:vAlign w:val="center"/>
                </w:tcPr>
                <w:p w14:paraId="0F8FBA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00" w:type="dxa"/>
                  <w:tcBorders>
                    <w:tl2br w:val="nil"/>
                    <w:tr2bl w:val="nil"/>
                  </w:tcBorders>
                  <w:shd w:val="clear" w:color="auto" w:fill="auto"/>
                  <w:noWrap/>
                  <w:vAlign w:val="center"/>
                </w:tcPr>
                <w:p w14:paraId="0BF6107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0.071</w:t>
                  </w:r>
                </w:p>
              </w:tc>
              <w:tc>
                <w:tcPr>
                  <w:tcW w:w="864" w:type="dxa"/>
                  <w:tcBorders>
                    <w:tl2br w:val="nil"/>
                    <w:tr2bl w:val="nil"/>
                  </w:tcBorders>
                  <w:shd w:val="clear" w:color="auto" w:fill="auto"/>
                  <w:noWrap/>
                  <w:vAlign w:val="center"/>
                </w:tcPr>
                <w:p w14:paraId="5CAB499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0.17</w:t>
                  </w:r>
                </w:p>
              </w:tc>
              <w:tc>
                <w:tcPr>
                  <w:tcW w:w="332" w:type="dxa"/>
                  <w:tcBorders>
                    <w:tl2br w:val="nil"/>
                    <w:tr2bl w:val="nil"/>
                  </w:tcBorders>
                  <w:shd w:val="clear" w:color="auto" w:fill="auto"/>
                  <w:noWrap/>
                  <w:vAlign w:val="center"/>
                </w:tcPr>
                <w:p w14:paraId="07CF600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无组织</w:t>
                  </w:r>
                </w:p>
              </w:tc>
            </w:tr>
            <w:tr w14:paraId="008F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shd w:val="clear" w:color="auto" w:fill="auto"/>
                  <w:noWrap/>
                  <w:vAlign w:val="center"/>
                </w:tcPr>
                <w:p w14:paraId="4942AB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无动力脱粉</w:t>
                  </w:r>
                </w:p>
              </w:tc>
              <w:tc>
                <w:tcPr>
                  <w:tcW w:w="660" w:type="dxa"/>
                  <w:tcBorders>
                    <w:tl2br w:val="nil"/>
                    <w:tr2bl w:val="nil"/>
                  </w:tcBorders>
                  <w:shd w:val="clear" w:color="auto" w:fill="auto"/>
                  <w:noWrap/>
                  <w:vAlign w:val="center"/>
                </w:tcPr>
                <w:p w14:paraId="6E350895">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50000</w:t>
                  </w:r>
                </w:p>
              </w:tc>
              <w:tc>
                <w:tcPr>
                  <w:tcW w:w="276" w:type="dxa"/>
                  <w:tcBorders>
                    <w:tl2br w:val="nil"/>
                    <w:tr2bl w:val="nil"/>
                  </w:tcBorders>
                  <w:shd w:val="clear" w:color="auto" w:fill="auto"/>
                  <w:noWrap/>
                  <w:vAlign w:val="center"/>
                </w:tcPr>
                <w:p w14:paraId="192FF3B5">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tcBorders>
                    <w:tl2br w:val="nil"/>
                    <w:tr2bl w:val="nil"/>
                  </w:tcBorders>
                  <w:shd w:val="clear" w:color="auto" w:fill="auto"/>
                  <w:noWrap/>
                  <w:vAlign w:val="center"/>
                </w:tcPr>
                <w:p w14:paraId="2C43E30C">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shd w:val="clear" w:color="auto" w:fill="auto"/>
                  <w:noWrap/>
                  <w:vAlign w:val="center"/>
                </w:tcPr>
                <w:p w14:paraId="06D3FABC">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51.74</w:t>
                  </w:r>
                </w:p>
              </w:tc>
              <w:tc>
                <w:tcPr>
                  <w:tcW w:w="600" w:type="dxa"/>
                  <w:tcBorders>
                    <w:tl2br w:val="nil"/>
                    <w:tr2bl w:val="nil"/>
                  </w:tcBorders>
                  <w:shd w:val="clear" w:color="auto" w:fill="auto"/>
                  <w:noWrap/>
                  <w:vAlign w:val="center"/>
                </w:tcPr>
                <w:p w14:paraId="4FA2E041">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124.17</w:t>
                  </w:r>
                </w:p>
              </w:tc>
              <w:tc>
                <w:tcPr>
                  <w:tcW w:w="1272" w:type="dxa"/>
                  <w:tcBorders>
                    <w:tl2br w:val="nil"/>
                    <w:tr2bl w:val="nil"/>
                  </w:tcBorders>
                  <w:shd w:val="clear" w:color="auto" w:fill="auto"/>
                  <w:noWrap/>
                  <w:vAlign w:val="center"/>
                </w:tcPr>
                <w:p w14:paraId="4C04D6A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全封闭生产车间集气罩、</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布袋除尘器+15m高排气筒</w:t>
                  </w:r>
                </w:p>
              </w:tc>
              <w:tc>
                <w:tcPr>
                  <w:tcW w:w="408" w:type="dxa"/>
                  <w:tcBorders>
                    <w:tl2br w:val="nil"/>
                    <w:tr2bl w:val="nil"/>
                  </w:tcBorders>
                  <w:shd w:val="clear" w:color="auto" w:fill="auto"/>
                  <w:noWrap/>
                  <w:vAlign w:val="center"/>
                </w:tcPr>
                <w:p w14:paraId="4706EAE4">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05EB4D74">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100B091E">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99%</w:t>
                  </w:r>
                </w:p>
              </w:tc>
              <w:tc>
                <w:tcPr>
                  <w:tcW w:w="624" w:type="dxa"/>
                  <w:tcBorders>
                    <w:tl2br w:val="nil"/>
                    <w:tr2bl w:val="nil"/>
                  </w:tcBorders>
                  <w:shd w:val="clear" w:color="auto" w:fill="auto"/>
                  <w:noWrap/>
                  <w:vAlign w:val="center"/>
                </w:tcPr>
                <w:p w14:paraId="7110FD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9.31</w:t>
                  </w:r>
                </w:p>
              </w:tc>
              <w:tc>
                <w:tcPr>
                  <w:tcW w:w="600" w:type="dxa"/>
                  <w:tcBorders>
                    <w:tl2br w:val="nil"/>
                    <w:tr2bl w:val="nil"/>
                  </w:tcBorders>
                  <w:shd w:val="clear" w:color="auto" w:fill="auto"/>
                  <w:noWrap/>
                  <w:vAlign w:val="center"/>
                </w:tcPr>
                <w:p w14:paraId="303D96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0.47</w:t>
                  </w:r>
                </w:p>
              </w:tc>
              <w:tc>
                <w:tcPr>
                  <w:tcW w:w="864" w:type="dxa"/>
                  <w:tcBorders>
                    <w:tl2br w:val="nil"/>
                    <w:tr2bl w:val="nil"/>
                  </w:tcBorders>
                  <w:shd w:val="clear" w:color="auto" w:fill="auto"/>
                  <w:noWrap/>
                  <w:vAlign w:val="center"/>
                </w:tcPr>
                <w:p w14:paraId="36B360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1.12</w:t>
                  </w:r>
                </w:p>
              </w:tc>
              <w:tc>
                <w:tcPr>
                  <w:tcW w:w="332" w:type="dxa"/>
                  <w:tcBorders>
                    <w:tl2br w:val="nil"/>
                    <w:tr2bl w:val="nil"/>
                  </w:tcBorders>
                  <w:shd w:val="clear" w:color="auto" w:fill="auto"/>
                  <w:noWrap/>
                  <w:vAlign w:val="center"/>
                </w:tcPr>
                <w:p w14:paraId="6231165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有组织</w:t>
                  </w:r>
                </w:p>
              </w:tc>
            </w:tr>
            <w:tr w14:paraId="3FB2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3" w:type="dxa"/>
                  <w:tcBorders>
                    <w:tl2br w:val="nil"/>
                    <w:tr2bl w:val="nil"/>
                  </w:tcBorders>
                  <w:shd w:val="clear" w:color="auto" w:fill="auto"/>
                  <w:noWrap/>
                  <w:vAlign w:val="center"/>
                </w:tcPr>
                <w:p w14:paraId="2D1E59E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筛分粉尘</w:t>
                  </w:r>
                </w:p>
              </w:tc>
              <w:tc>
                <w:tcPr>
                  <w:tcW w:w="660" w:type="dxa"/>
                  <w:tcBorders>
                    <w:tl2br w:val="nil"/>
                    <w:tr2bl w:val="nil"/>
                  </w:tcBorders>
                  <w:shd w:val="clear" w:color="auto" w:fill="auto"/>
                  <w:noWrap/>
                  <w:vAlign w:val="center"/>
                </w:tcPr>
                <w:p w14:paraId="6FF89C5C">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50000</w:t>
                  </w:r>
                </w:p>
              </w:tc>
              <w:tc>
                <w:tcPr>
                  <w:tcW w:w="276" w:type="dxa"/>
                  <w:tcBorders>
                    <w:tl2br w:val="nil"/>
                    <w:tr2bl w:val="nil"/>
                  </w:tcBorders>
                  <w:shd w:val="clear" w:color="auto" w:fill="auto"/>
                  <w:noWrap/>
                  <w:vAlign w:val="center"/>
                </w:tcPr>
                <w:p w14:paraId="0BFEB21C">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540" w:type="dxa"/>
                  <w:tcBorders>
                    <w:tl2br w:val="nil"/>
                    <w:tr2bl w:val="nil"/>
                  </w:tcBorders>
                  <w:shd w:val="clear" w:color="auto" w:fill="auto"/>
                  <w:noWrap/>
                  <w:vAlign w:val="center"/>
                </w:tcPr>
                <w:p w14:paraId="41E97207">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2400</w:t>
                  </w:r>
                </w:p>
              </w:tc>
              <w:tc>
                <w:tcPr>
                  <w:tcW w:w="684" w:type="dxa"/>
                  <w:tcBorders>
                    <w:tl2br w:val="nil"/>
                    <w:tr2bl w:val="nil"/>
                  </w:tcBorders>
                  <w:shd w:val="clear" w:color="auto" w:fill="auto"/>
                  <w:noWrap/>
                  <w:vAlign w:val="center"/>
                </w:tcPr>
                <w:p w14:paraId="7A8BF832">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51.74</w:t>
                  </w:r>
                </w:p>
              </w:tc>
              <w:tc>
                <w:tcPr>
                  <w:tcW w:w="600" w:type="dxa"/>
                  <w:tcBorders>
                    <w:tl2br w:val="nil"/>
                    <w:tr2bl w:val="nil"/>
                  </w:tcBorders>
                  <w:shd w:val="clear" w:color="auto" w:fill="auto"/>
                  <w:noWrap/>
                  <w:vAlign w:val="center"/>
                </w:tcPr>
                <w:p w14:paraId="219DCF59">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124.17</w:t>
                  </w:r>
                </w:p>
              </w:tc>
              <w:tc>
                <w:tcPr>
                  <w:tcW w:w="1272" w:type="dxa"/>
                  <w:tcBorders>
                    <w:tl2br w:val="nil"/>
                    <w:tr2bl w:val="nil"/>
                  </w:tcBorders>
                  <w:shd w:val="clear" w:color="auto" w:fill="auto"/>
                  <w:noWrap/>
                  <w:vAlign w:val="center"/>
                </w:tcPr>
                <w:p w14:paraId="3B545390">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全封闭生产车间集气罩、</w:t>
                  </w:r>
                  <w:r>
                    <w:rPr>
                      <w:rFonts w:hint="eastAsia" w:cs="Times New Roman"/>
                      <w:color w:val="000000" w:themeColor="text1"/>
                      <w:highlight w:val="none"/>
                      <w:lang w:val="en-US" w:eastAsia="zh-CN"/>
                      <w14:textFill>
                        <w14:solidFill>
                          <w14:schemeClr w14:val="tx1"/>
                        </w14:solidFill>
                      </w14:textFill>
                    </w:rPr>
                    <w:t>脉冲式</w:t>
                  </w:r>
                  <w:r>
                    <w:rPr>
                      <w:rFonts w:hint="default" w:ascii="Times New Roman" w:hAnsi="Times New Roman" w:cs="Times New Roman"/>
                      <w:color w:val="000000" w:themeColor="text1"/>
                      <w:highlight w:val="none"/>
                      <w:lang w:val="en-US" w:eastAsia="zh-CN"/>
                      <w14:textFill>
                        <w14:solidFill>
                          <w14:schemeClr w14:val="tx1"/>
                        </w14:solidFill>
                      </w14:textFill>
                    </w:rPr>
                    <w:t>布袋除尘器+15m高排气筒</w:t>
                  </w:r>
                </w:p>
              </w:tc>
              <w:tc>
                <w:tcPr>
                  <w:tcW w:w="408" w:type="dxa"/>
                  <w:tcBorders>
                    <w:tl2br w:val="nil"/>
                    <w:tr2bl w:val="nil"/>
                  </w:tcBorders>
                  <w:shd w:val="clear" w:color="auto" w:fill="auto"/>
                  <w:noWrap/>
                  <w:vAlign w:val="center"/>
                </w:tcPr>
                <w:p w14:paraId="1A92AF84">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是</w:t>
                  </w:r>
                </w:p>
              </w:tc>
              <w:tc>
                <w:tcPr>
                  <w:tcW w:w="480" w:type="dxa"/>
                  <w:tcBorders>
                    <w:tl2br w:val="nil"/>
                    <w:tr2bl w:val="nil"/>
                  </w:tcBorders>
                  <w:shd w:val="clear" w:color="auto" w:fill="auto"/>
                  <w:noWrap/>
                  <w:vAlign w:val="center"/>
                </w:tcPr>
                <w:p w14:paraId="075FC95A">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52" w:type="dxa"/>
                  <w:tcBorders>
                    <w:tl2br w:val="nil"/>
                    <w:tr2bl w:val="nil"/>
                  </w:tcBorders>
                  <w:shd w:val="clear" w:color="auto" w:fill="auto"/>
                  <w:noWrap/>
                  <w:vAlign w:val="center"/>
                </w:tcPr>
                <w:p w14:paraId="42417952">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99%</w:t>
                  </w:r>
                </w:p>
              </w:tc>
              <w:tc>
                <w:tcPr>
                  <w:tcW w:w="624" w:type="dxa"/>
                  <w:tcBorders>
                    <w:tl2br w:val="nil"/>
                    <w:tr2bl w:val="nil"/>
                  </w:tcBorders>
                  <w:shd w:val="clear" w:color="auto" w:fill="auto"/>
                  <w:noWrap/>
                  <w:vAlign w:val="center"/>
                </w:tcPr>
                <w:p w14:paraId="3F0F9F37">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9.31</w:t>
                  </w:r>
                </w:p>
              </w:tc>
              <w:tc>
                <w:tcPr>
                  <w:tcW w:w="600" w:type="dxa"/>
                  <w:tcBorders>
                    <w:tl2br w:val="nil"/>
                    <w:tr2bl w:val="nil"/>
                  </w:tcBorders>
                  <w:shd w:val="clear" w:color="auto" w:fill="auto"/>
                  <w:noWrap/>
                  <w:vAlign w:val="center"/>
                </w:tcPr>
                <w:p w14:paraId="5A49816D">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0.47</w:t>
                  </w:r>
                </w:p>
              </w:tc>
              <w:tc>
                <w:tcPr>
                  <w:tcW w:w="864" w:type="dxa"/>
                  <w:tcBorders>
                    <w:tl2br w:val="nil"/>
                    <w:tr2bl w:val="nil"/>
                  </w:tcBorders>
                  <w:shd w:val="clear" w:color="auto" w:fill="auto"/>
                  <w:noWrap/>
                  <w:vAlign w:val="center"/>
                </w:tcPr>
                <w:p w14:paraId="77A153AB">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1.12</w:t>
                  </w:r>
                </w:p>
              </w:tc>
              <w:tc>
                <w:tcPr>
                  <w:tcW w:w="332" w:type="dxa"/>
                  <w:tcBorders>
                    <w:tl2br w:val="nil"/>
                    <w:tr2bl w:val="nil"/>
                  </w:tcBorders>
                  <w:shd w:val="clear" w:color="auto" w:fill="auto"/>
                  <w:noWrap/>
                  <w:vAlign w:val="center"/>
                </w:tcPr>
                <w:p w14:paraId="021CCA7F">
                  <w:pPr>
                    <w:pStyle w:val="16"/>
                    <w:bidi w:val="0"/>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有组织</w:t>
                  </w:r>
                </w:p>
              </w:tc>
            </w:tr>
          </w:tbl>
          <w:p w14:paraId="1ED828D9">
            <w:pPr>
              <w:spacing w:line="360" w:lineRule="auto"/>
              <w:ind w:firstLine="482" w:firstLineChars="20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highlight w:val="none"/>
                <w14:textFill>
                  <w14:solidFill>
                    <w14:schemeClr w14:val="tx1"/>
                  </w14:solidFill>
                </w14:textFill>
              </w:rPr>
              <w:t>车辆运输</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扬尘</w:t>
            </w:r>
          </w:p>
          <w:p w14:paraId="4F0F6FF4">
            <w:pPr>
              <w:spacing w:line="360" w:lineRule="auto"/>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车辆运输过程中会带起扬尘，运输线路上的起尘量按下式计算：</w:t>
            </w:r>
          </w:p>
          <w:p w14:paraId="06650522">
            <w:pPr>
              <w:spacing w:line="360" w:lineRule="auto"/>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Q=0.123(V/5)(W/6.8)</w:t>
            </w:r>
            <w:r>
              <w:rPr>
                <w:rFonts w:hint="default" w:ascii="Times New Roman" w:hAnsi="Times New Roman" w:eastAsia="宋体" w:cs="Times New Roman"/>
                <w:color w:val="000000" w:themeColor="text1"/>
                <w:highlight w:val="none"/>
                <w:vertAlign w:val="superscript"/>
                <w14:textFill>
                  <w14:solidFill>
                    <w14:schemeClr w14:val="tx1"/>
                  </w14:solidFill>
                </w14:textFill>
              </w:rPr>
              <w:t>0.85</w:t>
            </w:r>
            <w:r>
              <w:rPr>
                <w:rFonts w:hint="default" w:ascii="Times New Roman" w:hAnsi="Times New Roman" w:eastAsia="宋体" w:cs="Times New Roman"/>
                <w:color w:val="000000" w:themeColor="text1"/>
                <w:highlight w:val="none"/>
                <w14:textFill>
                  <w14:solidFill>
                    <w14:schemeClr w14:val="tx1"/>
                  </w14:solidFill>
                </w14:textFill>
              </w:rPr>
              <w:t>(P/0.5)</w:t>
            </w:r>
            <w:r>
              <w:rPr>
                <w:rFonts w:hint="default" w:ascii="Times New Roman" w:hAnsi="Times New Roman" w:eastAsia="宋体" w:cs="Times New Roman"/>
                <w:color w:val="000000" w:themeColor="text1"/>
                <w:highlight w:val="none"/>
                <w:vertAlign w:val="superscript"/>
                <w14:textFill>
                  <w14:solidFill>
                    <w14:schemeClr w14:val="tx1"/>
                  </w14:solidFill>
                </w14:textFill>
              </w:rPr>
              <w:t>0.72</w:t>
            </w:r>
            <w:r>
              <w:rPr>
                <w:rFonts w:hint="default" w:ascii="Times New Roman" w:hAnsi="Times New Roman" w:eastAsia="宋体" w:cs="Times New Roman"/>
                <w:color w:val="000000" w:themeColor="text1"/>
                <w:highlight w:val="none"/>
                <w14:textFill>
                  <w14:solidFill>
                    <w14:schemeClr w14:val="tx1"/>
                  </w14:solidFill>
                </w14:textFill>
              </w:rPr>
              <w:t>·L</w:t>
            </w:r>
          </w:p>
          <w:p w14:paraId="01AD321A">
            <w:pPr>
              <w:spacing w:line="360" w:lineRule="auto"/>
              <w:ind w:firstLine="480" w:firstLineChars="20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式中：Q——汽车行驶时的扬尘，kg/辆；</w:t>
            </w:r>
          </w:p>
          <w:p w14:paraId="050A0C31">
            <w:pPr>
              <w:spacing w:line="360" w:lineRule="auto"/>
              <w:ind w:firstLine="480" w:firstLineChars="20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 xml:space="preserve">      V——汽车速度，取15km/h；</w:t>
            </w:r>
          </w:p>
          <w:p w14:paraId="4061AD81">
            <w:pPr>
              <w:spacing w:line="360" w:lineRule="auto"/>
              <w:ind w:firstLine="480" w:firstLineChars="200"/>
              <w:jc w:val="both"/>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 xml:space="preserve">      W——汽车载重量，空车取10吨，满载取30吨</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一车拉运20t材料</w:t>
            </w:r>
            <w:r>
              <w:rPr>
                <w:rFonts w:hint="default" w:ascii="Times New Roman" w:hAnsi="Times New Roman" w:eastAsia="宋体" w:cs="Times New Roman"/>
                <w:color w:val="000000" w:themeColor="text1"/>
                <w:highlight w:val="none"/>
                <w:lang w:eastAsia="zh-CN"/>
                <w14:textFill>
                  <w14:solidFill>
                    <w14:schemeClr w14:val="tx1"/>
                  </w14:solidFill>
                </w14:textFill>
              </w:rPr>
              <w:t>）</w:t>
            </w:r>
          </w:p>
          <w:p w14:paraId="3D36223F">
            <w:pPr>
              <w:spacing w:line="360" w:lineRule="auto"/>
              <w:ind w:firstLine="480" w:firstLineChars="20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 xml:space="preserve">      P——道路表面粉尘量，取0.1kg/m</w:t>
            </w:r>
            <w:r>
              <w:rPr>
                <w:rFonts w:hint="default" w:ascii="Times New Roman" w:hAnsi="Times New Roman" w:eastAsia="宋体" w:cs="Times New Roman"/>
                <w:color w:val="000000" w:themeColor="text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w:t>
            </w:r>
          </w:p>
          <w:p w14:paraId="214DA46C">
            <w:pPr>
              <w:spacing w:line="360" w:lineRule="auto"/>
              <w:ind w:firstLine="480" w:firstLineChars="20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 xml:space="preserve">      L——道路长度，</w:t>
            </w:r>
            <w:r>
              <w:rPr>
                <w:rFonts w:hint="default" w:ascii="Times New Roman" w:hAnsi="Times New Roman" w:cs="Times New Roman"/>
                <w:color w:val="000000" w:themeColor="text1"/>
                <w:highlight w:val="none"/>
                <w:lang w:val="en-US" w:eastAsia="zh-CN"/>
                <w14:textFill>
                  <w14:solidFill>
                    <w14:schemeClr w14:val="tx1"/>
                  </w14:solidFill>
                </w14:textFill>
              </w:rPr>
              <w:t>0.341</w:t>
            </w:r>
            <w:r>
              <w:rPr>
                <w:rFonts w:hint="default" w:ascii="Times New Roman" w:hAnsi="Times New Roman" w:eastAsia="宋体" w:cs="Times New Roman"/>
                <w:color w:val="000000" w:themeColor="text1"/>
                <w:highlight w:val="none"/>
                <w:lang w:val="en-US" w:eastAsia="zh-CN"/>
                <w14:textFill>
                  <w14:solidFill>
                    <w14:schemeClr w14:val="tx1"/>
                  </w14:solidFill>
                </w14:textFill>
              </w:rPr>
              <w:t>k</w:t>
            </w:r>
            <w:r>
              <w:rPr>
                <w:rFonts w:hint="default" w:ascii="Times New Roman" w:hAnsi="Times New Roman" w:eastAsia="宋体" w:cs="Times New Roman"/>
                <w:color w:val="000000" w:themeColor="text1"/>
                <w:highlight w:val="none"/>
                <w14:textFill>
                  <w14:solidFill>
                    <w14:schemeClr w14:val="tx1"/>
                  </w14:solidFill>
                </w14:textFill>
              </w:rPr>
              <w:t>m</w:t>
            </w:r>
          </w:p>
          <w:p w14:paraId="59ABE4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Q</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空</w:t>
            </w:r>
            <w:r>
              <w:rPr>
                <w:rFonts w:hint="default" w:ascii="Times New Roman" w:hAnsi="Times New Roman" w:cs="Times New Roman"/>
                <w:color w:val="000000" w:themeColor="text1"/>
                <w:highlight w:val="none"/>
                <w:lang w:val="en-US" w:eastAsia="zh-CN"/>
                <w14:textFill>
                  <w14:solidFill>
                    <w14:schemeClr w14:val="tx1"/>
                  </w14:solidFill>
                </w14:textFill>
              </w:rPr>
              <w:t>=0.123×（15/5）×（10/6.8）^</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0.85</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(0.1/0.5）^0.72</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0.341=</w:t>
            </w:r>
            <w:r>
              <w:rPr>
                <w:rFonts w:hint="default" w:ascii="Times New Roman" w:hAnsi="Times New Roman" w:eastAsia="宋体" w:cs="Times New Roman"/>
                <w:color w:val="000000" w:themeColor="text1"/>
                <w:highlight w:val="none"/>
                <w:lang w:val="en-US" w:eastAsia="zh-CN"/>
                <w14:textFill>
                  <w14:solidFill>
                    <w14:schemeClr w14:val="tx1"/>
                  </w14:solidFill>
                </w14:textFill>
              </w:rPr>
              <w:t>0.0548</w:t>
            </w:r>
            <w:r>
              <w:rPr>
                <w:rFonts w:hint="default" w:ascii="Times New Roman" w:hAnsi="Times New Roman" w:eastAsia="宋体" w:cs="Times New Roman"/>
                <w:color w:val="000000" w:themeColor="text1"/>
                <w:highlight w:val="none"/>
                <w14:textFill>
                  <w14:solidFill>
                    <w14:schemeClr w14:val="tx1"/>
                  </w14:solidFill>
                </w14:textFill>
              </w:rPr>
              <w:t>kg/辆</w:t>
            </w:r>
          </w:p>
          <w:p w14:paraId="742741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Q</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满</w:t>
            </w:r>
            <w:r>
              <w:rPr>
                <w:rFonts w:hint="default" w:ascii="Times New Roman" w:hAnsi="Times New Roman" w:cs="Times New Roman"/>
                <w:color w:val="000000" w:themeColor="text1"/>
                <w:highlight w:val="none"/>
                <w:lang w:val="en-US" w:eastAsia="zh-CN"/>
                <w14:textFill>
                  <w14:solidFill>
                    <w14:schemeClr w14:val="tx1"/>
                  </w14:solidFill>
                </w14:textFill>
              </w:rPr>
              <w:t>=0.123×（15/5）×（30/6.8）^</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0.85</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(0.1/0.5）^0.72</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0.341=</w:t>
            </w:r>
            <w:r>
              <w:rPr>
                <w:rFonts w:hint="default" w:ascii="Times New Roman" w:hAnsi="Times New Roman" w:eastAsia="宋体" w:cs="Times New Roman"/>
                <w:color w:val="000000" w:themeColor="text1"/>
                <w:highlight w:val="none"/>
                <w:lang w:val="en-US" w:eastAsia="zh-CN"/>
                <w14:textFill>
                  <w14:solidFill>
                    <w14:schemeClr w14:val="tx1"/>
                  </w14:solidFill>
                </w14:textFill>
              </w:rPr>
              <w:t>0.1395</w:t>
            </w:r>
            <w:r>
              <w:rPr>
                <w:rFonts w:hint="default" w:ascii="Times New Roman" w:hAnsi="Times New Roman" w:eastAsia="宋体" w:cs="Times New Roman"/>
                <w:color w:val="000000" w:themeColor="text1"/>
                <w:highlight w:val="none"/>
                <w14:textFill>
                  <w14:solidFill>
                    <w14:schemeClr w14:val="tx1"/>
                  </w14:solidFill>
                </w14:textFill>
              </w:rPr>
              <w:t>kg/辆</w:t>
            </w:r>
          </w:p>
          <w:p w14:paraId="172103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本项目厂区大门至加工区的平均运输距离按</w:t>
            </w:r>
            <w:r>
              <w:rPr>
                <w:rFonts w:hint="default" w:ascii="Times New Roman" w:hAnsi="Times New Roman" w:cs="Times New Roman"/>
                <w:color w:val="000000" w:themeColor="text1"/>
                <w:highlight w:val="none"/>
                <w:lang w:val="en-US" w:eastAsia="zh-CN"/>
                <w14:textFill>
                  <w14:solidFill>
                    <w14:schemeClr w14:val="tx1"/>
                  </w14:solidFill>
                </w14:textFill>
              </w:rPr>
              <w:t>0.341k</w:t>
            </w:r>
            <w:r>
              <w:rPr>
                <w:rFonts w:hint="default" w:ascii="Times New Roman" w:hAnsi="Times New Roman" w:eastAsia="宋体" w:cs="Times New Roman"/>
                <w:color w:val="000000" w:themeColor="text1"/>
                <w:highlight w:val="none"/>
                <w14:textFill>
                  <w14:solidFill>
                    <w14:schemeClr w14:val="tx1"/>
                  </w14:solidFill>
                </w14:textFill>
              </w:rPr>
              <w:t>m计，运输车辆速度按15km/h计，</w:t>
            </w:r>
            <w:r>
              <w:rPr>
                <w:rFonts w:hint="default" w:ascii="Times New Roman" w:hAnsi="Times New Roman" w:cs="Times New Roman"/>
                <w:color w:val="000000" w:themeColor="text1"/>
                <w:highlight w:val="none"/>
                <w:lang w:val="en-US" w:eastAsia="zh-CN"/>
                <w14:textFill>
                  <w14:solidFill>
                    <w14:schemeClr w14:val="tx1"/>
                  </w14:solidFill>
                </w14:textFill>
              </w:rPr>
              <w:t>平均</w:t>
            </w:r>
            <w:r>
              <w:rPr>
                <w:rFonts w:hint="default" w:ascii="Times New Roman" w:hAnsi="Times New Roman" w:eastAsia="宋体" w:cs="Times New Roman"/>
                <w:color w:val="000000" w:themeColor="text1"/>
                <w:highlight w:val="none"/>
                <w14:textFill>
                  <w14:solidFill>
                    <w14:schemeClr w14:val="tx1"/>
                  </w14:solidFill>
                </w14:textFill>
              </w:rPr>
              <w:t>每年运载次数约</w:t>
            </w:r>
            <w:r>
              <w:rPr>
                <w:rFonts w:hint="default" w:ascii="Times New Roman" w:hAnsi="Times New Roman" w:cs="Times New Roman"/>
                <w:color w:val="000000" w:themeColor="text1"/>
                <w:highlight w:val="none"/>
                <w:lang w:val="en-US" w:eastAsia="zh-CN"/>
                <w14:textFill>
                  <w14:solidFill>
                    <w14:schemeClr w14:val="tx1"/>
                  </w14:solidFill>
                </w14:textFill>
              </w:rPr>
              <w:t>3285</w:t>
            </w:r>
            <w:r>
              <w:rPr>
                <w:rFonts w:hint="default" w:ascii="Times New Roman" w:hAnsi="Times New Roman" w:eastAsia="宋体" w:cs="Times New Roman"/>
                <w:color w:val="000000" w:themeColor="text1"/>
                <w:highlight w:val="none"/>
                <w14:textFill>
                  <w14:solidFill>
                    <w14:schemeClr w14:val="tx1"/>
                  </w14:solidFill>
                </w14:textFill>
              </w:rPr>
              <w:t>次</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采取洒水抑尘</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扬尘控制率约</w:t>
            </w:r>
            <w:r>
              <w:rPr>
                <w:rFonts w:hint="default" w:ascii="Times New Roman" w:hAnsi="Times New Roman" w:eastAsia="宋体" w:cs="Times New Roman"/>
                <w:color w:val="000000" w:themeColor="text1"/>
                <w:highlight w:val="none"/>
                <w:lang w:val="en-US" w:eastAsia="zh-CN"/>
                <w14:textFill>
                  <w14:solidFill>
                    <w14:schemeClr w14:val="tx1"/>
                  </w14:solidFill>
                </w14:textFill>
              </w:rPr>
              <w:t>74</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，道路表面粉尘量按0.1kg/m</w:t>
            </w:r>
            <w:r>
              <w:rPr>
                <w:rFonts w:hint="default" w:ascii="Times New Roman" w:hAnsi="Times New Roman" w:eastAsia="宋体" w:cs="Times New Roman"/>
                <w:color w:val="000000" w:themeColor="text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计算。则汽车空车行驶扬尘强度为</w:t>
            </w:r>
            <w:r>
              <w:rPr>
                <w:rFonts w:hint="default" w:ascii="Times New Roman" w:hAnsi="Times New Roman" w:eastAsia="宋体" w:cs="Times New Roman"/>
                <w:color w:val="000000" w:themeColor="text1"/>
                <w:highlight w:val="none"/>
                <w:lang w:val="en-US" w:eastAsia="zh-CN"/>
                <w14:textFill>
                  <w14:solidFill>
                    <w14:schemeClr w14:val="tx1"/>
                  </w14:solidFill>
                </w14:textFill>
              </w:rPr>
              <w:t>0.0548</w:t>
            </w:r>
            <w:r>
              <w:rPr>
                <w:rFonts w:hint="default" w:ascii="Times New Roman" w:hAnsi="Times New Roman" w:eastAsia="宋体" w:cs="Times New Roman"/>
                <w:color w:val="000000" w:themeColor="text1"/>
                <w:highlight w:val="none"/>
                <w14:textFill>
                  <w14:solidFill>
                    <w14:schemeClr w14:val="tx1"/>
                  </w14:solidFill>
                </w14:textFill>
              </w:rPr>
              <w:t>kg/辆，满载行驶扬尘强度为</w:t>
            </w:r>
            <w:r>
              <w:rPr>
                <w:rFonts w:hint="default" w:ascii="Times New Roman" w:hAnsi="Times New Roman" w:eastAsia="宋体" w:cs="Times New Roman"/>
                <w:color w:val="000000" w:themeColor="text1"/>
                <w:highlight w:val="none"/>
                <w:lang w:val="en-US" w:eastAsia="zh-CN"/>
                <w14:textFill>
                  <w14:solidFill>
                    <w14:schemeClr w14:val="tx1"/>
                  </w14:solidFill>
                </w14:textFill>
              </w:rPr>
              <w:t>0.1395</w:t>
            </w:r>
            <w:r>
              <w:rPr>
                <w:rFonts w:hint="default" w:ascii="Times New Roman" w:hAnsi="Times New Roman" w:eastAsia="宋体" w:cs="Times New Roman"/>
                <w:color w:val="000000" w:themeColor="text1"/>
                <w:highlight w:val="none"/>
                <w14:textFill>
                  <w14:solidFill>
                    <w14:schemeClr w14:val="tx1"/>
                  </w14:solidFill>
                </w14:textFill>
              </w:rPr>
              <w:t>kg/辆，运营期车辆运输起尘量计算结果见下表：</w:t>
            </w:r>
          </w:p>
          <w:p w14:paraId="09F412E7">
            <w:pPr>
              <w:pStyle w:val="18"/>
              <w:bidi w:val="0"/>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车辆运输过程颗粒物排放情况一览表</w:t>
            </w:r>
          </w:p>
          <w:tbl>
            <w:tblPr>
              <w:tblStyle w:val="11"/>
              <w:tblW w:w="78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908"/>
              <w:gridCol w:w="1163"/>
              <w:gridCol w:w="1012"/>
              <w:gridCol w:w="2158"/>
              <w:gridCol w:w="1311"/>
            </w:tblGrid>
            <w:tr w14:paraId="5CB60C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09" w:type="dxa"/>
                  <w:tcBorders>
                    <w:tl2br w:val="nil"/>
                    <w:tr2bl w:val="nil"/>
                  </w:tcBorders>
                  <w:vAlign w:val="center"/>
                </w:tcPr>
                <w:p w14:paraId="6FCCBCB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产污环节</w:t>
                  </w:r>
                </w:p>
              </w:tc>
              <w:tc>
                <w:tcPr>
                  <w:tcW w:w="908" w:type="dxa"/>
                  <w:tcBorders>
                    <w:tl2br w:val="nil"/>
                    <w:tr2bl w:val="nil"/>
                  </w:tcBorders>
                  <w:vAlign w:val="center"/>
                </w:tcPr>
                <w:p w14:paraId="49F6EE8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平均运距（</w:t>
                  </w:r>
                  <w:r>
                    <w:rPr>
                      <w:rFonts w:hint="default" w:ascii="Times New Roman" w:hAnsi="Times New Roman" w:cs="Times New Roman"/>
                      <w:color w:val="000000" w:themeColor="text1"/>
                      <w:highlight w:val="none"/>
                      <w:lang w:val="en-US" w:eastAsia="zh-CN"/>
                      <w14:textFill>
                        <w14:solidFill>
                          <w14:schemeClr w14:val="tx1"/>
                        </w14:solidFill>
                      </w14:textFill>
                    </w:rPr>
                    <w:t>k</w:t>
                  </w:r>
                  <w:r>
                    <w:rPr>
                      <w:rFonts w:hint="default" w:ascii="Times New Roman" w:hAnsi="Times New Roman" w:cs="Times New Roman"/>
                      <w:color w:val="000000" w:themeColor="text1"/>
                      <w:highlight w:val="none"/>
                      <w14:textFill>
                        <w14:solidFill>
                          <w14:schemeClr w14:val="tx1"/>
                        </w14:solidFill>
                      </w14:textFill>
                    </w:rPr>
                    <w:t>m）</w:t>
                  </w:r>
                </w:p>
              </w:tc>
              <w:tc>
                <w:tcPr>
                  <w:tcW w:w="1163" w:type="dxa"/>
                  <w:tcBorders>
                    <w:tl2br w:val="nil"/>
                    <w:tr2bl w:val="nil"/>
                  </w:tcBorders>
                  <w:vAlign w:val="center"/>
                </w:tcPr>
                <w:p w14:paraId="714D892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运输车次（辆/a）</w:t>
                  </w:r>
                </w:p>
              </w:tc>
              <w:tc>
                <w:tcPr>
                  <w:tcW w:w="1012" w:type="dxa"/>
                  <w:tcBorders>
                    <w:tl2br w:val="nil"/>
                    <w:tr2bl w:val="nil"/>
                  </w:tcBorders>
                  <w:vAlign w:val="center"/>
                </w:tcPr>
                <w:p w14:paraId="0778558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产尘量（t/a）</w:t>
                  </w:r>
                </w:p>
              </w:tc>
              <w:tc>
                <w:tcPr>
                  <w:tcW w:w="2158" w:type="dxa"/>
                  <w:tcBorders>
                    <w:tl2br w:val="nil"/>
                    <w:tr2bl w:val="nil"/>
                  </w:tcBorders>
                  <w:vAlign w:val="center"/>
                </w:tcPr>
                <w:p w14:paraId="59DC2D5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治理措施</w:t>
                  </w:r>
                </w:p>
              </w:tc>
              <w:tc>
                <w:tcPr>
                  <w:tcW w:w="1311" w:type="dxa"/>
                  <w:tcBorders>
                    <w:tl2br w:val="nil"/>
                    <w:tr2bl w:val="nil"/>
                  </w:tcBorders>
                  <w:vAlign w:val="center"/>
                </w:tcPr>
                <w:p w14:paraId="61420EC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排放量（t/a）</w:t>
                  </w:r>
                </w:p>
              </w:tc>
            </w:tr>
            <w:tr w14:paraId="29BFB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9" w:type="dxa"/>
                  <w:tcBorders>
                    <w:tl2br w:val="nil"/>
                    <w:tr2bl w:val="nil"/>
                  </w:tcBorders>
                  <w:vAlign w:val="center"/>
                </w:tcPr>
                <w:p w14:paraId="7ACBD11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空车</w:t>
                  </w:r>
                </w:p>
              </w:tc>
              <w:tc>
                <w:tcPr>
                  <w:tcW w:w="908" w:type="dxa"/>
                  <w:tcBorders>
                    <w:tl2br w:val="nil"/>
                    <w:tr2bl w:val="nil"/>
                  </w:tcBorders>
                  <w:vAlign w:val="center"/>
                </w:tcPr>
                <w:p w14:paraId="3911D2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0.341</w:t>
                  </w:r>
                </w:p>
              </w:tc>
              <w:tc>
                <w:tcPr>
                  <w:tcW w:w="1163" w:type="dxa"/>
                  <w:tcBorders>
                    <w:tl2br w:val="nil"/>
                    <w:tr2bl w:val="nil"/>
                  </w:tcBorders>
                  <w:vAlign w:val="center"/>
                </w:tcPr>
                <w:p w14:paraId="400267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3285</w:t>
                  </w:r>
                </w:p>
              </w:tc>
              <w:tc>
                <w:tcPr>
                  <w:tcW w:w="1012" w:type="dxa"/>
                  <w:tcBorders>
                    <w:tl2br w:val="nil"/>
                    <w:tr2bl w:val="nil"/>
                  </w:tcBorders>
                  <w:vAlign w:val="center"/>
                </w:tcPr>
                <w:p w14:paraId="038198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0.18</w:t>
                  </w:r>
                </w:p>
              </w:tc>
              <w:tc>
                <w:tcPr>
                  <w:tcW w:w="2158" w:type="dxa"/>
                  <w:vMerge w:val="restart"/>
                  <w:tcBorders>
                    <w:tl2br w:val="nil"/>
                    <w:tr2bl w:val="nil"/>
                  </w:tcBorders>
                  <w:vAlign w:val="center"/>
                </w:tcPr>
                <w:p w14:paraId="7F71080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洒水抑尘、篷布遮盖、严禁超载、控制车速</w:t>
                  </w:r>
                </w:p>
              </w:tc>
              <w:tc>
                <w:tcPr>
                  <w:tcW w:w="1311" w:type="dxa"/>
                  <w:tcBorders>
                    <w:tl2br w:val="nil"/>
                    <w:tr2bl w:val="nil"/>
                  </w:tcBorders>
                  <w:vAlign w:val="center"/>
                </w:tcPr>
                <w:p w14:paraId="62C2C92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0.047</w:t>
                  </w:r>
                </w:p>
              </w:tc>
            </w:tr>
            <w:tr w14:paraId="69B21F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09" w:type="dxa"/>
                  <w:tcBorders>
                    <w:tl2br w:val="nil"/>
                    <w:tr2bl w:val="nil"/>
                  </w:tcBorders>
                  <w:vAlign w:val="center"/>
                </w:tcPr>
                <w:p w14:paraId="391E19D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满载</w:t>
                  </w:r>
                </w:p>
              </w:tc>
              <w:tc>
                <w:tcPr>
                  <w:tcW w:w="908" w:type="dxa"/>
                  <w:tcBorders>
                    <w:tl2br w:val="nil"/>
                    <w:tr2bl w:val="nil"/>
                  </w:tcBorders>
                  <w:vAlign w:val="center"/>
                </w:tcPr>
                <w:p w14:paraId="0805911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0.341</w:t>
                  </w:r>
                </w:p>
              </w:tc>
              <w:tc>
                <w:tcPr>
                  <w:tcW w:w="1163" w:type="dxa"/>
                  <w:tcBorders>
                    <w:tl2br w:val="nil"/>
                    <w:tr2bl w:val="nil"/>
                  </w:tcBorders>
                  <w:vAlign w:val="center"/>
                </w:tcPr>
                <w:p w14:paraId="017C354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3285</w:t>
                  </w:r>
                </w:p>
              </w:tc>
              <w:tc>
                <w:tcPr>
                  <w:tcW w:w="1012" w:type="dxa"/>
                  <w:tcBorders>
                    <w:tl2br w:val="nil"/>
                    <w:tr2bl w:val="nil"/>
                  </w:tcBorders>
                  <w:vAlign w:val="center"/>
                </w:tcPr>
                <w:p w14:paraId="6BEC0EC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0.46</w:t>
                  </w:r>
                </w:p>
              </w:tc>
              <w:tc>
                <w:tcPr>
                  <w:tcW w:w="2158" w:type="dxa"/>
                  <w:vMerge w:val="continue"/>
                  <w:tcBorders>
                    <w:tl2br w:val="nil"/>
                    <w:tr2bl w:val="nil"/>
                  </w:tcBorders>
                  <w:vAlign w:val="center"/>
                </w:tcPr>
                <w:p w14:paraId="0F9C973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311" w:type="dxa"/>
                  <w:tcBorders>
                    <w:tl2br w:val="nil"/>
                    <w:tr2bl w:val="nil"/>
                  </w:tcBorders>
                  <w:vAlign w:val="center"/>
                </w:tcPr>
                <w:p w14:paraId="611D218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0.119</w:t>
                  </w:r>
                </w:p>
              </w:tc>
            </w:tr>
            <w:tr w14:paraId="037A5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09" w:type="dxa"/>
                  <w:tcBorders>
                    <w:tl2br w:val="nil"/>
                    <w:tr2bl w:val="nil"/>
                  </w:tcBorders>
                  <w:vAlign w:val="center"/>
                </w:tcPr>
                <w:p w14:paraId="19F9035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合计</w:t>
                  </w:r>
                </w:p>
              </w:tc>
              <w:tc>
                <w:tcPr>
                  <w:tcW w:w="908" w:type="dxa"/>
                  <w:tcBorders>
                    <w:tl2br w:val="nil"/>
                    <w:tr2bl w:val="nil"/>
                  </w:tcBorders>
                  <w:vAlign w:val="center"/>
                </w:tcPr>
                <w:p w14:paraId="5808139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1163" w:type="dxa"/>
                  <w:tcBorders>
                    <w:tl2br w:val="nil"/>
                    <w:tr2bl w:val="nil"/>
                  </w:tcBorders>
                  <w:vAlign w:val="center"/>
                </w:tcPr>
                <w:p w14:paraId="5A1C321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1012" w:type="dxa"/>
                  <w:tcBorders>
                    <w:tl2br w:val="nil"/>
                    <w:tr2bl w:val="nil"/>
                  </w:tcBorders>
                  <w:vAlign w:val="center"/>
                </w:tcPr>
                <w:p w14:paraId="66587EF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0.64</w:t>
                  </w:r>
                </w:p>
              </w:tc>
              <w:tc>
                <w:tcPr>
                  <w:tcW w:w="2158" w:type="dxa"/>
                  <w:tcBorders>
                    <w:tl2br w:val="nil"/>
                    <w:tr2bl w:val="nil"/>
                  </w:tcBorders>
                  <w:vAlign w:val="center"/>
                </w:tcPr>
                <w:p w14:paraId="4104B54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1311" w:type="dxa"/>
                  <w:tcBorders>
                    <w:tl2br w:val="nil"/>
                    <w:tr2bl w:val="nil"/>
                  </w:tcBorders>
                  <w:vAlign w:val="center"/>
                </w:tcPr>
                <w:p w14:paraId="02BD563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0.166</w:t>
                  </w:r>
                </w:p>
              </w:tc>
            </w:tr>
          </w:tbl>
          <w:p w14:paraId="7B8A92C8">
            <w:pPr>
              <w:keepNext w:val="0"/>
              <w:keepLines w:val="0"/>
              <w:pageBreakBefore w:val="0"/>
              <w:kinsoku/>
              <w:wordWrap/>
              <w:overflowPunct/>
              <w:topLinePunct w:val="0"/>
              <w:autoSpaceDE/>
              <w:autoSpaceDN/>
              <w:bidi w:val="0"/>
              <w:spacing w:line="50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堆场扬尘</w:t>
            </w:r>
          </w:p>
          <w:p w14:paraId="1D5E3593">
            <w:pPr>
              <w:keepNext w:val="0"/>
              <w:keepLines w:val="0"/>
              <w:pageBreakBefore w:val="0"/>
              <w:widowControl w:val="0"/>
              <w:kinsoku/>
              <w:wordWrap/>
              <w:overflowPunct/>
              <w:topLinePunct w:val="0"/>
              <w:autoSpaceDE/>
              <w:autoSpaceDN/>
              <w:bidi w:val="0"/>
              <w:spacing w:line="500" w:lineRule="exact"/>
              <w:ind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堆场</w:t>
            </w:r>
            <w:r>
              <w:rPr>
                <w:rFonts w:hint="default" w:ascii="Times New Roman" w:hAnsi="Times New Roman" w:eastAsia="宋体" w:cs="Times New Roman"/>
                <w:color w:val="000000" w:themeColor="text1"/>
                <w:sz w:val="24"/>
                <w:szCs w:val="24"/>
                <w:highlight w:val="none"/>
                <w14:textFill>
                  <w14:solidFill>
                    <w14:schemeClr w14:val="tx1"/>
                  </w14:solidFill>
                </w14:textFill>
              </w:rPr>
              <w:t>主要存放</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成品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砂石料</w:t>
            </w:r>
            <w:r>
              <w:rPr>
                <w:rFonts w:hint="default" w:ascii="Times New Roman" w:hAnsi="Times New Roman" w:eastAsia="宋体" w:cs="Times New Roman"/>
                <w:color w:val="000000" w:themeColor="text1"/>
                <w:sz w:val="24"/>
                <w:szCs w:val="24"/>
                <w:highlight w:val="none"/>
                <w14:textFill>
                  <w14:solidFill>
                    <w14:schemeClr w14:val="tx1"/>
                  </w14:solidFill>
                </w14:textFill>
              </w:rPr>
              <w:t>，共</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堆</w:t>
            </w:r>
            <w:r>
              <w:rPr>
                <w:rFonts w:hint="default" w:ascii="Times New Roman" w:hAnsi="Times New Roman" w:eastAsia="宋体" w:cs="Times New Roman"/>
                <w:color w:val="000000" w:themeColor="text1"/>
                <w:sz w:val="24"/>
                <w:szCs w:val="24"/>
                <w:highlight w:val="none"/>
                <w14:textFill>
                  <w14:solidFill>
                    <w14:schemeClr w14:val="tx1"/>
                  </w14:solidFill>
                </w14:textFill>
              </w:rPr>
              <w:t>存</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46000</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t</w:t>
            </w:r>
            <w:r>
              <w:rPr>
                <w:rFonts w:hint="default" w:ascii="Times New Roman" w:hAnsi="Times New Roman" w:eastAsia="宋体" w:cs="Times New Roman"/>
                <w:color w:val="000000" w:themeColor="text1"/>
                <w:sz w:val="24"/>
                <w:szCs w:val="24"/>
                <w:highlight w:val="none"/>
                <w14:textFill>
                  <w14:solidFill>
                    <w14:schemeClr w14:val="tx1"/>
                  </w14:solidFill>
                </w14:textFill>
              </w:rPr>
              <w:t>/a。参照《排放源统计调查产排污核算方法和系数手册》中《固体物料堆存颗粒物产排污核算系数手册》可知：堆场颗粒物产生量核算公式：</w:t>
            </w:r>
          </w:p>
          <w:p w14:paraId="061BCF36">
            <w:pPr>
              <w:keepNext w:val="0"/>
              <w:keepLines w:val="0"/>
              <w:pageBreakBefore w:val="0"/>
              <w:widowControl w:val="0"/>
              <w:kinsoku/>
              <w:wordWrap/>
              <w:overflowPunct/>
              <w:topLinePunct w:val="0"/>
              <w:autoSpaceDE/>
              <w:autoSpaceDN/>
              <w:bidi w:val="0"/>
              <w:spacing w:line="500" w:lineRule="exact"/>
              <w:ind w:firstLine="480" w:firstLineChars="20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P=ZC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y</w:t>
            </w:r>
            <w:r>
              <w:rPr>
                <w:rFonts w:hint="default" w:ascii="Times New Roman" w:hAnsi="Times New Roman" w:cs="Times New Roman"/>
                <w:color w:val="000000" w:themeColor="text1"/>
                <w:highlight w:val="none"/>
                <w:lang w:val="en-US" w:eastAsia="zh-CN"/>
                <w14:textFill>
                  <w14:solidFill>
                    <w14:schemeClr w14:val="tx1"/>
                  </w14:solidFill>
                </w14:textFill>
              </w:rPr>
              <w:t>+FC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y</w:t>
            </w:r>
            <w:r>
              <w:rPr>
                <w:rFonts w:hint="default" w:ascii="Times New Roman" w:hAnsi="Times New Roman" w:cs="Times New Roman"/>
                <w:color w:val="000000" w:themeColor="text1"/>
                <w:highlight w:val="none"/>
                <w:lang w:val="en-US" w:eastAsia="zh-CN"/>
                <w14:textFill>
                  <w14:solidFill>
                    <w14:schemeClr w14:val="tx1"/>
                  </w14:solidFill>
                </w14:textFill>
              </w:rPr>
              <w:t>={Nc×D×（a/b）+2×E</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f</w:t>
            </w:r>
            <w:r>
              <w:rPr>
                <w:rFonts w:hint="default" w:ascii="Times New Roman" w:hAnsi="Times New Roman" w:cs="Times New Roman"/>
                <w:color w:val="000000" w:themeColor="text1"/>
                <w:highlight w:val="none"/>
                <w:lang w:val="en-US" w:eastAsia="zh-CN"/>
                <w14:textFill>
                  <w14:solidFill>
                    <w14:schemeClr w14:val="tx1"/>
                  </w14:solidFill>
                </w14:textFill>
              </w:rPr>
              <w:t>×S}×10</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p>
          <w:p w14:paraId="1F402232">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式中：P指颗粒物产生量（单位：</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w:t>
            </w:r>
          </w:p>
          <w:p w14:paraId="537AA4E8">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ZC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y</w:t>
            </w:r>
            <w:r>
              <w:rPr>
                <w:rFonts w:hint="default" w:ascii="Times New Roman" w:hAnsi="Times New Roman" w:cs="Times New Roman"/>
                <w:color w:val="000000" w:themeColor="text1"/>
                <w:highlight w:val="none"/>
                <w14:textFill>
                  <w14:solidFill>
                    <w14:schemeClr w14:val="tx1"/>
                  </w14:solidFill>
                </w14:textFill>
              </w:rPr>
              <w:t>指装卸扬尘产生量（单位：</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w:t>
            </w:r>
          </w:p>
          <w:p w14:paraId="71CC0365">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y</w:t>
            </w:r>
            <w:r>
              <w:rPr>
                <w:rFonts w:hint="default" w:ascii="Times New Roman" w:hAnsi="Times New Roman" w:cs="Times New Roman"/>
                <w:color w:val="000000" w:themeColor="text1"/>
                <w:highlight w:val="none"/>
                <w14:textFill>
                  <w14:solidFill>
                    <w14:schemeClr w14:val="tx1"/>
                  </w14:solidFill>
                </w14:textFill>
              </w:rPr>
              <w:t>指风蚀扬尘产生量（单位：</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w:t>
            </w:r>
          </w:p>
          <w:p w14:paraId="006F6519">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Nc</w:t>
            </w:r>
            <w:r>
              <w:rPr>
                <w:rFonts w:hint="default" w:ascii="Times New Roman" w:hAnsi="Times New Roman" w:cs="Times New Roman"/>
                <w:color w:val="000000" w:themeColor="text1"/>
                <w:highlight w:val="none"/>
                <w14:textFill>
                  <w14:solidFill>
                    <w14:schemeClr w14:val="tx1"/>
                  </w14:solidFill>
                </w14:textFill>
              </w:rPr>
              <w:t>指年物料运载车次（单位：车）；</w:t>
            </w:r>
          </w:p>
          <w:p w14:paraId="3A79E9B8">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D指单车平均运载量（单位：</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/车）</w:t>
            </w:r>
            <w:r>
              <w:rPr>
                <w:rFonts w:hint="eastAsia" w:cs="Times New Roman"/>
                <w:color w:val="000000" w:themeColor="text1"/>
                <w:highlight w:val="none"/>
                <w:lang w:eastAsia="zh-CN"/>
                <w14:textFill>
                  <w14:solidFill>
                    <w14:schemeClr w14:val="tx1"/>
                  </w14:solidFill>
                </w14:textFill>
              </w:rPr>
              <w:t>；</w:t>
            </w:r>
          </w:p>
          <w:p w14:paraId="4CAFC7E5">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a/b</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指装卸扬尘概化系数（单位：</w:t>
            </w:r>
            <w:r>
              <w:rPr>
                <w:rFonts w:hint="default" w:ascii="Times New Roman" w:hAnsi="Times New Roman" w:cs="Times New Roman"/>
                <w:color w:val="000000" w:themeColor="text1"/>
                <w:highlight w:val="none"/>
                <w:lang w:val="en-US" w:eastAsia="zh-CN"/>
                <w14:textFill>
                  <w14:solidFill>
                    <w14:schemeClr w14:val="tx1"/>
                  </w14:solidFill>
                </w14:textFill>
              </w:rPr>
              <w:t>kg</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a</w:t>
            </w:r>
            <w:r>
              <w:rPr>
                <w:rFonts w:hint="default" w:ascii="Times New Roman" w:hAnsi="Times New Roman" w:cs="Times New Roman"/>
                <w:color w:val="000000" w:themeColor="text1"/>
                <w:highlight w:val="none"/>
                <w14:textFill>
                  <w14:solidFill>
                    <w14:schemeClr w14:val="tx1"/>
                  </w14:solidFill>
                </w14:textFill>
              </w:rPr>
              <w:t>指各省风速概化系数（新疆：0.0011），</w:t>
            </w:r>
            <w:r>
              <w:rPr>
                <w:rFonts w:hint="default" w:ascii="Times New Roman" w:hAnsi="Times New Roman" w:cs="Times New Roman"/>
                <w:color w:val="000000" w:themeColor="text1"/>
                <w:highlight w:val="none"/>
                <w:lang w:val="en-US" w:eastAsia="zh-CN"/>
                <w14:textFill>
                  <w14:solidFill>
                    <w14:schemeClr w14:val="tx1"/>
                  </w14:solidFill>
                </w14:textFill>
              </w:rPr>
              <w:t>b</w:t>
            </w:r>
            <w:r>
              <w:rPr>
                <w:rFonts w:hint="default" w:ascii="Times New Roman" w:hAnsi="Times New Roman" w:cs="Times New Roman"/>
                <w:color w:val="000000" w:themeColor="text1"/>
                <w:highlight w:val="none"/>
                <w14:textFill>
                  <w14:solidFill>
                    <w14:schemeClr w14:val="tx1"/>
                  </w14:solidFill>
                </w14:textFill>
              </w:rPr>
              <w:t>指物料含水率概化系数（0.0084）；</w:t>
            </w:r>
          </w:p>
          <w:p w14:paraId="2CA70B70">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E</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f</w:t>
            </w:r>
            <w:r>
              <w:rPr>
                <w:rFonts w:hint="default" w:ascii="Times New Roman" w:hAnsi="Times New Roman" w:cs="Times New Roman"/>
                <w:color w:val="000000" w:themeColor="text1"/>
                <w:highlight w:val="none"/>
                <w14:textFill>
                  <w14:solidFill>
                    <w14:schemeClr w14:val="tx1"/>
                  </w14:solidFill>
                </w14:textFill>
              </w:rPr>
              <w:t>指堆场风蚀扬尘概化系数（单位：</w:t>
            </w:r>
            <w:r>
              <w:rPr>
                <w:rFonts w:hint="default" w:ascii="Times New Roman" w:hAnsi="Times New Roman" w:cs="Times New Roman"/>
                <w:color w:val="000000" w:themeColor="text1"/>
                <w:highlight w:val="none"/>
                <w:lang w:val="en-US" w:eastAsia="zh-CN"/>
                <w14:textFill>
                  <w14:solidFill>
                    <w14:schemeClr w14:val="tx1"/>
                  </w14:solidFill>
                </w14:textFill>
              </w:rPr>
              <w:t>kg</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m³</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全封闭堆场，故取0kg</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m³，</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w:t>
            </w:r>
          </w:p>
          <w:p w14:paraId="2BDEC092">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S</w:t>
            </w:r>
            <w:r>
              <w:rPr>
                <w:rFonts w:hint="default" w:ascii="Times New Roman" w:hAnsi="Times New Roman" w:cs="Times New Roman"/>
                <w:color w:val="000000" w:themeColor="text1"/>
                <w:highlight w:val="none"/>
                <w14:textFill>
                  <w14:solidFill>
                    <w14:schemeClr w14:val="tx1"/>
                  </w14:solidFill>
                </w14:textFill>
              </w:rPr>
              <w:t>指堆场占地面积（</w:t>
            </w:r>
            <w:r>
              <w:rPr>
                <w:rFonts w:hint="default" w:ascii="Times New Roman" w:hAnsi="Times New Roman" w:cs="Times New Roman"/>
                <w:color w:val="000000" w:themeColor="text1"/>
                <w:highlight w:val="none"/>
                <w:lang w:val="en-US" w:eastAsia="zh-CN"/>
                <w14:textFill>
                  <w14:solidFill>
                    <w14:schemeClr w14:val="tx1"/>
                  </w14:solidFill>
                </w14:textFill>
              </w:rPr>
              <w:t>料仓</w:t>
            </w:r>
            <w:r>
              <w:rPr>
                <w:rFonts w:hint="default" w:ascii="Times New Roman" w:hAnsi="Times New Roman" w:cs="Times New Roman"/>
                <w:color w:val="000000" w:themeColor="text1"/>
                <w:highlight w:val="none"/>
                <w14:textFill>
                  <w14:solidFill>
                    <w14:schemeClr w14:val="tx1"/>
                  </w14:solidFill>
                </w14:textFill>
              </w:rPr>
              <w:t>面积</w:t>
            </w:r>
            <w:r>
              <w:rPr>
                <w:rFonts w:hint="default" w:ascii="Times New Roman" w:hAnsi="Times New Roman" w:cs="Times New Roman"/>
                <w:color w:val="000000" w:themeColor="text1"/>
                <w:highlight w:val="none"/>
                <w:lang w:val="en-US" w:eastAsia="zh-CN"/>
                <w14:textFill>
                  <w14:solidFill>
                    <w14:schemeClr w14:val="tx1"/>
                  </w14:solidFill>
                </w14:textFill>
              </w:rPr>
              <w:t>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w:t>
            </w:r>
          </w:p>
          <w:p w14:paraId="25608C7E">
            <w:pPr>
              <w:keepNext w:val="0"/>
              <w:keepLines w:val="0"/>
              <w:pageBreakBefore w:val="0"/>
              <w:widowControl w:val="0"/>
              <w:kinsoku/>
              <w:wordWrap/>
              <w:overflowPunct/>
              <w:topLinePunct w:val="0"/>
              <w:autoSpaceDE/>
              <w:autoSpaceDN/>
              <w:bidi w:val="0"/>
              <w:spacing w:line="500" w:lineRule="exact"/>
              <w:ind w:firstLine="1200" w:firstLineChars="5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P=（65700×（0.0011/0.0084）+2×0×</w:t>
            </w:r>
            <w:r>
              <w:rPr>
                <w:rFonts w:hint="default" w:ascii="Times New Roman" w:hAnsi="Times New Roman" w:eastAsia="宋体" w:cs="Times New Roman"/>
                <w:color w:val="000000" w:themeColor="text1"/>
                <w:highlight w:val="none"/>
                <w:lang w:val="en-US" w:eastAsia="zh-CN"/>
                <w14:textFill>
                  <w14:solidFill>
                    <w14:schemeClr w14:val="tx1"/>
                  </w14:solidFill>
                </w14:textFill>
              </w:rPr>
              <w:t>50</w:t>
            </w:r>
            <w:r>
              <w:rPr>
                <w:rFonts w:hint="default" w:ascii="Times New Roman" w:hAnsi="Times New Roman" w:cs="Times New Roman"/>
                <w:color w:val="000000" w:themeColor="text1"/>
                <w:highlight w:val="none"/>
                <w:lang w:val="en-US" w:eastAsia="zh-CN"/>
                <w14:textFill>
                  <w14:solidFill>
                    <w14:schemeClr w14:val="tx1"/>
                  </w14:solidFill>
                </w14:textFill>
              </w:rPr>
              <w:t>0×10^</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）=8.6</w:t>
            </w:r>
            <w:r>
              <w:rPr>
                <w:rFonts w:hint="default" w:ascii="Times New Roman" w:hAnsi="Times New Roman" w:eastAsia="宋体" w:cs="Times New Roman"/>
                <w:color w:val="000000" w:themeColor="text1"/>
                <w:sz w:val="24"/>
                <w:szCs w:val="24"/>
                <w:highlight w:val="none"/>
                <w14:textFill>
                  <w14:solidFill>
                    <w14:schemeClr w14:val="tx1"/>
                  </w14:solidFill>
                </w14:textFill>
              </w:rPr>
              <w:t>t/a</w:t>
            </w:r>
          </w:p>
          <w:p w14:paraId="240FB06A">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经计算堆场粉尘产量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8.6</w:t>
            </w:r>
            <w:r>
              <w:rPr>
                <w:rFonts w:hint="default" w:ascii="Times New Roman" w:hAnsi="Times New Roman" w:eastAsia="宋体" w:cs="Times New Roman"/>
                <w:color w:val="000000" w:themeColor="text1"/>
                <w:sz w:val="24"/>
                <w:szCs w:val="24"/>
                <w:highlight w:val="none"/>
                <w14:textFill>
                  <w14:solidFill>
                    <w14:schemeClr w14:val="tx1"/>
                  </w14:solidFill>
                </w14:textFill>
              </w:rPr>
              <w:t>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堆场类型为全封闭，控制效率为99%，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洒水降尘控制效率为74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根据工业企业固体物料堆场颗粒物排放量核算公式：</w:t>
            </w:r>
          </w:p>
          <w:p w14:paraId="666230B0">
            <w:pPr>
              <w:keepNext w:val="0"/>
              <w:keepLines w:val="0"/>
              <w:pageBreakBefore w:val="0"/>
              <w:widowControl w:val="0"/>
              <w:kinsoku/>
              <w:wordWrap/>
              <w:overflowPunct/>
              <w:topLinePunct w:val="0"/>
              <w:autoSpaceDE/>
              <w:autoSpaceDN/>
              <w:bidi w:val="0"/>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U</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c</w:t>
            </w:r>
            <w:r>
              <w:rPr>
                <w:rFonts w:hint="default" w:ascii="Times New Roman" w:hAnsi="Times New Roman" w:eastAsia="宋体" w:cs="Times New Roman"/>
                <w:color w:val="000000" w:themeColor="text1"/>
                <w:sz w:val="24"/>
                <w:szCs w:val="24"/>
                <w:highlight w:val="none"/>
                <w14:textFill>
                  <w14:solidFill>
                    <w14:schemeClr w14:val="tx1"/>
                  </w14:solidFill>
                </w14:textFill>
              </w:rPr>
              <w:t>=P×（1-C</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m</w:t>
            </w:r>
            <w:r>
              <w:rPr>
                <w:rFonts w:hint="default" w:ascii="Times New Roman" w:hAnsi="Times New Roman" w:eastAsia="宋体" w:cs="Times New Roman"/>
                <w:color w:val="000000" w:themeColor="text1"/>
                <w:sz w:val="24"/>
                <w:szCs w:val="24"/>
                <w:highlight w:val="none"/>
                <w14:textFill>
                  <w14:solidFill>
                    <w14:schemeClr w14:val="tx1"/>
                  </w14:solidFill>
                </w14:textFill>
              </w:rPr>
              <w:t>）×（1-T</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m</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5F1846F">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式中：P指颗粒物产生量（单位：吨）；</w:t>
            </w:r>
          </w:p>
          <w:p w14:paraId="1FE41805">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Uc指颗粒物排放量（单位：吨）；</w:t>
            </w:r>
          </w:p>
          <w:p w14:paraId="10376A77">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Cm指颗粒物控制措施控制效率（单位：%）；</w:t>
            </w:r>
          </w:p>
          <w:p w14:paraId="35734DAA">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Tm指堆场类型控制效率（单位：%）</w:t>
            </w:r>
            <w:r>
              <w:rPr>
                <w:rFonts w:hint="eastAsia" w:cs="Times New Roman"/>
                <w:color w:val="000000" w:themeColor="text1"/>
                <w:sz w:val="24"/>
                <w:szCs w:val="24"/>
                <w:highlight w:val="none"/>
                <w:lang w:eastAsia="zh-CN"/>
                <w14:textFill>
                  <w14:solidFill>
                    <w14:schemeClr w14:val="tx1"/>
                  </w14:solidFill>
                </w14:textFill>
              </w:rPr>
              <w:t>；</w:t>
            </w:r>
          </w:p>
          <w:p w14:paraId="791884BC">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Uc=8.6×（1-74%）×（1-99%）=0.02t/a。</w:t>
            </w:r>
          </w:p>
          <w:p w14:paraId="68529C46">
            <w:pPr>
              <w:keepNext w:val="0"/>
              <w:keepLines w:val="0"/>
              <w:pageBreakBefore w:val="0"/>
              <w:kinsoku/>
              <w:wordWrap/>
              <w:overflowPunct/>
              <w:topLinePunct w:val="0"/>
              <w:autoSpaceDE/>
              <w:autoSpaceDN/>
              <w:bidi w:val="0"/>
              <w:spacing w:line="500" w:lineRule="exact"/>
              <w:ind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经计算，本项目堆场颗粒物产生量约为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8.6</w:t>
            </w:r>
            <w:r>
              <w:rPr>
                <w:rFonts w:hint="default" w:ascii="Times New Roman" w:hAnsi="Times New Roman" w:eastAsia="宋体" w:cs="Times New Roman"/>
                <w:color w:val="000000" w:themeColor="text1"/>
                <w:sz w:val="24"/>
                <w:szCs w:val="24"/>
                <w:highlight w:val="none"/>
                <w14:textFill>
                  <w14:solidFill>
                    <w14:schemeClr w14:val="tx1"/>
                  </w14:solidFill>
                </w14:textFill>
              </w:rPr>
              <w:t>t/a。参照《排放源统计调查产排污核算方法和系数手册》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公告2021年第24号</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附表2固体物料堆存颗粒物产排污核算系数手册，附录4，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堆场类型为全封闭，控制效率为99%，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洒水降尘控制效率为74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则堆场无组织粉尘排放量为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0.02</w:t>
            </w:r>
            <w:r>
              <w:rPr>
                <w:rFonts w:hint="default" w:ascii="Times New Roman" w:hAnsi="Times New Roman" w:eastAsia="宋体" w:cs="Times New Roman"/>
                <w:color w:val="000000" w:themeColor="text1"/>
                <w:sz w:val="24"/>
                <w:szCs w:val="24"/>
                <w:highlight w:val="none"/>
                <w14:textFill>
                  <w14:solidFill>
                    <w14:schemeClr w14:val="tx1"/>
                  </w14:solidFill>
                </w14:textFill>
              </w:rPr>
              <w:t>t/a。</w:t>
            </w:r>
          </w:p>
          <w:p w14:paraId="762D0AF3">
            <w:pPr>
              <w:keepNext w:val="0"/>
              <w:keepLines w:val="0"/>
              <w:pageBreakBefore w:val="0"/>
              <w:numPr>
                <w:ilvl w:val="0"/>
                <w:numId w:val="0"/>
              </w:numPr>
              <w:kinsoku/>
              <w:wordWrap/>
              <w:overflowPunct/>
              <w:topLinePunct w:val="0"/>
              <w:autoSpaceDE/>
              <w:autoSpaceDN/>
              <w:bidi w:val="0"/>
              <w:spacing w:line="500" w:lineRule="exact"/>
              <w:ind w:left="0" w:leftChars="0"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（3）</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一级</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破碎粉尘</w:t>
            </w:r>
          </w:p>
          <w:p w14:paraId="2EF00C8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本项目砂石料一级破碎过程会产生粉尘，参照《排放源统计调查产排污核算方法和系数手册》</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公告2021年第24号</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303砖瓦、石材等建筑材料制造行业系数手册</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“3039其他建筑材料制造行业”</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破碎粉尘产</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污系数</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1.89</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kg/t。</w:t>
            </w:r>
          </w:p>
          <w:p w14:paraId="402E0A3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本项目年</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使用</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砂石料</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65700</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破碎工序运行时长2400h，</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破碎车间全封闭，采用</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布袋除尘器+15m高排气筒进行破碎废气处理，排污节点上方设置集气罩（顶吸），风机风量50000m</w:t>
            </w:r>
            <w:r>
              <w:rPr>
                <w:rFonts w:hint="default" w:ascii="Times New Roman" w:hAnsi="Times New Roman"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/h考虑，废气收集率按90%计算，通过</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布袋除尘系统+15m高排气筒</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（DA001）</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排放，</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布袋除尘器处理率以99%计算，则破碎产生的尘量为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124.17</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t/a，颗粒物排放量为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1.12</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w:t>
            </w:r>
          </w:p>
          <w:p w14:paraId="60CDC1DE">
            <w:pPr>
              <w:keepNext w:val="0"/>
              <w:keepLines w:val="0"/>
              <w:pageBreakBefore w:val="0"/>
              <w:numPr>
                <w:ilvl w:val="0"/>
                <w:numId w:val="0"/>
              </w:numPr>
              <w:kinsoku/>
              <w:wordWrap/>
              <w:overflowPunct/>
              <w:topLinePunct w:val="0"/>
              <w:autoSpaceDE/>
              <w:autoSpaceDN/>
              <w:bidi w:val="0"/>
              <w:spacing w:line="500" w:lineRule="exact"/>
              <w:ind w:left="0" w:leftChars="0"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（4）</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二级</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破碎粉尘</w:t>
            </w:r>
          </w:p>
          <w:p w14:paraId="57CEF06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本项目砂石料</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二</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级破碎过程会产生粉尘，参照《排放源统计调查产排污核算方法和系数手册》</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公告2021年第24号</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303砖瓦、石材等建筑材料制造行业系数手册</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“3039其他建筑材料制造行业”</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破碎粉尘产</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污系数</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1.89</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kg/t。</w:t>
            </w:r>
          </w:p>
          <w:p w14:paraId="48B915F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根据建设单位提供的资料，进入二级破碎的砂石料约19710吨，破碎工序运行时长2400h，</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破碎车间全封闭，采用</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布袋除尘器+15m高排气筒进行破碎废气处理，排污节点上方设置集气罩（顶吸），风机风量50000m</w:t>
            </w:r>
            <w:r>
              <w:rPr>
                <w:rFonts w:hint="default" w:ascii="Times New Roman" w:hAnsi="Times New Roman"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/h考虑，废气收集率按90%计算，通过</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布袋除尘系统+15m高排气筒</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（DA001）</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排放，</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布袋除尘器处理率以99%计算，破碎产生的粉尘量为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37.25</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t/a，排放量为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0.34</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w:t>
            </w:r>
          </w:p>
          <w:p w14:paraId="3A2C3B89">
            <w:pPr>
              <w:keepNext w:val="0"/>
              <w:keepLines w:val="0"/>
              <w:pageBreakBefore w:val="0"/>
              <w:numPr>
                <w:ilvl w:val="0"/>
                <w:numId w:val="0"/>
              </w:numPr>
              <w:kinsoku/>
              <w:wordWrap/>
              <w:overflowPunct/>
              <w:topLinePunct w:val="0"/>
              <w:autoSpaceDE/>
              <w:autoSpaceDN/>
              <w:bidi w:val="0"/>
              <w:spacing w:line="500" w:lineRule="exact"/>
              <w:ind w:left="0" w:leftChars="0"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（5）</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筛分粉尘</w:t>
            </w:r>
          </w:p>
          <w:p w14:paraId="63B8663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both"/>
              <w:textAlignment w:val="auto"/>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本项目砂石料</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筛分</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过程会产生粉尘，参照《排放源统计调查产排污核算方法和系数手册》</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公告2021年第24号</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303砖瓦、石材等建筑材料制造行业系数手册</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“3039其他建筑材料制造行业”</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破碎粉尘产</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污系数</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1.89</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kg/t。</w:t>
            </w:r>
          </w:p>
          <w:p w14:paraId="735FB1F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本项目年使用砂石料65700t，</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筛分</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工序运行时长2400h，项目筛分车间全封闭，采用</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布袋除尘器+15m高排气筒进行破碎废气处理，排污节点上方设置集气罩（顶吸），风机风量50000m</w:t>
            </w:r>
            <w:r>
              <w:rPr>
                <w:rFonts w:hint="default" w:ascii="Times New Roman" w:hAnsi="Times New Roman"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/h考虑，废气收集率按90%计算，通过</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布袋除尘系统+15m高排气筒后进行排放，</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布袋除尘器处理率以99%计算，则筛分粉尘产生量为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124.17</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t/a，颗粒物排放量为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1.12</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w:t>
            </w:r>
          </w:p>
          <w:p w14:paraId="5F896C25">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皮带运输废气</w:t>
            </w:r>
          </w:p>
          <w:p w14:paraId="67698B52">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根据《逸散性工业粉尘控制技术》（本书原著由美国俄亥俄州环境保护局和污染工程分公司编著，张良壁，刘敬严编译，中国环境科学出版社，1989年12月）第十八章粒料加工厂，表18-1粒料加工逸散尘的排放因子</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皮带运输过程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粉尘</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排放因子</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0.15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kg/t。</w:t>
            </w:r>
          </w:p>
          <w:p w14:paraId="691AEB3B">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使用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砂石料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65700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输送带全封闭，皮带运输</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过程中进行洒水抑尘，参照《排放源统计调查产排污核算方法和系数手册》（公告2021年第24号）</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附表2固体物料堆存颗粒物产排污核算系数手册，附录4，粉尘控制措施控制效率，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输送带全封闭粉尘控制效率99%</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皮带运输产生的</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逸散粉尘产生量为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9.86</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t/a。则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皮带运输</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过程粉尘无组织排放量为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t/a。</w:t>
            </w:r>
          </w:p>
          <w:p w14:paraId="5EE6F9FD">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上料废气</w:t>
            </w:r>
          </w:p>
          <w:p w14:paraId="01306617">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进行上料</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过程中将产生一定量的粉尘。根据《逸散性工业粉尘控制技术》（本书原著由美国俄亥俄州环境保护局和污染工程分公司编著，张良壁，刘敬严编译，中国环境科学出版社，1989年12月）第十八章粒料加工厂，表18-1粒料加工逸散尘的排放因子可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上料</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粉尘</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排放因子</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为0.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0006</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进料</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2387341">
            <w:pPr>
              <w:keepNext w:val="0"/>
              <w:keepLines w:val="0"/>
              <w:pageBreakBefore w:val="0"/>
              <w:kinsoku/>
              <w:wordWrap/>
              <w:overflowPunct/>
              <w:topLinePunct w:val="0"/>
              <w:autoSpaceDE/>
              <w:autoSpaceDN/>
              <w:bidi w:val="0"/>
              <w:spacing w:line="500" w:lineRule="exact"/>
              <w:jc w:val="both"/>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使用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砂石料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65700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上料口上方设置集气罩，风机风量50000m</w:t>
            </w:r>
            <w:r>
              <w:rPr>
                <w:rFonts w:hint="default" w:ascii="Times New Roman" w:hAnsi="Times New Roman"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/h考虑，废气收集率按90%计算，收集粉尘量为0.16t/a，通过</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布袋除尘系统+15m高排气筒后进行排放，</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布袋除尘器处理率以99%计算，</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上料产生的</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粉尘量为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0.04</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t/a，</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颗粒物排放量为0.00</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04</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w:t>
            </w:r>
          </w:p>
          <w:p w14:paraId="690C79FA">
            <w:pPr>
              <w:keepNext w:val="0"/>
              <w:keepLines w:val="0"/>
              <w:pageBreakBefore w:val="0"/>
              <w:numPr>
                <w:ilvl w:val="0"/>
                <w:numId w:val="0"/>
              </w:numPr>
              <w:kinsoku/>
              <w:wordWrap/>
              <w:overflowPunct/>
              <w:topLinePunct w:val="0"/>
              <w:autoSpaceDE/>
              <w:autoSpaceDN/>
              <w:bidi w:val="0"/>
              <w:spacing w:line="500" w:lineRule="exact"/>
              <w:ind w:firstLine="482" w:firstLineChars="200"/>
              <w:textAlignment w:val="auto"/>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8</w:t>
            </w:r>
            <w:r>
              <w:rPr>
                <w:rFonts w:hint="default" w:ascii="Times New Roman" w:hAnsi="Times New Roman" w:eastAsia="宋体" w:cs="Times New Roman"/>
                <w:b/>
                <w:bCs/>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无动力脱粉</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粉尘</w:t>
            </w:r>
          </w:p>
          <w:p w14:paraId="128E522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both"/>
              <w:textAlignment w:val="auto"/>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本项目砂石料</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无动力脱粉</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过程会产生粉尘，参照《排放源统计调查产排污核算方法和系数手册》</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公告2021年第24号</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303砖瓦、石材等建筑材料制造行业系数手册</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“3039其他建筑材料制造行业”</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破碎粉尘产</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污系数</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1.89</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kg/t。</w:t>
            </w:r>
          </w:p>
          <w:p w14:paraId="0A09CB66">
            <w:pPr>
              <w:keepNext w:val="0"/>
              <w:keepLines w:val="0"/>
              <w:pageBreakBefore w:val="0"/>
              <w:numPr>
                <w:ilvl w:val="0"/>
                <w:numId w:val="0"/>
              </w:numPr>
              <w:kinsoku/>
              <w:wordWrap/>
              <w:overflowPunct/>
              <w:topLinePunct w:val="0"/>
              <w:autoSpaceDE/>
              <w:autoSpaceDN/>
              <w:bidi w:val="0"/>
              <w:spacing w:line="500" w:lineRule="exact"/>
              <w:ind w:firstLine="480" w:firstLineChars="200"/>
              <w:jc w:val="both"/>
              <w:textAlignment w:val="auto"/>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本项目年使用砂石料65700t，</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筛分</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工序运行时长2400h，项目</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生产</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车间全封闭，采用</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布袋除尘器+15m高排气筒进行破碎废气处理，排污节点上方设置集气罩（顶吸），风机风量50000m</w:t>
            </w:r>
            <w:r>
              <w:rPr>
                <w:rFonts w:hint="default" w:ascii="Times New Roman" w:hAnsi="Times New Roman"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/h考虑，废气收集率按90%计算，通过</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布袋除尘系统+15m高排气筒后进行排放，</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脉冲式</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布袋除尘器处理率以99%计算，则</w:t>
            </w:r>
            <w:r>
              <w:rPr>
                <w:rFonts w:hint="default" w:ascii="Times New Roman" w:hAnsi="Times New Roman" w:cs="Times New Roman"/>
                <w:snapToGrid w:val="0"/>
                <w:color w:val="000000" w:themeColor="text1"/>
                <w:kern w:val="0"/>
                <w:sz w:val="24"/>
                <w:szCs w:val="24"/>
                <w:highlight w:val="none"/>
                <w:lang w:val="en-US" w:eastAsia="zh-CN" w:bidi="ar-SA"/>
                <w14:textFill>
                  <w14:solidFill>
                    <w14:schemeClr w14:val="tx1"/>
                  </w14:solidFill>
                </w14:textFill>
                <w14:ligatures w14:val="none"/>
              </w:rPr>
              <w:t>无动力脱粉</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粉尘产生量为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124.17</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t/a，颗粒物排放量为</w:t>
            </w:r>
            <w:r>
              <w:rPr>
                <w:rFonts w:hint="eastAsia" w:cs="Times New Roman"/>
                <w:snapToGrid w:val="0"/>
                <w:color w:val="000000" w:themeColor="text1"/>
                <w:kern w:val="0"/>
                <w:sz w:val="24"/>
                <w:szCs w:val="24"/>
                <w:highlight w:val="none"/>
                <w:lang w:val="en-US" w:eastAsia="zh-CN" w:bidi="ar-SA"/>
                <w14:textFill>
                  <w14:solidFill>
                    <w14:schemeClr w14:val="tx1"/>
                  </w14:solidFill>
                </w14:textFill>
                <w14:ligatures w14:val="none"/>
              </w:rPr>
              <w:t>1.12</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t/a。</w:t>
            </w:r>
          </w:p>
          <w:p w14:paraId="738B362B">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装卸粉尘</w:t>
            </w:r>
          </w:p>
          <w:p w14:paraId="5792D207">
            <w:pPr>
              <w:keepNext w:val="0"/>
              <w:keepLines w:val="0"/>
              <w:pageBreakBefore w:val="0"/>
              <w:kinsoku/>
              <w:wordWrap/>
              <w:overflowPunct/>
              <w:topLinePunct w:val="0"/>
              <w:autoSpaceDE/>
              <w:autoSpaceDN/>
              <w:bidi w:val="0"/>
              <w:spacing w:line="50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在用挖掘机、铲车装卸时会产生粉尘污染，如果料斗举得过高或风速较大时，粉尘产生量较大。其中，铲装作业时作业面较大，作业时间相对较长，装卸高度相对较高，扬尘产生量较大；装载机在卸料口卸料时作业面较小，作业时间相对较短，产尘量相对较少。因此装卸过程产生的扬尘主要是铲装作业扬尘。</w:t>
            </w:r>
          </w:p>
          <w:p w14:paraId="331FC55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参照《逸散性粉尘控制技术》（本书</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原著</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由美国俄亥俄州环境保护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局</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和污染工程分公司（PEDCo）编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著，</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张良壁，刘敬严编译，中国环境科学出版社，1989年12月）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第十八章粒料加工厂</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表18-1粒料加工逸散尘的排放因子，卸料</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粉尘</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排放因子</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kg/t。</w:t>
            </w:r>
          </w:p>
          <w:p w14:paraId="6B79718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根据用量为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65700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t/a，参照《排放源统计调查产排污核算方法和系数手册》（公告2021年第24号）</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附表2固体物料堆存颗粒物产排污核算系数手册，附录4，粉尘控制措施控制效率，洒水抑尘粉尘控制效率74%</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因此</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装卸粉尘产生量为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0.657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t/a，粉尘无组织排放量为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0.17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t/a，对外环境影响较小。</w:t>
            </w:r>
          </w:p>
          <w:p w14:paraId="39A91F7E">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排气筒内径依据《大气污染治理工程技术导则》HJ2000‑2010，根据废气设计风量、排气筒出口流速（宜取15m/s）计算确定排气筒参数如下：</w:t>
            </w:r>
          </w:p>
          <w:p w14:paraId="6F248B8D">
            <w:pPr>
              <w:pStyle w:val="18"/>
              <w:bidi w:val="0"/>
              <w:rPr>
                <w:rFonts w:hint="default" w:ascii="Times New Roman" w:hAnsi="Times New Roman" w:eastAsia="宋体" w:cs="Times New Roman"/>
                <w:b/>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highlight w:val="none"/>
                <w14:textFill>
                  <w14:solidFill>
                    <w14:schemeClr w14:val="tx1"/>
                  </w14:solidFill>
                </w14:textFill>
              </w:rPr>
              <w:t>有组织排放口基本情况</w:t>
            </w:r>
          </w:p>
          <w:tbl>
            <w:tblPr>
              <w:tblStyle w:val="1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7"/>
              <w:gridCol w:w="434"/>
              <w:gridCol w:w="467"/>
              <w:gridCol w:w="873"/>
              <w:gridCol w:w="810"/>
              <w:gridCol w:w="775"/>
              <w:gridCol w:w="772"/>
              <w:gridCol w:w="867"/>
              <w:gridCol w:w="604"/>
              <w:gridCol w:w="1776"/>
            </w:tblGrid>
            <w:tr w14:paraId="0C038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3" w:type="dxa"/>
                  <w:gridSpan w:val="2"/>
                  <w:tcBorders>
                    <w:tl2br w:val="nil"/>
                    <w:tr2bl w:val="nil"/>
                  </w:tcBorders>
                  <w:vAlign w:val="center"/>
                </w:tcPr>
                <w:p w14:paraId="630915DD">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污染源</w:t>
                  </w:r>
                </w:p>
              </w:tc>
              <w:tc>
                <w:tcPr>
                  <w:tcW w:w="445" w:type="dxa"/>
                  <w:vMerge w:val="restart"/>
                  <w:tcBorders>
                    <w:tl2br w:val="nil"/>
                    <w:tr2bl w:val="nil"/>
                  </w:tcBorders>
                  <w:vAlign w:val="center"/>
                </w:tcPr>
                <w:p w14:paraId="0E8F9091">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污染物</w:t>
                  </w:r>
                </w:p>
              </w:tc>
              <w:tc>
                <w:tcPr>
                  <w:tcW w:w="831" w:type="dxa"/>
                  <w:vMerge w:val="restart"/>
                  <w:tcBorders>
                    <w:tl2br w:val="nil"/>
                    <w:tr2bl w:val="nil"/>
                  </w:tcBorders>
                  <w:vAlign w:val="center"/>
                </w:tcPr>
                <w:p w14:paraId="17BDCC88">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排放</w:t>
                  </w:r>
                </w:p>
                <w:p w14:paraId="3C16A2E8">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标准（</w:t>
                  </w:r>
                  <w:r>
                    <w:rPr>
                      <w:rFonts w:hint="default" w:ascii="Times New Roman" w:hAnsi="Times New Roman" w:cs="Times New Roman"/>
                      <w:color w:val="000000" w:themeColor="text1"/>
                      <w:highlight w:val="none"/>
                      <w14:textFill>
                        <w14:solidFill>
                          <w14:schemeClr w14:val="tx1"/>
                        </w14:solidFill>
                      </w14:textFill>
                    </w:rPr>
                    <w:t>mg/m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lang w:val="en-GB"/>
                      <w14:textFill>
                        <w14:solidFill>
                          <w14:schemeClr w14:val="tx1"/>
                        </w14:solidFill>
                      </w14:textFill>
                    </w:rPr>
                    <w:t>）</w:t>
                  </w:r>
                </w:p>
              </w:tc>
              <w:tc>
                <w:tcPr>
                  <w:tcW w:w="773" w:type="dxa"/>
                  <w:vMerge w:val="restart"/>
                  <w:tcBorders>
                    <w:tl2br w:val="nil"/>
                    <w:tr2bl w:val="nil"/>
                  </w:tcBorders>
                  <w:vAlign w:val="center"/>
                </w:tcPr>
                <w:p w14:paraId="1A6988CC">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排放</w:t>
                  </w:r>
                </w:p>
                <w:p w14:paraId="2EF88ADA">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速率限值</w:t>
                  </w:r>
                  <w:r>
                    <w:rPr>
                      <w:rFonts w:hint="default" w:ascii="Times New Roman" w:hAnsi="Times New Roman" w:cs="Times New Roman"/>
                      <w:color w:val="000000" w:themeColor="text1"/>
                      <w:highlight w:val="none"/>
                      <w:lang w:val="en-GB"/>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kg/h</w:t>
                  </w:r>
                  <w:r>
                    <w:rPr>
                      <w:rFonts w:hint="default" w:ascii="Times New Roman" w:hAnsi="Times New Roman" w:cs="Times New Roman"/>
                      <w:color w:val="000000" w:themeColor="text1"/>
                      <w:highlight w:val="none"/>
                      <w:lang w:val="en-GB"/>
                      <w14:textFill>
                        <w14:solidFill>
                          <w14:schemeClr w14:val="tx1"/>
                        </w14:solidFill>
                      </w14:textFill>
                    </w:rPr>
                    <w:t>）</w:t>
                  </w:r>
                </w:p>
              </w:tc>
              <w:tc>
                <w:tcPr>
                  <w:tcW w:w="2299" w:type="dxa"/>
                  <w:gridSpan w:val="3"/>
                  <w:tcBorders>
                    <w:tl2br w:val="nil"/>
                    <w:tr2bl w:val="nil"/>
                  </w:tcBorders>
                  <w:vAlign w:val="center"/>
                </w:tcPr>
                <w:p w14:paraId="7480842F">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排气筒参数</w:t>
                  </w:r>
                </w:p>
              </w:tc>
              <w:tc>
                <w:tcPr>
                  <w:tcW w:w="576" w:type="dxa"/>
                  <w:vMerge w:val="restart"/>
                  <w:tcBorders>
                    <w:tl2br w:val="nil"/>
                    <w:tr2bl w:val="nil"/>
                  </w:tcBorders>
                  <w:vAlign w:val="center"/>
                </w:tcPr>
                <w:p w14:paraId="2C3808B8">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eastAsia="zh-CN"/>
                      <w14:textFill>
                        <w14:solidFill>
                          <w14:schemeClr w14:val="tx1"/>
                        </w14:solidFill>
                      </w14:textFill>
                    </w:rPr>
                    <w:t>排放口</w:t>
                  </w:r>
                  <w:r>
                    <w:rPr>
                      <w:rFonts w:hint="default" w:ascii="Times New Roman" w:hAnsi="Times New Roman" w:cs="Times New Roman"/>
                      <w:color w:val="000000" w:themeColor="text1"/>
                      <w:highlight w:val="none"/>
                      <w:lang w:val="en-GB"/>
                      <w14:textFill>
                        <w14:solidFill>
                          <w14:schemeClr w14:val="tx1"/>
                        </w14:solidFill>
                      </w14:textFill>
                    </w:rPr>
                    <w:t>类型</w:t>
                  </w:r>
                </w:p>
              </w:tc>
              <w:tc>
                <w:tcPr>
                  <w:tcW w:w="1692" w:type="dxa"/>
                  <w:vMerge w:val="restart"/>
                  <w:tcBorders>
                    <w:tl2br w:val="nil"/>
                    <w:tr2bl w:val="nil"/>
                  </w:tcBorders>
                  <w:vAlign w:val="center"/>
                </w:tcPr>
                <w:p w14:paraId="6405AEDF">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排气筒坐标</w:t>
                  </w:r>
                </w:p>
              </w:tc>
            </w:tr>
            <w:tr w14:paraId="7CABC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l2br w:val="nil"/>
                    <w:tr2bl w:val="nil"/>
                  </w:tcBorders>
                  <w:vAlign w:val="center"/>
                </w:tcPr>
                <w:p w14:paraId="7067F18C">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名称</w:t>
                  </w:r>
                </w:p>
              </w:tc>
              <w:tc>
                <w:tcPr>
                  <w:tcW w:w="415" w:type="dxa"/>
                  <w:tcBorders>
                    <w:tl2br w:val="nil"/>
                    <w:tr2bl w:val="nil"/>
                  </w:tcBorders>
                  <w:vAlign w:val="center"/>
                </w:tcPr>
                <w:p w14:paraId="035DF81F">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编号</w:t>
                  </w:r>
                </w:p>
              </w:tc>
              <w:tc>
                <w:tcPr>
                  <w:tcW w:w="445" w:type="dxa"/>
                  <w:vMerge w:val="continue"/>
                  <w:tcBorders>
                    <w:tl2br w:val="nil"/>
                    <w:tr2bl w:val="nil"/>
                  </w:tcBorders>
                  <w:vAlign w:val="center"/>
                </w:tcPr>
                <w:p w14:paraId="0724CCF8">
                  <w:pPr>
                    <w:pStyle w:val="16"/>
                    <w:bidi w:val="0"/>
                    <w:rPr>
                      <w:rFonts w:hint="default" w:ascii="Times New Roman" w:hAnsi="Times New Roman" w:cs="Times New Roman"/>
                      <w:color w:val="000000" w:themeColor="text1"/>
                      <w:highlight w:val="none"/>
                      <w:lang w:val="en-GB"/>
                      <w14:textFill>
                        <w14:solidFill>
                          <w14:schemeClr w14:val="tx1"/>
                        </w14:solidFill>
                      </w14:textFill>
                    </w:rPr>
                  </w:pPr>
                </w:p>
              </w:tc>
              <w:tc>
                <w:tcPr>
                  <w:tcW w:w="831" w:type="dxa"/>
                  <w:vMerge w:val="continue"/>
                  <w:tcBorders>
                    <w:tl2br w:val="nil"/>
                    <w:tr2bl w:val="nil"/>
                  </w:tcBorders>
                  <w:vAlign w:val="center"/>
                </w:tcPr>
                <w:p w14:paraId="540419EA">
                  <w:pPr>
                    <w:pStyle w:val="16"/>
                    <w:bidi w:val="0"/>
                    <w:rPr>
                      <w:rFonts w:hint="default" w:ascii="Times New Roman" w:hAnsi="Times New Roman" w:cs="Times New Roman"/>
                      <w:color w:val="000000" w:themeColor="text1"/>
                      <w:highlight w:val="none"/>
                      <w:lang w:val="en-GB"/>
                      <w14:textFill>
                        <w14:solidFill>
                          <w14:schemeClr w14:val="tx1"/>
                        </w14:solidFill>
                      </w14:textFill>
                    </w:rPr>
                  </w:pPr>
                </w:p>
              </w:tc>
              <w:tc>
                <w:tcPr>
                  <w:tcW w:w="773" w:type="dxa"/>
                  <w:vMerge w:val="continue"/>
                  <w:tcBorders>
                    <w:tl2br w:val="nil"/>
                    <w:tr2bl w:val="nil"/>
                  </w:tcBorders>
                  <w:vAlign w:val="center"/>
                </w:tcPr>
                <w:p w14:paraId="04C30383">
                  <w:pPr>
                    <w:pStyle w:val="16"/>
                    <w:bidi w:val="0"/>
                    <w:rPr>
                      <w:rFonts w:hint="default" w:ascii="Times New Roman" w:hAnsi="Times New Roman" w:cs="Times New Roman"/>
                      <w:color w:val="000000" w:themeColor="text1"/>
                      <w:highlight w:val="none"/>
                      <w:lang w:val="en-GB"/>
                      <w14:textFill>
                        <w14:solidFill>
                          <w14:schemeClr w14:val="tx1"/>
                        </w14:solidFill>
                      </w14:textFill>
                    </w:rPr>
                  </w:pPr>
                </w:p>
              </w:tc>
              <w:tc>
                <w:tcPr>
                  <w:tcW w:w="738" w:type="dxa"/>
                  <w:tcBorders>
                    <w:tl2br w:val="nil"/>
                    <w:tr2bl w:val="nil"/>
                  </w:tcBorders>
                  <w:vAlign w:val="center"/>
                </w:tcPr>
                <w:p w14:paraId="6D730DAC">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高（m）</w:t>
                  </w:r>
                </w:p>
              </w:tc>
              <w:tc>
                <w:tcPr>
                  <w:tcW w:w="735" w:type="dxa"/>
                  <w:tcBorders>
                    <w:tl2br w:val="nil"/>
                    <w:tr2bl w:val="nil"/>
                  </w:tcBorders>
                  <w:vAlign w:val="center"/>
                </w:tcPr>
                <w:p w14:paraId="72D3DA1A">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内径（m）</w:t>
                  </w:r>
                </w:p>
              </w:tc>
              <w:tc>
                <w:tcPr>
                  <w:tcW w:w="826" w:type="dxa"/>
                  <w:tcBorders>
                    <w:tl2br w:val="nil"/>
                    <w:tr2bl w:val="nil"/>
                  </w:tcBorders>
                  <w:vAlign w:val="center"/>
                </w:tcPr>
                <w:p w14:paraId="493F9735">
                  <w:pPr>
                    <w:pStyle w:val="16"/>
                    <w:bidi w:val="0"/>
                    <w:rPr>
                      <w:rFonts w:hint="default" w:ascii="Times New Roman" w:hAnsi="Times New Roman" w:cs="Times New Roman"/>
                      <w:color w:val="000000" w:themeColor="text1"/>
                      <w:highlight w:val="none"/>
                      <w:lang w:val="en-GB"/>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温度（℃）</w:t>
                  </w:r>
                </w:p>
              </w:tc>
              <w:tc>
                <w:tcPr>
                  <w:tcW w:w="576" w:type="dxa"/>
                  <w:vMerge w:val="continue"/>
                  <w:tcBorders>
                    <w:tl2br w:val="nil"/>
                    <w:tr2bl w:val="nil"/>
                  </w:tcBorders>
                  <w:vAlign w:val="center"/>
                </w:tcPr>
                <w:p w14:paraId="1E24BCD4">
                  <w:pPr>
                    <w:pStyle w:val="16"/>
                    <w:bidi w:val="0"/>
                    <w:rPr>
                      <w:rFonts w:hint="default" w:ascii="Times New Roman" w:hAnsi="Times New Roman" w:cs="Times New Roman"/>
                      <w:color w:val="000000" w:themeColor="text1"/>
                      <w:highlight w:val="none"/>
                      <w:lang w:val="en-GB"/>
                      <w14:textFill>
                        <w14:solidFill>
                          <w14:schemeClr w14:val="tx1"/>
                        </w14:solidFill>
                      </w14:textFill>
                    </w:rPr>
                  </w:pPr>
                </w:p>
              </w:tc>
              <w:tc>
                <w:tcPr>
                  <w:tcW w:w="1692" w:type="dxa"/>
                  <w:vMerge w:val="continue"/>
                  <w:tcBorders>
                    <w:tl2br w:val="nil"/>
                    <w:tr2bl w:val="nil"/>
                  </w:tcBorders>
                  <w:vAlign w:val="center"/>
                </w:tcPr>
                <w:p w14:paraId="1F76751B">
                  <w:pPr>
                    <w:pStyle w:val="16"/>
                    <w:bidi w:val="0"/>
                    <w:rPr>
                      <w:rFonts w:hint="default" w:ascii="Times New Roman" w:hAnsi="Times New Roman" w:cs="Times New Roman"/>
                      <w:color w:val="000000" w:themeColor="text1"/>
                      <w:highlight w:val="none"/>
                      <w:lang w:val="en-GB"/>
                      <w14:textFill>
                        <w14:solidFill>
                          <w14:schemeClr w14:val="tx1"/>
                        </w14:solidFill>
                      </w14:textFill>
                    </w:rPr>
                  </w:pPr>
                </w:p>
              </w:tc>
            </w:tr>
            <w:tr w14:paraId="6D030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l2br w:val="nil"/>
                    <w:tr2bl w:val="nil"/>
                  </w:tcBorders>
                  <w:shd w:val="clear" w:color="auto" w:fill="auto"/>
                  <w:vAlign w:val="center"/>
                </w:tcPr>
                <w:p w14:paraId="110372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上料、破碎、筛分生产车间</w:t>
                  </w:r>
                </w:p>
              </w:tc>
              <w:tc>
                <w:tcPr>
                  <w:tcW w:w="415" w:type="dxa"/>
                  <w:tcBorders>
                    <w:tl2br w:val="nil"/>
                    <w:tr2bl w:val="nil"/>
                  </w:tcBorders>
                  <w:shd w:val="clear" w:color="auto" w:fill="auto"/>
                  <w:vAlign w:val="center"/>
                </w:tcPr>
                <w:p w14:paraId="45B3A87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DA001</w:t>
                  </w:r>
                </w:p>
              </w:tc>
              <w:tc>
                <w:tcPr>
                  <w:tcW w:w="445" w:type="dxa"/>
                  <w:tcBorders>
                    <w:tl2br w:val="nil"/>
                    <w:tr2bl w:val="nil"/>
                  </w:tcBorders>
                  <w:shd w:val="clear" w:color="auto" w:fill="auto"/>
                  <w:vAlign w:val="center"/>
                </w:tcPr>
                <w:p w14:paraId="7793486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831" w:type="dxa"/>
                  <w:tcBorders>
                    <w:tl2br w:val="nil"/>
                    <w:tr2bl w:val="nil"/>
                  </w:tcBorders>
                  <w:shd w:val="clear" w:color="auto" w:fill="auto"/>
                  <w:vAlign w:val="center"/>
                </w:tcPr>
                <w:p w14:paraId="48B54D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120</w:t>
                  </w:r>
                </w:p>
              </w:tc>
              <w:tc>
                <w:tcPr>
                  <w:tcW w:w="773" w:type="dxa"/>
                  <w:tcBorders>
                    <w:tl2br w:val="nil"/>
                    <w:tr2bl w:val="nil"/>
                  </w:tcBorders>
                  <w:shd w:val="clear" w:color="auto" w:fill="auto"/>
                  <w:vAlign w:val="center"/>
                </w:tcPr>
                <w:p w14:paraId="4984B20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3.5</w:t>
                  </w:r>
                </w:p>
              </w:tc>
              <w:tc>
                <w:tcPr>
                  <w:tcW w:w="738" w:type="dxa"/>
                  <w:tcBorders>
                    <w:tl2br w:val="nil"/>
                    <w:tr2bl w:val="nil"/>
                  </w:tcBorders>
                  <w:shd w:val="clear" w:color="auto" w:fill="auto"/>
                  <w:vAlign w:val="center"/>
                </w:tcPr>
                <w:p w14:paraId="30B786B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735" w:type="dxa"/>
                  <w:tcBorders>
                    <w:tl2br w:val="nil"/>
                    <w:tr2bl w:val="nil"/>
                  </w:tcBorders>
                  <w:shd w:val="clear" w:color="auto" w:fill="auto"/>
                  <w:vAlign w:val="center"/>
                </w:tcPr>
                <w:p w14:paraId="2554A16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2</w:t>
                  </w:r>
                </w:p>
              </w:tc>
              <w:tc>
                <w:tcPr>
                  <w:tcW w:w="826" w:type="dxa"/>
                  <w:tcBorders>
                    <w:tl2br w:val="nil"/>
                    <w:tr2bl w:val="nil"/>
                  </w:tcBorders>
                  <w:shd w:val="clear" w:color="auto" w:fill="auto"/>
                  <w:vAlign w:val="center"/>
                </w:tcPr>
                <w:p w14:paraId="1B1910F8">
                  <w:pPr>
                    <w:pStyle w:val="16"/>
                    <w:bidi w:val="0"/>
                    <w:rPr>
                      <w:rFonts w:hint="default" w:ascii="Times New Roman" w:hAnsi="Times New Roman" w:cs="Times New Roman"/>
                      <w:color w:val="000000" w:themeColor="text1"/>
                      <w:highlight w:val="none"/>
                      <w:lang w:val="en-GB" w:eastAsia="zh-CN"/>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常温</w:t>
                  </w:r>
                </w:p>
              </w:tc>
              <w:tc>
                <w:tcPr>
                  <w:tcW w:w="576" w:type="dxa"/>
                  <w:tcBorders>
                    <w:tl2br w:val="nil"/>
                    <w:tr2bl w:val="nil"/>
                  </w:tcBorders>
                  <w:shd w:val="clear" w:color="auto" w:fill="auto"/>
                  <w:vAlign w:val="center"/>
                </w:tcPr>
                <w:p w14:paraId="4FFC400A">
                  <w:pPr>
                    <w:pStyle w:val="16"/>
                    <w:bidi w:val="0"/>
                    <w:rPr>
                      <w:rFonts w:hint="default" w:ascii="Times New Roman" w:hAnsi="Times New Roman" w:cs="Times New Roman"/>
                      <w:color w:val="000000" w:themeColor="text1"/>
                      <w:highlight w:val="none"/>
                      <w:lang w:val="en-GB" w:eastAsia="zh-CN"/>
                      <w14:textFill>
                        <w14:solidFill>
                          <w14:schemeClr w14:val="tx1"/>
                        </w14:solidFill>
                      </w14:textFill>
                    </w:rPr>
                  </w:pPr>
                  <w:r>
                    <w:rPr>
                      <w:rFonts w:hint="default" w:ascii="Times New Roman" w:hAnsi="Times New Roman" w:cs="Times New Roman"/>
                      <w:color w:val="000000" w:themeColor="text1"/>
                      <w:highlight w:val="none"/>
                      <w:lang w:val="en-GB"/>
                      <w14:textFill>
                        <w14:solidFill>
                          <w14:schemeClr w14:val="tx1"/>
                        </w14:solidFill>
                      </w14:textFill>
                    </w:rPr>
                    <w:t>一般排放口</w:t>
                  </w:r>
                </w:p>
              </w:tc>
              <w:tc>
                <w:tcPr>
                  <w:tcW w:w="1692" w:type="dxa"/>
                  <w:tcBorders>
                    <w:tl2br w:val="nil"/>
                    <w:tr2bl w:val="nil"/>
                  </w:tcBorders>
                  <w:shd w:val="clear" w:color="auto" w:fill="auto"/>
                  <w:vAlign w:val="center"/>
                </w:tcPr>
                <w:p w14:paraId="08D9A26C">
                  <w:pPr>
                    <w:pStyle w:val="16"/>
                    <w:bidi w:val="0"/>
                    <w:rPr>
                      <w:rFonts w:hint="default"/>
                      <w:color w:val="000000" w:themeColor="text1"/>
                      <w:lang w:val="en-US" w:eastAsia="zh-CN"/>
                      <w14:textFill>
                        <w14:solidFill>
                          <w14:schemeClr w14:val="tx1"/>
                        </w14:solidFill>
                      </w14:textFill>
                    </w:rPr>
                  </w:pPr>
                </w:p>
              </w:tc>
            </w:tr>
          </w:tbl>
          <w:p w14:paraId="30100B7E">
            <w:pPr>
              <w:pStyle w:val="10"/>
              <w:keepNext w:val="0"/>
              <w:keepLines w:val="0"/>
              <w:pageBreakBefore w:val="0"/>
              <w:widowControl w:val="0"/>
              <w:kinsoku/>
              <w:wordWrap/>
              <w:overflowPunct/>
              <w:topLinePunct w:val="0"/>
              <w:autoSpaceDE/>
              <w:autoSpaceDN/>
              <w:bidi w:val="0"/>
              <w:adjustRightInd/>
              <w:snapToGrid/>
              <w:spacing w:before="0" w:after="0" w:line="360" w:lineRule="auto"/>
              <w:ind w:firstLine="0" w:firstLineChars="0"/>
              <w:jc w:val="left"/>
              <w:textAlignment w:val="center"/>
              <w:outlineLvl w:val="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机械设备燃油</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废气</w:t>
            </w:r>
          </w:p>
          <w:p w14:paraId="0E274B6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砂石料生产</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设备主要有装载机</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自卸汽车</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、洒水车等机械设备</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，采用柴油作为燃料，根据企业提供资料，项目区所有设备轻质柴油总用量约为</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122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根据《非道路移动污染源大气污染物排放清单编制技术指南（试行）》（原生态环境部2014第92号）中非道路移动机械（包括柴油发电机组）大气污染物排放量计算方法1，计算CO、NO</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和THC、PM</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和PM</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的排放量。计算公式如下：</w:t>
            </w:r>
          </w:p>
          <w:p w14:paraId="21A79A52">
            <w:pPr>
              <w:pStyle w:val="5"/>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jc w:val="left"/>
              <w:textAlignment w:val="auto"/>
              <w:outlineLvl w:val="9"/>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position w:val="-10"/>
                <w:highlight w:val="none"/>
                <w:lang w:val="en-US" w:eastAsia="zh-CN"/>
                <w14:textFill>
                  <w14:solidFill>
                    <w14:schemeClr w14:val="tx1"/>
                  </w14:solidFill>
                </w14:textFill>
              </w:rPr>
              <w:object>
                <v:shape id="_x0000_i1027" o:spt="75" type="#_x0000_t75" style="height:18pt;width:92pt;" o:ole="t" filled="f" o:preferrelative="t" stroked="f" coordsize="21600,21600">
                  <v:path/>
                  <v:fill on="f" focussize="0,0"/>
                  <v:stroke on="f"/>
                  <v:imagedata r:id="rId27" o:title=""/>
                  <o:lock v:ext="edit" aspectratio="t"/>
                  <w10:wrap type="none"/>
                  <w10:anchorlock/>
                </v:shape>
                <o:OLEObject Type="Embed" ProgID="Equation.KSEE3" ShapeID="_x0000_i1027" DrawAspect="Content" ObjectID="_1468075727" r:id="rId26">
                  <o:LockedField>false</o:LockedField>
                </o:OLEObject>
              </w:object>
            </w:r>
          </w:p>
          <w:p w14:paraId="1C85816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式中，E为非道路移动机械的CO、THC、NO</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和PM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排放量，单位为吨；Y为燃油消耗量，单位为千克；EF为排放系数，单位为g/kg燃料。</w:t>
            </w:r>
          </w:p>
          <w:p w14:paraId="61654CF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根据该指南方法1适用的非道路移动机械平均排放系数（g/kg燃料），</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则本项目施工期间机械设备的尾气产生情况见表4</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p>
          <w:p w14:paraId="0B06C4B8">
            <w:pPr>
              <w:pStyle w:val="18"/>
              <w:bidi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 xml:space="preserve">  燃烧柴油污染物产生量</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014"/>
              <w:gridCol w:w="2471"/>
              <w:gridCol w:w="2471"/>
            </w:tblGrid>
            <w:tr w14:paraId="621357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7" w:type="pct"/>
                  <w:tcBorders>
                    <w:tl2br w:val="nil"/>
                    <w:tr2bl w:val="nil"/>
                  </w:tcBorders>
                  <w:noWrap w:val="0"/>
                  <w:vAlign w:val="center"/>
                </w:tcPr>
                <w:p w14:paraId="20E502F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序号</w:t>
                  </w:r>
                </w:p>
              </w:tc>
              <w:tc>
                <w:tcPr>
                  <w:tcW w:w="1222" w:type="pct"/>
                  <w:tcBorders>
                    <w:tl2br w:val="nil"/>
                    <w:tr2bl w:val="nil"/>
                  </w:tcBorders>
                  <w:noWrap w:val="0"/>
                  <w:vAlign w:val="center"/>
                </w:tcPr>
                <w:p w14:paraId="00BE609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w:t>
                  </w:r>
                </w:p>
              </w:tc>
              <w:tc>
                <w:tcPr>
                  <w:tcW w:w="1499" w:type="pct"/>
                  <w:tcBorders>
                    <w:tl2br w:val="nil"/>
                    <w:tr2bl w:val="nil"/>
                  </w:tcBorders>
                  <w:noWrap w:val="0"/>
                  <w:vAlign w:val="center"/>
                </w:tcPr>
                <w:p w14:paraId="25B0464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燃烧产污系数</w:t>
                  </w:r>
                </w:p>
              </w:tc>
              <w:tc>
                <w:tcPr>
                  <w:tcW w:w="1499" w:type="pct"/>
                  <w:tcBorders>
                    <w:tl2br w:val="nil"/>
                    <w:tr2bl w:val="nil"/>
                  </w:tcBorders>
                  <w:noWrap w:val="0"/>
                  <w:vAlign w:val="center"/>
                </w:tcPr>
                <w:p w14:paraId="590F2D9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污染物排放量</w:t>
                  </w:r>
                </w:p>
              </w:tc>
            </w:tr>
            <w:tr w14:paraId="2D4454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777" w:type="pct"/>
                  <w:tcBorders>
                    <w:tl2br w:val="nil"/>
                    <w:tr2bl w:val="nil"/>
                  </w:tcBorders>
                  <w:noWrap w:val="0"/>
                  <w:vAlign w:val="center"/>
                </w:tcPr>
                <w:p w14:paraId="35A9524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p>
              </w:tc>
              <w:tc>
                <w:tcPr>
                  <w:tcW w:w="1222" w:type="pct"/>
                  <w:tcBorders>
                    <w:tl2br w:val="nil"/>
                    <w:tr2bl w:val="nil"/>
                  </w:tcBorders>
                  <w:noWrap w:val="0"/>
                  <w:vAlign w:val="center"/>
                </w:tcPr>
                <w:p w14:paraId="4BA63DC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CO</w:t>
                  </w:r>
                </w:p>
              </w:tc>
              <w:tc>
                <w:tcPr>
                  <w:tcW w:w="1499" w:type="pct"/>
                  <w:tcBorders>
                    <w:tl2br w:val="nil"/>
                    <w:tr2bl w:val="nil"/>
                  </w:tcBorders>
                  <w:noWrap w:val="0"/>
                  <w:vAlign w:val="center"/>
                </w:tcPr>
                <w:p w14:paraId="4BCC1E7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10.72g/kg</w:t>
                  </w:r>
                </w:p>
              </w:tc>
              <w:tc>
                <w:tcPr>
                  <w:tcW w:w="2398" w:type="dxa"/>
                  <w:tcBorders>
                    <w:tl2br w:val="nil"/>
                    <w:tr2bl w:val="nil"/>
                  </w:tcBorders>
                  <w:noWrap w:val="0"/>
                  <w:vAlign w:val="center"/>
                </w:tcPr>
                <w:p w14:paraId="1F00E6C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1.31</w:t>
                  </w:r>
                  <w:r>
                    <w:rPr>
                      <w:rFonts w:hint="default" w:ascii="Times New Roman" w:hAnsi="Times New Roman" w:cs="Times New Roman"/>
                      <w:color w:val="000000" w:themeColor="text1"/>
                      <w:highlight w:val="none"/>
                      <w14:textFill>
                        <w14:solidFill>
                          <w14:schemeClr w14:val="tx1"/>
                        </w14:solidFill>
                      </w14:textFill>
                    </w:rPr>
                    <w:t>t/a</w:t>
                  </w:r>
                </w:p>
              </w:tc>
            </w:tr>
            <w:tr w14:paraId="7295F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777" w:type="pct"/>
                  <w:tcBorders>
                    <w:tl2br w:val="nil"/>
                    <w:tr2bl w:val="nil"/>
                  </w:tcBorders>
                  <w:noWrap w:val="0"/>
                  <w:vAlign w:val="center"/>
                </w:tcPr>
                <w:p w14:paraId="684005C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p>
              </w:tc>
              <w:tc>
                <w:tcPr>
                  <w:tcW w:w="1222" w:type="pct"/>
                  <w:tcBorders>
                    <w:tl2br w:val="nil"/>
                    <w:tr2bl w:val="nil"/>
                  </w:tcBorders>
                  <w:noWrap w:val="0"/>
                  <w:vAlign w:val="center"/>
                </w:tcPr>
                <w:p w14:paraId="5C69D34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THC</w:t>
                  </w:r>
                </w:p>
              </w:tc>
              <w:tc>
                <w:tcPr>
                  <w:tcW w:w="1499" w:type="pct"/>
                  <w:tcBorders>
                    <w:tl2br w:val="nil"/>
                    <w:tr2bl w:val="nil"/>
                  </w:tcBorders>
                  <w:noWrap w:val="0"/>
                  <w:vAlign w:val="center"/>
                </w:tcPr>
                <w:p w14:paraId="4A04E9A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3.39g/kg</w:t>
                  </w:r>
                </w:p>
              </w:tc>
              <w:tc>
                <w:tcPr>
                  <w:tcW w:w="2398" w:type="dxa"/>
                  <w:tcBorders>
                    <w:tl2br w:val="nil"/>
                    <w:tr2bl w:val="nil"/>
                  </w:tcBorders>
                  <w:noWrap w:val="0"/>
                  <w:vAlign w:val="center"/>
                </w:tcPr>
                <w:p w14:paraId="065E615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0.41</w:t>
                  </w:r>
                  <w:r>
                    <w:rPr>
                      <w:rFonts w:hint="default" w:ascii="Times New Roman" w:hAnsi="Times New Roman" w:cs="Times New Roman"/>
                      <w:color w:val="000000" w:themeColor="text1"/>
                      <w:highlight w:val="none"/>
                      <w14:textFill>
                        <w14:solidFill>
                          <w14:schemeClr w14:val="tx1"/>
                        </w14:solidFill>
                      </w14:textFill>
                    </w:rPr>
                    <w:t>t/a</w:t>
                  </w:r>
                </w:p>
              </w:tc>
            </w:tr>
            <w:tr w14:paraId="2C36D0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777" w:type="pct"/>
                  <w:tcBorders>
                    <w:tl2br w:val="nil"/>
                    <w:tr2bl w:val="nil"/>
                  </w:tcBorders>
                  <w:noWrap w:val="0"/>
                  <w:vAlign w:val="center"/>
                </w:tcPr>
                <w:p w14:paraId="6718913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p>
              </w:tc>
              <w:tc>
                <w:tcPr>
                  <w:tcW w:w="1222" w:type="pct"/>
                  <w:tcBorders>
                    <w:tl2br w:val="nil"/>
                    <w:tr2bl w:val="nil"/>
                  </w:tcBorders>
                  <w:noWrap w:val="0"/>
                  <w:vAlign w:val="center"/>
                </w:tcPr>
                <w:p w14:paraId="298B8F6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NOx</w:t>
                  </w:r>
                </w:p>
              </w:tc>
              <w:tc>
                <w:tcPr>
                  <w:tcW w:w="1499" w:type="pct"/>
                  <w:tcBorders>
                    <w:tl2br w:val="nil"/>
                    <w:tr2bl w:val="nil"/>
                  </w:tcBorders>
                  <w:noWrap w:val="0"/>
                  <w:vAlign w:val="center"/>
                </w:tcPr>
                <w:p w14:paraId="3268FA1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32.79g/kg</w:t>
                  </w:r>
                </w:p>
              </w:tc>
              <w:tc>
                <w:tcPr>
                  <w:tcW w:w="2398" w:type="dxa"/>
                  <w:tcBorders>
                    <w:tl2br w:val="nil"/>
                    <w:tr2bl w:val="nil"/>
                  </w:tcBorders>
                  <w:noWrap w:val="0"/>
                  <w:vAlign w:val="center"/>
                </w:tcPr>
                <w:p w14:paraId="5042462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4.00</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/a</w:t>
                  </w:r>
                </w:p>
              </w:tc>
            </w:tr>
            <w:tr w14:paraId="7C42C9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777" w:type="pct"/>
                  <w:tcBorders>
                    <w:tl2br w:val="nil"/>
                    <w:tr2bl w:val="nil"/>
                  </w:tcBorders>
                  <w:noWrap w:val="0"/>
                  <w:vAlign w:val="center"/>
                </w:tcPr>
                <w:p w14:paraId="0BFB247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w:t>
                  </w:r>
                </w:p>
              </w:tc>
              <w:tc>
                <w:tcPr>
                  <w:tcW w:w="1222" w:type="pct"/>
                  <w:tcBorders>
                    <w:tl2br w:val="nil"/>
                    <w:tr2bl w:val="nil"/>
                  </w:tcBorders>
                  <w:noWrap w:val="0"/>
                  <w:vAlign w:val="center"/>
                </w:tcPr>
                <w:p w14:paraId="077B688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PM</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2.5</w:t>
                  </w:r>
                </w:p>
              </w:tc>
              <w:tc>
                <w:tcPr>
                  <w:tcW w:w="1499" w:type="pct"/>
                  <w:tcBorders>
                    <w:tl2br w:val="nil"/>
                    <w:tr2bl w:val="nil"/>
                  </w:tcBorders>
                  <w:noWrap w:val="0"/>
                  <w:vAlign w:val="center"/>
                </w:tcPr>
                <w:p w14:paraId="50D3741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2.09g/kg</w:t>
                  </w:r>
                </w:p>
              </w:tc>
              <w:tc>
                <w:tcPr>
                  <w:tcW w:w="2398" w:type="dxa"/>
                  <w:tcBorders>
                    <w:tl2br w:val="nil"/>
                    <w:tr2bl w:val="nil"/>
                  </w:tcBorders>
                  <w:noWrap w:val="0"/>
                  <w:vAlign w:val="center"/>
                </w:tcPr>
                <w:p w14:paraId="17B3673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0.26</w:t>
                  </w:r>
                  <w:r>
                    <w:rPr>
                      <w:rFonts w:hint="default" w:ascii="Times New Roman" w:hAnsi="Times New Roman" w:cs="Times New Roman"/>
                      <w:color w:val="000000" w:themeColor="text1"/>
                      <w:highlight w:val="none"/>
                      <w14:textFill>
                        <w14:solidFill>
                          <w14:schemeClr w14:val="tx1"/>
                        </w14:solidFill>
                      </w14:textFill>
                    </w:rPr>
                    <w:t>t/a</w:t>
                  </w:r>
                </w:p>
              </w:tc>
            </w:tr>
            <w:tr w14:paraId="4EECB2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777" w:type="pct"/>
                  <w:tcBorders>
                    <w:tl2br w:val="nil"/>
                    <w:tr2bl w:val="nil"/>
                  </w:tcBorders>
                  <w:noWrap w:val="0"/>
                  <w:vAlign w:val="center"/>
                </w:tcPr>
                <w:p w14:paraId="307AEF3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5</w:t>
                  </w:r>
                </w:p>
              </w:tc>
              <w:tc>
                <w:tcPr>
                  <w:tcW w:w="1222" w:type="pct"/>
                  <w:tcBorders>
                    <w:tl2br w:val="nil"/>
                    <w:tr2bl w:val="nil"/>
                  </w:tcBorders>
                  <w:noWrap w:val="0"/>
                  <w:vAlign w:val="center"/>
                </w:tcPr>
                <w:p w14:paraId="792F815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PM</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10</w:t>
                  </w:r>
                </w:p>
              </w:tc>
              <w:tc>
                <w:tcPr>
                  <w:tcW w:w="1499" w:type="pct"/>
                  <w:tcBorders>
                    <w:tl2br w:val="nil"/>
                    <w:tr2bl w:val="nil"/>
                  </w:tcBorders>
                  <w:noWrap w:val="0"/>
                  <w:vAlign w:val="center"/>
                </w:tcPr>
                <w:p w14:paraId="74EE4AF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2.09g/kg</w:t>
                  </w:r>
                </w:p>
              </w:tc>
              <w:tc>
                <w:tcPr>
                  <w:tcW w:w="2398" w:type="dxa"/>
                  <w:tcBorders>
                    <w:tl2br w:val="nil"/>
                    <w:tr2bl w:val="nil"/>
                  </w:tcBorders>
                  <w:noWrap w:val="0"/>
                  <w:vAlign w:val="center"/>
                </w:tcPr>
                <w:p w14:paraId="723A57A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0.26</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default" w:ascii="Times New Roman" w:hAnsi="Times New Roman" w:cs="Times New Roman"/>
                      <w:color w:val="000000" w:themeColor="text1"/>
                      <w:highlight w:val="none"/>
                      <w14:textFill>
                        <w14:solidFill>
                          <w14:schemeClr w14:val="tx1"/>
                        </w14:solidFill>
                      </w14:textFill>
                    </w:rPr>
                    <w:t>/a</w:t>
                  </w:r>
                </w:p>
              </w:tc>
            </w:tr>
            <w:tr w14:paraId="4AE9BA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777" w:type="pct"/>
                  <w:tcBorders>
                    <w:tl2br w:val="nil"/>
                    <w:tr2bl w:val="nil"/>
                  </w:tcBorders>
                  <w:noWrap w:val="0"/>
                  <w:vAlign w:val="center"/>
                </w:tcPr>
                <w:p w14:paraId="3EE0CCE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1222" w:type="pct"/>
                  <w:tcBorders>
                    <w:tl2br w:val="nil"/>
                    <w:tr2bl w:val="nil"/>
                  </w:tcBorders>
                  <w:noWrap w:val="0"/>
                  <w:vAlign w:val="center"/>
                </w:tcPr>
                <w:p w14:paraId="266B74F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SO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p>
              </w:tc>
              <w:tc>
                <w:tcPr>
                  <w:tcW w:w="1499" w:type="pct"/>
                  <w:tcBorders>
                    <w:tl2br w:val="nil"/>
                    <w:tr2bl w:val="nil"/>
                  </w:tcBorders>
                  <w:noWrap w:val="0"/>
                  <w:vAlign w:val="center"/>
                </w:tcPr>
                <w:p w14:paraId="731A620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0.35g/kg</w:t>
                  </w:r>
                </w:p>
              </w:tc>
              <w:tc>
                <w:tcPr>
                  <w:tcW w:w="2398" w:type="dxa"/>
                  <w:tcBorders>
                    <w:tl2br w:val="nil"/>
                    <w:tr2bl w:val="nil"/>
                  </w:tcBorders>
                  <w:noWrap w:val="0"/>
                  <w:vAlign w:val="center"/>
                </w:tcPr>
                <w:p w14:paraId="063D6CC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0.43</w:t>
                  </w:r>
                  <w:r>
                    <w:rPr>
                      <w:rFonts w:hint="default" w:ascii="Times New Roman" w:hAnsi="Times New Roman" w:cs="Times New Roman"/>
                      <w:color w:val="000000" w:themeColor="text1"/>
                      <w:highlight w:val="none"/>
                      <w14:textFill>
                        <w14:solidFill>
                          <w14:schemeClr w14:val="tx1"/>
                        </w14:solidFill>
                      </w14:textFill>
                    </w:rPr>
                    <w:t>t/a</w:t>
                  </w:r>
                </w:p>
              </w:tc>
            </w:tr>
          </w:tbl>
          <w:p w14:paraId="311D37B5">
            <w:pPr>
              <w:ind w:firstLine="480" w:firstLineChars="20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由于汽车尾气以</w:t>
            </w:r>
            <w:r>
              <w:rPr>
                <w:rFonts w:hint="default" w:ascii="Times New Roman" w:hAnsi="Times New Roman" w:cs="Times New Roman"/>
                <w:color w:val="000000" w:themeColor="text1"/>
                <w:highlight w:val="none"/>
                <w:lang w:val="en-US" w:eastAsia="zh-CN"/>
                <w14:textFill>
                  <w14:solidFill>
                    <w14:schemeClr w14:val="tx1"/>
                  </w14:solidFill>
                </w14:textFill>
              </w:rPr>
              <w:t>及</w:t>
            </w:r>
            <w:r>
              <w:rPr>
                <w:rFonts w:hint="default" w:ascii="Times New Roman" w:hAnsi="Times New Roman" w:cs="Times New Roman"/>
                <w:color w:val="000000" w:themeColor="text1"/>
                <w:highlight w:val="none"/>
                <w:lang w:eastAsia="zh-CN"/>
                <w14:textFill>
                  <w14:solidFill>
                    <w14:schemeClr w14:val="tx1"/>
                  </w14:solidFill>
                </w14:textFill>
              </w:rPr>
              <w:t>机械设备产生的燃油废气排放量均不大，露天环境有利于废气扩散，能减轻本项目的污染，对周围环境影响较小。</w:t>
            </w:r>
          </w:p>
          <w:p w14:paraId="72821582">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4.2.2非正常工况大气污染物产生与排放状况</w:t>
            </w:r>
          </w:p>
          <w:p w14:paraId="73D60798">
            <w:pPr>
              <w:keepNext w:val="0"/>
              <w:keepLines w:val="0"/>
              <w:pageBreakBefore w:val="0"/>
              <w:widowControl w:val="0"/>
              <w:kinsoku/>
              <w:wordWrap/>
              <w:overflowPunct/>
              <w:topLinePunct w:val="0"/>
              <w:autoSpaceDE/>
              <w:autoSpaceDN/>
              <w:bidi w:val="0"/>
              <w:adjustRightInd w:val="0"/>
              <w:snapToGrid w:val="0"/>
              <w:ind w:firstLine="480" w:firstLineChars="200"/>
              <w:jc w:val="both"/>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破碎、筛分、无动力脱粉、上料</w:t>
            </w:r>
          </w:p>
          <w:p w14:paraId="37869C53">
            <w:pPr>
              <w:keepNext w:val="0"/>
              <w:keepLines w:val="0"/>
              <w:pageBreakBefore w:val="0"/>
              <w:widowControl w:val="0"/>
              <w:kinsoku/>
              <w:wordWrap/>
              <w:overflowPunct/>
              <w:topLinePunct w:val="0"/>
              <w:autoSpaceDE/>
              <w:autoSpaceDN/>
              <w:bidi w:val="0"/>
              <w:adjustRightInd w:val="0"/>
              <w:snapToGrid w:val="0"/>
              <w:ind w:firstLine="480" w:firstLineChars="200"/>
              <w:jc w:val="both"/>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本项目非正常工况主要考虑废气去除效率无法达到设计效率。非正常状况下，</w:t>
            </w:r>
            <w:r>
              <w:rPr>
                <w:rFonts w:hint="default" w:ascii="Times New Roman" w:hAnsi="Times New Roman" w:cs="Times New Roman"/>
                <w:color w:val="000000" w:themeColor="text1"/>
                <w:szCs w:val="21"/>
                <w:highlight w:val="none"/>
                <w:lang w:val="en-US" w:eastAsia="zh-CN"/>
                <w14:textFill>
                  <w14:solidFill>
                    <w14:schemeClr w14:val="tx1"/>
                  </w14:solidFill>
                </w14:textFill>
              </w:rPr>
              <w:t>破碎、筛分、无动力脱粉、上料</w:t>
            </w:r>
            <w:r>
              <w:rPr>
                <w:rFonts w:hint="default" w:ascii="Times New Roman" w:hAnsi="Times New Roman" w:eastAsia="宋体" w:cs="Times New Roman"/>
                <w:color w:val="000000" w:themeColor="text1"/>
                <w:szCs w:val="21"/>
                <w:highlight w:val="none"/>
                <w14:textFill>
                  <w14:solidFill>
                    <w14:schemeClr w14:val="tx1"/>
                  </w14:solidFill>
                </w14:textFill>
              </w:rPr>
              <w:t>废气处理措施中除尘器布袋破损，颗粒物处理效率为50%。非正常工况排放全年持续时间约4h（单次持续时间1h/次，年发生4次/年），废气在未经有效处理的情况下通过15m高的排气筒直接排放。</w:t>
            </w:r>
          </w:p>
          <w:p w14:paraId="01B53611">
            <w:pPr>
              <w:keepNext w:val="0"/>
              <w:keepLines w:val="0"/>
              <w:pageBreakBefore w:val="0"/>
              <w:widowControl w:val="0"/>
              <w:kinsoku/>
              <w:wordWrap/>
              <w:overflowPunct/>
              <w:topLinePunct w:val="0"/>
              <w:autoSpaceDE/>
              <w:autoSpaceDN/>
              <w:bidi w:val="0"/>
              <w:adjustRightInd w:val="0"/>
              <w:snapToGrid w:val="0"/>
              <w:ind w:firstLine="480" w:firstLineChars="200"/>
              <w:jc w:val="both"/>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本项目非正常工况下废气排放详见表4.</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eastAsia" w:cs="Times New Roman"/>
                <w:color w:val="000000" w:themeColor="text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Cs w:val="21"/>
                <w:highlight w:val="none"/>
                <w14:textFill>
                  <w14:solidFill>
                    <w14:schemeClr w14:val="tx1"/>
                  </w14:solidFill>
                </w14:textFill>
              </w:rPr>
              <w:t>。环评要求企业定期检查各环保设施，严格管理，避免失效工况发生。</w:t>
            </w:r>
          </w:p>
          <w:p w14:paraId="71D4917B">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非正常排放情况</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591"/>
              <w:gridCol w:w="704"/>
              <w:gridCol w:w="700"/>
              <w:gridCol w:w="665"/>
              <w:gridCol w:w="883"/>
              <w:gridCol w:w="777"/>
              <w:gridCol w:w="903"/>
              <w:gridCol w:w="1069"/>
              <w:gridCol w:w="1260"/>
            </w:tblGrid>
            <w:tr w14:paraId="7B97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14" w:type="pct"/>
                  <w:vMerge w:val="restart"/>
                  <w:tcBorders>
                    <w:tl2br w:val="nil"/>
                    <w:tr2bl w:val="nil"/>
                  </w:tcBorders>
                  <w:noWrap w:val="0"/>
                  <w:vAlign w:val="center"/>
                </w:tcPr>
                <w:p w14:paraId="6A6CB1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污染源</w:t>
                  </w:r>
                </w:p>
              </w:tc>
              <w:tc>
                <w:tcPr>
                  <w:tcW w:w="358" w:type="pct"/>
                  <w:vMerge w:val="restart"/>
                  <w:tcBorders>
                    <w:tl2br w:val="nil"/>
                    <w:tr2bl w:val="nil"/>
                  </w:tcBorders>
                  <w:noWrap w:val="0"/>
                  <w:vAlign w:val="center"/>
                </w:tcPr>
                <w:p w14:paraId="3CC8B6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污染类型</w:t>
                  </w:r>
                </w:p>
              </w:tc>
              <w:tc>
                <w:tcPr>
                  <w:tcW w:w="427" w:type="pct"/>
                  <w:vMerge w:val="restart"/>
                  <w:tcBorders>
                    <w:tl2br w:val="nil"/>
                    <w:tr2bl w:val="nil"/>
                  </w:tcBorders>
                  <w:noWrap w:val="0"/>
                  <w:vAlign w:val="center"/>
                </w:tcPr>
                <w:p w14:paraId="190460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污染物名称</w:t>
                  </w:r>
                </w:p>
              </w:tc>
              <w:tc>
                <w:tcPr>
                  <w:tcW w:w="425" w:type="pct"/>
                  <w:vMerge w:val="restart"/>
                  <w:tcBorders>
                    <w:tl2br w:val="nil"/>
                    <w:tr2bl w:val="nil"/>
                  </w:tcBorders>
                  <w:noWrap w:val="0"/>
                  <w:vAlign w:val="center"/>
                </w:tcPr>
                <w:p w14:paraId="79CBCD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风量m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p>
              </w:tc>
              <w:tc>
                <w:tcPr>
                  <w:tcW w:w="3374" w:type="pct"/>
                  <w:gridSpan w:val="6"/>
                  <w:tcBorders>
                    <w:tl2br w:val="nil"/>
                    <w:tr2bl w:val="nil"/>
                  </w:tcBorders>
                  <w:noWrap w:val="0"/>
                  <w:vAlign w:val="center"/>
                </w:tcPr>
                <w:p w14:paraId="09856F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非正常工况下排放情况</w:t>
                  </w:r>
                </w:p>
              </w:tc>
            </w:tr>
            <w:tr w14:paraId="49A3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14" w:type="pct"/>
                  <w:vMerge w:val="continue"/>
                  <w:tcBorders>
                    <w:tl2br w:val="nil"/>
                    <w:tr2bl w:val="nil"/>
                  </w:tcBorders>
                  <w:noWrap w:val="0"/>
                  <w:vAlign w:val="center"/>
                </w:tcPr>
                <w:p w14:paraId="33154B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58" w:type="pct"/>
                  <w:vMerge w:val="continue"/>
                  <w:tcBorders>
                    <w:tl2br w:val="nil"/>
                    <w:tr2bl w:val="nil"/>
                  </w:tcBorders>
                  <w:noWrap w:val="0"/>
                  <w:vAlign w:val="center"/>
                </w:tcPr>
                <w:p w14:paraId="709ECB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27" w:type="pct"/>
                  <w:vMerge w:val="continue"/>
                  <w:tcBorders>
                    <w:tl2br w:val="nil"/>
                    <w:tr2bl w:val="nil"/>
                  </w:tcBorders>
                  <w:noWrap w:val="0"/>
                  <w:vAlign w:val="center"/>
                </w:tcPr>
                <w:p w14:paraId="394898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25" w:type="pct"/>
                  <w:vMerge w:val="continue"/>
                  <w:tcBorders>
                    <w:tl2br w:val="nil"/>
                    <w:tr2bl w:val="nil"/>
                  </w:tcBorders>
                  <w:noWrap w:val="0"/>
                  <w:vAlign w:val="center"/>
                </w:tcPr>
                <w:p w14:paraId="3FB256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03" w:type="pct"/>
                  <w:tcBorders>
                    <w:tl2br w:val="nil"/>
                    <w:tr2bl w:val="nil"/>
                  </w:tcBorders>
                  <w:noWrap w:val="0"/>
                  <w:vAlign w:val="center"/>
                </w:tcPr>
                <w:p w14:paraId="7489E1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频次/年</w:t>
                  </w:r>
                </w:p>
              </w:tc>
              <w:tc>
                <w:tcPr>
                  <w:tcW w:w="536" w:type="pct"/>
                  <w:tcBorders>
                    <w:tl2br w:val="nil"/>
                    <w:tr2bl w:val="nil"/>
                  </w:tcBorders>
                  <w:noWrap w:val="0"/>
                  <w:vAlign w:val="center"/>
                </w:tcPr>
                <w:p w14:paraId="728A53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持续时间h</w:t>
                  </w:r>
                </w:p>
              </w:tc>
              <w:tc>
                <w:tcPr>
                  <w:tcW w:w="471" w:type="pct"/>
                  <w:tcBorders>
                    <w:tl2br w:val="nil"/>
                    <w:tr2bl w:val="nil"/>
                  </w:tcBorders>
                  <w:noWrap w:val="0"/>
                  <w:vAlign w:val="center"/>
                </w:tcPr>
                <w:p w14:paraId="41C1F4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处理效率</w:t>
                  </w:r>
                </w:p>
              </w:tc>
              <w:tc>
                <w:tcPr>
                  <w:tcW w:w="548" w:type="pct"/>
                  <w:tcBorders>
                    <w:tl2br w:val="nil"/>
                    <w:tr2bl w:val="nil"/>
                  </w:tcBorders>
                  <w:noWrap w:val="0"/>
                  <w:vAlign w:val="center"/>
                </w:tcPr>
                <w:p w14:paraId="612BE6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排放量kg/a</w:t>
                  </w:r>
                </w:p>
              </w:tc>
              <w:tc>
                <w:tcPr>
                  <w:tcW w:w="649" w:type="pct"/>
                  <w:tcBorders>
                    <w:tl2br w:val="nil"/>
                    <w:tr2bl w:val="nil"/>
                  </w:tcBorders>
                  <w:noWrap w:val="0"/>
                  <w:vAlign w:val="center"/>
                </w:tcPr>
                <w:p w14:paraId="291BC4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排放速率kg/h</w:t>
                  </w:r>
                </w:p>
              </w:tc>
              <w:tc>
                <w:tcPr>
                  <w:tcW w:w="765" w:type="pct"/>
                  <w:tcBorders>
                    <w:tl2br w:val="nil"/>
                    <w:tr2bl w:val="nil"/>
                  </w:tcBorders>
                  <w:noWrap w:val="0"/>
                  <w:vAlign w:val="center"/>
                </w:tcPr>
                <w:p w14:paraId="558883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排放浓度mg/m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r>
            <w:tr w14:paraId="276A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14" w:type="pct"/>
                  <w:tcBorders>
                    <w:tl2br w:val="nil"/>
                    <w:tr2bl w:val="nil"/>
                  </w:tcBorders>
                  <w:noWrap w:val="0"/>
                  <w:vAlign w:val="center"/>
                </w:tcPr>
                <w:p w14:paraId="66DD12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破碎、筛分、无动力脱粉、上料</w:t>
                  </w:r>
                </w:p>
              </w:tc>
              <w:tc>
                <w:tcPr>
                  <w:tcW w:w="358" w:type="pct"/>
                  <w:tcBorders>
                    <w:tl2br w:val="nil"/>
                    <w:tr2bl w:val="nil"/>
                  </w:tcBorders>
                  <w:noWrap w:val="0"/>
                  <w:vAlign w:val="center"/>
                </w:tcPr>
                <w:p w14:paraId="5560A2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有组织废气</w:t>
                  </w:r>
                </w:p>
              </w:tc>
              <w:tc>
                <w:tcPr>
                  <w:tcW w:w="427" w:type="pct"/>
                  <w:tcBorders>
                    <w:tl2br w:val="nil"/>
                    <w:tr2bl w:val="nil"/>
                  </w:tcBorders>
                  <w:noWrap w:val="0"/>
                  <w:vAlign w:val="center"/>
                </w:tcPr>
                <w:p w14:paraId="24AFE667">
                  <w:pPr>
                    <w:keepNext w:val="0"/>
                    <w:keepLines w:val="0"/>
                    <w:pageBreakBefore w:val="0"/>
                    <w:widowControl/>
                    <w:kinsoku/>
                    <w:wordWrap/>
                    <w:overflowPunct/>
                    <w:topLinePunct w:val="0"/>
                    <w:autoSpaceDE/>
                    <w:autoSpaceDN/>
                    <w:bidi w:val="0"/>
                    <w:adjustRightInd w:val="0"/>
                    <w:snapToGrid w:val="0"/>
                    <w:spacing w:line="24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425" w:type="pct"/>
                  <w:tcBorders>
                    <w:tl2br w:val="nil"/>
                    <w:tr2bl w:val="nil"/>
                  </w:tcBorders>
                  <w:noWrap w:val="0"/>
                  <w:vAlign w:val="center"/>
                </w:tcPr>
                <w:p w14:paraId="6B71A0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50000</w:t>
                  </w:r>
                </w:p>
              </w:tc>
              <w:tc>
                <w:tcPr>
                  <w:tcW w:w="403" w:type="pct"/>
                  <w:tcBorders>
                    <w:tl2br w:val="nil"/>
                    <w:tr2bl w:val="nil"/>
                  </w:tcBorders>
                  <w:noWrap w:val="0"/>
                  <w:vAlign w:val="center"/>
                </w:tcPr>
                <w:p w14:paraId="523908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w:t>
                  </w:r>
                </w:p>
              </w:tc>
              <w:tc>
                <w:tcPr>
                  <w:tcW w:w="536" w:type="pct"/>
                  <w:tcBorders>
                    <w:tl2br w:val="nil"/>
                    <w:tr2bl w:val="nil"/>
                  </w:tcBorders>
                  <w:noWrap w:val="0"/>
                  <w:vAlign w:val="center"/>
                </w:tcPr>
                <w:p w14:paraId="6088BB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471" w:type="pct"/>
                  <w:tcBorders>
                    <w:tl2br w:val="nil"/>
                    <w:tr2bl w:val="nil"/>
                  </w:tcBorders>
                  <w:noWrap w:val="0"/>
                  <w:vAlign w:val="center"/>
                </w:tcPr>
                <w:p w14:paraId="22E2AD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w:t>
                  </w:r>
                </w:p>
              </w:tc>
              <w:tc>
                <w:tcPr>
                  <w:tcW w:w="548" w:type="pct"/>
                  <w:tcBorders>
                    <w:tl2br w:val="nil"/>
                    <w:tr2bl w:val="nil"/>
                  </w:tcBorders>
                  <w:noWrap w:val="0"/>
                  <w:vAlign w:val="center"/>
                </w:tcPr>
                <w:p w14:paraId="6195A10E">
                  <w:pPr>
                    <w:keepNext w:val="0"/>
                    <w:keepLines w:val="0"/>
                    <w:pageBreakBefore w:val="0"/>
                    <w:widowControl/>
                    <w:kinsoku/>
                    <w:wordWrap/>
                    <w:overflowPunct/>
                    <w:topLinePunct w:val="0"/>
                    <w:autoSpaceDE/>
                    <w:autoSpaceDN/>
                    <w:bidi w:val="0"/>
                    <w:adjustRightInd w:val="0"/>
                    <w:snapToGrid w:val="0"/>
                    <w:spacing w:line="24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340</w:t>
                  </w:r>
                </w:p>
              </w:tc>
              <w:tc>
                <w:tcPr>
                  <w:tcW w:w="649" w:type="pct"/>
                  <w:tcBorders>
                    <w:tl2br w:val="nil"/>
                    <w:tr2bl w:val="nil"/>
                  </w:tcBorders>
                  <w:noWrap w:val="0"/>
                  <w:vAlign w:val="center"/>
                </w:tcPr>
                <w:p w14:paraId="289C1B38">
                  <w:pPr>
                    <w:keepNext w:val="0"/>
                    <w:keepLines w:val="0"/>
                    <w:pageBreakBefore w:val="0"/>
                    <w:widowControl/>
                    <w:kinsoku/>
                    <w:wordWrap/>
                    <w:overflowPunct/>
                    <w:topLinePunct w:val="0"/>
                    <w:autoSpaceDE/>
                    <w:autoSpaceDN/>
                    <w:bidi w:val="0"/>
                    <w:adjustRightInd w:val="0"/>
                    <w:snapToGrid w:val="0"/>
                    <w:spacing w:line="24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85</w:t>
                  </w:r>
                </w:p>
              </w:tc>
              <w:tc>
                <w:tcPr>
                  <w:tcW w:w="765" w:type="pct"/>
                  <w:tcBorders>
                    <w:tl2br w:val="nil"/>
                    <w:tr2bl w:val="nil"/>
                  </w:tcBorders>
                  <w:noWrap w:val="0"/>
                  <w:vAlign w:val="center"/>
                </w:tcPr>
                <w:p w14:paraId="13E8DDD6">
                  <w:pPr>
                    <w:keepNext w:val="0"/>
                    <w:keepLines w:val="0"/>
                    <w:pageBreakBefore w:val="0"/>
                    <w:widowControl/>
                    <w:kinsoku/>
                    <w:wordWrap/>
                    <w:overflowPunct/>
                    <w:topLinePunct w:val="0"/>
                    <w:autoSpaceDE/>
                    <w:autoSpaceDN/>
                    <w:bidi w:val="0"/>
                    <w:adjustRightInd w:val="0"/>
                    <w:snapToGrid w:val="0"/>
                    <w:spacing w:line="24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1700</w:t>
                  </w:r>
                </w:p>
              </w:tc>
            </w:tr>
          </w:tbl>
          <w:p w14:paraId="1D3D6662">
            <w:pPr>
              <w:numPr>
                <w:ilvl w:val="0"/>
                <w:numId w:val="0"/>
              </w:numPr>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柴油发电机</w:t>
            </w:r>
          </w:p>
          <w:p w14:paraId="43D79A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柴油发电机作为备用电源，</w:t>
            </w:r>
            <w:r>
              <w:rPr>
                <w:rFonts w:hint="default" w:ascii="Times New Roman" w:hAnsi="Times New Roman" w:eastAsia="宋体" w:cs="Times New Roman"/>
                <w:color w:val="000000" w:themeColor="text1"/>
                <w:szCs w:val="21"/>
                <w:highlight w:val="none"/>
                <w14:textFill>
                  <w14:solidFill>
                    <w14:schemeClr w14:val="tx1"/>
                  </w14:solidFill>
                </w14:textFill>
              </w:rPr>
              <w:t>非正常工况排放全年持续时间约4h（单次持续时间1h/次，年发生4次/年）</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共计消耗柴油100.8kg。</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根据《非道路移动污染源大气污染物排放清单编制技术指南（试行）》（原生态环境部2014第92号）中非道路移动机械（包括柴油发电机组）大气污染物排放量计算方法1，计算CO、NO</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和THC、PM</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和PM</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的排放量。计算公式如下：</w:t>
            </w:r>
          </w:p>
          <w:p w14:paraId="09DB93A5">
            <w:pPr>
              <w:pStyle w:val="5"/>
              <w:keepNext/>
              <w:keepLines/>
              <w:pageBreakBefore w:val="0"/>
              <w:widowControl w:val="0"/>
              <w:kinsoku/>
              <w:wordWrap/>
              <w:overflowPunct/>
              <w:topLinePunct w:val="0"/>
              <w:autoSpaceDE/>
              <w:autoSpaceDN/>
              <w:bidi w:val="0"/>
              <w:adjustRightInd w:val="0"/>
              <w:snapToGrid w:val="0"/>
              <w:spacing w:before="0" w:after="0" w:line="500" w:lineRule="exact"/>
              <w:ind w:firstLine="643" w:firstLineChars="200"/>
              <w:jc w:val="left"/>
              <w:textAlignment w:val="auto"/>
              <w:outlineLvl w:val="9"/>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position w:val="-10"/>
                <w:highlight w:val="none"/>
                <w:lang w:val="en-US" w:eastAsia="zh-CN"/>
                <w14:textFill>
                  <w14:solidFill>
                    <w14:schemeClr w14:val="tx1"/>
                  </w14:solidFill>
                </w14:textFill>
              </w:rPr>
              <w:object>
                <v:shape id="_x0000_i1028" o:spt="75" type="#_x0000_t75" style="height:18pt;width:92pt;" o:ole="t" filled="f" o:preferrelative="t" stroked="f" coordsize="21600,21600">
                  <v:path/>
                  <v:fill on="f" focussize="0,0"/>
                  <v:stroke on="f"/>
                  <v:imagedata r:id="rId27" o:title=""/>
                  <o:lock v:ext="edit" aspectratio="t"/>
                  <w10:wrap type="none"/>
                  <w10:anchorlock/>
                </v:shape>
                <o:OLEObject Type="Embed" ProgID="Equation.KSEE3" ShapeID="_x0000_i1028" DrawAspect="Content" ObjectID="_1468075728" r:id="rId28">
                  <o:LockedField>false</o:LockedField>
                </o:OLEObject>
              </w:object>
            </w:r>
          </w:p>
          <w:p w14:paraId="44A4757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式中，E为非道路移动机械的CO、THC、NO</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和PM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排放量，单位为吨；Y为燃油消耗量，单位为千克；EF为排放系数，单位为g/kg燃料。</w:t>
            </w:r>
          </w:p>
          <w:p w14:paraId="31F6EE9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根据该指南方法1适用的非道路移动机械平均排放系数（g/kg燃料），</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则本项目施工期间机械设备的尾气产生情况见表4</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.2-</w:t>
            </w:r>
            <w:r>
              <w:rPr>
                <w:rFonts w:hint="eastAsia" w:cs="Times New Roman"/>
                <w:color w:val="000000" w:themeColor="text1"/>
                <w:kern w:val="0"/>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p>
          <w:p w14:paraId="0BD92AD0">
            <w:pPr>
              <w:pStyle w:val="18"/>
              <w:bidi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 xml:space="preserve">  燃烧柴油污染物产生量</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014"/>
              <w:gridCol w:w="2471"/>
              <w:gridCol w:w="2471"/>
            </w:tblGrid>
            <w:tr w14:paraId="1D7421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7" w:type="pct"/>
                  <w:tcBorders>
                    <w:tl2br w:val="nil"/>
                    <w:tr2bl w:val="nil"/>
                  </w:tcBorders>
                  <w:noWrap w:val="0"/>
                  <w:vAlign w:val="center"/>
                </w:tcPr>
                <w:p w14:paraId="39E706C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序号</w:t>
                  </w:r>
                </w:p>
              </w:tc>
              <w:tc>
                <w:tcPr>
                  <w:tcW w:w="1222" w:type="pct"/>
                  <w:tcBorders>
                    <w:tl2br w:val="nil"/>
                    <w:tr2bl w:val="nil"/>
                  </w:tcBorders>
                  <w:noWrap w:val="0"/>
                  <w:vAlign w:val="center"/>
                </w:tcPr>
                <w:p w14:paraId="5D81077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w:t>
                  </w:r>
                </w:p>
              </w:tc>
              <w:tc>
                <w:tcPr>
                  <w:tcW w:w="1499" w:type="pct"/>
                  <w:tcBorders>
                    <w:tl2br w:val="nil"/>
                    <w:tr2bl w:val="nil"/>
                  </w:tcBorders>
                  <w:noWrap w:val="0"/>
                  <w:vAlign w:val="center"/>
                </w:tcPr>
                <w:p w14:paraId="2A61FEA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燃烧产污系数</w:t>
                  </w:r>
                </w:p>
              </w:tc>
              <w:tc>
                <w:tcPr>
                  <w:tcW w:w="1499" w:type="pct"/>
                  <w:tcBorders>
                    <w:tl2br w:val="nil"/>
                    <w:tr2bl w:val="nil"/>
                  </w:tcBorders>
                  <w:noWrap w:val="0"/>
                  <w:vAlign w:val="center"/>
                </w:tcPr>
                <w:p w14:paraId="13EAC16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污染物排放量</w:t>
                  </w:r>
                </w:p>
              </w:tc>
            </w:tr>
            <w:tr w14:paraId="77E7A4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777" w:type="pct"/>
                  <w:tcBorders>
                    <w:tl2br w:val="nil"/>
                    <w:tr2bl w:val="nil"/>
                  </w:tcBorders>
                  <w:noWrap w:val="0"/>
                  <w:vAlign w:val="center"/>
                </w:tcPr>
                <w:p w14:paraId="201D27F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p>
              </w:tc>
              <w:tc>
                <w:tcPr>
                  <w:tcW w:w="1222" w:type="pct"/>
                  <w:tcBorders>
                    <w:tl2br w:val="nil"/>
                    <w:tr2bl w:val="nil"/>
                  </w:tcBorders>
                  <w:noWrap w:val="0"/>
                  <w:vAlign w:val="center"/>
                </w:tcPr>
                <w:p w14:paraId="5C6D15B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CO</w:t>
                  </w:r>
                </w:p>
              </w:tc>
              <w:tc>
                <w:tcPr>
                  <w:tcW w:w="1499" w:type="pct"/>
                  <w:tcBorders>
                    <w:tl2br w:val="nil"/>
                    <w:tr2bl w:val="nil"/>
                  </w:tcBorders>
                  <w:noWrap w:val="0"/>
                  <w:vAlign w:val="center"/>
                </w:tcPr>
                <w:p w14:paraId="1457A89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10.72g/kg</w:t>
                  </w:r>
                </w:p>
              </w:tc>
              <w:tc>
                <w:tcPr>
                  <w:tcW w:w="2398" w:type="dxa"/>
                  <w:tcBorders>
                    <w:tl2br w:val="nil"/>
                    <w:tr2bl w:val="nil"/>
                  </w:tcBorders>
                  <w:noWrap w:val="0"/>
                  <w:vAlign w:val="center"/>
                </w:tcPr>
                <w:p w14:paraId="0DE9DBB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1.08kg/a</w:t>
                  </w:r>
                </w:p>
              </w:tc>
            </w:tr>
            <w:tr w14:paraId="7D8EAB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777" w:type="pct"/>
                  <w:tcBorders>
                    <w:tl2br w:val="nil"/>
                    <w:tr2bl w:val="nil"/>
                  </w:tcBorders>
                  <w:noWrap w:val="0"/>
                  <w:vAlign w:val="center"/>
                </w:tcPr>
                <w:p w14:paraId="523AF69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p>
              </w:tc>
              <w:tc>
                <w:tcPr>
                  <w:tcW w:w="1222" w:type="pct"/>
                  <w:tcBorders>
                    <w:tl2br w:val="nil"/>
                    <w:tr2bl w:val="nil"/>
                  </w:tcBorders>
                  <w:noWrap w:val="0"/>
                  <w:vAlign w:val="center"/>
                </w:tcPr>
                <w:p w14:paraId="759CA1E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THC</w:t>
                  </w:r>
                </w:p>
              </w:tc>
              <w:tc>
                <w:tcPr>
                  <w:tcW w:w="1499" w:type="pct"/>
                  <w:tcBorders>
                    <w:tl2br w:val="nil"/>
                    <w:tr2bl w:val="nil"/>
                  </w:tcBorders>
                  <w:noWrap w:val="0"/>
                  <w:vAlign w:val="center"/>
                </w:tcPr>
                <w:p w14:paraId="273BFC7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3.39g/kg</w:t>
                  </w:r>
                </w:p>
              </w:tc>
              <w:tc>
                <w:tcPr>
                  <w:tcW w:w="2398" w:type="dxa"/>
                  <w:tcBorders>
                    <w:tl2br w:val="nil"/>
                    <w:tr2bl w:val="nil"/>
                  </w:tcBorders>
                  <w:noWrap w:val="0"/>
                  <w:vAlign w:val="center"/>
                </w:tcPr>
                <w:p w14:paraId="68C9EF3F">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0.34kg/a</w:t>
                  </w:r>
                </w:p>
              </w:tc>
            </w:tr>
            <w:tr w14:paraId="231688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777" w:type="pct"/>
                  <w:tcBorders>
                    <w:tl2br w:val="nil"/>
                    <w:tr2bl w:val="nil"/>
                  </w:tcBorders>
                  <w:noWrap w:val="0"/>
                  <w:vAlign w:val="center"/>
                </w:tcPr>
                <w:p w14:paraId="6F21A80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p>
              </w:tc>
              <w:tc>
                <w:tcPr>
                  <w:tcW w:w="1222" w:type="pct"/>
                  <w:tcBorders>
                    <w:tl2br w:val="nil"/>
                    <w:tr2bl w:val="nil"/>
                  </w:tcBorders>
                  <w:noWrap w:val="0"/>
                  <w:vAlign w:val="center"/>
                </w:tcPr>
                <w:p w14:paraId="55517FF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NOx</w:t>
                  </w:r>
                </w:p>
              </w:tc>
              <w:tc>
                <w:tcPr>
                  <w:tcW w:w="1499" w:type="pct"/>
                  <w:tcBorders>
                    <w:tl2br w:val="nil"/>
                    <w:tr2bl w:val="nil"/>
                  </w:tcBorders>
                  <w:noWrap w:val="0"/>
                  <w:vAlign w:val="center"/>
                </w:tcPr>
                <w:p w14:paraId="23F1631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32.79g/kg</w:t>
                  </w:r>
                </w:p>
              </w:tc>
              <w:tc>
                <w:tcPr>
                  <w:tcW w:w="2398" w:type="dxa"/>
                  <w:tcBorders>
                    <w:tl2br w:val="nil"/>
                    <w:tr2bl w:val="nil"/>
                  </w:tcBorders>
                  <w:noWrap w:val="0"/>
                  <w:vAlign w:val="center"/>
                </w:tcPr>
                <w:p w14:paraId="6A8DF072">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3.30kg/a</w:t>
                  </w:r>
                </w:p>
              </w:tc>
            </w:tr>
            <w:tr w14:paraId="3BE7CC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777" w:type="pct"/>
                  <w:tcBorders>
                    <w:tl2br w:val="nil"/>
                    <w:tr2bl w:val="nil"/>
                  </w:tcBorders>
                  <w:noWrap w:val="0"/>
                  <w:vAlign w:val="center"/>
                </w:tcPr>
                <w:p w14:paraId="012EC69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w:t>
                  </w:r>
                </w:p>
              </w:tc>
              <w:tc>
                <w:tcPr>
                  <w:tcW w:w="1222" w:type="pct"/>
                  <w:tcBorders>
                    <w:tl2br w:val="nil"/>
                    <w:tr2bl w:val="nil"/>
                  </w:tcBorders>
                  <w:noWrap w:val="0"/>
                  <w:vAlign w:val="center"/>
                </w:tcPr>
                <w:p w14:paraId="720D8E9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PM</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2.5</w:t>
                  </w:r>
                </w:p>
              </w:tc>
              <w:tc>
                <w:tcPr>
                  <w:tcW w:w="1499" w:type="pct"/>
                  <w:tcBorders>
                    <w:tl2br w:val="nil"/>
                    <w:tr2bl w:val="nil"/>
                  </w:tcBorders>
                  <w:noWrap w:val="0"/>
                  <w:vAlign w:val="center"/>
                </w:tcPr>
                <w:p w14:paraId="5D2A6D2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2.09g/kg</w:t>
                  </w:r>
                </w:p>
              </w:tc>
              <w:tc>
                <w:tcPr>
                  <w:tcW w:w="2398" w:type="dxa"/>
                  <w:tcBorders>
                    <w:tl2br w:val="nil"/>
                    <w:tr2bl w:val="nil"/>
                  </w:tcBorders>
                  <w:noWrap w:val="0"/>
                  <w:vAlign w:val="center"/>
                </w:tcPr>
                <w:p w14:paraId="077B2C77">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0.21kg/a</w:t>
                  </w:r>
                </w:p>
              </w:tc>
            </w:tr>
            <w:tr w14:paraId="77FDA7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777" w:type="pct"/>
                  <w:tcBorders>
                    <w:tl2br w:val="nil"/>
                    <w:tr2bl w:val="nil"/>
                  </w:tcBorders>
                  <w:noWrap w:val="0"/>
                  <w:vAlign w:val="center"/>
                </w:tcPr>
                <w:p w14:paraId="47186CB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5</w:t>
                  </w:r>
                </w:p>
              </w:tc>
              <w:tc>
                <w:tcPr>
                  <w:tcW w:w="1222" w:type="pct"/>
                  <w:tcBorders>
                    <w:tl2br w:val="nil"/>
                    <w:tr2bl w:val="nil"/>
                  </w:tcBorders>
                  <w:noWrap w:val="0"/>
                  <w:vAlign w:val="center"/>
                </w:tcPr>
                <w:p w14:paraId="66B8F94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PM</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10</w:t>
                  </w:r>
                </w:p>
              </w:tc>
              <w:tc>
                <w:tcPr>
                  <w:tcW w:w="1499" w:type="pct"/>
                  <w:tcBorders>
                    <w:tl2br w:val="nil"/>
                    <w:tr2bl w:val="nil"/>
                  </w:tcBorders>
                  <w:noWrap w:val="0"/>
                  <w:vAlign w:val="center"/>
                </w:tcPr>
                <w:p w14:paraId="4153F70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2.09g/kg</w:t>
                  </w:r>
                </w:p>
              </w:tc>
              <w:tc>
                <w:tcPr>
                  <w:tcW w:w="2398" w:type="dxa"/>
                  <w:tcBorders>
                    <w:tl2br w:val="nil"/>
                    <w:tr2bl w:val="nil"/>
                  </w:tcBorders>
                  <w:noWrap w:val="0"/>
                  <w:vAlign w:val="center"/>
                </w:tcPr>
                <w:p w14:paraId="153A0307">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0.21kg/a</w:t>
                  </w:r>
                </w:p>
              </w:tc>
            </w:tr>
            <w:tr w14:paraId="5CCF41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777" w:type="pct"/>
                  <w:tcBorders>
                    <w:tl2br w:val="nil"/>
                    <w:tr2bl w:val="nil"/>
                  </w:tcBorders>
                  <w:noWrap w:val="0"/>
                  <w:vAlign w:val="center"/>
                </w:tcPr>
                <w:p w14:paraId="3ED666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1222" w:type="pct"/>
                  <w:tcBorders>
                    <w:tl2br w:val="nil"/>
                    <w:tr2bl w:val="nil"/>
                  </w:tcBorders>
                  <w:noWrap w:val="0"/>
                  <w:vAlign w:val="center"/>
                </w:tcPr>
                <w:p w14:paraId="2C4071B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SO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p>
              </w:tc>
              <w:tc>
                <w:tcPr>
                  <w:tcW w:w="1499" w:type="pct"/>
                  <w:tcBorders>
                    <w:tl2br w:val="nil"/>
                    <w:tr2bl w:val="nil"/>
                  </w:tcBorders>
                  <w:noWrap w:val="0"/>
                  <w:vAlign w:val="center"/>
                </w:tcPr>
                <w:p w14:paraId="41B685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0.35g/kg</w:t>
                  </w:r>
                </w:p>
              </w:tc>
              <w:tc>
                <w:tcPr>
                  <w:tcW w:w="2398" w:type="dxa"/>
                  <w:tcBorders>
                    <w:tl2br w:val="nil"/>
                    <w:tr2bl w:val="nil"/>
                  </w:tcBorders>
                  <w:noWrap w:val="0"/>
                  <w:vAlign w:val="center"/>
                </w:tcPr>
                <w:p w14:paraId="5BDFAAC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0.03kg/a</w:t>
                  </w:r>
                </w:p>
              </w:tc>
            </w:tr>
          </w:tbl>
          <w:p w14:paraId="09CB8733">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4.2.3措施可行性分析</w:t>
            </w:r>
          </w:p>
          <w:p w14:paraId="6E69CA26">
            <w:pPr>
              <w:bidi w:val="0"/>
              <w:rPr>
                <w:rFonts w:hint="default" w:ascii="Times New Roman" w:hAnsi="Times New Roman" w:cs="Times New Roman"/>
                <w:color w:val="000000" w:themeColor="text1"/>
                <w:szCs w:val="24"/>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结合本项目采取的废气环保措施情况，并</w:t>
            </w:r>
            <w:r>
              <w:rPr>
                <w:rFonts w:hint="default" w:ascii="Times New Roman" w:hAnsi="Times New Roman" w:cs="Times New Roman"/>
                <w:color w:val="000000" w:themeColor="text1"/>
                <w:highlight w:val="none"/>
                <w:lang w:val="en-US" w:eastAsia="zh-CN"/>
                <w14:textFill>
                  <w14:solidFill>
                    <w14:schemeClr w14:val="tx1"/>
                  </w14:solidFill>
                </w14:textFill>
              </w:rPr>
              <w:t>参</w:t>
            </w:r>
            <w:r>
              <w:rPr>
                <w:rFonts w:hint="default" w:ascii="Times New Roman" w:hAnsi="Times New Roman" w:cs="Times New Roman"/>
                <w:color w:val="000000" w:themeColor="text1"/>
                <w:highlight w:val="none"/>
                <w14:textFill>
                  <w14:solidFill>
                    <w14:schemeClr w14:val="tx1"/>
                  </w14:solidFill>
                </w14:textFill>
              </w:rPr>
              <w:t>照《排污许可证申请与核发技术规范 陶瓷砖瓦工业》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HJ954-2018</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中</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 xml:space="preserve">表27 </w:t>
            </w:r>
            <w:r>
              <w:rPr>
                <w:rFonts w:hint="default" w:ascii="Times New Roman" w:hAnsi="Times New Roman" w:cs="Times New Roman"/>
                <w:color w:val="000000" w:themeColor="text1"/>
                <w:highlight w:val="none"/>
                <w14:textFill>
                  <w14:solidFill>
                    <w14:schemeClr w14:val="tx1"/>
                  </w14:solidFill>
                </w14:textFill>
              </w:rPr>
              <w:t>其他制品类</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废气污染防治设施可行技术要求分析，本项目措施的符合性分析结果如下</w:t>
            </w:r>
            <w:r>
              <w:rPr>
                <w:rFonts w:hint="default" w:ascii="Times New Roman" w:hAnsi="Times New Roman" w:cs="Times New Roman"/>
                <w:color w:val="000000" w:themeColor="text1"/>
                <w:highlight w:val="none"/>
                <w:lang w:eastAsia="zh-CN"/>
                <w14:textFill>
                  <w14:solidFill>
                    <w14:schemeClr w14:val="tx1"/>
                  </w14:solidFill>
                </w14:textFill>
              </w:rPr>
              <w:t>：</w:t>
            </w:r>
          </w:p>
          <w:p w14:paraId="5C89F482">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 xml:space="preserve">7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其他制品类工业排污单位无组织排放控制要求</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981"/>
              <w:gridCol w:w="2605"/>
              <w:gridCol w:w="3459"/>
              <w:gridCol w:w="820"/>
            </w:tblGrid>
            <w:tr w14:paraId="3D78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352" w:type="dxa"/>
                  <w:tcBorders>
                    <w:tl2br w:val="nil"/>
                    <w:tr2bl w:val="nil"/>
                  </w:tcBorders>
                  <w:noWrap w:val="0"/>
                  <w:vAlign w:val="center"/>
                </w:tcPr>
                <w:p w14:paraId="6CBC320D">
                  <w:pPr>
                    <w:pStyle w:val="16"/>
                    <w:bidi w:val="0"/>
                    <w:rPr>
                      <w:rFonts w:hint="default" w:ascii="Times New Roman" w:hAnsi="Times New Roman" w:cs="Times New Roman"/>
                      <w:color w:val="000000" w:themeColor="text1"/>
                      <w:highlight w:val="none"/>
                      <w:lang w:val="en-GB"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934" w:type="dxa"/>
                  <w:tcBorders>
                    <w:tl2br w:val="nil"/>
                    <w:tr2bl w:val="nil"/>
                  </w:tcBorders>
                  <w:noWrap w:val="0"/>
                  <w:vAlign w:val="center"/>
                </w:tcPr>
                <w:p w14:paraId="173D757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主要生产单元</w:t>
                  </w:r>
                </w:p>
              </w:tc>
              <w:tc>
                <w:tcPr>
                  <w:tcW w:w="2480" w:type="dxa"/>
                  <w:tcBorders>
                    <w:tl2br w:val="nil"/>
                    <w:tr2bl w:val="nil"/>
                  </w:tcBorders>
                  <w:noWrap w:val="0"/>
                  <w:vAlign w:val="center"/>
                </w:tcPr>
                <w:p w14:paraId="3664A86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排放控制要求</w:t>
                  </w:r>
                </w:p>
              </w:tc>
              <w:tc>
                <w:tcPr>
                  <w:tcW w:w="3293" w:type="dxa"/>
                  <w:tcBorders>
                    <w:tl2br w:val="nil"/>
                    <w:tr2bl w:val="nil"/>
                  </w:tcBorders>
                  <w:shd w:val="clear" w:color="auto" w:fill="auto"/>
                  <w:noWrap w:val="0"/>
                  <w:vAlign w:val="center"/>
                </w:tcPr>
                <w:p w14:paraId="03C13A0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本项目情况</w:t>
                  </w:r>
                </w:p>
              </w:tc>
              <w:tc>
                <w:tcPr>
                  <w:tcW w:w="780" w:type="dxa"/>
                  <w:tcBorders>
                    <w:tl2br w:val="nil"/>
                    <w:tr2bl w:val="nil"/>
                  </w:tcBorders>
                  <w:shd w:val="clear" w:color="auto" w:fill="auto"/>
                  <w:noWrap w:val="0"/>
                  <w:vAlign w:val="center"/>
                </w:tcPr>
                <w:p w14:paraId="62F8D03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符合性</w:t>
                  </w:r>
                </w:p>
              </w:tc>
            </w:tr>
            <w:tr w14:paraId="6002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352" w:type="dxa"/>
                  <w:tcBorders>
                    <w:tl2br w:val="nil"/>
                    <w:tr2bl w:val="nil"/>
                  </w:tcBorders>
                  <w:noWrap w:val="0"/>
                  <w:vAlign w:val="center"/>
                </w:tcPr>
                <w:p w14:paraId="116062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934" w:type="dxa"/>
                  <w:tcBorders>
                    <w:tl2br w:val="nil"/>
                    <w:tr2bl w:val="nil"/>
                  </w:tcBorders>
                  <w:noWrap w:val="0"/>
                  <w:vAlign w:val="center"/>
                </w:tcPr>
                <w:p w14:paraId="2D60A2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原辅料制备</w:t>
                  </w:r>
                </w:p>
              </w:tc>
              <w:tc>
                <w:tcPr>
                  <w:tcW w:w="2480" w:type="dxa"/>
                  <w:tcBorders>
                    <w:tl2br w:val="nil"/>
                    <w:tr2bl w:val="nil"/>
                  </w:tcBorders>
                  <w:noWrap w:val="0"/>
                  <w:vAlign w:val="center"/>
                </w:tcPr>
                <w:p w14:paraId="1984A9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物料料场应采用封闭、半封闭料场</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仓、库、棚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，或四周设置防风抑尘网、挡风墙，或采取覆盖等抑尘措施，防风抑尘网、挡风墙高度不低于堆存物料高度的1.1倍</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粉状物料应密闭输送</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其他物料输送应在转运点设置集气罩，并配备除尘设施。</w:t>
                  </w:r>
                </w:p>
              </w:tc>
              <w:tc>
                <w:tcPr>
                  <w:tcW w:w="3293" w:type="dxa"/>
                  <w:vMerge w:val="restart"/>
                  <w:tcBorders>
                    <w:tl2br w:val="nil"/>
                    <w:tr2bl w:val="nil"/>
                  </w:tcBorders>
                  <w:shd w:val="clear" w:color="auto" w:fill="auto"/>
                  <w:noWrap w:val="0"/>
                  <w:vAlign w:val="center"/>
                </w:tcPr>
                <w:p w14:paraId="137A4D2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运输扬尘</w:t>
                  </w:r>
                  <w:r>
                    <w:rPr>
                      <w:rFonts w:hint="default" w:ascii="Times New Roman" w:hAnsi="Times New Roman" w:cs="Times New Roman"/>
                      <w:color w:val="000000" w:themeColor="text1"/>
                      <w:highlight w:val="none"/>
                      <w14:textFill>
                        <w14:solidFill>
                          <w14:schemeClr w14:val="tx1"/>
                        </w14:solidFill>
                      </w14:textFill>
                    </w:rPr>
                    <w:t>采取洒水降尘，砂石</w:t>
                  </w:r>
                  <w:r>
                    <w:rPr>
                      <w:rFonts w:hint="default" w:ascii="Times New Roman" w:hAnsi="Times New Roman" w:cs="Times New Roman"/>
                      <w:color w:val="000000" w:themeColor="text1"/>
                      <w:highlight w:val="none"/>
                      <w:lang w:val="en-US" w:eastAsia="zh-CN"/>
                      <w14:textFill>
                        <w14:solidFill>
                          <w14:schemeClr w14:val="tx1"/>
                        </w14:solidFill>
                      </w14:textFill>
                    </w:rPr>
                    <w:t>料</w:t>
                  </w:r>
                  <w:r>
                    <w:rPr>
                      <w:rFonts w:hint="default" w:ascii="Times New Roman" w:hAnsi="Times New Roman" w:cs="Times New Roman"/>
                      <w:color w:val="000000" w:themeColor="text1"/>
                      <w:highlight w:val="none"/>
                      <w14:textFill>
                        <w14:solidFill>
                          <w14:schemeClr w14:val="tx1"/>
                        </w14:solidFill>
                      </w14:textFill>
                    </w:rPr>
                    <w:t>外运控制装卸量，采用洒水加湿后加盖篷布运输，控制车速</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车间全封闭，上料口密闭集气罩；全封闭原料及成品堆场，雾炮机定时喷淋保湿抑尘。</w:t>
                  </w:r>
                </w:p>
                <w:p w14:paraId="7ED64AC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破碎、筛分设备在全封闭厂房，输送带全封闭</w:t>
                  </w:r>
                  <w:r>
                    <w:rPr>
                      <w:rFonts w:hint="default" w:ascii="Times New Roman" w:hAnsi="Times New Roman" w:cs="Times New Roman"/>
                      <w:color w:val="000000" w:themeColor="text1"/>
                      <w:highlight w:val="none"/>
                      <w14:textFill>
                        <w14:solidFill>
                          <w14:schemeClr w14:val="tx1"/>
                        </w14:solidFill>
                      </w14:textFill>
                    </w:rPr>
                    <w:t>。</w:t>
                  </w:r>
                </w:p>
                <w:p w14:paraId="1E4628B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项目对运输道路采取定期洒水降尘措施。</w:t>
                  </w:r>
                </w:p>
              </w:tc>
              <w:tc>
                <w:tcPr>
                  <w:tcW w:w="780" w:type="dxa"/>
                  <w:tcBorders>
                    <w:tl2br w:val="nil"/>
                    <w:tr2bl w:val="nil"/>
                  </w:tcBorders>
                  <w:shd w:val="clear" w:color="auto" w:fill="auto"/>
                  <w:noWrap w:val="0"/>
                  <w:vAlign w:val="center"/>
                </w:tcPr>
                <w:p w14:paraId="41B3E0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0C79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352" w:type="dxa"/>
                  <w:tcBorders>
                    <w:tl2br w:val="nil"/>
                    <w:tr2bl w:val="nil"/>
                  </w:tcBorders>
                  <w:noWrap w:val="0"/>
                  <w:vAlign w:val="center"/>
                </w:tcPr>
                <w:p w14:paraId="1B56AF1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934" w:type="dxa"/>
                  <w:tcBorders>
                    <w:tl2br w:val="nil"/>
                    <w:tr2bl w:val="nil"/>
                  </w:tcBorders>
                  <w:noWrap w:val="0"/>
                  <w:vAlign w:val="center"/>
                </w:tcPr>
                <w:p w14:paraId="7E33657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生产系统</w:t>
                  </w:r>
                </w:p>
              </w:tc>
              <w:tc>
                <w:tcPr>
                  <w:tcW w:w="2480" w:type="dxa"/>
                  <w:tcBorders>
                    <w:tl2br w:val="nil"/>
                    <w:tr2bl w:val="nil"/>
                  </w:tcBorders>
                  <w:noWrap w:val="0"/>
                  <w:vAlign w:val="center"/>
                </w:tcPr>
                <w:p w14:paraId="274A189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原料的粉碎、筛分、配料、混合搅拌等工序，应采用封闭式作业，并配备除尘设施</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制备与成型车间外不应有可见粉尘外逸。</w:t>
                  </w:r>
                </w:p>
              </w:tc>
              <w:tc>
                <w:tcPr>
                  <w:tcW w:w="3293" w:type="dxa"/>
                  <w:vMerge w:val="continue"/>
                  <w:tcBorders>
                    <w:tl2br w:val="nil"/>
                    <w:tr2bl w:val="nil"/>
                  </w:tcBorders>
                  <w:shd w:val="clear" w:color="auto" w:fill="auto"/>
                  <w:noWrap w:val="0"/>
                  <w:vAlign w:val="center"/>
                </w:tcPr>
                <w:p w14:paraId="1458A03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80" w:type="dxa"/>
                  <w:tcBorders>
                    <w:tl2br w:val="nil"/>
                    <w:tr2bl w:val="nil"/>
                  </w:tcBorders>
                  <w:shd w:val="clear" w:color="auto" w:fill="auto"/>
                  <w:noWrap w:val="0"/>
                  <w:vAlign w:val="center"/>
                </w:tcPr>
                <w:p w14:paraId="559E10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1593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352" w:type="dxa"/>
                  <w:tcBorders>
                    <w:tl2br w:val="nil"/>
                    <w:tr2bl w:val="nil"/>
                  </w:tcBorders>
                  <w:noWrap w:val="0"/>
                  <w:vAlign w:val="center"/>
                </w:tcPr>
                <w:p w14:paraId="581F515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934" w:type="dxa"/>
                  <w:tcBorders>
                    <w:tl2br w:val="nil"/>
                    <w:tr2bl w:val="nil"/>
                  </w:tcBorders>
                  <w:noWrap w:val="0"/>
                  <w:vAlign w:val="center"/>
                </w:tcPr>
                <w:p w14:paraId="6F5A42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其他要求</w:t>
                  </w:r>
                </w:p>
              </w:tc>
              <w:tc>
                <w:tcPr>
                  <w:tcW w:w="2480" w:type="dxa"/>
                  <w:tcBorders>
                    <w:tl2br w:val="nil"/>
                    <w:tr2bl w:val="nil"/>
                  </w:tcBorders>
                  <w:noWrap w:val="0"/>
                  <w:vAlign w:val="center"/>
                </w:tcPr>
                <w:p w14:paraId="0078936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厂区道路应硬化。道路采取清扫、洒水等措施，保持清洁</w:t>
                  </w:r>
                </w:p>
              </w:tc>
              <w:tc>
                <w:tcPr>
                  <w:tcW w:w="3293" w:type="dxa"/>
                  <w:vMerge w:val="continue"/>
                  <w:tcBorders>
                    <w:tl2br w:val="nil"/>
                    <w:tr2bl w:val="nil"/>
                  </w:tcBorders>
                  <w:shd w:val="clear" w:color="auto" w:fill="auto"/>
                  <w:noWrap w:val="0"/>
                  <w:vAlign w:val="center"/>
                </w:tcPr>
                <w:p w14:paraId="521BAE6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80" w:type="dxa"/>
                  <w:tcBorders>
                    <w:tl2br w:val="nil"/>
                    <w:tr2bl w:val="nil"/>
                  </w:tcBorders>
                  <w:shd w:val="clear" w:color="auto" w:fill="auto"/>
                  <w:noWrap w:val="0"/>
                  <w:vAlign w:val="center"/>
                </w:tcPr>
                <w:p w14:paraId="46FDC1C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bl>
          <w:p w14:paraId="43BCC3BF">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4.2.4大气环境监测计划</w:t>
            </w:r>
          </w:p>
          <w:p w14:paraId="242FC1AE">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根据《排污单位自行监测技术指南 总则》（HJ819-2017）</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《排污</w:t>
            </w:r>
            <w:r>
              <w:rPr>
                <w:rFonts w:hint="default" w:ascii="Times New Roman" w:hAnsi="Times New Roman" w:cs="Times New Roman"/>
                <w:color w:val="000000" w:themeColor="text1"/>
                <w:highlight w:val="none"/>
                <w:lang w:val="en-US" w:eastAsia="zh-CN"/>
                <w14:textFill>
                  <w14:solidFill>
                    <w14:schemeClr w14:val="tx1"/>
                  </w14:solidFill>
                </w14:textFill>
              </w:rPr>
              <w:t>许可申请与核发技术规范</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总则</w:t>
            </w:r>
            <w:r>
              <w:rPr>
                <w:rFonts w:hint="default" w:ascii="Times New Roman" w:hAnsi="Times New Roman" w:cs="Times New Roman"/>
                <w:color w:val="000000" w:themeColor="text1"/>
                <w:highlight w:val="none"/>
                <w14:textFill>
                  <w14:solidFill>
                    <w14:schemeClr w14:val="tx1"/>
                  </w14:solidFill>
                </w14:textFill>
              </w:rPr>
              <w:t>》（HJ</w:t>
            </w:r>
            <w:r>
              <w:rPr>
                <w:rFonts w:hint="default" w:ascii="Times New Roman" w:hAnsi="Times New Roman" w:cs="Times New Roman"/>
                <w:color w:val="000000" w:themeColor="text1"/>
                <w:highlight w:val="none"/>
                <w:lang w:val="en-US" w:eastAsia="zh-CN"/>
                <w14:textFill>
                  <w14:solidFill>
                    <w14:schemeClr w14:val="tx1"/>
                  </w14:solidFill>
                </w14:textFill>
              </w:rPr>
              <w:t>942-2018</w:t>
            </w:r>
            <w:r>
              <w:rPr>
                <w:rFonts w:hint="default" w:ascii="Times New Roman" w:hAnsi="Times New Roman" w:cs="Times New Roman"/>
                <w:color w:val="000000" w:themeColor="text1"/>
                <w:highlight w:val="none"/>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大气</w:t>
            </w:r>
            <w:r>
              <w:rPr>
                <w:rFonts w:hint="default" w:ascii="Times New Roman" w:hAnsi="Times New Roman" w:cs="Times New Roman"/>
                <w:color w:val="000000" w:themeColor="text1"/>
                <w:highlight w:val="none"/>
                <w14:textFill>
                  <w14:solidFill>
                    <w14:schemeClr w14:val="tx1"/>
                  </w14:solidFill>
                </w14:textFill>
              </w:rPr>
              <w:t>污染源自行监测计划如下：</w:t>
            </w:r>
          </w:p>
          <w:p w14:paraId="067092AA">
            <w:pPr>
              <w:pStyle w:val="18"/>
              <w:bidi w:val="0"/>
              <w:rPr>
                <w:rFonts w:hint="default" w:ascii="Times New Roman" w:hAnsi="Times New Roman" w:eastAsia="宋体" w:cs="Times New Roman"/>
                <w:b/>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运营期</w:t>
            </w:r>
            <w:r>
              <w:rPr>
                <w:rFonts w:hint="default" w:ascii="Times New Roman" w:hAnsi="Times New Roman" w:cs="Times New Roman"/>
                <w:color w:val="000000" w:themeColor="text1"/>
                <w:highlight w:val="none"/>
                <w:lang w:val="en-US" w:eastAsia="zh-CN"/>
                <w14:textFill>
                  <w14:solidFill>
                    <w14:schemeClr w14:val="tx1"/>
                  </w14:solidFill>
                </w14:textFill>
              </w:rPr>
              <w:t>大气</w:t>
            </w:r>
            <w:r>
              <w:rPr>
                <w:rFonts w:hint="default" w:ascii="Times New Roman" w:hAnsi="Times New Roman" w:cs="Times New Roman"/>
                <w:color w:val="000000" w:themeColor="text1"/>
                <w:highlight w:val="none"/>
                <w14:textFill>
                  <w14:solidFill>
                    <w14:schemeClr w14:val="tx1"/>
                  </w14:solidFill>
                </w14:textFill>
              </w:rPr>
              <w:t>监测计划</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551"/>
              <w:gridCol w:w="1034"/>
              <w:gridCol w:w="1146"/>
              <w:gridCol w:w="3298"/>
            </w:tblGrid>
            <w:tr w14:paraId="7462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8" w:type="dxa"/>
                  <w:tcBorders>
                    <w:tl2br w:val="nil"/>
                    <w:tr2bl w:val="nil"/>
                  </w:tcBorders>
                  <w:noWrap w:val="0"/>
                  <w:tcMar>
                    <w:left w:w="0" w:type="dxa"/>
                    <w:right w:w="0" w:type="dxa"/>
                  </w:tcMar>
                  <w:vAlign w:val="center"/>
                </w:tcPr>
                <w:p w14:paraId="50E2E57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监测项目</w:t>
                  </w:r>
                </w:p>
              </w:tc>
              <w:tc>
                <w:tcPr>
                  <w:tcW w:w="1476" w:type="dxa"/>
                  <w:tcBorders>
                    <w:tl2br w:val="nil"/>
                    <w:tr2bl w:val="nil"/>
                  </w:tcBorders>
                  <w:noWrap w:val="0"/>
                  <w:tcMar>
                    <w:left w:w="0" w:type="dxa"/>
                    <w:right w:w="0" w:type="dxa"/>
                  </w:tcMar>
                  <w:vAlign w:val="center"/>
                </w:tcPr>
                <w:p w14:paraId="0342D0A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监测点位</w:t>
                  </w:r>
                </w:p>
              </w:tc>
              <w:tc>
                <w:tcPr>
                  <w:tcW w:w="984" w:type="dxa"/>
                  <w:tcBorders>
                    <w:tl2br w:val="nil"/>
                    <w:tr2bl w:val="nil"/>
                  </w:tcBorders>
                  <w:noWrap w:val="0"/>
                  <w:tcMar>
                    <w:left w:w="0" w:type="dxa"/>
                    <w:right w:w="0" w:type="dxa"/>
                  </w:tcMar>
                  <w:vAlign w:val="center"/>
                </w:tcPr>
                <w:p w14:paraId="7CBC2CF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监测指标</w:t>
                  </w:r>
                </w:p>
              </w:tc>
              <w:tc>
                <w:tcPr>
                  <w:tcW w:w="1092" w:type="dxa"/>
                  <w:tcBorders>
                    <w:tl2br w:val="nil"/>
                    <w:tr2bl w:val="nil"/>
                  </w:tcBorders>
                  <w:noWrap w:val="0"/>
                  <w:tcMar>
                    <w:left w:w="0" w:type="dxa"/>
                    <w:right w:w="0" w:type="dxa"/>
                  </w:tcMar>
                  <w:vAlign w:val="center"/>
                </w:tcPr>
                <w:p w14:paraId="7F5EF01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监测频次</w:t>
                  </w:r>
                </w:p>
              </w:tc>
              <w:tc>
                <w:tcPr>
                  <w:tcW w:w="3139" w:type="dxa"/>
                  <w:tcBorders>
                    <w:tl2br w:val="nil"/>
                    <w:tr2bl w:val="nil"/>
                  </w:tcBorders>
                  <w:noWrap w:val="0"/>
                  <w:tcMar>
                    <w:left w:w="0" w:type="dxa"/>
                    <w:right w:w="0" w:type="dxa"/>
                  </w:tcMar>
                  <w:vAlign w:val="center"/>
                </w:tcPr>
                <w:p w14:paraId="7814719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执行排放标准</w:t>
                  </w:r>
                </w:p>
              </w:tc>
            </w:tr>
            <w:tr w14:paraId="70B1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148" w:type="dxa"/>
                  <w:tcBorders>
                    <w:tl2br w:val="nil"/>
                    <w:tr2bl w:val="nil"/>
                  </w:tcBorders>
                  <w:noWrap w:val="0"/>
                  <w:tcMar>
                    <w:left w:w="0" w:type="dxa"/>
                    <w:right w:w="0" w:type="dxa"/>
                  </w:tcMar>
                  <w:vAlign w:val="center"/>
                </w:tcPr>
                <w:p w14:paraId="0B7FF50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无组织废气</w:t>
                  </w:r>
                </w:p>
              </w:tc>
              <w:tc>
                <w:tcPr>
                  <w:tcW w:w="1476" w:type="dxa"/>
                  <w:tcBorders>
                    <w:tl2br w:val="nil"/>
                    <w:tr2bl w:val="nil"/>
                  </w:tcBorders>
                  <w:noWrap w:val="0"/>
                  <w:tcMar>
                    <w:left w:w="0" w:type="dxa"/>
                    <w:right w:w="0" w:type="dxa"/>
                  </w:tcMar>
                  <w:vAlign w:val="center"/>
                </w:tcPr>
                <w:p w14:paraId="34ADD1E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厂</w:t>
                  </w:r>
                  <w:r>
                    <w:rPr>
                      <w:rFonts w:hint="default" w:ascii="Times New Roman" w:hAnsi="Times New Roman" w:cs="Times New Roman"/>
                      <w:color w:val="000000" w:themeColor="text1"/>
                      <w:highlight w:val="none"/>
                      <w:lang w:val="en-US" w:eastAsia="zh-CN"/>
                      <w14:textFill>
                        <w14:solidFill>
                          <w14:schemeClr w14:val="tx1"/>
                        </w14:solidFill>
                      </w14:textFill>
                    </w:rPr>
                    <w:t>界</w:t>
                  </w:r>
                </w:p>
              </w:tc>
              <w:tc>
                <w:tcPr>
                  <w:tcW w:w="984" w:type="dxa"/>
                  <w:tcBorders>
                    <w:tl2br w:val="nil"/>
                    <w:tr2bl w:val="nil"/>
                  </w:tcBorders>
                  <w:noWrap w:val="0"/>
                  <w:tcMar>
                    <w:left w:w="0" w:type="dxa"/>
                    <w:right w:w="0" w:type="dxa"/>
                  </w:tcMar>
                  <w:vAlign w:val="center"/>
                </w:tcPr>
                <w:p w14:paraId="4B5140F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颗粒物</w:t>
                  </w:r>
                </w:p>
              </w:tc>
              <w:tc>
                <w:tcPr>
                  <w:tcW w:w="1092" w:type="dxa"/>
                  <w:tcBorders>
                    <w:tl2br w:val="nil"/>
                    <w:tr2bl w:val="nil"/>
                  </w:tcBorders>
                  <w:noWrap w:val="0"/>
                  <w:tcMar>
                    <w:left w:w="0" w:type="dxa"/>
                    <w:right w:w="0" w:type="dxa"/>
                  </w:tcMar>
                  <w:vAlign w:val="center"/>
                </w:tcPr>
                <w:p w14:paraId="3A5CD2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1次/</w:t>
                  </w:r>
                  <w:r>
                    <w:rPr>
                      <w:rFonts w:hint="default" w:ascii="Times New Roman" w:hAnsi="Times New Roman" w:cs="Times New Roman"/>
                      <w:color w:val="000000" w:themeColor="text1"/>
                      <w:highlight w:val="none"/>
                      <w:lang w:val="en-US" w:eastAsia="zh-CN"/>
                      <w14:textFill>
                        <w14:solidFill>
                          <w14:schemeClr w14:val="tx1"/>
                        </w14:solidFill>
                      </w14:textFill>
                    </w:rPr>
                    <w:t>年</w:t>
                  </w:r>
                </w:p>
              </w:tc>
              <w:tc>
                <w:tcPr>
                  <w:tcW w:w="3139" w:type="dxa"/>
                  <w:tcBorders>
                    <w:tl2br w:val="nil"/>
                    <w:tr2bl w:val="nil"/>
                  </w:tcBorders>
                  <w:noWrap w:val="0"/>
                  <w:tcMar>
                    <w:left w:w="0" w:type="dxa"/>
                    <w:right w:w="0" w:type="dxa"/>
                  </w:tcMar>
                  <w:vAlign w:val="center"/>
                </w:tcPr>
                <w:p w14:paraId="7F62E32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16297-1996</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表2标准</w:t>
                  </w:r>
                </w:p>
              </w:tc>
            </w:tr>
            <w:tr w14:paraId="2D9D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148" w:type="dxa"/>
                  <w:tcBorders>
                    <w:tl2br w:val="nil"/>
                    <w:tr2bl w:val="nil"/>
                  </w:tcBorders>
                  <w:shd w:val="clear" w:color="auto" w:fill="auto"/>
                  <w:noWrap w:val="0"/>
                  <w:tcMar>
                    <w:left w:w="0" w:type="dxa"/>
                    <w:right w:w="0" w:type="dxa"/>
                  </w:tcMar>
                  <w:vAlign w:val="center"/>
                </w:tcPr>
                <w:p w14:paraId="6D1BF6C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有组织</w:t>
                  </w:r>
                </w:p>
              </w:tc>
              <w:tc>
                <w:tcPr>
                  <w:tcW w:w="1476" w:type="dxa"/>
                  <w:tcBorders>
                    <w:tl2br w:val="nil"/>
                    <w:tr2bl w:val="nil"/>
                  </w:tcBorders>
                  <w:shd w:val="clear" w:color="auto" w:fill="auto"/>
                  <w:noWrap w:val="0"/>
                  <w:tcMar>
                    <w:left w:w="0" w:type="dxa"/>
                    <w:right w:w="0" w:type="dxa"/>
                  </w:tcMar>
                  <w:vAlign w:val="center"/>
                </w:tcPr>
                <w:p w14:paraId="2B96AA9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DA001</w:t>
                  </w:r>
                </w:p>
              </w:tc>
              <w:tc>
                <w:tcPr>
                  <w:tcW w:w="984" w:type="dxa"/>
                  <w:tcBorders>
                    <w:tl2br w:val="nil"/>
                    <w:tr2bl w:val="nil"/>
                  </w:tcBorders>
                  <w:shd w:val="clear" w:color="auto" w:fill="auto"/>
                  <w:noWrap w:val="0"/>
                  <w:tcMar>
                    <w:left w:w="0" w:type="dxa"/>
                    <w:right w:w="0" w:type="dxa"/>
                  </w:tcMar>
                  <w:vAlign w:val="center"/>
                </w:tcPr>
                <w:p w14:paraId="28A5EC3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颗粒物</w:t>
                  </w:r>
                </w:p>
              </w:tc>
              <w:tc>
                <w:tcPr>
                  <w:tcW w:w="1092" w:type="dxa"/>
                  <w:tcBorders>
                    <w:tl2br w:val="nil"/>
                    <w:tr2bl w:val="nil"/>
                  </w:tcBorders>
                  <w:shd w:val="clear" w:color="auto" w:fill="auto"/>
                  <w:noWrap w:val="0"/>
                  <w:tcMar>
                    <w:left w:w="0" w:type="dxa"/>
                    <w:right w:w="0" w:type="dxa"/>
                  </w:tcMar>
                  <w:vAlign w:val="center"/>
                </w:tcPr>
                <w:p w14:paraId="29EA23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1次/年</w:t>
                  </w:r>
                </w:p>
              </w:tc>
              <w:tc>
                <w:tcPr>
                  <w:tcW w:w="3139" w:type="dxa"/>
                  <w:tcBorders>
                    <w:tl2br w:val="nil"/>
                    <w:tr2bl w:val="nil"/>
                  </w:tcBorders>
                  <w:shd w:val="clear" w:color="auto" w:fill="auto"/>
                  <w:noWrap w:val="0"/>
                  <w:tcMar>
                    <w:left w:w="0" w:type="dxa"/>
                    <w:right w:w="0" w:type="dxa"/>
                  </w:tcMar>
                  <w:vAlign w:val="center"/>
                </w:tcPr>
                <w:p w14:paraId="74C26C1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16297-1996）</w:t>
                  </w:r>
                  <w:r>
                    <w:rPr>
                      <w:rFonts w:hint="default" w:ascii="Times New Roman" w:hAnsi="Times New Roman" w:cs="Times New Roman"/>
                      <w:color w:val="000000" w:themeColor="text1"/>
                      <w:highlight w:val="none"/>
                      <w:lang w:val="en-US" w:eastAsia="zh-CN"/>
                      <w14:textFill>
                        <w14:solidFill>
                          <w14:schemeClr w14:val="tx1"/>
                        </w14:solidFill>
                      </w14:textFill>
                    </w:rPr>
                    <w:t>表2</w:t>
                  </w:r>
                  <w:r>
                    <w:rPr>
                      <w:rFonts w:hint="default" w:ascii="Times New Roman" w:hAnsi="Times New Roman" w:cs="Times New Roman"/>
                      <w:color w:val="000000" w:themeColor="text1"/>
                      <w:highlight w:val="none"/>
                      <w14:textFill>
                        <w14:solidFill>
                          <w14:schemeClr w14:val="tx1"/>
                        </w14:solidFill>
                      </w14:textFill>
                    </w:rPr>
                    <w:t>中二级标准限值</w:t>
                  </w:r>
                </w:p>
              </w:tc>
            </w:tr>
          </w:tbl>
          <w:p w14:paraId="5B9E64F8">
            <w:pPr>
              <w:pStyle w:val="3"/>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4.2.5冬季扬尘替代方案</w:t>
            </w:r>
          </w:p>
          <w:p w14:paraId="54593C1D">
            <w:pPr>
              <w:numPr>
                <w:ilvl w:val="0"/>
                <w:numId w:val="0"/>
              </w:num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napToGrid w:val="0"/>
                <w:kern w:val="0"/>
                <w:sz w:val="24"/>
                <w:szCs w:val="24"/>
                <w:highlight w:val="none"/>
                <w:lang w:val="en-US" w:eastAsia="zh-CN" w:bidi="ar-SA"/>
                <w14:ligatures w14:val="none"/>
              </w:rPr>
              <w:t>1.</w:t>
            </w:r>
            <w:r>
              <w:rPr>
                <w:rFonts w:hint="eastAsia" w:ascii="宋体" w:hAnsi="宋体" w:eastAsia="宋体" w:cs="宋体"/>
                <w:sz w:val="24"/>
                <w:szCs w:val="24"/>
                <w:highlight w:val="none"/>
                <w:lang w:val="en-US" w:eastAsia="zh-CN"/>
              </w:rPr>
              <w:t>优化作业时间，冬季生产选取每日气温相对较高的正午时段（12:00‑16:00）开展破碎、筛分、物料转运作业，压缩高扬尘工序作业时长，从源头削减扬尘产生量，其余时段停止露天装卸、转运作业。</w:t>
            </w:r>
          </w:p>
          <w:p w14:paraId="793BD27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default" w:ascii="宋体" w:hAnsi="宋体" w:eastAsia="宋体" w:cs="宋体"/>
                <w:snapToGrid w:val="0"/>
                <w:kern w:val="0"/>
                <w:sz w:val="24"/>
                <w:szCs w:val="24"/>
                <w:highlight w:val="none"/>
                <w:lang w:val="en-US" w:eastAsia="zh-CN" w:bidi="ar-SA"/>
                <w14:ligatures w14:val="none"/>
              </w:rPr>
            </w:pPr>
            <w:r>
              <w:rPr>
                <w:rFonts w:hint="eastAsia" w:ascii="宋体" w:hAnsi="宋体" w:eastAsia="宋体" w:cs="宋体"/>
                <w:snapToGrid w:val="0"/>
                <w:kern w:val="0"/>
                <w:sz w:val="24"/>
                <w:szCs w:val="24"/>
                <w:highlight w:val="none"/>
                <w:lang w:val="en-US" w:eastAsia="zh-CN" w:bidi="ar-SA"/>
                <w14:ligatures w14:val="none"/>
              </w:rPr>
              <w:t>2.</w:t>
            </w:r>
            <w:r>
              <w:rPr>
                <w:rFonts w:hint="default" w:ascii="宋体" w:hAnsi="宋体" w:eastAsia="宋体" w:cs="宋体"/>
                <w:snapToGrid w:val="0"/>
                <w:kern w:val="0"/>
                <w:sz w:val="24"/>
                <w:szCs w:val="24"/>
                <w:highlight w:val="none"/>
                <w:lang w:val="en-US" w:eastAsia="zh-CN" w:bidi="ar-SA"/>
                <w14:ligatures w14:val="none"/>
              </w:rPr>
              <w:t>强化密闭除尘措施：</w:t>
            </w:r>
            <w:r>
              <w:rPr>
                <w:rFonts w:hint="eastAsia" w:ascii="宋体" w:hAnsi="宋体" w:eastAsia="宋体" w:cs="宋体"/>
                <w:snapToGrid w:val="0"/>
                <w:kern w:val="0"/>
                <w:sz w:val="24"/>
                <w:szCs w:val="24"/>
                <w:highlight w:val="none"/>
                <w:lang w:val="en-US" w:eastAsia="zh-CN" w:bidi="ar-SA"/>
                <w14:ligatures w14:val="none"/>
              </w:rPr>
              <w:t>保证</w:t>
            </w:r>
            <w:r>
              <w:rPr>
                <w:rFonts w:hint="default" w:ascii="宋体" w:hAnsi="宋体" w:eastAsia="宋体" w:cs="宋体"/>
                <w:snapToGrid w:val="0"/>
                <w:kern w:val="0"/>
                <w:sz w:val="24"/>
                <w:szCs w:val="24"/>
                <w:highlight w:val="none"/>
                <w:lang w:val="en-US" w:eastAsia="zh-CN" w:bidi="ar-SA"/>
                <w14:ligatures w14:val="none"/>
              </w:rPr>
              <w:t>原料及成品全封闭堆场、生产车间、皮带输送廊道密闭完好，各产尘节点集气罩正常投运，依靠脉冲布袋除尘系统控制工艺粉尘，降低对洒水抑尘的依赖。</w:t>
            </w:r>
          </w:p>
          <w:p w14:paraId="3688E97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snapToGrid w:val="0"/>
                <w:kern w:val="0"/>
                <w:sz w:val="24"/>
                <w:szCs w:val="24"/>
                <w:highlight w:val="none"/>
                <w:lang w:val="en-US" w:eastAsia="zh-CN" w:bidi="ar-SA"/>
                <w14:ligatures w14:val="none"/>
              </w:rPr>
            </w:pPr>
            <w:r>
              <w:rPr>
                <w:rFonts w:hint="eastAsia" w:ascii="宋体" w:hAnsi="宋体" w:eastAsia="宋体" w:cs="宋体"/>
                <w:snapToGrid w:val="0"/>
                <w:kern w:val="0"/>
                <w:sz w:val="24"/>
                <w:szCs w:val="24"/>
                <w:highlight w:val="none"/>
                <w:lang w:val="en-US" w:eastAsia="zh-CN" w:bidi="ar-SA"/>
                <w14:ligatures w14:val="none"/>
              </w:rPr>
              <w:t>3.若下雪道路结冰，优先采用机械推雪、铲雪方式清除厂区道路、洗车平台积雪积冰；禁止大面积撒布普通氯盐类融雪剂，氯盐融雪剂进入周边高寒草甸易造成亚高山草原土土壤盐碱化，破坏原生草地植被。仅在车辆出入口、洗车平台硬化通行点位可小剂量限制性使用环保型无氯融雪剂；融雪剂撒布严格限定在硬化路面范围内，严禁撒布至草地、裸土区域；融雪产生废水全部导入项目沉淀池收集处置，严禁漫流外溢进入周边草地。</w:t>
            </w:r>
          </w:p>
          <w:p w14:paraId="408C499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default"/>
                <w:highlight w:val="none"/>
                <w:lang w:val="en-US" w:eastAsia="zh-CN"/>
              </w:rPr>
            </w:pPr>
            <w:r>
              <w:rPr>
                <w:rFonts w:hint="eastAsia" w:ascii="宋体" w:hAnsi="宋体" w:eastAsia="宋体" w:cs="宋体"/>
                <w:snapToGrid w:val="0"/>
                <w:kern w:val="0"/>
                <w:sz w:val="24"/>
                <w:szCs w:val="24"/>
                <w:highlight w:val="none"/>
                <w:lang w:val="en-US" w:eastAsia="zh-CN" w:bidi="ar-SA"/>
                <w14:ligatures w14:val="none"/>
              </w:rPr>
              <w:t>4.冬季全部停用露天雾炮、喷淋洒水系统，排空喷淋管路内部存水，做好管路保温防护，防止管路冻裂。</w:t>
            </w:r>
          </w:p>
          <w:p w14:paraId="4FCA473A">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4.3水环境影响分析及保护措施</w:t>
            </w:r>
          </w:p>
          <w:p w14:paraId="5BF745EF">
            <w:pPr>
              <w:bidi w:val="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w:t>
            </w:r>
            <w:r>
              <w:rPr>
                <w:rFonts w:hint="default" w:ascii="Times New Roman" w:hAnsi="Times New Roman" w:cs="Times New Roman"/>
                <w:color w:val="000000" w:themeColor="text1"/>
                <w:highlight w:val="none"/>
                <w14:textFill>
                  <w14:solidFill>
                    <w14:schemeClr w14:val="tx1"/>
                  </w14:solidFill>
                </w14:textFill>
              </w:rPr>
              <w:t>项目</w:t>
            </w:r>
            <w:r>
              <w:rPr>
                <w:rFonts w:hint="default" w:ascii="Times New Roman" w:hAnsi="Times New Roman" w:cs="Times New Roman"/>
                <w:color w:val="000000" w:themeColor="text1"/>
                <w:highlight w:val="none"/>
                <w:lang w:val="en-US" w:eastAsia="zh-CN"/>
                <w14:textFill>
                  <w14:solidFill>
                    <w14:schemeClr w14:val="tx1"/>
                  </w14:solidFill>
                </w14:textFill>
              </w:rPr>
              <w:t>工作人员居住在中铁隧道局新建伊阿铁路SX标项目部，项目部与本项目直线距离约1.9km，项目部生活污水采用化粪池收集后定期拉运至巴音布鲁克污水处理厂处理。</w:t>
            </w:r>
            <w:r>
              <w:rPr>
                <w:rFonts w:hint="default" w:ascii="Times New Roman" w:hAnsi="Times New Roman" w:cs="Times New Roman"/>
                <w:color w:val="000000" w:themeColor="text1"/>
                <w:highlight w:val="none"/>
                <w14:textFill>
                  <w14:solidFill>
                    <w14:schemeClr w14:val="tx1"/>
                  </w14:solidFill>
                </w14:textFill>
              </w:rPr>
              <w:t>根据用水定额每人每天100L，则生活用水量为</w:t>
            </w:r>
            <w:r>
              <w:rPr>
                <w:rFonts w:hint="default" w:ascii="Times New Roman" w:hAnsi="Times New Roman" w:cs="Times New Roman"/>
                <w:color w:val="000000" w:themeColor="text1"/>
                <w:highlight w:val="none"/>
                <w:lang w:val="en-US" w:eastAsia="zh-CN"/>
                <w14:textFill>
                  <w14:solidFill>
                    <w14:schemeClr w14:val="tx1"/>
                  </w14:solidFill>
                </w14:textFill>
              </w:rPr>
              <w:t>0.8</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240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/a）。排水系数按0.8计，则生活污水排放量约为</w:t>
            </w:r>
            <w:r>
              <w:rPr>
                <w:rFonts w:hint="default" w:ascii="Times New Roman" w:hAnsi="Times New Roman" w:cs="Times New Roman"/>
                <w:color w:val="000000" w:themeColor="text1"/>
                <w:highlight w:val="none"/>
                <w:lang w:val="en-US" w:eastAsia="zh-CN"/>
                <w14:textFill>
                  <w14:solidFill>
                    <w14:schemeClr w14:val="tx1"/>
                  </w14:solidFill>
                </w14:textFill>
              </w:rPr>
              <w:t>0.64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192</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p>
          <w:p w14:paraId="111EC926">
            <w:pPr>
              <w:pStyle w:val="18"/>
              <w:bidi w:val="0"/>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.3-1</w:t>
            </w:r>
            <w:r>
              <w:rPr>
                <w:rFonts w:hint="default" w:ascii="Times New Roman" w:hAnsi="Times New Roman" w:cs="Times New Roman"/>
                <w:color w:val="000000" w:themeColor="text1"/>
                <w:highlight w:val="none"/>
                <w14:textFill>
                  <w14:solidFill>
                    <w14:schemeClr w14:val="tx1"/>
                  </w14:solidFill>
                </w14:textFill>
              </w:rPr>
              <w:t xml:space="preserve">  项目废水排放情况一览表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8"/>
              <w:gridCol w:w="540"/>
              <w:gridCol w:w="623"/>
              <w:gridCol w:w="590"/>
              <w:gridCol w:w="677"/>
              <w:gridCol w:w="795"/>
              <w:gridCol w:w="537"/>
              <w:gridCol w:w="537"/>
              <w:gridCol w:w="879"/>
              <w:gridCol w:w="552"/>
              <w:gridCol w:w="822"/>
              <w:gridCol w:w="741"/>
              <w:gridCol w:w="444"/>
            </w:tblGrid>
            <w:tr w14:paraId="6775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06" w:hRule="atLeast"/>
                <w:jc w:val="center"/>
              </w:trPr>
              <w:tc>
                <w:tcPr>
                  <w:tcW w:w="403" w:type="dxa"/>
                  <w:vMerge w:val="restart"/>
                  <w:tcBorders>
                    <w:tl2br w:val="nil"/>
                    <w:tr2bl w:val="nil"/>
                  </w:tcBorders>
                  <w:vAlign w:val="center"/>
                </w:tcPr>
                <w:p w14:paraId="76828B7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废水</w:t>
                  </w:r>
                </w:p>
                <w:p w14:paraId="13E32D5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来源</w:t>
                  </w:r>
                </w:p>
              </w:tc>
              <w:tc>
                <w:tcPr>
                  <w:tcW w:w="437" w:type="dxa"/>
                  <w:vMerge w:val="restart"/>
                  <w:tcBorders>
                    <w:tl2br w:val="nil"/>
                    <w:tr2bl w:val="nil"/>
                  </w:tcBorders>
                  <w:vAlign w:val="center"/>
                </w:tcPr>
                <w:p w14:paraId="1EE45DA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废水量</w:t>
                  </w:r>
                </w:p>
                <w:p w14:paraId="3036C38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p>
              </w:tc>
              <w:tc>
                <w:tcPr>
                  <w:tcW w:w="505" w:type="dxa"/>
                  <w:vMerge w:val="restart"/>
                  <w:tcBorders>
                    <w:tl2br w:val="nil"/>
                    <w:tr2bl w:val="nil"/>
                  </w:tcBorders>
                  <w:vAlign w:val="center"/>
                </w:tcPr>
                <w:p w14:paraId="5878227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污染物名称</w:t>
                  </w:r>
                </w:p>
              </w:tc>
              <w:tc>
                <w:tcPr>
                  <w:tcW w:w="1026" w:type="dxa"/>
                  <w:gridSpan w:val="2"/>
                  <w:tcBorders>
                    <w:tl2br w:val="nil"/>
                    <w:tr2bl w:val="nil"/>
                  </w:tcBorders>
                  <w:vAlign w:val="center"/>
                </w:tcPr>
                <w:p w14:paraId="6CA6E59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污染物产生量</w:t>
                  </w:r>
                </w:p>
              </w:tc>
              <w:tc>
                <w:tcPr>
                  <w:tcW w:w="644" w:type="dxa"/>
                  <w:vMerge w:val="restart"/>
                  <w:tcBorders>
                    <w:tl2br w:val="nil"/>
                    <w:tr2bl w:val="nil"/>
                  </w:tcBorders>
                  <w:vAlign w:val="center"/>
                </w:tcPr>
                <w:p w14:paraId="5418D10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治理</w:t>
                  </w:r>
                </w:p>
                <w:p w14:paraId="6EB8884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工艺</w:t>
                  </w:r>
                </w:p>
              </w:tc>
              <w:tc>
                <w:tcPr>
                  <w:tcW w:w="435" w:type="dxa"/>
                  <w:vMerge w:val="restart"/>
                  <w:tcBorders>
                    <w:tl2br w:val="nil"/>
                    <w:tr2bl w:val="nil"/>
                  </w:tcBorders>
                  <w:vAlign w:val="center"/>
                </w:tcPr>
                <w:p w14:paraId="53250EB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是否为可行技术</w:t>
                  </w:r>
                </w:p>
              </w:tc>
              <w:tc>
                <w:tcPr>
                  <w:tcW w:w="435" w:type="dxa"/>
                  <w:vMerge w:val="restart"/>
                  <w:tcBorders>
                    <w:tl2br w:val="nil"/>
                    <w:tr2bl w:val="nil"/>
                  </w:tcBorders>
                  <w:vAlign w:val="center"/>
                </w:tcPr>
                <w:p w14:paraId="1E69282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去除率（%）</w:t>
                  </w:r>
                </w:p>
              </w:tc>
              <w:tc>
                <w:tcPr>
                  <w:tcW w:w="1159" w:type="dxa"/>
                  <w:gridSpan w:val="2"/>
                  <w:tcBorders>
                    <w:tl2br w:val="nil"/>
                    <w:tr2bl w:val="nil"/>
                  </w:tcBorders>
                  <w:vAlign w:val="center"/>
                </w:tcPr>
                <w:p w14:paraId="482A0EA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污染物排放量</w:t>
                  </w:r>
                </w:p>
              </w:tc>
              <w:tc>
                <w:tcPr>
                  <w:tcW w:w="666" w:type="dxa"/>
                  <w:vMerge w:val="restart"/>
                  <w:tcBorders>
                    <w:tl2br w:val="nil"/>
                    <w:tr2bl w:val="nil"/>
                  </w:tcBorders>
                  <w:vAlign w:val="center"/>
                </w:tcPr>
                <w:p w14:paraId="43241F9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标准浓</w:t>
                  </w:r>
                </w:p>
                <w:p w14:paraId="5C09E71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度限值</w:t>
                  </w:r>
                </w:p>
                <w:p w14:paraId="0ED1461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(mg/L)</w:t>
                  </w:r>
                </w:p>
              </w:tc>
              <w:tc>
                <w:tcPr>
                  <w:tcW w:w="600" w:type="dxa"/>
                  <w:vMerge w:val="restart"/>
                  <w:tcBorders>
                    <w:tl2br w:val="nil"/>
                    <w:tr2bl w:val="nil"/>
                  </w:tcBorders>
                  <w:vAlign w:val="center"/>
                </w:tcPr>
                <w:p w14:paraId="4685732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排放方式与去向</w:t>
                  </w:r>
                </w:p>
              </w:tc>
              <w:tc>
                <w:tcPr>
                  <w:tcW w:w="360" w:type="dxa"/>
                  <w:vMerge w:val="restart"/>
                  <w:tcBorders>
                    <w:tl2br w:val="nil"/>
                    <w:tr2bl w:val="nil"/>
                  </w:tcBorders>
                  <w:vAlign w:val="center"/>
                </w:tcPr>
                <w:p w14:paraId="2ACB599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排放规律</w:t>
                  </w:r>
                </w:p>
              </w:tc>
            </w:tr>
            <w:tr w14:paraId="1BDA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5" w:hRule="atLeast"/>
                <w:jc w:val="center"/>
              </w:trPr>
              <w:tc>
                <w:tcPr>
                  <w:tcW w:w="403" w:type="dxa"/>
                  <w:vMerge w:val="continue"/>
                  <w:tcBorders>
                    <w:tl2br w:val="nil"/>
                    <w:tr2bl w:val="nil"/>
                  </w:tcBorders>
                  <w:vAlign w:val="center"/>
                </w:tcPr>
                <w:p w14:paraId="5E27306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7" w:type="dxa"/>
                  <w:vMerge w:val="continue"/>
                  <w:tcBorders>
                    <w:tl2br w:val="nil"/>
                    <w:tr2bl w:val="nil"/>
                  </w:tcBorders>
                  <w:vAlign w:val="center"/>
                </w:tcPr>
                <w:p w14:paraId="2CDAC44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05" w:type="dxa"/>
                  <w:vMerge w:val="continue"/>
                  <w:tcBorders>
                    <w:tl2br w:val="nil"/>
                    <w:tr2bl w:val="nil"/>
                  </w:tcBorders>
                  <w:vAlign w:val="center"/>
                </w:tcPr>
                <w:p w14:paraId="1E66FFB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78" w:type="dxa"/>
                  <w:tcBorders>
                    <w:tl2br w:val="nil"/>
                    <w:tr2bl w:val="nil"/>
                  </w:tcBorders>
                  <w:vAlign w:val="center"/>
                </w:tcPr>
                <w:p w14:paraId="0D0EDAB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浓度</w:t>
                  </w:r>
                </w:p>
                <w:p w14:paraId="0FABE75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(mg/L)</w:t>
                  </w:r>
                </w:p>
              </w:tc>
              <w:tc>
                <w:tcPr>
                  <w:tcW w:w="548" w:type="dxa"/>
                  <w:tcBorders>
                    <w:tl2br w:val="nil"/>
                    <w:tr2bl w:val="nil"/>
                  </w:tcBorders>
                  <w:vAlign w:val="center"/>
                </w:tcPr>
                <w:p w14:paraId="39A714A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产生量</w:t>
                  </w:r>
                </w:p>
                <w:p w14:paraId="26C963E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(t/a)</w:t>
                  </w:r>
                </w:p>
              </w:tc>
              <w:tc>
                <w:tcPr>
                  <w:tcW w:w="644" w:type="dxa"/>
                  <w:vMerge w:val="continue"/>
                  <w:tcBorders>
                    <w:tl2br w:val="nil"/>
                    <w:tr2bl w:val="nil"/>
                  </w:tcBorders>
                  <w:vAlign w:val="center"/>
                </w:tcPr>
                <w:p w14:paraId="024CF81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vMerge w:val="continue"/>
                  <w:tcBorders>
                    <w:tl2br w:val="nil"/>
                    <w:tr2bl w:val="nil"/>
                  </w:tcBorders>
                  <w:vAlign w:val="center"/>
                </w:tcPr>
                <w:p w14:paraId="7698EE3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vMerge w:val="continue"/>
                  <w:tcBorders>
                    <w:tl2br w:val="nil"/>
                    <w:tr2bl w:val="nil"/>
                  </w:tcBorders>
                  <w:vAlign w:val="center"/>
                </w:tcPr>
                <w:p w14:paraId="7058A53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12" w:type="dxa"/>
                  <w:tcBorders>
                    <w:tl2br w:val="nil"/>
                    <w:tr2bl w:val="nil"/>
                  </w:tcBorders>
                  <w:vAlign w:val="center"/>
                </w:tcPr>
                <w:p w14:paraId="10C811F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浓度</w:t>
                  </w:r>
                </w:p>
                <w:p w14:paraId="2F588FD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(mg/L)</w:t>
                  </w:r>
                </w:p>
              </w:tc>
              <w:tc>
                <w:tcPr>
                  <w:tcW w:w="447" w:type="dxa"/>
                  <w:tcBorders>
                    <w:tl2br w:val="nil"/>
                    <w:tr2bl w:val="nil"/>
                  </w:tcBorders>
                  <w:vAlign w:val="center"/>
                </w:tcPr>
                <w:p w14:paraId="6B1AE62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排放量</w:t>
                  </w:r>
                </w:p>
                <w:p w14:paraId="5E6FC1F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(t/a)</w:t>
                  </w:r>
                </w:p>
              </w:tc>
              <w:tc>
                <w:tcPr>
                  <w:tcW w:w="666" w:type="dxa"/>
                  <w:vMerge w:val="continue"/>
                  <w:tcBorders>
                    <w:tl2br w:val="nil"/>
                    <w:tr2bl w:val="nil"/>
                  </w:tcBorders>
                  <w:vAlign w:val="center"/>
                </w:tcPr>
                <w:p w14:paraId="0A1DEF9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00" w:type="dxa"/>
                  <w:vMerge w:val="continue"/>
                  <w:tcBorders>
                    <w:tl2br w:val="nil"/>
                    <w:tr2bl w:val="nil"/>
                  </w:tcBorders>
                  <w:vAlign w:val="center"/>
                </w:tcPr>
                <w:p w14:paraId="359EB23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60" w:type="dxa"/>
                  <w:vMerge w:val="continue"/>
                  <w:tcBorders>
                    <w:tl2br w:val="nil"/>
                    <w:tr2bl w:val="nil"/>
                  </w:tcBorders>
                  <w:vAlign w:val="center"/>
                </w:tcPr>
                <w:p w14:paraId="35EA5ACB">
                  <w:pPr>
                    <w:pStyle w:val="16"/>
                    <w:bidi w:val="0"/>
                    <w:rPr>
                      <w:rFonts w:hint="default" w:ascii="Times New Roman" w:hAnsi="Times New Roman" w:cs="Times New Roman"/>
                      <w:color w:val="000000" w:themeColor="text1"/>
                      <w:highlight w:val="none"/>
                      <w:lang w:val="en-US"/>
                      <w14:textFill>
                        <w14:solidFill>
                          <w14:schemeClr w14:val="tx1"/>
                        </w14:solidFill>
                      </w14:textFill>
                    </w:rPr>
                  </w:pPr>
                </w:p>
              </w:tc>
            </w:tr>
            <w:tr w14:paraId="3A13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1" w:hRule="atLeast"/>
                <w:jc w:val="center"/>
              </w:trPr>
              <w:tc>
                <w:tcPr>
                  <w:tcW w:w="403" w:type="dxa"/>
                  <w:vMerge w:val="restart"/>
                  <w:tcBorders>
                    <w:tl2br w:val="nil"/>
                    <w:tr2bl w:val="nil"/>
                  </w:tcBorders>
                  <w:vAlign w:val="center"/>
                </w:tcPr>
                <w:p w14:paraId="1221944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生活污水</w:t>
                  </w:r>
                </w:p>
              </w:tc>
              <w:tc>
                <w:tcPr>
                  <w:tcW w:w="437" w:type="dxa"/>
                  <w:vMerge w:val="restart"/>
                  <w:tcBorders>
                    <w:tl2br w:val="nil"/>
                    <w:tr2bl w:val="nil"/>
                  </w:tcBorders>
                  <w:vAlign w:val="center"/>
                </w:tcPr>
                <w:p w14:paraId="5CF1F3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192</w:t>
                  </w:r>
                </w:p>
              </w:tc>
              <w:tc>
                <w:tcPr>
                  <w:tcW w:w="505" w:type="dxa"/>
                  <w:tcBorders>
                    <w:tl2br w:val="nil"/>
                    <w:tr2bl w:val="nil"/>
                  </w:tcBorders>
                  <w:vAlign w:val="center"/>
                </w:tcPr>
                <w:p w14:paraId="5B7064B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COD</w:t>
                  </w:r>
                </w:p>
              </w:tc>
              <w:tc>
                <w:tcPr>
                  <w:tcW w:w="478" w:type="dxa"/>
                  <w:tcBorders>
                    <w:tl2br w:val="nil"/>
                    <w:tr2bl w:val="nil"/>
                  </w:tcBorders>
                  <w:vAlign w:val="center"/>
                </w:tcPr>
                <w:p w14:paraId="6EC3510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400</w:t>
                  </w:r>
                </w:p>
              </w:tc>
              <w:tc>
                <w:tcPr>
                  <w:tcW w:w="548" w:type="dxa"/>
                  <w:tcBorders>
                    <w:tl2br w:val="nil"/>
                    <w:tr2bl w:val="nil"/>
                  </w:tcBorders>
                  <w:vAlign w:val="center"/>
                </w:tcPr>
                <w:p w14:paraId="05C2ED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0.08</w:t>
                  </w:r>
                </w:p>
              </w:tc>
              <w:tc>
                <w:tcPr>
                  <w:tcW w:w="644" w:type="dxa"/>
                  <w:vMerge w:val="restart"/>
                  <w:tcBorders>
                    <w:tl2br w:val="nil"/>
                    <w:tr2bl w:val="nil"/>
                  </w:tcBorders>
                  <w:vAlign w:val="center"/>
                </w:tcPr>
                <w:p w14:paraId="270C7FB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化粪池</w:t>
                  </w:r>
                </w:p>
              </w:tc>
              <w:tc>
                <w:tcPr>
                  <w:tcW w:w="435" w:type="dxa"/>
                  <w:vMerge w:val="restart"/>
                  <w:tcBorders>
                    <w:tl2br w:val="nil"/>
                    <w:tr2bl w:val="nil"/>
                  </w:tcBorders>
                  <w:vAlign w:val="center"/>
                </w:tcPr>
                <w:p w14:paraId="492CFD4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是</w:t>
                  </w:r>
                </w:p>
              </w:tc>
              <w:tc>
                <w:tcPr>
                  <w:tcW w:w="435" w:type="dxa"/>
                  <w:tcBorders>
                    <w:tl2br w:val="nil"/>
                    <w:tr2bl w:val="nil"/>
                  </w:tcBorders>
                  <w:vAlign w:val="center"/>
                </w:tcPr>
                <w:p w14:paraId="2FC890D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10</w:t>
                  </w:r>
                </w:p>
              </w:tc>
              <w:tc>
                <w:tcPr>
                  <w:tcW w:w="712" w:type="dxa"/>
                  <w:tcBorders>
                    <w:tl2br w:val="nil"/>
                    <w:tr2bl w:val="nil"/>
                  </w:tcBorders>
                  <w:vAlign w:val="center"/>
                </w:tcPr>
                <w:p w14:paraId="3C6FBC7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360</w:t>
                  </w:r>
                </w:p>
              </w:tc>
              <w:tc>
                <w:tcPr>
                  <w:tcW w:w="447" w:type="dxa"/>
                  <w:tcBorders>
                    <w:tl2br w:val="nil"/>
                    <w:tr2bl w:val="nil"/>
                  </w:tcBorders>
                  <w:vAlign w:val="center"/>
                </w:tcPr>
                <w:p w14:paraId="06E3451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0.07</w:t>
                  </w:r>
                </w:p>
              </w:tc>
              <w:tc>
                <w:tcPr>
                  <w:tcW w:w="666" w:type="dxa"/>
                  <w:tcBorders>
                    <w:tl2br w:val="nil"/>
                    <w:tr2bl w:val="nil"/>
                  </w:tcBorders>
                  <w:vAlign w:val="center"/>
                </w:tcPr>
                <w:p w14:paraId="6B0479C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500</w:t>
                  </w:r>
                </w:p>
              </w:tc>
              <w:tc>
                <w:tcPr>
                  <w:tcW w:w="600" w:type="dxa"/>
                  <w:vMerge w:val="restart"/>
                  <w:tcBorders>
                    <w:tl2br w:val="nil"/>
                    <w:tr2bl w:val="nil"/>
                  </w:tcBorders>
                  <w:vAlign w:val="center"/>
                </w:tcPr>
                <w:p w14:paraId="5B3E1F40">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定期拉运至巴音布鲁克污水处理厂处理</w:t>
                  </w:r>
                </w:p>
              </w:tc>
              <w:tc>
                <w:tcPr>
                  <w:tcW w:w="360" w:type="dxa"/>
                  <w:vMerge w:val="restart"/>
                  <w:tcBorders>
                    <w:tl2br w:val="nil"/>
                    <w:tr2bl w:val="nil"/>
                  </w:tcBorders>
                  <w:vAlign w:val="center"/>
                </w:tcPr>
                <w:p w14:paraId="2BFC9F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每周拉运一次</w:t>
                  </w:r>
                </w:p>
              </w:tc>
            </w:tr>
            <w:tr w14:paraId="710B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9" w:hRule="atLeast"/>
                <w:jc w:val="center"/>
              </w:trPr>
              <w:tc>
                <w:tcPr>
                  <w:tcW w:w="403" w:type="dxa"/>
                  <w:vMerge w:val="continue"/>
                  <w:tcBorders>
                    <w:tl2br w:val="nil"/>
                    <w:tr2bl w:val="nil"/>
                  </w:tcBorders>
                  <w:vAlign w:val="center"/>
                </w:tcPr>
                <w:p w14:paraId="31D4F3C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7" w:type="dxa"/>
                  <w:vMerge w:val="continue"/>
                  <w:tcBorders>
                    <w:tl2br w:val="nil"/>
                    <w:tr2bl w:val="nil"/>
                  </w:tcBorders>
                  <w:vAlign w:val="center"/>
                </w:tcPr>
                <w:p w14:paraId="555CD13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05" w:type="dxa"/>
                  <w:tcBorders>
                    <w:tl2br w:val="nil"/>
                    <w:tr2bl w:val="nil"/>
                  </w:tcBorders>
                  <w:vAlign w:val="center"/>
                </w:tcPr>
                <w:p w14:paraId="4E89B85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BOD</w:t>
                  </w:r>
                  <w:r>
                    <w:rPr>
                      <w:rFonts w:hint="default" w:ascii="Times New Roman" w:hAnsi="Times New Roman" w:cs="Times New Roman"/>
                      <w:color w:val="000000" w:themeColor="text1"/>
                      <w:highlight w:val="none"/>
                      <w:vertAlign w:val="subscript"/>
                      <w14:textFill>
                        <w14:solidFill>
                          <w14:schemeClr w14:val="tx1"/>
                        </w14:solidFill>
                      </w14:textFill>
                    </w:rPr>
                    <w:t>5</w:t>
                  </w:r>
                </w:p>
              </w:tc>
              <w:tc>
                <w:tcPr>
                  <w:tcW w:w="478" w:type="dxa"/>
                  <w:tcBorders>
                    <w:tl2br w:val="nil"/>
                    <w:tr2bl w:val="nil"/>
                  </w:tcBorders>
                  <w:vAlign w:val="center"/>
                </w:tcPr>
                <w:p w14:paraId="6532B8D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300</w:t>
                  </w:r>
                </w:p>
              </w:tc>
              <w:tc>
                <w:tcPr>
                  <w:tcW w:w="548" w:type="dxa"/>
                  <w:tcBorders>
                    <w:tl2br w:val="nil"/>
                    <w:tr2bl w:val="nil"/>
                  </w:tcBorders>
                  <w:vAlign w:val="center"/>
                </w:tcPr>
                <w:p w14:paraId="3E2A877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0.06</w:t>
                  </w:r>
                </w:p>
              </w:tc>
              <w:tc>
                <w:tcPr>
                  <w:tcW w:w="644" w:type="dxa"/>
                  <w:vMerge w:val="continue"/>
                  <w:tcBorders>
                    <w:tl2br w:val="nil"/>
                    <w:tr2bl w:val="nil"/>
                  </w:tcBorders>
                  <w:vAlign w:val="center"/>
                </w:tcPr>
                <w:p w14:paraId="3F71A6C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vMerge w:val="continue"/>
                  <w:tcBorders>
                    <w:tl2br w:val="nil"/>
                    <w:tr2bl w:val="nil"/>
                  </w:tcBorders>
                  <w:vAlign w:val="center"/>
                </w:tcPr>
                <w:p w14:paraId="546323A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tcBorders>
                    <w:tl2br w:val="nil"/>
                    <w:tr2bl w:val="nil"/>
                  </w:tcBorders>
                  <w:vAlign w:val="center"/>
                </w:tcPr>
                <w:p w14:paraId="499967D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w:t>
                  </w:r>
                </w:p>
              </w:tc>
              <w:tc>
                <w:tcPr>
                  <w:tcW w:w="712" w:type="dxa"/>
                  <w:tcBorders>
                    <w:tl2br w:val="nil"/>
                    <w:tr2bl w:val="nil"/>
                  </w:tcBorders>
                  <w:vAlign w:val="center"/>
                </w:tcPr>
                <w:p w14:paraId="3CA2762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273</w:t>
                  </w:r>
                </w:p>
              </w:tc>
              <w:tc>
                <w:tcPr>
                  <w:tcW w:w="447" w:type="dxa"/>
                  <w:tcBorders>
                    <w:tl2br w:val="nil"/>
                    <w:tr2bl w:val="nil"/>
                  </w:tcBorders>
                  <w:vAlign w:val="center"/>
                </w:tcPr>
                <w:p w14:paraId="78973B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0.05</w:t>
                  </w:r>
                </w:p>
              </w:tc>
              <w:tc>
                <w:tcPr>
                  <w:tcW w:w="666" w:type="dxa"/>
                  <w:tcBorders>
                    <w:tl2br w:val="nil"/>
                    <w:tr2bl w:val="nil"/>
                  </w:tcBorders>
                  <w:vAlign w:val="center"/>
                </w:tcPr>
                <w:p w14:paraId="1D22691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300</w:t>
                  </w:r>
                </w:p>
              </w:tc>
              <w:tc>
                <w:tcPr>
                  <w:tcW w:w="600" w:type="dxa"/>
                  <w:vMerge w:val="continue"/>
                  <w:tcBorders>
                    <w:tl2br w:val="nil"/>
                    <w:tr2bl w:val="nil"/>
                  </w:tcBorders>
                  <w:vAlign w:val="center"/>
                </w:tcPr>
                <w:p w14:paraId="1D42FFB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60" w:type="dxa"/>
                  <w:vMerge w:val="continue"/>
                  <w:tcBorders>
                    <w:tl2br w:val="nil"/>
                    <w:tr2bl w:val="nil"/>
                  </w:tcBorders>
                  <w:vAlign w:val="center"/>
                </w:tcPr>
                <w:p w14:paraId="03F82325">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853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0" w:hRule="atLeast"/>
                <w:jc w:val="center"/>
              </w:trPr>
              <w:tc>
                <w:tcPr>
                  <w:tcW w:w="403" w:type="dxa"/>
                  <w:vMerge w:val="continue"/>
                  <w:tcBorders>
                    <w:tl2br w:val="nil"/>
                    <w:tr2bl w:val="nil"/>
                  </w:tcBorders>
                  <w:vAlign w:val="center"/>
                </w:tcPr>
                <w:p w14:paraId="7533B17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7" w:type="dxa"/>
                  <w:vMerge w:val="continue"/>
                  <w:tcBorders>
                    <w:tl2br w:val="nil"/>
                    <w:tr2bl w:val="nil"/>
                  </w:tcBorders>
                  <w:vAlign w:val="center"/>
                </w:tcPr>
                <w:p w14:paraId="63E1C91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05" w:type="dxa"/>
                  <w:tcBorders>
                    <w:tl2br w:val="nil"/>
                    <w:tr2bl w:val="nil"/>
                  </w:tcBorders>
                  <w:vAlign w:val="center"/>
                </w:tcPr>
                <w:p w14:paraId="2E619DE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氨氮</w:t>
                  </w:r>
                </w:p>
              </w:tc>
              <w:tc>
                <w:tcPr>
                  <w:tcW w:w="478" w:type="dxa"/>
                  <w:tcBorders>
                    <w:tl2br w:val="nil"/>
                    <w:tr2bl w:val="nil"/>
                  </w:tcBorders>
                  <w:vAlign w:val="center"/>
                </w:tcPr>
                <w:p w14:paraId="6D7F146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30</w:t>
                  </w:r>
                </w:p>
              </w:tc>
              <w:tc>
                <w:tcPr>
                  <w:tcW w:w="548" w:type="dxa"/>
                  <w:tcBorders>
                    <w:tl2br w:val="nil"/>
                    <w:tr2bl w:val="nil"/>
                  </w:tcBorders>
                  <w:vAlign w:val="center"/>
                </w:tcPr>
                <w:p w14:paraId="26472AC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0.01</w:t>
                  </w:r>
                </w:p>
              </w:tc>
              <w:tc>
                <w:tcPr>
                  <w:tcW w:w="644" w:type="dxa"/>
                  <w:vMerge w:val="continue"/>
                  <w:tcBorders>
                    <w:tl2br w:val="nil"/>
                    <w:tr2bl w:val="nil"/>
                  </w:tcBorders>
                  <w:vAlign w:val="center"/>
                </w:tcPr>
                <w:p w14:paraId="6095C4B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vMerge w:val="continue"/>
                  <w:tcBorders>
                    <w:tl2br w:val="nil"/>
                    <w:tr2bl w:val="nil"/>
                  </w:tcBorders>
                  <w:vAlign w:val="center"/>
                </w:tcPr>
                <w:p w14:paraId="7A95C9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tcBorders>
                    <w:tl2br w:val="nil"/>
                    <w:tr2bl w:val="nil"/>
                  </w:tcBorders>
                  <w:vAlign w:val="center"/>
                </w:tcPr>
                <w:p w14:paraId="1728B98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p>
              </w:tc>
              <w:tc>
                <w:tcPr>
                  <w:tcW w:w="712" w:type="dxa"/>
                  <w:tcBorders>
                    <w:tl2br w:val="nil"/>
                    <w:tr2bl w:val="nil"/>
                  </w:tcBorders>
                  <w:vAlign w:val="center"/>
                </w:tcPr>
                <w:p w14:paraId="096C4C8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29.1</w:t>
                  </w:r>
                </w:p>
              </w:tc>
              <w:tc>
                <w:tcPr>
                  <w:tcW w:w="447" w:type="dxa"/>
                  <w:tcBorders>
                    <w:tl2br w:val="nil"/>
                    <w:tr2bl w:val="nil"/>
                  </w:tcBorders>
                  <w:vAlign w:val="center"/>
                </w:tcPr>
                <w:p w14:paraId="23ACC5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0.01</w:t>
                  </w:r>
                </w:p>
              </w:tc>
              <w:tc>
                <w:tcPr>
                  <w:tcW w:w="666" w:type="dxa"/>
                  <w:tcBorders>
                    <w:tl2br w:val="nil"/>
                    <w:tr2bl w:val="nil"/>
                  </w:tcBorders>
                  <w:vAlign w:val="center"/>
                </w:tcPr>
                <w:p w14:paraId="778D1BE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600" w:type="dxa"/>
                  <w:vMerge w:val="continue"/>
                  <w:tcBorders>
                    <w:tl2br w:val="nil"/>
                    <w:tr2bl w:val="nil"/>
                  </w:tcBorders>
                  <w:vAlign w:val="center"/>
                </w:tcPr>
                <w:p w14:paraId="674773C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60" w:type="dxa"/>
                  <w:vMerge w:val="continue"/>
                  <w:tcBorders>
                    <w:tl2br w:val="nil"/>
                    <w:tr2bl w:val="nil"/>
                  </w:tcBorders>
                  <w:vAlign w:val="center"/>
                </w:tcPr>
                <w:p w14:paraId="6A7716FF">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81D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403" w:type="dxa"/>
                  <w:vMerge w:val="continue"/>
                  <w:tcBorders>
                    <w:tl2br w:val="nil"/>
                    <w:tr2bl w:val="nil"/>
                  </w:tcBorders>
                  <w:vAlign w:val="center"/>
                </w:tcPr>
                <w:p w14:paraId="1E8681B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7" w:type="dxa"/>
                  <w:vMerge w:val="continue"/>
                  <w:tcBorders>
                    <w:tl2br w:val="nil"/>
                    <w:tr2bl w:val="nil"/>
                  </w:tcBorders>
                  <w:vAlign w:val="center"/>
                </w:tcPr>
                <w:p w14:paraId="720AA13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05" w:type="dxa"/>
                  <w:tcBorders>
                    <w:tl2br w:val="nil"/>
                    <w:tr2bl w:val="nil"/>
                  </w:tcBorders>
                  <w:vAlign w:val="center"/>
                </w:tcPr>
                <w:p w14:paraId="522E0AE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SS</w:t>
                  </w:r>
                </w:p>
              </w:tc>
              <w:tc>
                <w:tcPr>
                  <w:tcW w:w="478" w:type="dxa"/>
                  <w:tcBorders>
                    <w:tl2br w:val="nil"/>
                    <w:tr2bl w:val="nil"/>
                  </w:tcBorders>
                  <w:vAlign w:val="center"/>
                </w:tcPr>
                <w:p w14:paraId="23DA250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250</w:t>
                  </w:r>
                </w:p>
              </w:tc>
              <w:tc>
                <w:tcPr>
                  <w:tcW w:w="548" w:type="dxa"/>
                  <w:tcBorders>
                    <w:tl2br w:val="nil"/>
                    <w:tr2bl w:val="nil"/>
                  </w:tcBorders>
                  <w:vAlign w:val="center"/>
                </w:tcPr>
                <w:p w14:paraId="04F4DC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0.05</w:t>
                  </w:r>
                </w:p>
              </w:tc>
              <w:tc>
                <w:tcPr>
                  <w:tcW w:w="644" w:type="dxa"/>
                  <w:vMerge w:val="continue"/>
                  <w:tcBorders>
                    <w:tl2br w:val="nil"/>
                    <w:tr2bl w:val="nil"/>
                  </w:tcBorders>
                  <w:vAlign w:val="center"/>
                </w:tcPr>
                <w:p w14:paraId="35A228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vMerge w:val="continue"/>
                  <w:tcBorders>
                    <w:tl2br w:val="nil"/>
                    <w:tr2bl w:val="nil"/>
                  </w:tcBorders>
                  <w:vAlign w:val="center"/>
                </w:tcPr>
                <w:p w14:paraId="34D2159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35" w:type="dxa"/>
                  <w:tcBorders>
                    <w:tl2br w:val="nil"/>
                    <w:tr2bl w:val="nil"/>
                  </w:tcBorders>
                  <w:vAlign w:val="center"/>
                </w:tcPr>
                <w:p w14:paraId="3F6F99C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25</w:t>
                  </w:r>
                </w:p>
              </w:tc>
              <w:tc>
                <w:tcPr>
                  <w:tcW w:w="712" w:type="dxa"/>
                  <w:tcBorders>
                    <w:tl2br w:val="nil"/>
                    <w:tr2bl w:val="nil"/>
                  </w:tcBorders>
                  <w:vAlign w:val="center"/>
                </w:tcPr>
                <w:p w14:paraId="3B19107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187.5</w:t>
                  </w:r>
                </w:p>
              </w:tc>
              <w:tc>
                <w:tcPr>
                  <w:tcW w:w="447" w:type="dxa"/>
                  <w:tcBorders>
                    <w:tl2br w:val="nil"/>
                    <w:tr2bl w:val="nil"/>
                  </w:tcBorders>
                  <w:vAlign w:val="center"/>
                </w:tcPr>
                <w:p w14:paraId="54AF697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0.04</w:t>
                  </w:r>
                </w:p>
              </w:tc>
              <w:tc>
                <w:tcPr>
                  <w:tcW w:w="666" w:type="dxa"/>
                  <w:tcBorders>
                    <w:tl2br w:val="nil"/>
                    <w:tr2bl w:val="nil"/>
                  </w:tcBorders>
                  <w:vAlign w:val="center"/>
                </w:tcPr>
                <w:p w14:paraId="1D4C9A0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400</w:t>
                  </w:r>
                </w:p>
              </w:tc>
              <w:tc>
                <w:tcPr>
                  <w:tcW w:w="600" w:type="dxa"/>
                  <w:vMerge w:val="continue"/>
                  <w:tcBorders>
                    <w:tl2br w:val="nil"/>
                    <w:tr2bl w:val="nil"/>
                  </w:tcBorders>
                  <w:vAlign w:val="center"/>
                </w:tcPr>
                <w:p w14:paraId="4222153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60" w:type="dxa"/>
                  <w:vMerge w:val="continue"/>
                  <w:tcBorders>
                    <w:tl2br w:val="nil"/>
                    <w:tr2bl w:val="nil"/>
                  </w:tcBorders>
                  <w:vAlign w:val="center"/>
                </w:tcPr>
                <w:p w14:paraId="037967E3">
                  <w:pPr>
                    <w:pStyle w:val="16"/>
                    <w:bidi w:val="0"/>
                    <w:rPr>
                      <w:rFonts w:hint="default" w:ascii="Times New Roman" w:hAnsi="Times New Roman" w:cs="Times New Roman"/>
                      <w:color w:val="000000" w:themeColor="text1"/>
                      <w:highlight w:val="none"/>
                      <w14:textFill>
                        <w14:solidFill>
                          <w14:schemeClr w14:val="tx1"/>
                        </w14:solidFill>
                      </w14:textFill>
                    </w:rPr>
                  </w:pPr>
                </w:p>
              </w:tc>
            </w:tr>
          </w:tbl>
          <w:p w14:paraId="4D809A7C">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eastAsia="zh-CN"/>
                <w14:textFill>
                  <w14:solidFill>
                    <w14:schemeClr w14:val="tx1"/>
                  </w14:solidFill>
                </w14:textFill>
              </w:rPr>
              <w:t>生活污水</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依托</w:t>
            </w:r>
            <w:r>
              <w:rPr>
                <w:rFonts w:hint="default" w:ascii="Times New Roman" w:hAnsi="Times New Roman" w:eastAsia="宋体" w:cs="Times New Roman"/>
                <w:b/>
                <w:bCs/>
                <w:color w:val="000000" w:themeColor="text1"/>
                <w:highlight w:val="none"/>
                <w14:textFill>
                  <w14:solidFill>
                    <w14:schemeClr w14:val="tx1"/>
                  </w14:solidFill>
                </w14:textFill>
              </w:rPr>
              <w:t>可行性分析：</w:t>
            </w:r>
          </w:p>
          <w:p w14:paraId="21C978B1">
            <w:pPr>
              <w:keepNext w:val="0"/>
              <w:keepLines w:val="0"/>
              <w:pageBreakBefore w:val="0"/>
              <w:widowControl w:val="0"/>
              <w:kinsoku/>
              <w:wordWrap/>
              <w:overflowPunct/>
              <w:topLinePunct w:val="0"/>
              <w:autoSpaceDE/>
              <w:autoSpaceDN/>
              <w:bidi w:val="0"/>
              <w:adjustRightInd w:val="0"/>
              <w:snapToGrid w:val="0"/>
              <w:spacing w:line="500" w:lineRule="exact"/>
              <w:jc w:val="both"/>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巴音布鲁克污水处理厂位于</w:t>
            </w:r>
            <w:r>
              <w:rPr>
                <w:color w:val="000000" w:themeColor="text1"/>
                <w:spacing w:val="-1"/>
                <w14:textFill>
                  <w14:solidFill>
                    <w14:schemeClr w14:val="tx1"/>
                  </w14:solidFill>
                </w14:textFill>
              </w:rPr>
              <w:t>新疆维吾尔自治区巴音郭楞蒙古自治州和静县巴音布鲁克镇</w:t>
            </w:r>
            <w:r>
              <w:rPr>
                <w:rFonts w:hint="eastAsia"/>
                <w:color w:val="000000" w:themeColor="text1"/>
                <w:spacing w:val="-1"/>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中铁隧道局新建伊阿铁路SX标项目部</w:t>
            </w:r>
            <w:r>
              <w:rPr>
                <w:rFonts w:hint="eastAsia" w:cs="Times New Roman"/>
                <w:color w:val="000000" w:themeColor="text1"/>
                <w:highlight w:val="none"/>
                <w:lang w:val="en-US" w:eastAsia="zh-CN"/>
                <w14:textFill>
                  <w14:solidFill>
                    <w14:schemeClr w14:val="tx1"/>
                  </w14:solidFill>
                </w14:textFill>
              </w:rPr>
              <w:t>位于污水处理厂的东北侧，直线距离18km</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巴音布鲁克污水处理设施</w:t>
            </w:r>
            <w:r>
              <w:rPr>
                <w:rFonts w:hint="default" w:ascii="Times New Roman" w:hAnsi="Times New Roman" w:cs="Times New Roman"/>
                <w:color w:val="000000" w:themeColor="text1"/>
                <w:highlight w:val="none"/>
                <w:lang w:val="en-US" w:eastAsia="zh-CN"/>
                <w14:textFill>
                  <w14:solidFill>
                    <w14:schemeClr w14:val="tx1"/>
                  </w14:solidFill>
                </w14:textFill>
              </w:rPr>
              <w:t>采用</w:t>
            </w:r>
            <w:r>
              <w:rPr>
                <w:rFonts w:hint="eastAsia" w:cs="Times New Roman"/>
                <w:color w:val="000000" w:themeColor="text1"/>
                <w:highlight w:val="none"/>
                <w:lang w:val="en-US" w:eastAsia="zh-CN"/>
                <w14:textFill>
                  <w14:solidFill>
                    <w14:schemeClr w14:val="tx1"/>
                  </w14:solidFill>
                </w14:textFill>
              </w:rPr>
              <w:t>“粗格栅+细格栅+调节池+旋流沉砂池+气浮池+膜格栅+生化池+加强MBR膜池+接触消毒池”工艺，</w:t>
            </w:r>
            <w:r>
              <w:rPr>
                <w:rFonts w:hint="default" w:ascii="Times New Roman" w:hAnsi="Times New Roman" w:cs="Times New Roman"/>
                <w:color w:val="000000" w:themeColor="text1"/>
                <w:highlight w:val="none"/>
                <w:lang w:val="en-US" w:eastAsia="zh-CN"/>
                <w14:textFill>
                  <w14:solidFill>
                    <w14:schemeClr w14:val="tx1"/>
                  </w14:solidFill>
                </w14:textFill>
              </w:rPr>
              <w:t>处理后的污水满足《城镇污水处理厂污染物排放标准》(GB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18918-2002)一级A标准。</w:t>
            </w:r>
            <w:r>
              <w:rPr>
                <w:rFonts w:hint="eastAsia" w:ascii="Times New Roman" w:hAnsi="Times New Roman" w:cs="Times New Roman"/>
                <w:color w:val="000000" w:themeColor="text1"/>
                <w:highlight w:val="none"/>
                <w:lang w:val="en-US" w:eastAsia="zh-CN"/>
                <w14:textFill>
                  <w14:solidFill>
                    <w14:schemeClr w14:val="tx1"/>
                  </w14:solidFill>
                </w14:textFill>
              </w:rPr>
              <w:t>巴音布鲁克污水处理厂</w:t>
            </w:r>
            <w:r>
              <w:rPr>
                <w:rFonts w:hint="default" w:ascii="Times New Roman" w:hAnsi="Times New Roman" w:cs="Times New Roman"/>
                <w:color w:val="000000" w:themeColor="text1"/>
                <w:highlight w:val="none"/>
                <w:lang w:val="en-US" w:eastAsia="zh-CN"/>
                <w14:textFill>
                  <w14:solidFill>
                    <w14:schemeClr w14:val="tx1"/>
                  </w14:solidFill>
                </w14:textFill>
              </w:rPr>
              <w:t>设计处理规模为</w:t>
            </w:r>
            <w:r>
              <w:rPr>
                <w:rFonts w:hint="eastAsia" w:cs="Times New Roman"/>
                <w:color w:val="000000" w:themeColor="text1"/>
                <w:highlight w:val="none"/>
                <w:lang w:val="en-US" w:eastAsia="zh-CN"/>
                <w14:textFill>
                  <w14:solidFill>
                    <w14:schemeClr w14:val="tx1"/>
                  </w14:solidFill>
                </w14:textFill>
              </w:rPr>
              <w:t>5600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，实际运行规模38.5m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，剩余处理能力5561.5m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，污水处理厂实际运行规模受旅游业影响较大，每年8-10月游客量增大，污水处理量增大，按游客量增大10倍算，剩余处理能力依然有5000m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本项目污水产生量</w:t>
            </w:r>
            <w:r>
              <w:rPr>
                <w:rFonts w:hint="default" w:ascii="Times New Roman" w:hAnsi="Times New Roman" w:cs="Times New Roman"/>
                <w:color w:val="000000" w:themeColor="text1"/>
                <w:highlight w:val="none"/>
                <w:lang w:val="en-US" w:eastAsia="zh-CN"/>
                <w14:textFill>
                  <w14:solidFill>
                    <w14:schemeClr w14:val="tx1"/>
                  </w14:solidFill>
                </w14:textFill>
              </w:rPr>
              <w:t>0.64</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eastAsia"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完全能够满足本项目需求。</w:t>
            </w:r>
          </w:p>
          <w:p w14:paraId="2A45C605">
            <w:pPr>
              <w:pStyle w:val="2"/>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202</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5</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年</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6</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月</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27</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日取得了《关于和静城镇市政基础设施建设项目(巴音布鲁克镇污水处理厂改扩建工程)环境影响报告表的批复》（</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巴环评价函</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〔202</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5</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126</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号）</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。目前收集到巴音布鲁克污水处理厂2026年6月28日至2026年8月16日污水在线监测数据均达标</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。项目所产生的污水经处理后可达标排放，对当地水环境质量影响较小。</w:t>
            </w:r>
          </w:p>
          <w:p w14:paraId="3C2D4DA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巴音布鲁克污水处理设施工艺流程图如下：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5"/>
            </w:tblGrid>
            <w:tr w14:paraId="1223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5" w:type="dxa"/>
                </w:tcPr>
                <w:p w14:paraId="12D8EA63">
                  <w:pPr>
                    <w:pStyle w:val="8"/>
                    <w:spacing w:after="0" w:line="240" w:lineRule="auto"/>
                    <w:ind w:firstLine="0" w:firstLineChars="0"/>
                    <w:rPr>
                      <w:rFonts w:hint="default"/>
                      <w:color w:val="000000" w:themeColor="text1"/>
                      <w:vertAlign w:val="baseline"/>
                      <w:lang w:val="en-US" w:eastAsia="zh-CN"/>
                      <w14:textFill>
                        <w14:solidFill>
                          <w14:schemeClr w14:val="tx1"/>
                        </w14:solidFill>
                      </w14:textFill>
                    </w:rPr>
                  </w:pPr>
                  <w:r>
                    <w:rPr>
                      <w:rFonts w:hint="default"/>
                      <w:color w:val="000000" w:themeColor="text1"/>
                      <w:vertAlign w:val="baseline"/>
                      <w:lang w:val="en-US" w:eastAsia="zh-CN"/>
                      <w14:textFill>
                        <w14:solidFill>
                          <w14:schemeClr w14:val="tx1"/>
                        </w14:solidFill>
                      </w14:textFill>
                    </w:rPr>
                    <w:object>
                      <v:shape id="_x0000_i1029" o:spt="75" type="#_x0000_t75" style="height:102.8pt;width:401.35pt;" o:ole="t" filled="f" o:preferrelative="t" stroked="f" coordsize="21600,21600">
                        <v:path/>
                        <v:fill on="f" focussize="0,0"/>
                        <v:stroke on="f"/>
                        <v:imagedata r:id="rId30" o:title=""/>
                        <o:lock v:ext="edit" aspectratio="f"/>
                        <w10:wrap type="none"/>
                        <w10:anchorlock/>
                      </v:shape>
                      <o:OLEObject Type="Embed" ProgID="Visio.Drawing.15" ShapeID="_x0000_i1029" DrawAspect="Content" ObjectID="_1468075729" r:id="rId29">
                        <o:LockedField>false</o:LockedField>
                      </o:OLEObject>
                    </w:object>
                  </w:r>
                </w:p>
                <w:p w14:paraId="5A5AC4FE">
                  <w:pPr>
                    <w:pStyle w:val="18"/>
                    <w:bidi w:val="0"/>
                    <w:rPr>
                      <w:rFonts w:hint="default"/>
                      <w:color w:val="000000" w:themeColor="text1"/>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图4.3-1  污水处理设施工艺流程图</w:t>
                  </w:r>
                </w:p>
              </w:tc>
            </w:tr>
          </w:tbl>
          <w:p w14:paraId="3A361404">
            <w:pPr>
              <w:pStyle w:val="8"/>
              <w:rPr>
                <w:rFonts w:hint="default"/>
                <w:color w:val="000000" w:themeColor="text1"/>
                <w:lang w:val="en-US" w:eastAsia="zh-CN"/>
                <w14:textFill>
                  <w14:solidFill>
                    <w14:schemeClr w14:val="tx1"/>
                  </w14:solidFill>
                </w14:textFill>
              </w:rPr>
            </w:pPr>
          </w:p>
        </w:tc>
      </w:tr>
      <w:tr w14:paraId="19E5DB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7" w:hRule="atLeast"/>
          <w:jc w:val="center"/>
        </w:trPr>
        <w:tc>
          <w:tcPr>
            <w:tcW w:w="461" w:type="dxa"/>
            <w:tcMar>
              <w:left w:w="28" w:type="dxa"/>
              <w:right w:w="28" w:type="dxa"/>
            </w:tcMar>
            <w:vAlign w:val="center"/>
          </w:tcPr>
          <w:p w14:paraId="70D7FEF9">
            <w:pPr>
              <w:jc w:val="center"/>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bCs/>
                <w:color w:val="000000" w:themeColor="text1"/>
                <w:highlight w:val="none"/>
                <w14:textFill>
                  <w14:solidFill>
                    <w14:schemeClr w14:val="tx1"/>
                  </w14:solidFill>
                </w14:textFill>
              </w:rPr>
              <w:t>营</w:t>
            </w:r>
            <w:r>
              <w:rPr>
                <w:rFonts w:hint="default" w:ascii="Times New Roman" w:hAnsi="Times New Roman" w:cs="Times New Roman"/>
                <w:bCs/>
                <w:color w:val="000000" w:themeColor="text1"/>
                <w:highlight w:val="none"/>
                <w:lang w:val="en-US" w:eastAsia="zh-CN"/>
                <w14:textFill>
                  <w14:solidFill>
                    <w14:schemeClr w14:val="tx1"/>
                  </w14:solidFill>
                </w14:textFill>
              </w:rPr>
              <w:t>运营</w:t>
            </w:r>
            <w:r>
              <w:rPr>
                <w:rFonts w:hint="default" w:ascii="Times New Roman" w:hAnsi="Times New Roman" w:cs="Times New Roman"/>
                <w:bCs/>
                <w:color w:val="000000" w:themeColor="text1"/>
                <w:highlight w:val="none"/>
                <w14:textFill>
                  <w14:solidFill>
                    <w14:schemeClr w14:val="tx1"/>
                  </w14:solidFill>
                </w14:textFill>
              </w:rPr>
              <w:t>期环</w:t>
            </w:r>
            <w:r>
              <w:rPr>
                <w:rFonts w:hint="default" w:ascii="Times New Roman" w:hAnsi="Times New Roman" w:cs="Times New Roman"/>
                <w:bCs/>
                <w:color w:val="000000" w:themeColor="text1"/>
                <w:highlight w:val="none"/>
                <w:lang w:val="en-US" w:eastAsia="zh-CN"/>
                <w14:textFill>
                  <w14:solidFill>
                    <w14:schemeClr w14:val="tx1"/>
                  </w14:solidFill>
                </w14:textFill>
              </w:rPr>
              <w:t>境影响</w:t>
            </w:r>
            <w:r>
              <w:rPr>
                <w:rFonts w:hint="default" w:ascii="Times New Roman" w:hAnsi="Times New Roman" w:cs="Times New Roman"/>
                <w:bCs/>
                <w:color w:val="000000" w:themeColor="text1"/>
                <w:highlight w:val="none"/>
                <w14:textFill>
                  <w14:solidFill>
                    <w14:schemeClr w14:val="tx1"/>
                  </w14:solidFill>
                </w14:textFill>
              </w:rPr>
              <w:t>和</w:t>
            </w:r>
            <w:r>
              <w:rPr>
                <w:rFonts w:hint="default" w:ascii="Times New Roman" w:hAnsi="Times New Roman" w:cs="Times New Roman"/>
                <w:bCs/>
                <w:color w:val="000000" w:themeColor="text1"/>
                <w:highlight w:val="none"/>
                <w:lang w:eastAsia="zh-CN"/>
                <w14:textFill>
                  <w14:solidFill>
                    <w14:schemeClr w14:val="tx1"/>
                  </w14:solidFill>
                </w14:textFill>
              </w:rPr>
              <w:t>保</w:t>
            </w:r>
            <w:r>
              <w:rPr>
                <w:rFonts w:hint="default" w:ascii="Times New Roman" w:hAnsi="Times New Roman" w:cs="Times New Roman"/>
                <w:bCs/>
                <w:color w:val="000000" w:themeColor="text1"/>
                <w:highlight w:val="none"/>
                <w14:textFill>
                  <w14:solidFill>
                    <w14:schemeClr w14:val="tx1"/>
                  </w14:solidFill>
                </w14:textFill>
              </w:rPr>
              <w:t>护</w:t>
            </w:r>
            <w:r>
              <w:rPr>
                <w:rFonts w:hint="default" w:ascii="Times New Roman" w:hAnsi="Times New Roman" w:cs="Times New Roman"/>
                <w:bCs/>
                <w:color w:val="000000" w:themeColor="text1"/>
                <w:highlight w:val="none"/>
                <w:lang w:eastAsia="zh-CN"/>
                <w14:textFill>
                  <w14:solidFill>
                    <w14:schemeClr w14:val="tx1"/>
                  </w14:solidFill>
                </w14:textFill>
              </w:rPr>
              <w:t>措施</w:t>
            </w:r>
          </w:p>
        </w:tc>
        <w:tc>
          <w:tcPr>
            <w:tcW w:w="8461" w:type="dxa"/>
          </w:tcPr>
          <w:p w14:paraId="51E6E96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4.4声环境影响及保护措施</w:t>
            </w:r>
          </w:p>
          <w:p w14:paraId="6C8EEA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（1）噪声源强及降噪措施</w:t>
            </w:r>
          </w:p>
          <w:p w14:paraId="7A06FA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本项目营运期噪声主要来源于</w:t>
            </w:r>
            <w:r>
              <w:rPr>
                <w:rFonts w:hint="default" w:ascii="Times New Roman" w:hAnsi="Times New Roman" w:cs="Times New Roman"/>
                <w:color w:val="000000" w:themeColor="text1"/>
                <w:highlight w:val="none"/>
                <w:lang w:val="en-US" w:eastAsia="zh-CN"/>
                <w14:textFill>
                  <w14:solidFill>
                    <w14:schemeClr w14:val="tx1"/>
                  </w14:solidFill>
                </w14:textFill>
              </w:rPr>
              <w:t>运输车辆</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破碎机</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装载机</w:t>
            </w:r>
            <w:r>
              <w:rPr>
                <w:rFonts w:hint="default" w:ascii="Times New Roman" w:hAnsi="Times New Roman" w:eastAsia="宋体" w:cs="Times New Roman"/>
                <w:color w:val="000000" w:themeColor="text1"/>
                <w:highlight w:val="none"/>
                <w:lang w:val="en-US" w:eastAsia="zh-CN"/>
                <w14:textFill>
                  <w14:solidFill>
                    <w14:schemeClr w14:val="tx1"/>
                  </w14:solidFill>
                </w14:textFill>
              </w:rPr>
              <w:t>、皮带输送机</w:t>
            </w:r>
            <w:r>
              <w:rPr>
                <w:rFonts w:hint="default" w:ascii="Times New Roman" w:hAnsi="Times New Roman" w:eastAsia="宋体" w:cs="Times New Roman"/>
                <w:color w:val="000000" w:themeColor="text1"/>
                <w:highlight w:val="none"/>
                <w14:textFill>
                  <w14:solidFill>
                    <w14:schemeClr w14:val="tx1"/>
                  </w14:solidFill>
                </w14:textFill>
              </w:rPr>
              <w:t>等机械设备，其噪声值在</w:t>
            </w:r>
            <w:r>
              <w:rPr>
                <w:rFonts w:hint="default" w:ascii="Times New Roman" w:hAnsi="Times New Roman" w:eastAsia="宋体" w:cs="Times New Roman"/>
                <w:color w:val="000000" w:themeColor="text1"/>
                <w:highlight w:val="none"/>
                <w:lang w:val="en-US" w:eastAsia="zh-CN"/>
                <w14:textFill>
                  <w14:solidFill>
                    <w14:schemeClr w14:val="tx1"/>
                  </w14:solidFill>
                </w14:textFill>
              </w:rPr>
              <w:t>75</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85</w:t>
            </w:r>
            <w:r>
              <w:rPr>
                <w:rFonts w:hint="default" w:ascii="Times New Roman" w:hAnsi="Times New Roman" w:eastAsia="宋体" w:cs="Times New Roman"/>
                <w:color w:val="000000" w:themeColor="text1"/>
                <w:highlight w:val="none"/>
                <w14:textFill>
                  <w14:solidFill>
                    <w14:schemeClr w14:val="tx1"/>
                  </w14:solidFill>
                </w14:textFill>
              </w:rPr>
              <w:t>dB之间。</w:t>
            </w:r>
          </w:p>
          <w:p w14:paraId="7F733D37">
            <w:pPr>
              <w:pStyle w:val="18"/>
              <w:bidi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  移动设备</w:t>
            </w:r>
            <w:r>
              <w:rPr>
                <w:rFonts w:hint="default" w:ascii="Times New Roman" w:hAnsi="Times New Roman" w:cs="Times New Roman"/>
                <w:color w:val="000000" w:themeColor="text1"/>
                <w:highlight w:val="none"/>
                <w14:textFill>
                  <w14:solidFill>
                    <w14:schemeClr w14:val="tx1"/>
                  </w14:solidFill>
                </w14:textFill>
              </w:rPr>
              <w:t>噪声源强一览表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463"/>
              <w:gridCol w:w="820"/>
              <w:gridCol w:w="1304"/>
              <w:gridCol w:w="877"/>
              <w:gridCol w:w="1147"/>
              <w:gridCol w:w="2112"/>
            </w:tblGrid>
            <w:tr w14:paraId="2148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1" w:type="pct"/>
                  <w:vMerge w:val="restart"/>
                  <w:tcBorders>
                    <w:tl2br w:val="nil"/>
                    <w:tr2bl w:val="nil"/>
                  </w:tcBorders>
                  <w:noWrap w:val="0"/>
                  <w:vAlign w:val="center"/>
                </w:tcPr>
                <w:p w14:paraId="5D99EB8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序号</w:t>
                  </w:r>
                </w:p>
              </w:tc>
              <w:tc>
                <w:tcPr>
                  <w:tcW w:w="887" w:type="pct"/>
                  <w:vMerge w:val="restart"/>
                  <w:tcBorders>
                    <w:tl2br w:val="nil"/>
                    <w:tr2bl w:val="nil"/>
                  </w:tcBorders>
                  <w:noWrap w:val="0"/>
                  <w:vAlign w:val="center"/>
                </w:tcPr>
                <w:p w14:paraId="5D43A8F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声源名称</w:t>
                  </w:r>
                </w:p>
              </w:tc>
              <w:tc>
                <w:tcPr>
                  <w:tcW w:w="497" w:type="pct"/>
                  <w:vMerge w:val="restart"/>
                  <w:tcBorders>
                    <w:tl2br w:val="nil"/>
                    <w:tr2bl w:val="nil"/>
                  </w:tcBorders>
                  <w:noWrap w:val="0"/>
                  <w:vAlign w:val="center"/>
                </w:tcPr>
                <w:p w14:paraId="3D3FEA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数量</w:t>
                  </w:r>
                </w:p>
              </w:tc>
              <w:tc>
                <w:tcPr>
                  <w:tcW w:w="791" w:type="pct"/>
                  <w:vMerge w:val="restart"/>
                  <w:tcBorders>
                    <w:tl2br w:val="nil"/>
                    <w:tr2bl w:val="nil"/>
                  </w:tcBorders>
                  <w:noWrap w:val="0"/>
                  <w:vAlign w:val="center"/>
                </w:tcPr>
                <w:p w14:paraId="0F8564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型号</w:t>
                  </w:r>
                </w:p>
              </w:tc>
              <w:tc>
                <w:tcPr>
                  <w:tcW w:w="532" w:type="pct"/>
                  <w:vMerge w:val="restart"/>
                  <w:tcBorders>
                    <w:tl2br w:val="nil"/>
                    <w:tr2bl w:val="nil"/>
                  </w:tcBorders>
                  <w:noWrap w:val="0"/>
                  <w:vAlign w:val="center"/>
                </w:tcPr>
                <w:p w14:paraId="12AA4C5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声源源强</w:t>
                  </w:r>
                  <w:r>
                    <w:rPr>
                      <w:rFonts w:hint="default" w:ascii="Times New Roman" w:hAnsi="Times New Roman" w:cs="Times New Roman"/>
                      <w:color w:val="000000" w:themeColor="text1"/>
                      <w:highlight w:val="none"/>
                      <w14:textFill>
                        <w14:solidFill>
                          <w14:schemeClr w14:val="tx1"/>
                        </w14:solidFill>
                      </w14:textFill>
                    </w:rPr>
                    <w:t>dB</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697" w:type="pct"/>
                  <w:vMerge w:val="restart"/>
                  <w:tcBorders>
                    <w:tl2br w:val="nil"/>
                    <w:tr2bl w:val="nil"/>
                  </w:tcBorders>
                  <w:noWrap w:val="0"/>
                  <w:vAlign w:val="center"/>
                </w:tcPr>
                <w:p w14:paraId="4F51876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声源控制措施</w:t>
                  </w:r>
                </w:p>
              </w:tc>
              <w:tc>
                <w:tcPr>
                  <w:tcW w:w="1282" w:type="pct"/>
                  <w:vMerge w:val="restart"/>
                  <w:tcBorders>
                    <w:tl2br w:val="nil"/>
                    <w:tr2bl w:val="nil"/>
                  </w:tcBorders>
                  <w:noWrap w:val="0"/>
                  <w:vAlign w:val="center"/>
                </w:tcPr>
                <w:p w14:paraId="5004121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运行时段</w:t>
                  </w:r>
                </w:p>
              </w:tc>
            </w:tr>
            <w:tr w14:paraId="6806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1" w:type="pct"/>
                  <w:vMerge w:val="continue"/>
                  <w:tcBorders>
                    <w:tl2br w:val="nil"/>
                    <w:tr2bl w:val="nil"/>
                  </w:tcBorders>
                  <w:noWrap w:val="0"/>
                  <w:vAlign w:val="center"/>
                </w:tcPr>
                <w:p w14:paraId="05D1285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887" w:type="pct"/>
                  <w:vMerge w:val="continue"/>
                  <w:tcBorders>
                    <w:tl2br w:val="nil"/>
                    <w:tr2bl w:val="nil"/>
                  </w:tcBorders>
                  <w:noWrap w:val="0"/>
                  <w:vAlign w:val="center"/>
                </w:tcPr>
                <w:p w14:paraId="0B6651D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97" w:type="pct"/>
                  <w:vMerge w:val="continue"/>
                  <w:tcBorders>
                    <w:tl2br w:val="nil"/>
                    <w:tr2bl w:val="nil"/>
                  </w:tcBorders>
                  <w:noWrap w:val="0"/>
                  <w:vAlign w:val="center"/>
                </w:tcPr>
                <w:p w14:paraId="163C6E4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91" w:type="pct"/>
                  <w:vMerge w:val="continue"/>
                  <w:tcBorders>
                    <w:tl2br w:val="nil"/>
                    <w:tr2bl w:val="nil"/>
                  </w:tcBorders>
                  <w:noWrap w:val="0"/>
                  <w:vAlign w:val="center"/>
                </w:tcPr>
                <w:p w14:paraId="1B5BD78D">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p>
              </w:tc>
              <w:tc>
                <w:tcPr>
                  <w:tcW w:w="532" w:type="pct"/>
                  <w:vMerge w:val="continue"/>
                  <w:tcBorders>
                    <w:tl2br w:val="nil"/>
                    <w:tr2bl w:val="nil"/>
                  </w:tcBorders>
                  <w:noWrap w:val="0"/>
                  <w:vAlign w:val="center"/>
                </w:tcPr>
                <w:p w14:paraId="23F272D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97" w:type="pct"/>
                  <w:vMerge w:val="continue"/>
                  <w:tcBorders>
                    <w:tl2br w:val="nil"/>
                    <w:tr2bl w:val="nil"/>
                  </w:tcBorders>
                  <w:noWrap w:val="0"/>
                  <w:vAlign w:val="center"/>
                </w:tcPr>
                <w:p w14:paraId="5178BA9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82" w:type="pct"/>
                  <w:vMerge w:val="continue"/>
                  <w:tcBorders>
                    <w:tl2br w:val="nil"/>
                    <w:tr2bl w:val="nil"/>
                  </w:tcBorders>
                  <w:noWrap w:val="0"/>
                  <w:vAlign w:val="center"/>
                </w:tcPr>
                <w:p w14:paraId="39A889FF">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5CC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tcBorders>
                    <w:tl2br w:val="nil"/>
                    <w:tr2bl w:val="nil"/>
                  </w:tcBorders>
                  <w:noWrap w:val="0"/>
                  <w:vAlign w:val="center"/>
                </w:tcPr>
                <w:p w14:paraId="0E6963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887" w:type="pct"/>
                  <w:tcBorders>
                    <w:tl2br w:val="nil"/>
                    <w:tr2bl w:val="nil"/>
                  </w:tcBorders>
                  <w:noWrap w:val="0"/>
                  <w:vAlign w:val="center"/>
                </w:tcPr>
                <w:p w14:paraId="110CAFE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自卸汽车</w:t>
                  </w:r>
                </w:p>
              </w:tc>
              <w:tc>
                <w:tcPr>
                  <w:tcW w:w="497" w:type="pct"/>
                  <w:tcBorders>
                    <w:tl2br w:val="nil"/>
                    <w:tr2bl w:val="nil"/>
                  </w:tcBorders>
                  <w:noWrap w:val="0"/>
                  <w:vAlign w:val="center"/>
                </w:tcPr>
                <w:p w14:paraId="0F91E5E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791" w:type="pct"/>
                  <w:tcBorders>
                    <w:tl2br w:val="nil"/>
                    <w:tr2bl w:val="nil"/>
                  </w:tcBorders>
                  <w:noWrap w:val="0"/>
                  <w:vAlign w:val="center"/>
                </w:tcPr>
                <w:p w14:paraId="1E443F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德龙F3000</w:t>
                  </w:r>
                </w:p>
              </w:tc>
              <w:tc>
                <w:tcPr>
                  <w:tcW w:w="532" w:type="pct"/>
                  <w:tcBorders>
                    <w:tl2br w:val="nil"/>
                    <w:tr2bl w:val="nil"/>
                  </w:tcBorders>
                  <w:noWrap w:val="0"/>
                  <w:vAlign w:val="center"/>
                </w:tcPr>
                <w:p w14:paraId="43F8CCB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697" w:type="pct"/>
                  <w:vMerge w:val="restart"/>
                  <w:tcBorders>
                    <w:tl2br w:val="nil"/>
                    <w:tr2bl w:val="nil"/>
                  </w:tcBorders>
                  <w:noWrap w:val="0"/>
                  <w:vAlign w:val="center"/>
                </w:tcPr>
                <w:p w14:paraId="34A8DB0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控制车速、按时保养设备</w:t>
                  </w:r>
                </w:p>
              </w:tc>
              <w:tc>
                <w:tcPr>
                  <w:tcW w:w="1282" w:type="pct"/>
                  <w:vMerge w:val="restart"/>
                  <w:tcBorders>
                    <w:tl2br w:val="nil"/>
                    <w:tr2bl w:val="nil"/>
                  </w:tcBorders>
                  <w:noWrap w:val="0"/>
                  <w:vAlign w:val="center"/>
                </w:tcPr>
                <w:p w14:paraId="4C5EF5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10:00-14:00</w:t>
                  </w:r>
                </w:p>
                <w:p w14:paraId="4EBAC4B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16:00-20:00</w:t>
                  </w:r>
                </w:p>
              </w:tc>
            </w:tr>
            <w:tr w14:paraId="6154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311" w:type="pct"/>
                  <w:tcBorders>
                    <w:tl2br w:val="nil"/>
                    <w:tr2bl w:val="nil"/>
                  </w:tcBorders>
                  <w:noWrap w:val="0"/>
                  <w:vAlign w:val="center"/>
                </w:tcPr>
                <w:p w14:paraId="5CFF786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887" w:type="pct"/>
                  <w:tcBorders>
                    <w:tl2br w:val="nil"/>
                    <w:tr2bl w:val="nil"/>
                  </w:tcBorders>
                  <w:noWrap w:val="0"/>
                  <w:vAlign w:val="center"/>
                </w:tcPr>
                <w:p w14:paraId="22A6CD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轮式装载机</w:t>
                  </w:r>
                </w:p>
              </w:tc>
              <w:tc>
                <w:tcPr>
                  <w:tcW w:w="497" w:type="pct"/>
                  <w:tcBorders>
                    <w:tl2br w:val="nil"/>
                    <w:tr2bl w:val="nil"/>
                  </w:tcBorders>
                  <w:noWrap w:val="0"/>
                  <w:vAlign w:val="center"/>
                </w:tcPr>
                <w:p w14:paraId="181194F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791" w:type="pct"/>
                  <w:tcBorders>
                    <w:tl2br w:val="nil"/>
                    <w:tr2bl w:val="nil"/>
                  </w:tcBorders>
                  <w:noWrap w:val="0"/>
                  <w:vAlign w:val="center"/>
                </w:tcPr>
                <w:p w14:paraId="596576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ZL-50</w:t>
                  </w:r>
                </w:p>
              </w:tc>
              <w:tc>
                <w:tcPr>
                  <w:tcW w:w="532" w:type="pct"/>
                  <w:tcBorders>
                    <w:tl2br w:val="nil"/>
                    <w:tr2bl w:val="nil"/>
                  </w:tcBorders>
                  <w:noWrap w:val="0"/>
                  <w:vAlign w:val="center"/>
                </w:tcPr>
                <w:p w14:paraId="015C30B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85</w:t>
                  </w:r>
                </w:p>
              </w:tc>
              <w:tc>
                <w:tcPr>
                  <w:tcW w:w="697" w:type="pct"/>
                  <w:vMerge w:val="continue"/>
                  <w:tcBorders>
                    <w:tl2br w:val="nil"/>
                    <w:tr2bl w:val="nil"/>
                  </w:tcBorders>
                  <w:noWrap w:val="0"/>
                  <w:vAlign w:val="center"/>
                </w:tcPr>
                <w:p w14:paraId="2FFEA80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282" w:type="pct"/>
                  <w:vMerge w:val="continue"/>
                  <w:tcBorders>
                    <w:tl2br w:val="nil"/>
                    <w:tr2bl w:val="nil"/>
                  </w:tcBorders>
                  <w:noWrap w:val="0"/>
                  <w:vAlign w:val="center"/>
                </w:tcPr>
                <w:p w14:paraId="60612A8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bl>
          <w:p w14:paraId="5CC1C89D">
            <w:pPr>
              <w:pStyle w:val="18"/>
              <w:bidi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2  室外主要</w:t>
            </w:r>
            <w:r>
              <w:rPr>
                <w:rFonts w:hint="default" w:ascii="Times New Roman" w:hAnsi="Times New Roman" w:cs="Times New Roman"/>
                <w:color w:val="000000" w:themeColor="text1"/>
                <w:highlight w:val="none"/>
                <w14:textFill>
                  <w14:solidFill>
                    <w14:schemeClr w14:val="tx1"/>
                  </w14:solidFill>
                </w14:textFill>
              </w:rPr>
              <w:t>噪声</w:t>
            </w:r>
            <w:r>
              <w:rPr>
                <w:rFonts w:hint="default" w:ascii="Times New Roman" w:hAnsi="Times New Roman" w:cs="Times New Roman"/>
                <w:color w:val="000000" w:themeColor="text1"/>
                <w:highlight w:val="none"/>
                <w:lang w:val="en-US" w:eastAsia="zh-CN"/>
                <w14:textFill>
                  <w14:solidFill>
                    <w14:schemeClr w14:val="tx1"/>
                  </w14:solidFill>
                </w14:textFill>
              </w:rPr>
              <w:t>设备</w:t>
            </w:r>
            <w:r>
              <w:rPr>
                <w:rFonts w:hint="default" w:ascii="Times New Roman" w:hAnsi="Times New Roman" w:cs="Times New Roman"/>
                <w:color w:val="000000" w:themeColor="text1"/>
                <w:highlight w:val="none"/>
                <w14:textFill>
                  <w14:solidFill>
                    <w14:schemeClr w14:val="tx1"/>
                  </w14:solidFill>
                </w14:textFill>
              </w:rPr>
              <w:t>源强一览表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1052"/>
              <w:gridCol w:w="589"/>
              <w:gridCol w:w="938"/>
              <w:gridCol w:w="855"/>
              <w:gridCol w:w="882"/>
              <w:gridCol w:w="575"/>
              <w:gridCol w:w="630"/>
              <w:gridCol w:w="827"/>
              <w:gridCol w:w="1518"/>
            </w:tblGrid>
            <w:tr w14:paraId="1558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24" w:type="pct"/>
                  <w:vMerge w:val="restart"/>
                  <w:tcBorders>
                    <w:tl2br w:val="nil"/>
                    <w:tr2bl w:val="nil"/>
                  </w:tcBorders>
                  <w:noWrap w:val="0"/>
                  <w:vAlign w:val="center"/>
                </w:tcPr>
                <w:p w14:paraId="09D06A3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序号</w:t>
                  </w:r>
                </w:p>
              </w:tc>
              <w:tc>
                <w:tcPr>
                  <w:tcW w:w="638" w:type="pct"/>
                  <w:vMerge w:val="restart"/>
                  <w:tcBorders>
                    <w:tl2br w:val="nil"/>
                    <w:tr2bl w:val="nil"/>
                  </w:tcBorders>
                  <w:noWrap w:val="0"/>
                  <w:vAlign w:val="center"/>
                </w:tcPr>
                <w:p w14:paraId="0530037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声源名称</w:t>
                  </w:r>
                </w:p>
              </w:tc>
              <w:tc>
                <w:tcPr>
                  <w:tcW w:w="357" w:type="pct"/>
                  <w:vMerge w:val="restart"/>
                  <w:tcBorders>
                    <w:tl2br w:val="nil"/>
                    <w:tr2bl w:val="nil"/>
                  </w:tcBorders>
                  <w:noWrap w:val="0"/>
                  <w:vAlign w:val="center"/>
                </w:tcPr>
                <w:p w14:paraId="266AE0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数量</w:t>
                  </w:r>
                </w:p>
              </w:tc>
              <w:tc>
                <w:tcPr>
                  <w:tcW w:w="569" w:type="pct"/>
                  <w:vMerge w:val="restart"/>
                  <w:tcBorders>
                    <w:tl2br w:val="nil"/>
                    <w:tr2bl w:val="nil"/>
                  </w:tcBorders>
                  <w:noWrap w:val="0"/>
                  <w:vAlign w:val="center"/>
                </w:tcPr>
                <w:p w14:paraId="5D2ABBF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型号</w:t>
                  </w:r>
                </w:p>
              </w:tc>
              <w:tc>
                <w:tcPr>
                  <w:tcW w:w="1403" w:type="pct"/>
                  <w:gridSpan w:val="3"/>
                  <w:tcBorders>
                    <w:tl2br w:val="nil"/>
                    <w:tr2bl w:val="nil"/>
                  </w:tcBorders>
                  <w:noWrap w:val="0"/>
                  <w:vAlign w:val="center"/>
                </w:tcPr>
                <w:p w14:paraId="46FA443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空间相对位置/m</w:t>
                  </w:r>
                </w:p>
              </w:tc>
              <w:tc>
                <w:tcPr>
                  <w:tcW w:w="382" w:type="pct"/>
                  <w:vMerge w:val="restart"/>
                  <w:tcBorders>
                    <w:tl2br w:val="nil"/>
                    <w:tr2bl w:val="nil"/>
                  </w:tcBorders>
                  <w:noWrap w:val="0"/>
                  <w:vAlign w:val="center"/>
                </w:tcPr>
                <w:p w14:paraId="7638A0A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声源源强</w:t>
                  </w:r>
                  <w:r>
                    <w:rPr>
                      <w:rFonts w:hint="default" w:ascii="Times New Roman" w:hAnsi="Times New Roman" w:cs="Times New Roman"/>
                      <w:color w:val="000000" w:themeColor="text1"/>
                      <w:highlight w:val="none"/>
                      <w14:textFill>
                        <w14:solidFill>
                          <w14:schemeClr w14:val="tx1"/>
                        </w14:solidFill>
                      </w14:textFill>
                    </w:rPr>
                    <w:t>dB</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501" w:type="pct"/>
                  <w:vMerge w:val="restart"/>
                  <w:tcBorders>
                    <w:tl2br w:val="nil"/>
                    <w:tr2bl w:val="nil"/>
                  </w:tcBorders>
                  <w:noWrap w:val="0"/>
                  <w:vAlign w:val="center"/>
                </w:tcPr>
                <w:p w14:paraId="41EBED6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声源控制措施</w:t>
                  </w:r>
                </w:p>
              </w:tc>
              <w:tc>
                <w:tcPr>
                  <w:tcW w:w="921" w:type="pct"/>
                  <w:vMerge w:val="restart"/>
                  <w:tcBorders>
                    <w:tl2br w:val="nil"/>
                    <w:tr2bl w:val="nil"/>
                  </w:tcBorders>
                  <w:noWrap w:val="0"/>
                  <w:vAlign w:val="center"/>
                </w:tcPr>
                <w:p w14:paraId="39C6A62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运行时段</w:t>
                  </w:r>
                </w:p>
              </w:tc>
            </w:tr>
            <w:tr w14:paraId="210C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24" w:type="pct"/>
                  <w:vMerge w:val="continue"/>
                  <w:tcBorders>
                    <w:tl2br w:val="nil"/>
                    <w:tr2bl w:val="nil"/>
                  </w:tcBorders>
                  <w:noWrap w:val="0"/>
                  <w:vAlign w:val="center"/>
                </w:tcPr>
                <w:p w14:paraId="54E7E18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38" w:type="pct"/>
                  <w:vMerge w:val="continue"/>
                  <w:tcBorders>
                    <w:tl2br w:val="nil"/>
                    <w:tr2bl w:val="nil"/>
                  </w:tcBorders>
                  <w:noWrap w:val="0"/>
                  <w:vAlign w:val="center"/>
                </w:tcPr>
                <w:p w14:paraId="5DBA5B2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57" w:type="pct"/>
                  <w:vMerge w:val="continue"/>
                  <w:tcBorders>
                    <w:tl2br w:val="nil"/>
                    <w:tr2bl w:val="nil"/>
                  </w:tcBorders>
                  <w:noWrap w:val="0"/>
                  <w:vAlign w:val="center"/>
                </w:tcPr>
                <w:p w14:paraId="47DAD07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9" w:type="pct"/>
                  <w:vMerge w:val="continue"/>
                  <w:tcBorders>
                    <w:tl2br w:val="nil"/>
                    <w:tr2bl w:val="nil"/>
                  </w:tcBorders>
                  <w:noWrap w:val="0"/>
                  <w:vAlign w:val="center"/>
                </w:tcPr>
                <w:p w14:paraId="6696C72F">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p>
              </w:tc>
              <w:tc>
                <w:tcPr>
                  <w:tcW w:w="519" w:type="pct"/>
                  <w:tcBorders>
                    <w:tl2br w:val="nil"/>
                    <w:tr2bl w:val="nil"/>
                  </w:tcBorders>
                  <w:noWrap w:val="0"/>
                  <w:vAlign w:val="center"/>
                </w:tcPr>
                <w:p w14:paraId="6FA7571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X</w:t>
                  </w:r>
                </w:p>
              </w:tc>
              <w:tc>
                <w:tcPr>
                  <w:tcW w:w="535" w:type="pct"/>
                  <w:tcBorders>
                    <w:tl2br w:val="nil"/>
                    <w:tr2bl w:val="nil"/>
                  </w:tcBorders>
                  <w:noWrap w:val="0"/>
                  <w:vAlign w:val="center"/>
                </w:tcPr>
                <w:p w14:paraId="1818027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Y</w:t>
                  </w:r>
                </w:p>
              </w:tc>
              <w:tc>
                <w:tcPr>
                  <w:tcW w:w="348" w:type="pct"/>
                  <w:tcBorders>
                    <w:tl2br w:val="nil"/>
                    <w:tr2bl w:val="nil"/>
                  </w:tcBorders>
                  <w:noWrap w:val="0"/>
                  <w:vAlign w:val="center"/>
                </w:tcPr>
                <w:p w14:paraId="6AAA127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Z</w:t>
                  </w:r>
                </w:p>
              </w:tc>
              <w:tc>
                <w:tcPr>
                  <w:tcW w:w="382" w:type="pct"/>
                  <w:vMerge w:val="continue"/>
                  <w:tcBorders>
                    <w:tl2br w:val="nil"/>
                    <w:tr2bl w:val="nil"/>
                  </w:tcBorders>
                  <w:noWrap w:val="0"/>
                  <w:vAlign w:val="center"/>
                </w:tcPr>
                <w:p w14:paraId="3A6FA9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01" w:type="pct"/>
                  <w:vMerge w:val="continue"/>
                  <w:tcBorders>
                    <w:tl2br w:val="nil"/>
                    <w:tr2bl w:val="nil"/>
                  </w:tcBorders>
                  <w:noWrap w:val="0"/>
                  <w:vAlign w:val="center"/>
                </w:tcPr>
                <w:p w14:paraId="163C60D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21" w:type="pct"/>
                  <w:vMerge w:val="continue"/>
                  <w:tcBorders>
                    <w:tl2br w:val="nil"/>
                    <w:tr2bl w:val="nil"/>
                  </w:tcBorders>
                  <w:noWrap w:val="0"/>
                  <w:vAlign w:val="center"/>
                </w:tcPr>
                <w:p w14:paraId="7FE254D0">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CF7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18206EC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638" w:type="pct"/>
                  <w:tcBorders>
                    <w:tl2br w:val="nil"/>
                    <w:tr2bl w:val="nil"/>
                  </w:tcBorders>
                  <w:noWrap w:val="0"/>
                  <w:vAlign w:val="center"/>
                </w:tcPr>
                <w:p w14:paraId="6525B6C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全自动雾炮机1#</w:t>
                  </w:r>
                </w:p>
              </w:tc>
              <w:tc>
                <w:tcPr>
                  <w:tcW w:w="357" w:type="pct"/>
                  <w:vMerge w:val="restart"/>
                  <w:tcBorders>
                    <w:tl2br w:val="nil"/>
                    <w:tr2bl w:val="nil"/>
                  </w:tcBorders>
                  <w:noWrap w:val="0"/>
                  <w:vAlign w:val="center"/>
                </w:tcPr>
                <w:p w14:paraId="68EC64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569" w:type="pct"/>
                  <w:vMerge w:val="restart"/>
                  <w:tcBorders>
                    <w:tl2br w:val="nil"/>
                    <w:tr2bl w:val="nil"/>
                  </w:tcBorders>
                  <w:noWrap w:val="0"/>
                  <w:vAlign w:val="center"/>
                </w:tcPr>
                <w:p w14:paraId="49CC484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30m射程</w:t>
                  </w:r>
                </w:p>
              </w:tc>
              <w:tc>
                <w:tcPr>
                  <w:tcW w:w="519" w:type="pct"/>
                  <w:tcBorders>
                    <w:tl2br w:val="nil"/>
                    <w:tr2bl w:val="nil"/>
                  </w:tcBorders>
                  <w:noWrap w:val="0"/>
                  <w:vAlign w:val="center"/>
                </w:tcPr>
                <w:p w14:paraId="212DC90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6.39</w:t>
                  </w:r>
                </w:p>
              </w:tc>
              <w:tc>
                <w:tcPr>
                  <w:tcW w:w="535" w:type="pct"/>
                  <w:tcBorders>
                    <w:tl2br w:val="nil"/>
                    <w:tr2bl w:val="nil"/>
                  </w:tcBorders>
                  <w:noWrap w:val="0"/>
                  <w:vAlign w:val="center"/>
                </w:tcPr>
                <w:p w14:paraId="1ABD18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17.92</w:t>
                  </w:r>
                </w:p>
              </w:tc>
              <w:tc>
                <w:tcPr>
                  <w:tcW w:w="348" w:type="pct"/>
                  <w:tcBorders>
                    <w:tl2br w:val="nil"/>
                    <w:tr2bl w:val="nil"/>
                  </w:tcBorders>
                  <w:noWrap w:val="0"/>
                  <w:vAlign w:val="center"/>
                </w:tcPr>
                <w:p w14:paraId="202D0C7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2080FBF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restart"/>
                  <w:tcBorders>
                    <w:tl2br w:val="nil"/>
                    <w:tr2bl w:val="nil"/>
                  </w:tcBorders>
                  <w:noWrap w:val="0"/>
                  <w:vAlign w:val="center"/>
                </w:tcPr>
                <w:p w14:paraId="5EB02A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基础减震、按时保养设备</w:t>
                  </w:r>
                </w:p>
              </w:tc>
              <w:tc>
                <w:tcPr>
                  <w:tcW w:w="921" w:type="pct"/>
                  <w:vMerge w:val="restart"/>
                  <w:tcBorders>
                    <w:tl2br w:val="nil"/>
                    <w:tr2bl w:val="nil"/>
                  </w:tcBorders>
                  <w:noWrap w:val="0"/>
                  <w:vAlign w:val="center"/>
                </w:tcPr>
                <w:p w14:paraId="01AB00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10:00-14:00</w:t>
                  </w:r>
                </w:p>
                <w:p w14:paraId="4710BB4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16:00-20:00</w:t>
                  </w:r>
                </w:p>
              </w:tc>
            </w:tr>
            <w:tr w14:paraId="43B4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5E53DEB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38" w:type="pct"/>
                  <w:tcBorders>
                    <w:tl2br w:val="nil"/>
                    <w:tr2bl w:val="nil"/>
                  </w:tcBorders>
                  <w:noWrap w:val="0"/>
                  <w:vAlign w:val="center"/>
                </w:tcPr>
                <w:p w14:paraId="01FAA4F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全自动雾炮机2#</w:t>
                  </w:r>
                </w:p>
              </w:tc>
              <w:tc>
                <w:tcPr>
                  <w:tcW w:w="357" w:type="pct"/>
                  <w:vMerge w:val="continue"/>
                  <w:tcBorders>
                    <w:tl2br w:val="nil"/>
                    <w:tr2bl w:val="nil"/>
                  </w:tcBorders>
                  <w:noWrap w:val="0"/>
                  <w:vAlign w:val="center"/>
                </w:tcPr>
                <w:p w14:paraId="30A868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69" w:type="pct"/>
                  <w:vMerge w:val="continue"/>
                  <w:tcBorders>
                    <w:tl2br w:val="nil"/>
                    <w:tr2bl w:val="nil"/>
                  </w:tcBorders>
                  <w:noWrap w:val="0"/>
                  <w:vAlign w:val="center"/>
                </w:tcPr>
                <w:p w14:paraId="4AEDE8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19" w:type="pct"/>
                  <w:tcBorders>
                    <w:tl2br w:val="nil"/>
                    <w:tr2bl w:val="nil"/>
                  </w:tcBorders>
                  <w:noWrap w:val="0"/>
                  <w:vAlign w:val="center"/>
                </w:tcPr>
                <w:p w14:paraId="43B4BFF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100.69</w:t>
                  </w:r>
                </w:p>
              </w:tc>
              <w:tc>
                <w:tcPr>
                  <w:tcW w:w="535" w:type="pct"/>
                  <w:tcBorders>
                    <w:tl2br w:val="nil"/>
                    <w:tr2bl w:val="nil"/>
                  </w:tcBorders>
                  <w:noWrap w:val="0"/>
                  <w:vAlign w:val="center"/>
                </w:tcPr>
                <w:p w14:paraId="4418CC4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49.17</w:t>
                  </w:r>
                </w:p>
              </w:tc>
              <w:tc>
                <w:tcPr>
                  <w:tcW w:w="348" w:type="pct"/>
                  <w:tcBorders>
                    <w:tl2br w:val="nil"/>
                    <w:tr2bl w:val="nil"/>
                  </w:tcBorders>
                  <w:noWrap w:val="0"/>
                  <w:vAlign w:val="center"/>
                </w:tcPr>
                <w:p w14:paraId="401EC9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188A4C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continue"/>
                  <w:tcBorders>
                    <w:tl2br w:val="nil"/>
                    <w:tr2bl w:val="nil"/>
                  </w:tcBorders>
                  <w:noWrap w:val="0"/>
                  <w:vAlign w:val="center"/>
                </w:tcPr>
                <w:p w14:paraId="13C0C85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21" w:type="pct"/>
                  <w:vMerge w:val="continue"/>
                  <w:tcBorders>
                    <w:tl2br w:val="nil"/>
                    <w:tr2bl w:val="nil"/>
                  </w:tcBorders>
                  <w:noWrap w:val="0"/>
                  <w:vAlign w:val="center"/>
                </w:tcPr>
                <w:p w14:paraId="0D38D1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3C5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094502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638" w:type="pct"/>
                  <w:tcBorders>
                    <w:tl2br w:val="nil"/>
                    <w:tr2bl w:val="nil"/>
                  </w:tcBorders>
                  <w:noWrap w:val="0"/>
                  <w:vAlign w:val="center"/>
                </w:tcPr>
                <w:p w14:paraId="34A9257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全自动雾炮机3#</w:t>
                  </w:r>
                </w:p>
              </w:tc>
              <w:tc>
                <w:tcPr>
                  <w:tcW w:w="357" w:type="pct"/>
                  <w:vMerge w:val="continue"/>
                  <w:tcBorders>
                    <w:tl2br w:val="nil"/>
                    <w:tr2bl w:val="nil"/>
                  </w:tcBorders>
                  <w:noWrap w:val="0"/>
                  <w:vAlign w:val="center"/>
                </w:tcPr>
                <w:p w14:paraId="0852C1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69" w:type="pct"/>
                  <w:vMerge w:val="continue"/>
                  <w:tcBorders>
                    <w:tl2br w:val="nil"/>
                    <w:tr2bl w:val="nil"/>
                  </w:tcBorders>
                  <w:noWrap w:val="0"/>
                  <w:vAlign w:val="center"/>
                </w:tcPr>
                <w:p w14:paraId="2C62A89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19" w:type="pct"/>
                  <w:tcBorders>
                    <w:tl2br w:val="nil"/>
                    <w:tr2bl w:val="nil"/>
                  </w:tcBorders>
                  <w:noWrap w:val="0"/>
                  <w:vAlign w:val="center"/>
                </w:tcPr>
                <w:p w14:paraId="7371E9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163.21</w:t>
                  </w:r>
                </w:p>
              </w:tc>
              <w:tc>
                <w:tcPr>
                  <w:tcW w:w="535" w:type="pct"/>
                  <w:tcBorders>
                    <w:tl2br w:val="nil"/>
                    <w:tr2bl w:val="nil"/>
                  </w:tcBorders>
                  <w:noWrap w:val="0"/>
                  <w:vAlign w:val="center"/>
                </w:tcPr>
                <w:p w14:paraId="2471DA3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96.32</w:t>
                  </w:r>
                </w:p>
              </w:tc>
              <w:tc>
                <w:tcPr>
                  <w:tcW w:w="348" w:type="pct"/>
                  <w:tcBorders>
                    <w:tl2br w:val="nil"/>
                    <w:tr2bl w:val="nil"/>
                  </w:tcBorders>
                  <w:noWrap w:val="0"/>
                  <w:vAlign w:val="center"/>
                </w:tcPr>
                <w:p w14:paraId="785164B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00CB53E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continue"/>
                  <w:tcBorders>
                    <w:tl2br w:val="nil"/>
                    <w:tr2bl w:val="nil"/>
                  </w:tcBorders>
                  <w:noWrap w:val="0"/>
                  <w:vAlign w:val="center"/>
                </w:tcPr>
                <w:p w14:paraId="18CF59E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21" w:type="pct"/>
                  <w:vMerge w:val="continue"/>
                  <w:tcBorders>
                    <w:tl2br w:val="nil"/>
                    <w:tr2bl w:val="nil"/>
                  </w:tcBorders>
                  <w:noWrap w:val="0"/>
                  <w:vAlign w:val="center"/>
                </w:tcPr>
                <w:p w14:paraId="534EF80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39A7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4773875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638" w:type="pct"/>
                  <w:tcBorders>
                    <w:tl2br w:val="nil"/>
                    <w:tr2bl w:val="nil"/>
                  </w:tcBorders>
                  <w:noWrap w:val="0"/>
                  <w:vAlign w:val="center"/>
                </w:tcPr>
                <w:p w14:paraId="66ACD14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全自动雾炮机4#</w:t>
                  </w:r>
                </w:p>
              </w:tc>
              <w:tc>
                <w:tcPr>
                  <w:tcW w:w="357" w:type="pct"/>
                  <w:vMerge w:val="continue"/>
                  <w:tcBorders>
                    <w:tl2br w:val="nil"/>
                    <w:tr2bl w:val="nil"/>
                  </w:tcBorders>
                  <w:noWrap w:val="0"/>
                  <w:vAlign w:val="center"/>
                </w:tcPr>
                <w:p w14:paraId="71740EE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69" w:type="pct"/>
                  <w:vMerge w:val="continue"/>
                  <w:tcBorders>
                    <w:tl2br w:val="nil"/>
                    <w:tr2bl w:val="nil"/>
                  </w:tcBorders>
                  <w:noWrap w:val="0"/>
                  <w:vAlign w:val="center"/>
                </w:tcPr>
                <w:p w14:paraId="7BA7D48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19" w:type="pct"/>
                  <w:tcBorders>
                    <w:tl2br w:val="nil"/>
                    <w:tr2bl w:val="nil"/>
                  </w:tcBorders>
                  <w:noWrap w:val="0"/>
                  <w:vAlign w:val="center"/>
                </w:tcPr>
                <w:p w14:paraId="1F4206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137.78</w:t>
                  </w:r>
                </w:p>
              </w:tc>
              <w:tc>
                <w:tcPr>
                  <w:tcW w:w="535" w:type="pct"/>
                  <w:tcBorders>
                    <w:tl2br w:val="nil"/>
                    <w:tr2bl w:val="nil"/>
                  </w:tcBorders>
                  <w:noWrap w:val="0"/>
                  <w:vAlign w:val="center"/>
                </w:tcPr>
                <w:p w14:paraId="24D6537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159.37</w:t>
                  </w:r>
                </w:p>
              </w:tc>
              <w:tc>
                <w:tcPr>
                  <w:tcW w:w="348" w:type="pct"/>
                  <w:tcBorders>
                    <w:tl2br w:val="nil"/>
                    <w:tr2bl w:val="nil"/>
                  </w:tcBorders>
                  <w:noWrap w:val="0"/>
                  <w:vAlign w:val="center"/>
                </w:tcPr>
                <w:p w14:paraId="0256CE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1BE55D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continue"/>
                  <w:tcBorders>
                    <w:tl2br w:val="nil"/>
                    <w:tr2bl w:val="nil"/>
                  </w:tcBorders>
                  <w:noWrap w:val="0"/>
                  <w:vAlign w:val="center"/>
                </w:tcPr>
                <w:p w14:paraId="39DD03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21" w:type="pct"/>
                  <w:vMerge w:val="continue"/>
                  <w:tcBorders>
                    <w:tl2br w:val="nil"/>
                    <w:tr2bl w:val="nil"/>
                  </w:tcBorders>
                  <w:noWrap w:val="0"/>
                  <w:vAlign w:val="center"/>
                </w:tcPr>
                <w:p w14:paraId="37CB21C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5B4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5426402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638" w:type="pct"/>
                  <w:tcBorders>
                    <w:tl2br w:val="nil"/>
                    <w:tr2bl w:val="nil"/>
                  </w:tcBorders>
                  <w:noWrap w:val="0"/>
                  <w:vAlign w:val="center"/>
                </w:tcPr>
                <w:p w14:paraId="3831EBF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全自动雾炮机5#</w:t>
                  </w:r>
                </w:p>
              </w:tc>
              <w:tc>
                <w:tcPr>
                  <w:tcW w:w="357" w:type="pct"/>
                  <w:vMerge w:val="continue"/>
                  <w:tcBorders>
                    <w:tl2br w:val="nil"/>
                    <w:tr2bl w:val="nil"/>
                  </w:tcBorders>
                  <w:noWrap w:val="0"/>
                  <w:vAlign w:val="center"/>
                </w:tcPr>
                <w:p w14:paraId="0573282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69" w:type="pct"/>
                  <w:vMerge w:val="continue"/>
                  <w:tcBorders>
                    <w:tl2br w:val="nil"/>
                    <w:tr2bl w:val="nil"/>
                  </w:tcBorders>
                  <w:noWrap w:val="0"/>
                  <w:vAlign w:val="center"/>
                </w:tcPr>
                <w:p w14:paraId="324A764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19" w:type="pct"/>
                  <w:tcBorders>
                    <w:tl2br w:val="nil"/>
                    <w:tr2bl w:val="nil"/>
                  </w:tcBorders>
                  <w:noWrap w:val="0"/>
                  <w:vAlign w:val="center"/>
                </w:tcPr>
                <w:p w14:paraId="36AF41F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40.3</w:t>
                  </w:r>
                </w:p>
              </w:tc>
              <w:tc>
                <w:tcPr>
                  <w:tcW w:w="535" w:type="pct"/>
                  <w:tcBorders>
                    <w:tl2br w:val="nil"/>
                    <w:tr2bl w:val="nil"/>
                  </w:tcBorders>
                  <w:noWrap w:val="0"/>
                  <w:vAlign w:val="center"/>
                </w:tcPr>
                <w:p w14:paraId="0049FE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169.96</w:t>
                  </w:r>
                </w:p>
              </w:tc>
              <w:tc>
                <w:tcPr>
                  <w:tcW w:w="348" w:type="pct"/>
                  <w:tcBorders>
                    <w:tl2br w:val="nil"/>
                    <w:tr2bl w:val="nil"/>
                  </w:tcBorders>
                  <w:noWrap w:val="0"/>
                  <w:vAlign w:val="center"/>
                </w:tcPr>
                <w:p w14:paraId="793C345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337E65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continue"/>
                  <w:tcBorders>
                    <w:tl2br w:val="nil"/>
                    <w:tr2bl w:val="nil"/>
                  </w:tcBorders>
                  <w:noWrap w:val="0"/>
                  <w:vAlign w:val="center"/>
                </w:tcPr>
                <w:p w14:paraId="504611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21" w:type="pct"/>
                  <w:vMerge w:val="continue"/>
                  <w:tcBorders>
                    <w:tl2br w:val="nil"/>
                    <w:tr2bl w:val="nil"/>
                  </w:tcBorders>
                  <w:noWrap w:val="0"/>
                  <w:vAlign w:val="center"/>
                </w:tcPr>
                <w:p w14:paraId="5B5B3CA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2198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0B93C09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638" w:type="pct"/>
                  <w:tcBorders>
                    <w:tl2br w:val="nil"/>
                    <w:tr2bl w:val="nil"/>
                  </w:tcBorders>
                  <w:noWrap w:val="0"/>
                  <w:vAlign w:val="center"/>
                </w:tcPr>
                <w:p w14:paraId="308ED2F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全自动6#雾炮机</w:t>
                  </w:r>
                </w:p>
              </w:tc>
              <w:tc>
                <w:tcPr>
                  <w:tcW w:w="357" w:type="pct"/>
                  <w:vMerge w:val="continue"/>
                  <w:tcBorders>
                    <w:tl2br w:val="nil"/>
                    <w:tr2bl w:val="nil"/>
                  </w:tcBorders>
                  <w:noWrap w:val="0"/>
                  <w:vAlign w:val="center"/>
                </w:tcPr>
                <w:p w14:paraId="4DFFF80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69" w:type="pct"/>
                  <w:vMerge w:val="continue"/>
                  <w:tcBorders>
                    <w:tl2br w:val="nil"/>
                    <w:tr2bl w:val="nil"/>
                  </w:tcBorders>
                  <w:noWrap w:val="0"/>
                  <w:vAlign w:val="center"/>
                </w:tcPr>
                <w:p w14:paraId="2805854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519" w:type="pct"/>
                  <w:tcBorders>
                    <w:tl2br w:val="nil"/>
                    <w:tr2bl w:val="nil"/>
                  </w:tcBorders>
                  <w:noWrap w:val="0"/>
                  <w:vAlign w:val="center"/>
                </w:tcPr>
                <w:p w14:paraId="61281C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-26.45</w:t>
                  </w:r>
                </w:p>
              </w:tc>
              <w:tc>
                <w:tcPr>
                  <w:tcW w:w="535" w:type="pct"/>
                  <w:tcBorders>
                    <w:tl2br w:val="nil"/>
                    <w:tr2bl w:val="nil"/>
                  </w:tcBorders>
                  <w:noWrap w:val="0"/>
                  <w:vAlign w:val="center"/>
                </w:tcPr>
                <w:p w14:paraId="3F36EC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92.09</w:t>
                  </w:r>
                </w:p>
              </w:tc>
              <w:tc>
                <w:tcPr>
                  <w:tcW w:w="348" w:type="pct"/>
                  <w:tcBorders>
                    <w:tl2br w:val="nil"/>
                    <w:tr2bl w:val="nil"/>
                  </w:tcBorders>
                  <w:noWrap w:val="0"/>
                  <w:vAlign w:val="center"/>
                </w:tcPr>
                <w:p w14:paraId="493E24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25DDA5A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continue"/>
                  <w:tcBorders>
                    <w:tl2br w:val="nil"/>
                    <w:tr2bl w:val="nil"/>
                  </w:tcBorders>
                  <w:noWrap w:val="0"/>
                  <w:vAlign w:val="center"/>
                </w:tcPr>
                <w:p w14:paraId="79E932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21" w:type="pct"/>
                  <w:vMerge w:val="continue"/>
                  <w:tcBorders>
                    <w:tl2br w:val="nil"/>
                    <w:tr2bl w:val="nil"/>
                  </w:tcBorders>
                  <w:noWrap w:val="0"/>
                  <w:vAlign w:val="center"/>
                </w:tcPr>
                <w:p w14:paraId="76D3C9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07A9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4" w:type="pct"/>
                  <w:tcBorders>
                    <w:tl2br w:val="nil"/>
                    <w:tr2bl w:val="nil"/>
                  </w:tcBorders>
                  <w:noWrap w:val="0"/>
                  <w:vAlign w:val="center"/>
                </w:tcPr>
                <w:p w14:paraId="7BC66EB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638" w:type="pct"/>
                  <w:tcBorders>
                    <w:tl2br w:val="nil"/>
                    <w:tr2bl w:val="nil"/>
                  </w:tcBorders>
                  <w:noWrap w:val="0"/>
                  <w:vAlign w:val="center"/>
                </w:tcPr>
                <w:p w14:paraId="02C9955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发电机</w:t>
                  </w:r>
                </w:p>
              </w:tc>
              <w:tc>
                <w:tcPr>
                  <w:tcW w:w="357" w:type="pct"/>
                  <w:tcBorders>
                    <w:tl2br w:val="nil"/>
                    <w:tr2bl w:val="nil"/>
                  </w:tcBorders>
                  <w:noWrap w:val="0"/>
                  <w:vAlign w:val="center"/>
                </w:tcPr>
                <w:p w14:paraId="6495BB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69" w:type="pct"/>
                  <w:tcBorders>
                    <w:tl2br w:val="nil"/>
                    <w:tr2bl w:val="nil"/>
                  </w:tcBorders>
                  <w:noWrap w:val="0"/>
                  <w:vAlign w:val="center"/>
                </w:tcPr>
                <w:p w14:paraId="2D8392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19" w:type="pct"/>
                  <w:tcBorders>
                    <w:tl2br w:val="nil"/>
                    <w:tr2bl w:val="nil"/>
                  </w:tcBorders>
                  <w:noWrap w:val="0"/>
                  <w:vAlign w:val="center"/>
                </w:tcPr>
                <w:p w14:paraId="472D8A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-71.48</w:t>
                  </w:r>
                </w:p>
              </w:tc>
              <w:tc>
                <w:tcPr>
                  <w:tcW w:w="535" w:type="pct"/>
                  <w:tcBorders>
                    <w:tl2br w:val="nil"/>
                    <w:tr2bl w:val="nil"/>
                  </w:tcBorders>
                  <w:noWrap w:val="0"/>
                  <w:vAlign w:val="center"/>
                </w:tcPr>
                <w:p w14:paraId="2C12290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273.27</w:t>
                  </w:r>
                </w:p>
              </w:tc>
              <w:tc>
                <w:tcPr>
                  <w:tcW w:w="348" w:type="pct"/>
                  <w:tcBorders>
                    <w:tl2br w:val="nil"/>
                    <w:tr2bl w:val="nil"/>
                  </w:tcBorders>
                  <w:noWrap w:val="0"/>
                  <w:vAlign w:val="center"/>
                </w:tcPr>
                <w:p w14:paraId="3E4782B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382" w:type="pct"/>
                  <w:tcBorders>
                    <w:tl2br w:val="nil"/>
                    <w:tr2bl w:val="nil"/>
                  </w:tcBorders>
                  <w:noWrap w:val="0"/>
                  <w:vAlign w:val="center"/>
                </w:tcPr>
                <w:p w14:paraId="37EDE0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501" w:type="pct"/>
                  <w:vMerge w:val="continue"/>
                  <w:tcBorders>
                    <w:tl2br w:val="nil"/>
                    <w:tr2bl w:val="nil"/>
                  </w:tcBorders>
                  <w:noWrap w:val="0"/>
                  <w:vAlign w:val="center"/>
                </w:tcPr>
                <w:p w14:paraId="70104A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21" w:type="pct"/>
                  <w:vMerge w:val="continue"/>
                  <w:tcBorders>
                    <w:tl2br w:val="nil"/>
                    <w:tr2bl w:val="nil"/>
                  </w:tcBorders>
                  <w:noWrap w:val="0"/>
                  <w:vAlign w:val="center"/>
                </w:tcPr>
                <w:p w14:paraId="2608404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bl>
          <w:p w14:paraId="25F8B7AA">
            <w:pPr>
              <w:ind w:firstLine="480" w:firstLineChars="200"/>
              <w:rPr>
                <w:rFonts w:hint="default" w:ascii="Times New Roman" w:hAnsi="Times New Roman" w:cs="Times New Roman"/>
                <w:color w:val="000000" w:themeColor="text1"/>
                <w:highlight w:val="none"/>
                <w14:textFill>
                  <w14:solidFill>
                    <w14:schemeClr w14:val="tx1"/>
                  </w14:solidFill>
                </w14:textFill>
              </w:rPr>
            </w:pPr>
          </w:p>
        </w:tc>
      </w:tr>
    </w:tbl>
    <w:p w14:paraId="635DE6A7">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sectPr>
          <w:footerReference r:id="rId10"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tbl>
      <w:tblPr>
        <w:tblStyle w:val="12"/>
        <w:tblpPr w:leftFromText="180" w:rightFromText="180" w:vertAnchor="text" w:horzAnchor="page" w:tblpX="2507" w:tblpY="321"/>
        <w:tblOverlap w:val="never"/>
        <w:tblW w:w="12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1994"/>
      </w:tblGrid>
      <w:tr w14:paraId="0883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3" w:hRule="atLeast"/>
        </w:trPr>
        <w:tc>
          <w:tcPr>
            <w:tcW w:w="531" w:type="dxa"/>
          </w:tcPr>
          <w:p w14:paraId="23D8C6A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1994" w:type="dxa"/>
          </w:tcPr>
          <w:p w14:paraId="4ED0430F">
            <w:pPr>
              <w:pStyle w:val="16"/>
              <w:bidi w:val="0"/>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表4</w:t>
            </w:r>
            <w:r>
              <w:rPr>
                <w:rFonts w:hint="default" w:ascii="Times New Roman" w:hAnsi="Times New Roman" w:cs="Times New Roman"/>
                <w:b/>
                <w:bCs/>
                <w:color w:val="000000" w:themeColor="text1"/>
                <w:highlight w:val="none"/>
                <w:lang w:val="en-US" w:eastAsia="zh-CN"/>
                <w14:textFill>
                  <w14:solidFill>
                    <w14:schemeClr w14:val="tx1"/>
                  </w14:solidFill>
                </w14:textFill>
              </w:rPr>
              <w:t>.4</w:t>
            </w:r>
            <w:r>
              <w:rPr>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cs="Times New Roman"/>
                <w:b/>
                <w:bCs/>
                <w:color w:val="000000" w:themeColor="text1"/>
                <w:highlight w:val="none"/>
                <w:lang w:val="en-US" w:eastAsia="zh-CN"/>
                <w14:textFill>
                  <w14:solidFill>
                    <w14:schemeClr w14:val="tx1"/>
                  </w14:solidFill>
                </w14:textFill>
              </w:rPr>
              <w:t>3   室内主要</w:t>
            </w:r>
            <w:r>
              <w:rPr>
                <w:rFonts w:hint="default" w:ascii="Times New Roman" w:hAnsi="Times New Roman" w:cs="Times New Roman"/>
                <w:b/>
                <w:bCs/>
                <w:color w:val="000000" w:themeColor="text1"/>
                <w:highlight w:val="none"/>
                <w14:textFill>
                  <w14:solidFill>
                    <w14:schemeClr w14:val="tx1"/>
                  </w14:solidFill>
                </w14:textFill>
              </w:rPr>
              <w:t>噪声</w:t>
            </w:r>
            <w:r>
              <w:rPr>
                <w:rFonts w:hint="default" w:ascii="Times New Roman" w:hAnsi="Times New Roman" w:cs="Times New Roman"/>
                <w:b/>
                <w:bCs/>
                <w:color w:val="000000" w:themeColor="text1"/>
                <w:highlight w:val="none"/>
                <w:lang w:val="en-US" w:eastAsia="zh-CN"/>
                <w14:textFill>
                  <w14:solidFill>
                    <w14:schemeClr w14:val="tx1"/>
                  </w14:solidFill>
                </w14:textFill>
              </w:rPr>
              <w:t>设备</w:t>
            </w:r>
            <w:r>
              <w:rPr>
                <w:rFonts w:hint="default" w:ascii="Times New Roman" w:hAnsi="Times New Roman" w:cs="Times New Roman"/>
                <w:b/>
                <w:bCs/>
                <w:color w:val="000000" w:themeColor="text1"/>
                <w:highlight w:val="none"/>
                <w14:textFill>
                  <w14:solidFill>
                    <w14:schemeClr w14:val="tx1"/>
                  </w14:solidFill>
                </w14:textFill>
              </w:rPr>
              <w:t>源强一览表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468"/>
              <w:gridCol w:w="1437"/>
              <w:gridCol w:w="946"/>
              <w:gridCol w:w="774"/>
              <w:gridCol w:w="709"/>
              <w:gridCol w:w="653"/>
              <w:gridCol w:w="546"/>
              <w:gridCol w:w="514"/>
              <w:gridCol w:w="571"/>
              <w:gridCol w:w="606"/>
              <w:gridCol w:w="684"/>
              <w:gridCol w:w="1266"/>
              <w:gridCol w:w="678"/>
              <w:gridCol w:w="980"/>
              <w:gridCol w:w="565"/>
            </w:tblGrid>
            <w:tr w14:paraId="3F22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71" w:type="dxa"/>
                  <w:vMerge w:val="restart"/>
                  <w:noWrap w:val="0"/>
                  <w:vAlign w:val="center"/>
                </w:tcPr>
                <w:p w14:paraId="0CFFD4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468" w:type="dxa"/>
                  <w:vMerge w:val="restart"/>
                  <w:noWrap w:val="0"/>
                  <w:vAlign w:val="center"/>
                </w:tcPr>
                <w:p w14:paraId="3CE649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建筑物名称</w:t>
                  </w:r>
                </w:p>
              </w:tc>
              <w:tc>
                <w:tcPr>
                  <w:tcW w:w="1437" w:type="dxa"/>
                  <w:vMerge w:val="restart"/>
                  <w:noWrap w:val="0"/>
                  <w:vAlign w:val="center"/>
                </w:tcPr>
                <w:p w14:paraId="432817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声源名称</w:t>
                  </w:r>
                </w:p>
              </w:tc>
              <w:tc>
                <w:tcPr>
                  <w:tcW w:w="946" w:type="dxa"/>
                  <w:vMerge w:val="restart"/>
                  <w:noWrap w:val="0"/>
                  <w:vAlign w:val="center"/>
                </w:tcPr>
                <w:p w14:paraId="7A4BD2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型号</w:t>
                  </w:r>
                </w:p>
              </w:tc>
              <w:tc>
                <w:tcPr>
                  <w:tcW w:w="1483" w:type="dxa"/>
                  <w:gridSpan w:val="2"/>
                  <w:noWrap w:val="0"/>
                  <w:vAlign w:val="center"/>
                </w:tcPr>
                <w:p w14:paraId="3B507EF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声音源强（任选一种）</w:t>
                  </w:r>
                </w:p>
              </w:tc>
              <w:tc>
                <w:tcPr>
                  <w:tcW w:w="1713" w:type="dxa"/>
                  <w:gridSpan w:val="3"/>
                  <w:noWrap w:val="0"/>
                  <w:vAlign w:val="center"/>
                </w:tcPr>
                <w:p w14:paraId="0AFC137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空间相对位置/m</w:t>
                  </w:r>
                </w:p>
              </w:tc>
              <w:tc>
                <w:tcPr>
                  <w:tcW w:w="1177" w:type="dxa"/>
                  <w:gridSpan w:val="2"/>
                  <w:vMerge w:val="restart"/>
                  <w:noWrap w:val="0"/>
                  <w:vAlign w:val="center"/>
                </w:tcPr>
                <w:p w14:paraId="3A1AC7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距室内边界距离/m</w:t>
                  </w:r>
                </w:p>
              </w:tc>
              <w:tc>
                <w:tcPr>
                  <w:tcW w:w="684" w:type="dxa"/>
                  <w:vMerge w:val="restart"/>
                  <w:noWrap w:val="0"/>
                  <w:vAlign w:val="center"/>
                </w:tcPr>
                <w:p w14:paraId="054B44A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室内边界声级/dB（A）声压级/dB（A）</w:t>
                  </w:r>
                </w:p>
              </w:tc>
              <w:tc>
                <w:tcPr>
                  <w:tcW w:w="1266" w:type="dxa"/>
                  <w:vMerge w:val="restart"/>
                  <w:noWrap w:val="0"/>
                  <w:vAlign w:val="center"/>
                </w:tcPr>
                <w:p w14:paraId="669301D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运行时段</w:t>
                  </w:r>
                </w:p>
              </w:tc>
              <w:tc>
                <w:tcPr>
                  <w:tcW w:w="678" w:type="dxa"/>
                  <w:vMerge w:val="restart"/>
                  <w:noWrap w:val="0"/>
                  <w:vAlign w:val="center"/>
                </w:tcPr>
                <w:p w14:paraId="439689B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建筑物插入损失/dB（A）</w:t>
                  </w:r>
                </w:p>
              </w:tc>
              <w:tc>
                <w:tcPr>
                  <w:tcW w:w="1545" w:type="dxa"/>
                  <w:gridSpan w:val="2"/>
                  <w:noWrap w:val="0"/>
                  <w:vAlign w:val="center"/>
                </w:tcPr>
                <w:p w14:paraId="492493F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建筑物外噪声</w:t>
                  </w:r>
                </w:p>
              </w:tc>
            </w:tr>
            <w:tr w14:paraId="42C7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71" w:type="dxa"/>
                  <w:vMerge w:val="continue"/>
                  <w:noWrap w:val="0"/>
                  <w:vAlign w:val="center"/>
                </w:tcPr>
                <w:p w14:paraId="71244E5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E3E80B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37E187B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CFE48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noWrap w:val="0"/>
                  <w:vAlign w:val="center"/>
                </w:tcPr>
                <w:p w14:paraId="6A4EDC1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（声压级/距声源距离）</w:t>
                  </w:r>
                  <w:r>
                    <w:rPr>
                      <w:rFonts w:hint="default" w:ascii="Times New Roman" w:hAnsi="Times New Roman" w:cs="Times New Roman"/>
                      <w:color w:val="000000" w:themeColor="text1"/>
                      <w:highlight w:val="none"/>
                      <w:lang w:val="en-US" w:eastAsia="zh-CN"/>
                      <w14:textFill>
                        <w14:solidFill>
                          <w14:schemeClr w14:val="tx1"/>
                        </w14:solidFill>
                      </w14:textFill>
                    </w:rPr>
                    <w:t>/(dB（A）/m)</w:t>
                  </w:r>
                </w:p>
              </w:tc>
              <w:tc>
                <w:tcPr>
                  <w:tcW w:w="709" w:type="dxa"/>
                  <w:noWrap w:val="0"/>
                  <w:vAlign w:val="center"/>
                </w:tcPr>
                <w:p w14:paraId="55FDEA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声功率级/dB（A）</w:t>
                  </w:r>
                </w:p>
              </w:tc>
              <w:tc>
                <w:tcPr>
                  <w:tcW w:w="653" w:type="dxa"/>
                  <w:noWrap w:val="0"/>
                  <w:vAlign w:val="center"/>
                </w:tcPr>
                <w:p w14:paraId="53C800F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X</w:t>
                  </w:r>
                </w:p>
              </w:tc>
              <w:tc>
                <w:tcPr>
                  <w:tcW w:w="546" w:type="dxa"/>
                  <w:noWrap w:val="0"/>
                  <w:vAlign w:val="center"/>
                </w:tcPr>
                <w:p w14:paraId="2A713D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Y</w:t>
                  </w:r>
                </w:p>
              </w:tc>
              <w:tc>
                <w:tcPr>
                  <w:tcW w:w="514" w:type="dxa"/>
                  <w:noWrap w:val="0"/>
                  <w:vAlign w:val="center"/>
                </w:tcPr>
                <w:p w14:paraId="2EC6579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Z</w:t>
                  </w:r>
                </w:p>
              </w:tc>
              <w:tc>
                <w:tcPr>
                  <w:tcW w:w="1177" w:type="dxa"/>
                  <w:gridSpan w:val="2"/>
                  <w:vMerge w:val="continue"/>
                  <w:noWrap w:val="0"/>
                  <w:vAlign w:val="center"/>
                </w:tcPr>
                <w:p w14:paraId="47E4F6A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84" w:type="dxa"/>
                  <w:vMerge w:val="continue"/>
                  <w:noWrap w:val="0"/>
                  <w:vAlign w:val="center"/>
                </w:tcPr>
                <w:p w14:paraId="57DD6B2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266" w:type="dxa"/>
                  <w:vMerge w:val="continue"/>
                  <w:noWrap w:val="0"/>
                  <w:vAlign w:val="center"/>
                </w:tcPr>
                <w:p w14:paraId="6714791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continue"/>
                  <w:noWrap w:val="0"/>
                  <w:vAlign w:val="center"/>
                </w:tcPr>
                <w:p w14:paraId="2AC29F9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80" w:type="dxa"/>
                  <w:noWrap w:val="0"/>
                  <w:vAlign w:val="center"/>
                </w:tcPr>
                <w:p w14:paraId="7D24F9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声压级/dB（A）</w:t>
                  </w:r>
                </w:p>
              </w:tc>
              <w:tc>
                <w:tcPr>
                  <w:tcW w:w="565" w:type="dxa"/>
                  <w:noWrap w:val="0"/>
                  <w:vAlign w:val="center"/>
                </w:tcPr>
                <w:p w14:paraId="7C3D192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建筑物外距离</w:t>
                  </w:r>
                </w:p>
              </w:tc>
            </w:tr>
            <w:tr w14:paraId="3CCE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371" w:type="dxa"/>
                  <w:vMerge w:val="restart"/>
                  <w:noWrap w:val="0"/>
                  <w:vAlign w:val="center"/>
                </w:tcPr>
                <w:p w14:paraId="60AB270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468" w:type="dxa"/>
                  <w:vMerge w:val="restart"/>
                  <w:noWrap w:val="0"/>
                  <w:vAlign w:val="center"/>
                </w:tcPr>
                <w:p w14:paraId="139B3FF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破碎筛分车间</w:t>
                  </w:r>
                </w:p>
                <w:p w14:paraId="0E7DBF9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0ECD74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三层振动筛</w:t>
                  </w:r>
                </w:p>
              </w:tc>
              <w:tc>
                <w:tcPr>
                  <w:tcW w:w="946" w:type="dxa"/>
                  <w:vMerge w:val="restart"/>
                  <w:noWrap w:val="0"/>
                  <w:vAlign w:val="center"/>
                </w:tcPr>
                <w:p w14:paraId="3D3A3F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3YK2160</w:t>
                  </w:r>
                </w:p>
              </w:tc>
              <w:tc>
                <w:tcPr>
                  <w:tcW w:w="774" w:type="dxa"/>
                  <w:vMerge w:val="restart"/>
                  <w:noWrap w:val="0"/>
                  <w:vAlign w:val="center"/>
                </w:tcPr>
                <w:p w14:paraId="611B26D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5FE4911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85</w:t>
                  </w:r>
                </w:p>
              </w:tc>
              <w:tc>
                <w:tcPr>
                  <w:tcW w:w="653" w:type="dxa"/>
                  <w:vMerge w:val="restart"/>
                  <w:noWrap w:val="0"/>
                  <w:vAlign w:val="center"/>
                </w:tcPr>
                <w:p w14:paraId="3461CA6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-66.9</w:t>
                  </w:r>
                </w:p>
              </w:tc>
              <w:tc>
                <w:tcPr>
                  <w:tcW w:w="546" w:type="dxa"/>
                  <w:vMerge w:val="restart"/>
                  <w:noWrap w:val="0"/>
                  <w:vAlign w:val="center"/>
                </w:tcPr>
                <w:p w14:paraId="6B334C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248.89</w:t>
                  </w:r>
                </w:p>
              </w:tc>
              <w:tc>
                <w:tcPr>
                  <w:tcW w:w="514" w:type="dxa"/>
                  <w:vMerge w:val="restart"/>
                  <w:noWrap w:val="0"/>
                  <w:vAlign w:val="center"/>
                </w:tcPr>
                <w:p w14:paraId="0B641C3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noWrap w:val="0"/>
                  <w:vAlign w:val="center"/>
                </w:tcPr>
                <w:p w14:paraId="6F9A36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2149F86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3C4910A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1266" w:type="dxa"/>
                  <w:vMerge w:val="restart"/>
                  <w:noWrap w:val="0"/>
                  <w:vAlign w:val="center"/>
                </w:tcPr>
                <w:p w14:paraId="7533FF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10:00-14:00</w:t>
                  </w:r>
                </w:p>
                <w:p w14:paraId="1035176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16:00-20:00</w:t>
                  </w:r>
                </w:p>
              </w:tc>
              <w:tc>
                <w:tcPr>
                  <w:tcW w:w="678" w:type="dxa"/>
                  <w:vMerge w:val="restart"/>
                  <w:noWrap w:val="0"/>
                  <w:vAlign w:val="center"/>
                </w:tcPr>
                <w:p w14:paraId="17D7AB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0EAEBB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w:t>
                  </w:r>
                </w:p>
              </w:tc>
              <w:tc>
                <w:tcPr>
                  <w:tcW w:w="565" w:type="dxa"/>
                  <w:vMerge w:val="restart"/>
                  <w:noWrap w:val="0"/>
                  <w:vAlign w:val="center"/>
                </w:tcPr>
                <w:p w14:paraId="425B4FE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3B8D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371" w:type="dxa"/>
                  <w:vMerge w:val="continue"/>
                  <w:noWrap w:val="0"/>
                  <w:vAlign w:val="center"/>
                </w:tcPr>
                <w:p w14:paraId="1C53338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547EC88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76E1ACB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16F2043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C16C5D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3139E76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6808004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D6DC50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34DFFBA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60E7FF6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70912B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5EBCB87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4117360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6FAE19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B6AE60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40ACECA">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67C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371" w:type="dxa"/>
                  <w:vMerge w:val="continue"/>
                  <w:noWrap w:val="0"/>
                  <w:vAlign w:val="center"/>
                </w:tcPr>
                <w:p w14:paraId="566FB1C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D19C8A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92DC83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6860C4A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0705FE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6A2B05E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530F983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E135BA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F3380A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220DD55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21DF6E9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2BFBCE5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AFE877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FAD143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07CD422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1B1291C7">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30C0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42C9691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11D8601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9F2C9B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B8AD6F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69DBE41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71A07CF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4FA9D9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BE3BAB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BC01EB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301908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3F376C4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067BBE6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60E5C62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4190AE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FE9C21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15AC9BA7">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4618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restart"/>
                  <w:noWrap w:val="0"/>
                  <w:vAlign w:val="center"/>
                </w:tcPr>
                <w:p w14:paraId="757F65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468" w:type="dxa"/>
                  <w:vMerge w:val="continue"/>
                  <w:noWrap w:val="0"/>
                  <w:vAlign w:val="center"/>
                </w:tcPr>
                <w:p w14:paraId="010DD61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shd w:val="clear" w:color="auto" w:fill="auto"/>
                  <w:noWrap w:val="0"/>
                  <w:vAlign w:val="center"/>
                </w:tcPr>
                <w:p w14:paraId="0EA12E8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二层振动筛</w:t>
                  </w:r>
                </w:p>
              </w:tc>
              <w:tc>
                <w:tcPr>
                  <w:tcW w:w="946" w:type="dxa"/>
                  <w:vMerge w:val="restart"/>
                  <w:shd w:val="clear" w:color="auto" w:fill="auto"/>
                  <w:noWrap w:val="0"/>
                  <w:vAlign w:val="center"/>
                </w:tcPr>
                <w:p w14:paraId="75358B1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2YK1860</w:t>
                  </w:r>
                </w:p>
              </w:tc>
              <w:tc>
                <w:tcPr>
                  <w:tcW w:w="774" w:type="dxa"/>
                  <w:vMerge w:val="restart"/>
                  <w:noWrap w:val="0"/>
                  <w:vAlign w:val="center"/>
                </w:tcPr>
                <w:p w14:paraId="5C021FD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049941E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85</w:t>
                  </w:r>
                </w:p>
              </w:tc>
              <w:tc>
                <w:tcPr>
                  <w:tcW w:w="653" w:type="dxa"/>
                  <w:vMerge w:val="restart"/>
                  <w:noWrap w:val="0"/>
                  <w:vAlign w:val="center"/>
                </w:tcPr>
                <w:p w14:paraId="34E3F26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-61.95</w:t>
                  </w:r>
                </w:p>
              </w:tc>
              <w:tc>
                <w:tcPr>
                  <w:tcW w:w="546" w:type="dxa"/>
                  <w:vMerge w:val="restart"/>
                  <w:noWrap w:val="0"/>
                  <w:vAlign w:val="center"/>
                </w:tcPr>
                <w:p w14:paraId="0943449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250.85</w:t>
                  </w:r>
                </w:p>
              </w:tc>
              <w:tc>
                <w:tcPr>
                  <w:tcW w:w="514" w:type="dxa"/>
                  <w:vMerge w:val="restart"/>
                  <w:noWrap w:val="0"/>
                  <w:vAlign w:val="center"/>
                </w:tcPr>
                <w:p w14:paraId="48CC4A1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7219E7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02A7EDC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2092DB2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1266" w:type="dxa"/>
                  <w:vMerge w:val="continue"/>
                  <w:noWrap w:val="0"/>
                  <w:vAlign w:val="center"/>
                </w:tcPr>
                <w:p w14:paraId="3992EA2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noWrap w:val="0"/>
                  <w:vAlign w:val="center"/>
                </w:tcPr>
                <w:p w14:paraId="778953F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4C3F59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w:t>
                  </w:r>
                </w:p>
              </w:tc>
              <w:tc>
                <w:tcPr>
                  <w:tcW w:w="565" w:type="dxa"/>
                  <w:vMerge w:val="restart"/>
                  <w:noWrap w:val="0"/>
                  <w:vAlign w:val="center"/>
                </w:tcPr>
                <w:p w14:paraId="6A7CE4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3042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2ABB9DE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165F4A2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2874D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6DABAEE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A06237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4893D9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2FFA51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777616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BCA8F5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21538F9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2063E9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29AE87B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1C666C3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88BDBA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052800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B2D3CDB">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289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6C2D377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1D59FE1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E3B970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D7C9FB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663DF0D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0AD5A5F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CF503E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A65E8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1D599B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5FE9C9D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43F050B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0B3A140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6886992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5BAFC50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27572F3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A026496">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03B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099C965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154658C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34530A9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2AC913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876AA7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26BBC87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5F46EC4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B9C662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337A2C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283782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4D5C774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1C3C86C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77BE89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E31AD6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8522DE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99EE638">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7C9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restart"/>
                  <w:noWrap w:val="0"/>
                  <w:vAlign w:val="center"/>
                </w:tcPr>
                <w:p w14:paraId="45987D1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468" w:type="dxa"/>
                  <w:vMerge w:val="continue"/>
                  <w:noWrap w:val="0"/>
                  <w:vAlign w:val="center"/>
                </w:tcPr>
                <w:p w14:paraId="0207B5B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noWrap w:val="0"/>
                  <w:vAlign w:val="center"/>
                </w:tcPr>
                <w:p w14:paraId="7F1F95E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FY 无动力砂石脱粉机</w:t>
                  </w:r>
                </w:p>
              </w:tc>
              <w:tc>
                <w:tcPr>
                  <w:tcW w:w="946" w:type="dxa"/>
                  <w:vMerge w:val="restart"/>
                  <w:noWrap w:val="0"/>
                  <w:vAlign w:val="center"/>
                </w:tcPr>
                <w:p w14:paraId="05FB281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FY-200 型</w:t>
                  </w:r>
                </w:p>
              </w:tc>
              <w:tc>
                <w:tcPr>
                  <w:tcW w:w="774" w:type="dxa"/>
                  <w:vMerge w:val="restart"/>
                  <w:noWrap w:val="0"/>
                  <w:vAlign w:val="center"/>
                </w:tcPr>
                <w:p w14:paraId="447D59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3707E41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70</w:t>
                  </w:r>
                </w:p>
              </w:tc>
              <w:tc>
                <w:tcPr>
                  <w:tcW w:w="653" w:type="dxa"/>
                  <w:vMerge w:val="restart"/>
                  <w:noWrap w:val="0"/>
                  <w:vAlign w:val="center"/>
                </w:tcPr>
                <w:p w14:paraId="61152B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-44.71</w:t>
                  </w:r>
                </w:p>
              </w:tc>
              <w:tc>
                <w:tcPr>
                  <w:tcW w:w="546" w:type="dxa"/>
                  <w:vMerge w:val="restart"/>
                  <w:noWrap w:val="0"/>
                  <w:vAlign w:val="center"/>
                </w:tcPr>
                <w:p w14:paraId="426D2F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257.12</w:t>
                  </w:r>
                </w:p>
              </w:tc>
              <w:tc>
                <w:tcPr>
                  <w:tcW w:w="514" w:type="dxa"/>
                  <w:vMerge w:val="restart"/>
                  <w:noWrap w:val="0"/>
                  <w:vAlign w:val="center"/>
                </w:tcPr>
                <w:p w14:paraId="36F5D3E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26A443D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683072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6AF678C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w:t>
                  </w:r>
                </w:p>
              </w:tc>
              <w:tc>
                <w:tcPr>
                  <w:tcW w:w="1266" w:type="dxa"/>
                  <w:vMerge w:val="continue"/>
                  <w:noWrap w:val="0"/>
                  <w:vAlign w:val="center"/>
                </w:tcPr>
                <w:p w14:paraId="461845D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noWrap w:val="0"/>
                  <w:vAlign w:val="center"/>
                </w:tcPr>
                <w:p w14:paraId="3B55A0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0DD23FD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w:t>
                  </w:r>
                </w:p>
              </w:tc>
              <w:tc>
                <w:tcPr>
                  <w:tcW w:w="565" w:type="dxa"/>
                  <w:vMerge w:val="restart"/>
                  <w:noWrap w:val="0"/>
                  <w:vAlign w:val="center"/>
                </w:tcPr>
                <w:p w14:paraId="2EAE4DE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778E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32E340E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D54D1E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9431CA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582CF91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C9CCA4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07DA77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7C0A4D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8BF041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69C57FE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3DD1DBD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3C000D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4810FD9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0031F8E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63624E1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16D6EA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4595B0DB">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FF9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781B138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34302DC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7AB206E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4D31BC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3BE780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3DCA51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2DC76D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25FC3D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78EBCC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4FEF900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54573B2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30E0C65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35A9F35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8F0A0A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2F077BA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AC2E08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510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371" w:type="dxa"/>
                  <w:vMerge w:val="continue"/>
                  <w:noWrap w:val="0"/>
                  <w:vAlign w:val="center"/>
                </w:tcPr>
                <w:p w14:paraId="5AD79AC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6F77C18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273B2A6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4D51EE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270C7E7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7CC96E0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F89BFB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ED0A5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BC6B23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5F2C2D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5A5842A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77DEBC6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C98099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6983C4F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F8358A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57DD671">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0B1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restart"/>
                  <w:noWrap w:val="0"/>
                  <w:vAlign w:val="center"/>
                </w:tcPr>
                <w:p w14:paraId="5B1689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468" w:type="dxa"/>
                  <w:vMerge w:val="continue"/>
                  <w:noWrap w:val="0"/>
                  <w:vAlign w:val="center"/>
                </w:tcPr>
                <w:p w14:paraId="55C9DE5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shd w:val="clear" w:color="auto" w:fill="auto"/>
                  <w:noWrap w:val="0"/>
                  <w:vAlign w:val="center"/>
                </w:tcPr>
                <w:p w14:paraId="19E12D4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FY 无动力砂石脱粉机</w:t>
                  </w:r>
                </w:p>
              </w:tc>
              <w:tc>
                <w:tcPr>
                  <w:tcW w:w="946" w:type="dxa"/>
                  <w:vMerge w:val="restart"/>
                  <w:shd w:val="clear" w:color="auto" w:fill="auto"/>
                  <w:noWrap w:val="0"/>
                  <w:vAlign w:val="center"/>
                </w:tcPr>
                <w:p w14:paraId="63257C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FY-200 型</w:t>
                  </w:r>
                </w:p>
              </w:tc>
              <w:tc>
                <w:tcPr>
                  <w:tcW w:w="774" w:type="dxa"/>
                  <w:vMerge w:val="restart"/>
                  <w:shd w:val="clear" w:color="auto" w:fill="auto"/>
                  <w:noWrap w:val="0"/>
                  <w:vAlign w:val="center"/>
                </w:tcPr>
                <w:p w14:paraId="73A79B0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7A7CB9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70</w:t>
                  </w:r>
                </w:p>
              </w:tc>
              <w:tc>
                <w:tcPr>
                  <w:tcW w:w="653" w:type="dxa"/>
                  <w:vMerge w:val="restart"/>
                  <w:noWrap w:val="0"/>
                  <w:vAlign w:val="center"/>
                </w:tcPr>
                <w:p w14:paraId="168246E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-57.2,</w:t>
                  </w:r>
                </w:p>
              </w:tc>
              <w:tc>
                <w:tcPr>
                  <w:tcW w:w="546" w:type="dxa"/>
                  <w:vMerge w:val="restart"/>
                  <w:noWrap w:val="0"/>
                  <w:vAlign w:val="center"/>
                </w:tcPr>
                <w:p w14:paraId="38E4789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252.72</w:t>
                  </w:r>
                </w:p>
              </w:tc>
              <w:tc>
                <w:tcPr>
                  <w:tcW w:w="514" w:type="dxa"/>
                  <w:vMerge w:val="restart"/>
                  <w:noWrap w:val="0"/>
                  <w:vAlign w:val="center"/>
                </w:tcPr>
                <w:p w14:paraId="7CD6B2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672CC6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295D5C9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shd w:val="clear" w:color="auto" w:fill="auto"/>
                  <w:noWrap w:val="0"/>
                  <w:vAlign w:val="center"/>
                </w:tcPr>
                <w:p w14:paraId="708DA21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w:t>
                  </w:r>
                </w:p>
              </w:tc>
              <w:tc>
                <w:tcPr>
                  <w:tcW w:w="1266" w:type="dxa"/>
                  <w:vMerge w:val="continue"/>
                  <w:shd w:val="clear" w:color="auto" w:fill="auto"/>
                  <w:noWrap w:val="0"/>
                  <w:vAlign w:val="center"/>
                </w:tcPr>
                <w:p w14:paraId="719BD2E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shd w:val="clear" w:color="auto" w:fill="auto"/>
                  <w:noWrap w:val="0"/>
                  <w:vAlign w:val="center"/>
                </w:tcPr>
                <w:p w14:paraId="6AA795C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34F038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w:t>
                  </w:r>
                </w:p>
              </w:tc>
              <w:tc>
                <w:tcPr>
                  <w:tcW w:w="565" w:type="dxa"/>
                  <w:vMerge w:val="restart"/>
                  <w:shd w:val="clear" w:color="auto" w:fill="auto"/>
                  <w:noWrap w:val="0"/>
                  <w:vAlign w:val="center"/>
                </w:tcPr>
                <w:p w14:paraId="4986BA5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0A5F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4FAC5C7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521715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60C2E64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0D4A65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023032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26C795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DC175A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1FA4AF3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390B21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38B667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3CB832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3945337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D0BD1C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DBA989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0A15AA8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CFFD337">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8C4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1" w:type="dxa"/>
                  <w:vMerge w:val="continue"/>
                  <w:noWrap w:val="0"/>
                  <w:vAlign w:val="center"/>
                </w:tcPr>
                <w:p w14:paraId="1C6D9D6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640878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4ABBEF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6BCC28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2E2BC72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58F662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B85F50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47EF44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FFED2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69EC76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2B02552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7A54DAE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362A6DF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FB18AD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03CFBB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74C086E">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1FA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0FC3E8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D8D765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7310AC4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D0F4CF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3E19451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0DC756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D6A7DD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3D13B5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5CDEDE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1DC3FB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52C443F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2E4E598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A60A18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1188EBC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C50494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51AB91D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4CD4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restart"/>
                  <w:noWrap w:val="0"/>
                  <w:vAlign w:val="center"/>
                </w:tcPr>
                <w:p w14:paraId="6468E30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468" w:type="dxa"/>
                  <w:vMerge w:val="continue"/>
                  <w:noWrap w:val="0"/>
                  <w:vAlign w:val="center"/>
                </w:tcPr>
                <w:p w14:paraId="18FDEEA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3E57E6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946" w:type="dxa"/>
                  <w:vMerge w:val="restart"/>
                  <w:noWrap w:val="0"/>
                  <w:vAlign w:val="center"/>
                </w:tcPr>
                <w:p w14:paraId="419759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noWrap w:val="0"/>
                  <w:vAlign w:val="center"/>
                </w:tcPr>
                <w:p w14:paraId="08654F0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39D7C41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noWrap w:val="0"/>
                  <w:vAlign w:val="center"/>
                </w:tcPr>
                <w:p w14:paraId="41A2AB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-41.74</w:t>
                  </w:r>
                </w:p>
              </w:tc>
              <w:tc>
                <w:tcPr>
                  <w:tcW w:w="546" w:type="dxa"/>
                  <w:vMerge w:val="restart"/>
                  <w:noWrap w:val="0"/>
                  <w:vAlign w:val="center"/>
                </w:tcPr>
                <w:p w14:paraId="34FD45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258.8</w:t>
                  </w:r>
                </w:p>
              </w:tc>
              <w:tc>
                <w:tcPr>
                  <w:tcW w:w="514" w:type="dxa"/>
                  <w:vMerge w:val="restart"/>
                  <w:noWrap w:val="0"/>
                  <w:vAlign w:val="center"/>
                </w:tcPr>
                <w:p w14:paraId="7FF8E67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noWrap w:val="0"/>
                  <w:vAlign w:val="center"/>
                </w:tcPr>
                <w:p w14:paraId="1C32823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491E09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22</w:t>
                  </w:r>
                </w:p>
              </w:tc>
              <w:tc>
                <w:tcPr>
                  <w:tcW w:w="684" w:type="dxa"/>
                  <w:vMerge w:val="restart"/>
                  <w:noWrap w:val="0"/>
                  <w:vAlign w:val="center"/>
                </w:tcPr>
                <w:p w14:paraId="45D6975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70128FC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noWrap w:val="0"/>
                  <w:vAlign w:val="center"/>
                </w:tcPr>
                <w:p w14:paraId="07934C7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7D114C2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noWrap w:val="0"/>
                  <w:vAlign w:val="center"/>
                </w:tcPr>
                <w:p w14:paraId="05E633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1AEE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4886E11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39F972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1CE5116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5BF131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94BE6B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384448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F121DF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24EA9A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6719EEE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3461829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3D6A9D2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684" w:type="dxa"/>
                  <w:vMerge w:val="continue"/>
                  <w:noWrap w:val="0"/>
                  <w:vAlign w:val="center"/>
                </w:tcPr>
                <w:p w14:paraId="48EC144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1431ECC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00FF7B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52F7FE1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9FB83B7">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3982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continue"/>
                  <w:noWrap w:val="0"/>
                  <w:vAlign w:val="center"/>
                </w:tcPr>
                <w:p w14:paraId="0734B73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BE2504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7C70D17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517247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6CBD6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0ED704D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3D187F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3A233E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84A299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6B7B511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5FDA1C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continue"/>
                  <w:noWrap w:val="0"/>
                  <w:vAlign w:val="center"/>
                </w:tcPr>
                <w:p w14:paraId="5B3E943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FB7BC2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78F4F5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3C80A57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9860133">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488A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5E4322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3256FA4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4DDDFD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23373F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6CE53F3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DD4315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59529EB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354457A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1473D2D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44B90C7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0E7006C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684" w:type="dxa"/>
                  <w:vMerge w:val="continue"/>
                  <w:noWrap w:val="0"/>
                  <w:vAlign w:val="center"/>
                </w:tcPr>
                <w:p w14:paraId="153CF6E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48140A4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632EA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C4A6DC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F182B04">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A3D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restart"/>
                  <w:noWrap w:val="0"/>
                  <w:vAlign w:val="center"/>
                </w:tcPr>
                <w:p w14:paraId="0132956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468" w:type="dxa"/>
                  <w:vMerge w:val="continue"/>
                  <w:noWrap w:val="0"/>
                  <w:vAlign w:val="center"/>
                </w:tcPr>
                <w:p w14:paraId="4241B59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noWrap w:val="0"/>
                  <w:vAlign w:val="center"/>
                </w:tcPr>
                <w:p w14:paraId="120F20C8">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946" w:type="dxa"/>
                  <w:vMerge w:val="restart"/>
                  <w:noWrap w:val="0"/>
                  <w:vAlign w:val="center"/>
                </w:tcPr>
                <w:p w14:paraId="7AAD392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19090F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0FF383C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shd w:val="clear" w:color="auto" w:fill="auto"/>
                  <w:noWrap w:val="0"/>
                  <w:vAlign w:val="center"/>
                </w:tcPr>
                <w:p w14:paraId="4C084EE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-47.83</w:t>
                  </w:r>
                </w:p>
              </w:tc>
              <w:tc>
                <w:tcPr>
                  <w:tcW w:w="546" w:type="dxa"/>
                  <w:vMerge w:val="restart"/>
                  <w:shd w:val="clear" w:color="auto" w:fill="auto"/>
                  <w:noWrap w:val="0"/>
                  <w:vAlign w:val="center"/>
                </w:tcPr>
                <w:p w14:paraId="2C20FA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256.24</w:t>
                  </w:r>
                </w:p>
              </w:tc>
              <w:tc>
                <w:tcPr>
                  <w:tcW w:w="514" w:type="dxa"/>
                  <w:vMerge w:val="restart"/>
                  <w:shd w:val="clear" w:color="auto" w:fill="auto"/>
                  <w:noWrap w:val="0"/>
                  <w:vAlign w:val="center"/>
                </w:tcPr>
                <w:p w14:paraId="32A88B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01387D8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1B81B7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restart"/>
                  <w:noWrap w:val="0"/>
                  <w:vAlign w:val="center"/>
                </w:tcPr>
                <w:p w14:paraId="62BCA91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0C4B2C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noWrap w:val="0"/>
                  <w:vAlign w:val="center"/>
                </w:tcPr>
                <w:p w14:paraId="4D2363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73F8989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noWrap w:val="0"/>
                  <w:vAlign w:val="center"/>
                </w:tcPr>
                <w:p w14:paraId="2518B5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65BD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3ABBCE2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6DC1FC5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39BD4E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CFB162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5E0D159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1F6907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0C0494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6F2B31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1DDCEB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04D4448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71ABDF3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684" w:type="dxa"/>
                  <w:vMerge w:val="continue"/>
                  <w:noWrap w:val="0"/>
                  <w:vAlign w:val="center"/>
                </w:tcPr>
                <w:p w14:paraId="6657F19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0AC0584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C9D525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8176A9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593403B4">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A29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7179C5C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9676FB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609185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E6E0F6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D41CA8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F6BE93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6827EDA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9EEBE1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3BA6244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DD8846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769ABD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continue"/>
                  <w:noWrap w:val="0"/>
                  <w:vAlign w:val="center"/>
                </w:tcPr>
                <w:p w14:paraId="3F696DD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F99282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5CA6703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526311B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1CB0C69">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A01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5EF3738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98A9A5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EE3FC1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87F968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26B890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390CBBF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4F25F0D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F41031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735BFA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345DACE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2BEAACE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23</w:t>
                  </w:r>
                </w:p>
              </w:tc>
              <w:tc>
                <w:tcPr>
                  <w:tcW w:w="684" w:type="dxa"/>
                  <w:vMerge w:val="continue"/>
                  <w:noWrap w:val="0"/>
                  <w:vAlign w:val="center"/>
                </w:tcPr>
                <w:p w14:paraId="6538736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A34914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2E9801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3E3462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554A060">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5F1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371" w:type="dxa"/>
                  <w:vMerge w:val="restart"/>
                  <w:noWrap w:val="0"/>
                  <w:vAlign w:val="center"/>
                </w:tcPr>
                <w:p w14:paraId="07B346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468" w:type="dxa"/>
                  <w:vMerge w:val="continue"/>
                  <w:noWrap w:val="0"/>
                  <w:vAlign w:val="center"/>
                </w:tcPr>
                <w:p w14:paraId="116840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noWrap w:val="0"/>
                  <w:vAlign w:val="center"/>
                </w:tcPr>
                <w:p w14:paraId="61A09711">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946" w:type="dxa"/>
                  <w:vMerge w:val="restart"/>
                  <w:noWrap w:val="0"/>
                  <w:vAlign w:val="center"/>
                </w:tcPr>
                <w:p w14:paraId="6EF06E7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70E770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0F7A24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shd w:val="clear" w:color="auto" w:fill="auto"/>
                  <w:noWrap w:val="0"/>
                  <w:vAlign w:val="center"/>
                </w:tcPr>
                <w:p w14:paraId="5F7C79F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-54.46</w:t>
                  </w:r>
                </w:p>
              </w:tc>
              <w:tc>
                <w:tcPr>
                  <w:tcW w:w="546" w:type="dxa"/>
                  <w:vMerge w:val="restart"/>
                  <w:shd w:val="clear" w:color="auto" w:fill="auto"/>
                  <w:noWrap w:val="0"/>
                  <w:vAlign w:val="center"/>
                </w:tcPr>
                <w:p w14:paraId="225217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253.87</w:t>
                  </w:r>
                </w:p>
              </w:tc>
              <w:tc>
                <w:tcPr>
                  <w:tcW w:w="514" w:type="dxa"/>
                  <w:vMerge w:val="restart"/>
                  <w:shd w:val="clear" w:color="auto" w:fill="auto"/>
                  <w:noWrap w:val="0"/>
                  <w:vAlign w:val="center"/>
                </w:tcPr>
                <w:p w14:paraId="5823904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3CBF4ED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16B381A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restart"/>
                  <w:noWrap w:val="0"/>
                  <w:vAlign w:val="center"/>
                </w:tcPr>
                <w:p w14:paraId="2EA94F7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51AF378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noWrap w:val="0"/>
                  <w:vAlign w:val="center"/>
                </w:tcPr>
                <w:p w14:paraId="1670FD2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3520B3D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noWrap w:val="0"/>
                  <w:vAlign w:val="center"/>
                </w:tcPr>
                <w:p w14:paraId="2E900EB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6F3C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10CE767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5DBE560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281588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192E898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5A990CE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24BD890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90220A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E09414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94DBF7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5BD689D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6C5319F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18</w:t>
                  </w:r>
                </w:p>
              </w:tc>
              <w:tc>
                <w:tcPr>
                  <w:tcW w:w="684" w:type="dxa"/>
                  <w:vMerge w:val="continue"/>
                  <w:noWrap w:val="0"/>
                  <w:vAlign w:val="center"/>
                </w:tcPr>
                <w:p w14:paraId="482AAAC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65CDA9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452ACA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A43BF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17832793">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024A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0987E26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6068900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317B4ED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5DB5AA9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6D3F0D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50A300D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870AC7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68B3D27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73BCDA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18A0A8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41B814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continue"/>
                  <w:noWrap w:val="0"/>
                  <w:vAlign w:val="center"/>
                </w:tcPr>
                <w:p w14:paraId="648DE21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15214F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F90735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FC92B2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A08D29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29A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59270A0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42B93B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73C1AE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7CA3A0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BD6486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FAA2D0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A172D8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6A275BB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CCA55B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2B41B9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551024D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21</w:t>
                  </w:r>
                </w:p>
              </w:tc>
              <w:tc>
                <w:tcPr>
                  <w:tcW w:w="684" w:type="dxa"/>
                  <w:vMerge w:val="continue"/>
                  <w:noWrap w:val="0"/>
                  <w:vAlign w:val="center"/>
                </w:tcPr>
                <w:p w14:paraId="18B2FC3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641FC3A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AFB2CE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5BB1889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C35C4D5">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5CC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dxa"/>
                  <w:vMerge w:val="restart"/>
                  <w:noWrap w:val="0"/>
                  <w:vAlign w:val="center"/>
                </w:tcPr>
                <w:p w14:paraId="7E65894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468" w:type="dxa"/>
                  <w:vMerge w:val="continue"/>
                  <w:noWrap w:val="0"/>
                  <w:vAlign w:val="center"/>
                </w:tcPr>
                <w:p w14:paraId="79AEF1A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noWrap w:val="0"/>
                  <w:vAlign w:val="center"/>
                </w:tcPr>
                <w:p w14:paraId="02AEEF42">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946" w:type="dxa"/>
                  <w:vMerge w:val="restart"/>
                  <w:noWrap w:val="0"/>
                  <w:vAlign w:val="center"/>
                </w:tcPr>
                <w:p w14:paraId="115275D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391117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34E64CB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shd w:val="clear" w:color="auto" w:fill="auto"/>
                  <w:noWrap w:val="0"/>
                  <w:vAlign w:val="center"/>
                </w:tcPr>
                <w:p w14:paraId="18FAC8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-59.64</w:t>
                  </w:r>
                </w:p>
              </w:tc>
              <w:tc>
                <w:tcPr>
                  <w:tcW w:w="546" w:type="dxa"/>
                  <w:vMerge w:val="restart"/>
                  <w:shd w:val="clear" w:color="auto" w:fill="auto"/>
                  <w:noWrap w:val="0"/>
                  <w:vAlign w:val="center"/>
                </w:tcPr>
                <w:p w14:paraId="1D8A560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251.76</w:t>
                  </w:r>
                </w:p>
              </w:tc>
              <w:tc>
                <w:tcPr>
                  <w:tcW w:w="514" w:type="dxa"/>
                  <w:vMerge w:val="restart"/>
                  <w:shd w:val="clear" w:color="auto" w:fill="auto"/>
                  <w:noWrap w:val="0"/>
                  <w:vAlign w:val="center"/>
                </w:tcPr>
                <w:p w14:paraId="15CD74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371B1F7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6AB3F1E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restart"/>
                  <w:noWrap w:val="0"/>
                  <w:vAlign w:val="center"/>
                </w:tcPr>
                <w:p w14:paraId="27BF9B2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0FCDB4F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noWrap w:val="0"/>
                  <w:vAlign w:val="center"/>
                </w:tcPr>
                <w:p w14:paraId="287F83C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357FF36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noWrap w:val="0"/>
                  <w:vAlign w:val="center"/>
                </w:tcPr>
                <w:p w14:paraId="76A9318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3B6D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2AAD48C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634FF87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3AFBC7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FA03B2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4C9F8F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7AA076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D2DA0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367031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43CC87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664403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19F9EFC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684" w:type="dxa"/>
                  <w:vMerge w:val="continue"/>
                  <w:noWrap w:val="0"/>
                  <w:vAlign w:val="center"/>
                </w:tcPr>
                <w:p w14:paraId="774F9C4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2FC79D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27DDB5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3CE61A8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BE42DAE">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5DA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3E79B39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3488EFF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5FEB0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DA70FF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5C85267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0FDEBCC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99F41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747AA4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70A03E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5A7A74C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66FC1AB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continue"/>
                  <w:noWrap w:val="0"/>
                  <w:vAlign w:val="center"/>
                </w:tcPr>
                <w:p w14:paraId="64C3A92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1B7798B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1AD6D4B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4BE1C2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FDBFC24">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7D1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7B613D0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3587B1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6B29270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832C6F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611F99D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185B14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4E95BDB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537D2A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6C0CE77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2CE1934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4FA3DB0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19</w:t>
                  </w:r>
                </w:p>
              </w:tc>
              <w:tc>
                <w:tcPr>
                  <w:tcW w:w="684" w:type="dxa"/>
                  <w:vMerge w:val="continue"/>
                  <w:noWrap w:val="0"/>
                  <w:vAlign w:val="center"/>
                </w:tcPr>
                <w:p w14:paraId="2464951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01B743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E087E5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DCC8CC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46BECAFF">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D65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restart"/>
                  <w:noWrap w:val="0"/>
                  <w:vAlign w:val="center"/>
                </w:tcPr>
                <w:p w14:paraId="0629B86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w:t>
                  </w:r>
                </w:p>
              </w:tc>
              <w:tc>
                <w:tcPr>
                  <w:tcW w:w="468" w:type="dxa"/>
                  <w:vMerge w:val="continue"/>
                  <w:noWrap w:val="0"/>
                  <w:vAlign w:val="center"/>
                </w:tcPr>
                <w:p w14:paraId="2EA5E4E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shd w:val="clear" w:color="auto" w:fill="auto"/>
                  <w:noWrap w:val="0"/>
                  <w:vAlign w:val="center"/>
                </w:tcPr>
                <w:p w14:paraId="526424B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946" w:type="dxa"/>
                  <w:vMerge w:val="restart"/>
                  <w:shd w:val="clear" w:color="auto" w:fill="auto"/>
                  <w:noWrap w:val="0"/>
                  <w:vAlign w:val="center"/>
                </w:tcPr>
                <w:p w14:paraId="7DC0108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55D5FB3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1424A1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noWrap w:val="0"/>
                  <w:vAlign w:val="center"/>
                </w:tcPr>
                <w:p w14:paraId="03BF26F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-64.16</w:t>
                  </w:r>
                </w:p>
              </w:tc>
              <w:tc>
                <w:tcPr>
                  <w:tcW w:w="546" w:type="dxa"/>
                  <w:vMerge w:val="restart"/>
                  <w:noWrap w:val="0"/>
                  <w:vAlign w:val="center"/>
                </w:tcPr>
                <w:p w14:paraId="5AA59EC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250.15</w:t>
                  </w:r>
                </w:p>
              </w:tc>
              <w:tc>
                <w:tcPr>
                  <w:tcW w:w="514" w:type="dxa"/>
                  <w:vMerge w:val="restart"/>
                  <w:noWrap w:val="0"/>
                  <w:vAlign w:val="center"/>
                </w:tcPr>
                <w:p w14:paraId="450AF4F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227BF56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26D2BDC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31A0A52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4CDD1EB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shd w:val="clear" w:color="auto" w:fill="auto"/>
                  <w:noWrap w:val="0"/>
                  <w:vAlign w:val="center"/>
                </w:tcPr>
                <w:p w14:paraId="59C1F4A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6EB4626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shd w:val="clear" w:color="auto" w:fill="auto"/>
                  <w:noWrap w:val="0"/>
                  <w:vAlign w:val="center"/>
                </w:tcPr>
                <w:p w14:paraId="5D1FED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242D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354157B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1EC44E8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1109D05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FABFAD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36FA589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C71455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9C8ECB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314940A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6AA23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646E305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644C0EF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17D5E7E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EBC785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61988B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23A9896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8EDADC2">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6A9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6CD0D8B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729DE36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23F919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87D8A9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3019CB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30FA597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7F0A5F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2A6DEA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4A9924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25F199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6E2641D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4AA8DA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7E014D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340A525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DCA18A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0FC4BDE">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3A54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5F19404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5C0719F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AED2FD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A54281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718742D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647B45D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F3953F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C0ECEF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B3264F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9D9D7A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6D40E3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6B0B5E9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6D664F4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22146EA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3F7DC2F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5F2CBA7">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42E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restart"/>
                  <w:noWrap w:val="0"/>
                  <w:vAlign w:val="center"/>
                </w:tcPr>
                <w:p w14:paraId="42B4FEA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468" w:type="dxa"/>
                  <w:vMerge w:val="continue"/>
                  <w:noWrap w:val="0"/>
                  <w:vAlign w:val="center"/>
                </w:tcPr>
                <w:p w14:paraId="7E5D61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shd w:val="clear" w:color="auto" w:fill="auto"/>
                  <w:noWrap w:val="0"/>
                  <w:vAlign w:val="center"/>
                </w:tcPr>
                <w:p w14:paraId="6CE5D9B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946" w:type="dxa"/>
                  <w:vMerge w:val="restart"/>
                  <w:shd w:val="clear" w:color="auto" w:fill="auto"/>
                  <w:noWrap w:val="0"/>
                  <w:vAlign w:val="center"/>
                </w:tcPr>
                <w:p w14:paraId="2BBD95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11B8FF3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687B837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noWrap w:val="0"/>
                  <w:vAlign w:val="center"/>
                </w:tcPr>
                <w:p w14:paraId="4A7081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-69.33</w:t>
                  </w:r>
                </w:p>
              </w:tc>
              <w:tc>
                <w:tcPr>
                  <w:tcW w:w="546" w:type="dxa"/>
                  <w:vMerge w:val="restart"/>
                  <w:noWrap w:val="0"/>
                  <w:vAlign w:val="center"/>
                </w:tcPr>
                <w:p w14:paraId="4D3562B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247.82</w:t>
                  </w:r>
                </w:p>
              </w:tc>
              <w:tc>
                <w:tcPr>
                  <w:tcW w:w="514" w:type="dxa"/>
                  <w:vMerge w:val="restart"/>
                  <w:noWrap w:val="0"/>
                  <w:vAlign w:val="center"/>
                </w:tcPr>
                <w:p w14:paraId="67620BD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385B702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14DEA9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45E0AD1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6ED4785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shd w:val="clear" w:color="auto" w:fill="auto"/>
                  <w:noWrap w:val="0"/>
                  <w:vAlign w:val="center"/>
                </w:tcPr>
                <w:p w14:paraId="1F65FB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791DC9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shd w:val="clear" w:color="auto" w:fill="auto"/>
                  <w:noWrap w:val="0"/>
                  <w:vAlign w:val="center"/>
                </w:tcPr>
                <w:p w14:paraId="5F76C39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30E6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33A9C9F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3595CC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9ED6BF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6FF6FC8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708282A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A23BAB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3A2B1C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E2F188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0DE2FE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6400F6D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2B4C77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164AA44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7B2CC8D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45A58C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855C59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BF7FC27">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C05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06D21B1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2E0432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1380C9E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766B5C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3E8F3B8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2D3FABB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104D5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024B72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353CE1D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096931A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6C4681C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69190F0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45CD032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21147D4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7B131E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AC6BB00">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C78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4EA5691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755942D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4F2E23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02F8102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3D87959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9451C0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1503BA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7DAAA8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539C1F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598C3B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7DC0206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5DBB110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6FB125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3627155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22A0053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0C64C9A">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12F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restart"/>
                  <w:noWrap w:val="0"/>
                  <w:vAlign w:val="center"/>
                </w:tcPr>
                <w:p w14:paraId="594ADD0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11</w:t>
                  </w:r>
                </w:p>
              </w:tc>
              <w:tc>
                <w:tcPr>
                  <w:tcW w:w="468" w:type="dxa"/>
                  <w:vMerge w:val="continue"/>
                  <w:noWrap w:val="0"/>
                  <w:vAlign w:val="center"/>
                </w:tcPr>
                <w:p w14:paraId="049BD31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shd w:val="clear" w:color="auto" w:fill="auto"/>
                  <w:noWrap w:val="0"/>
                  <w:vAlign w:val="center"/>
                </w:tcPr>
                <w:p w14:paraId="21D9BF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946" w:type="dxa"/>
                  <w:vMerge w:val="restart"/>
                  <w:shd w:val="clear" w:color="auto" w:fill="auto"/>
                  <w:noWrap w:val="0"/>
                  <w:vAlign w:val="center"/>
                </w:tcPr>
                <w:p w14:paraId="05E78B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42E0299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2A0A41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noWrap w:val="0"/>
                  <w:vAlign w:val="center"/>
                </w:tcPr>
                <w:p w14:paraId="71951D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-67.7</w:t>
                  </w:r>
                </w:p>
              </w:tc>
              <w:tc>
                <w:tcPr>
                  <w:tcW w:w="546" w:type="dxa"/>
                  <w:vMerge w:val="restart"/>
                  <w:noWrap w:val="0"/>
                  <w:vAlign w:val="center"/>
                </w:tcPr>
                <w:p w14:paraId="5BFB109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242</w:t>
                  </w:r>
                </w:p>
              </w:tc>
              <w:tc>
                <w:tcPr>
                  <w:tcW w:w="514" w:type="dxa"/>
                  <w:vMerge w:val="restart"/>
                  <w:noWrap w:val="0"/>
                  <w:vAlign w:val="center"/>
                </w:tcPr>
                <w:p w14:paraId="3F806D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1E2754D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2A4553E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32D8B43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2AC7998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shd w:val="clear" w:color="auto" w:fill="auto"/>
                  <w:noWrap w:val="0"/>
                  <w:vAlign w:val="center"/>
                </w:tcPr>
                <w:p w14:paraId="778CF9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377827F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shd w:val="clear" w:color="auto" w:fill="auto"/>
                  <w:noWrap w:val="0"/>
                  <w:vAlign w:val="center"/>
                </w:tcPr>
                <w:p w14:paraId="2AA902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1B93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3057BF2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A2D19C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B8C5BF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05EE4C7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70DDBD9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D1C0CA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F46B65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19DF824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7785A4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D98C0E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2FFCB08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0196676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4216C5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96F065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3C6FAE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994B2A4">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031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5F2BF87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4AEC26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776823D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2F115C2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10072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3599B2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66F562B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D13976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7840F1C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237FFE6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78043E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07ABAB5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151582B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8747DE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7990DB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205A0A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901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228BCBA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772CC82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A05FC5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6FE7673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656916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9F38E1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6D1FA9A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D9DADD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3CB5097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14C33EF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54469F2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6501D7E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AAAC32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1A1E6DC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30DF08B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1202827A">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316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restart"/>
                  <w:noWrap w:val="0"/>
                  <w:vAlign w:val="center"/>
                </w:tcPr>
                <w:p w14:paraId="5A44D1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w:t>
                  </w:r>
                </w:p>
              </w:tc>
              <w:tc>
                <w:tcPr>
                  <w:tcW w:w="468" w:type="dxa"/>
                  <w:vMerge w:val="continue"/>
                  <w:noWrap w:val="0"/>
                  <w:vAlign w:val="center"/>
                </w:tcPr>
                <w:p w14:paraId="0FF917E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restart"/>
                  <w:shd w:val="clear" w:color="auto" w:fill="auto"/>
                  <w:noWrap w:val="0"/>
                  <w:vAlign w:val="center"/>
                </w:tcPr>
                <w:p w14:paraId="723E34D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皮</w:t>
                  </w:r>
                  <w:r>
                    <w:rPr>
                      <w:rFonts w:hint="default" w:ascii="Times New Roman" w:hAnsi="Times New Roman" w:cs="Times New Roman"/>
                      <w:color w:val="000000" w:themeColor="text1"/>
                      <w:highlight w:val="none"/>
                      <w:lang w:val="zh-CN" w:eastAsia="zh-CN"/>
                      <w14:textFill>
                        <w14:solidFill>
                          <w14:schemeClr w14:val="tx1"/>
                        </w14:solidFill>
                      </w14:textFill>
                    </w:rPr>
                    <w:t>带输送机</w:t>
                  </w: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946" w:type="dxa"/>
                  <w:vMerge w:val="restart"/>
                  <w:shd w:val="clear" w:color="auto" w:fill="auto"/>
                  <w:noWrap w:val="0"/>
                  <w:vAlign w:val="center"/>
                </w:tcPr>
                <w:p w14:paraId="378E0F6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187502C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413BC8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w:t>
                  </w:r>
                </w:p>
              </w:tc>
              <w:tc>
                <w:tcPr>
                  <w:tcW w:w="653" w:type="dxa"/>
                  <w:vMerge w:val="restart"/>
                  <w:noWrap w:val="0"/>
                  <w:vAlign w:val="center"/>
                </w:tcPr>
                <w:p w14:paraId="5F71127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-60.99</w:t>
                  </w:r>
                </w:p>
              </w:tc>
              <w:tc>
                <w:tcPr>
                  <w:tcW w:w="546" w:type="dxa"/>
                  <w:vMerge w:val="restart"/>
                  <w:noWrap w:val="0"/>
                  <w:vAlign w:val="center"/>
                </w:tcPr>
                <w:p w14:paraId="797815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243.85</w:t>
                  </w:r>
                </w:p>
              </w:tc>
              <w:tc>
                <w:tcPr>
                  <w:tcW w:w="514" w:type="dxa"/>
                  <w:vMerge w:val="restart"/>
                  <w:noWrap w:val="0"/>
                  <w:vAlign w:val="center"/>
                </w:tcPr>
                <w:p w14:paraId="2148A2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70B777E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4290759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noWrap w:val="0"/>
                  <w:vAlign w:val="center"/>
                </w:tcPr>
                <w:p w14:paraId="74FDEF6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75</w:t>
                  </w:r>
                </w:p>
              </w:tc>
              <w:tc>
                <w:tcPr>
                  <w:tcW w:w="1266" w:type="dxa"/>
                  <w:vMerge w:val="continue"/>
                  <w:noWrap w:val="0"/>
                  <w:vAlign w:val="center"/>
                </w:tcPr>
                <w:p w14:paraId="42DB3D4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restart"/>
                  <w:shd w:val="clear" w:color="auto" w:fill="auto"/>
                  <w:noWrap w:val="0"/>
                  <w:vAlign w:val="center"/>
                </w:tcPr>
                <w:p w14:paraId="64FD58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5CA470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565" w:type="dxa"/>
                  <w:vMerge w:val="restart"/>
                  <w:shd w:val="clear" w:color="auto" w:fill="auto"/>
                  <w:noWrap w:val="0"/>
                  <w:vAlign w:val="center"/>
                </w:tcPr>
                <w:p w14:paraId="5D2AFCB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6CF1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523D058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D78520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49DA28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69FD3E9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56F60D2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8B1BBE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6CE2F18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7E3D50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6F37EC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0BF6B6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7FCC1E0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589F6B6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440107C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F2A99D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47047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64F2B93">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0930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6C2FC68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7025AA6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6912236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68F985B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53EC2D7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040C3AA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56BE92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3436D07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329FDA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34DCA6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346BAC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23E2A8F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06A68ED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2BBEE87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61F882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66D5D6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0103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71" w:type="dxa"/>
                  <w:vMerge w:val="continue"/>
                  <w:noWrap w:val="0"/>
                  <w:vAlign w:val="center"/>
                </w:tcPr>
                <w:p w14:paraId="3068F19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D490DD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1981C7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12C57D7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4DE23A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048F3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8E3EDC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6187A01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79155DF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0EFD18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481946F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0F63165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9C152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3715ED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668764D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C5CB81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8CC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restart"/>
                  <w:noWrap w:val="0"/>
                  <w:vAlign w:val="center"/>
                </w:tcPr>
                <w:p w14:paraId="3B44EEF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13</w:t>
                  </w:r>
                </w:p>
              </w:tc>
              <w:tc>
                <w:tcPr>
                  <w:tcW w:w="468" w:type="dxa"/>
                  <w:vMerge w:val="continue"/>
                  <w:noWrap w:val="0"/>
                  <w:vAlign w:val="center"/>
                </w:tcPr>
                <w:p w14:paraId="3A0E88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6BAB967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鄂式破碎机</w:t>
                  </w:r>
                </w:p>
              </w:tc>
              <w:tc>
                <w:tcPr>
                  <w:tcW w:w="946" w:type="dxa"/>
                  <w:vMerge w:val="restart"/>
                  <w:noWrap w:val="0"/>
                  <w:vAlign w:val="center"/>
                </w:tcPr>
                <w:p w14:paraId="478B3FB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noWrap w:val="0"/>
                  <w:vAlign w:val="center"/>
                </w:tcPr>
                <w:p w14:paraId="4F86D1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7BA4CFA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653" w:type="dxa"/>
                  <w:vMerge w:val="restart"/>
                  <w:noWrap w:val="0"/>
                  <w:vAlign w:val="center"/>
                </w:tcPr>
                <w:p w14:paraId="3077611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-38.6</w:t>
                  </w:r>
                </w:p>
              </w:tc>
              <w:tc>
                <w:tcPr>
                  <w:tcW w:w="546" w:type="dxa"/>
                  <w:vMerge w:val="restart"/>
                  <w:noWrap w:val="0"/>
                  <w:vAlign w:val="center"/>
                </w:tcPr>
                <w:p w14:paraId="7D7679B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259.79</w:t>
                  </w:r>
                </w:p>
              </w:tc>
              <w:tc>
                <w:tcPr>
                  <w:tcW w:w="514" w:type="dxa"/>
                  <w:vMerge w:val="restart"/>
                  <w:noWrap w:val="0"/>
                  <w:vAlign w:val="center"/>
                </w:tcPr>
                <w:p w14:paraId="4F7E4AD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noWrap w:val="0"/>
                  <w:vAlign w:val="center"/>
                </w:tcPr>
                <w:p w14:paraId="34ABE41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6819705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restart"/>
                  <w:noWrap w:val="0"/>
                  <w:vAlign w:val="center"/>
                </w:tcPr>
                <w:p w14:paraId="2957867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83</w:t>
                  </w:r>
                </w:p>
              </w:tc>
              <w:tc>
                <w:tcPr>
                  <w:tcW w:w="1266" w:type="dxa"/>
                  <w:vMerge w:val="continue"/>
                  <w:noWrap w:val="0"/>
                  <w:vAlign w:val="center"/>
                </w:tcPr>
                <w:p w14:paraId="43A30D2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noWrap w:val="0"/>
                  <w:vAlign w:val="center"/>
                </w:tcPr>
                <w:p w14:paraId="4857E2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3F71DCF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68</w:t>
                  </w:r>
                </w:p>
              </w:tc>
              <w:tc>
                <w:tcPr>
                  <w:tcW w:w="565" w:type="dxa"/>
                  <w:vMerge w:val="restart"/>
                  <w:noWrap w:val="0"/>
                  <w:vAlign w:val="center"/>
                </w:tcPr>
                <w:p w14:paraId="2AA79F0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4307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22917BA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6E255A4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2FC5B34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1CB703F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5C22B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D6A15E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CE4454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1F4DE12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6D9ED24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2C26235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2900B8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c>
                <w:tcPr>
                  <w:tcW w:w="684" w:type="dxa"/>
                  <w:vMerge w:val="continue"/>
                  <w:noWrap w:val="0"/>
                  <w:vAlign w:val="center"/>
                </w:tcPr>
                <w:p w14:paraId="5E5C302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68E20FF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9C155A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951785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94B6FA9">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8BC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74E27E4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6DC9CD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2710440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00C9A59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E27F9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29FCE33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7DA80D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14DD9AB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7812B8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0AE564A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0ECE1BC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w:t>
                  </w:r>
                </w:p>
              </w:tc>
              <w:tc>
                <w:tcPr>
                  <w:tcW w:w="684" w:type="dxa"/>
                  <w:vMerge w:val="continue"/>
                  <w:noWrap w:val="0"/>
                  <w:vAlign w:val="center"/>
                </w:tcPr>
                <w:p w14:paraId="0A5CCE2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74FCA4B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89D5B6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E1D8CF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031CE1F3">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3EFB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1809443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3CE1C0F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59EDAA0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FEDD1D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4322FE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70E02EC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727670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6E6161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9A32C6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57403C8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660195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684" w:type="dxa"/>
                  <w:vMerge w:val="continue"/>
                  <w:noWrap w:val="0"/>
                  <w:vAlign w:val="center"/>
                </w:tcPr>
                <w:p w14:paraId="1BFE2A0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32FE12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D23F7F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72E265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4815D478">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0EDB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restart"/>
                  <w:noWrap w:val="0"/>
                  <w:vAlign w:val="center"/>
                </w:tcPr>
                <w:p w14:paraId="7C5609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14</w:t>
                  </w:r>
                </w:p>
              </w:tc>
              <w:tc>
                <w:tcPr>
                  <w:tcW w:w="468" w:type="dxa"/>
                  <w:vMerge w:val="continue"/>
                  <w:noWrap w:val="0"/>
                  <w:vAlign w:val="center"/>
                </w:tcPr>
                <w:p w14:paraId="4DBD9E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6859EB2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圆锥破碎机</w:t>
                  </w:r>
                </w:p>
              </w:tc>
              <w:tc>
                <w:tcPr>
                  <w:tcW w:w="946" w:type="dxa"/>
                  <w:vMerge w:val="restart"/>
                  <w:noWrap w:val="0"/>
                  <w:vAlign w:val="center"/>
                </w:tcPr>
                <w:p w14:paraId="32604F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noWrap w:val="0"/>
                  <w:vAlign w:val="center"/>
                </w:tcPr>
                <w:p w14:paraId="42A7F0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42ABCAE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653" w:type="dxa"/>
                  <w:vMerge w:val="restart"/>
                  <w:noWrap w:val="0"/>
                  <w:vAlign w:val="center"/>
                </w:tcPr>
                <w:p w14:paraId="1D65C7E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-50.92</w:t>
                  </w:r>
                </w:p>
              </w:tc>
              <w:tc>
                <w:tcPr>
                  <w:tcW w:w="546" w:type="dxa"/>
                  <w:vMerge w:val="restart"/>
                  <w:noWrap w:val="0"/>
                  <w:vAlign w:val="center"/>
                </w:tcPr>
                <w:p w14:paraId="3877BBC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255.18</w:t>
                  </w:r>
                </w:p>
              </w:tc>
              <w:tc>
                <w:tcPr>
                  <w:tcW w:w="514" w:type="dxa"/>
                  <w:vMerge w:val="restart"/>
                  <w:noWrap w:val="0"/>
                  <w:vAlign w:val="center"/>
                </w:tcPr>
                <w:p w14:paraId="27E1E8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noWrap w:val="0"/>
                  <w:vAlign w:val="center"/>
                </w:tcPr>
                <w:p w14:paraId="535D114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1ADED29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w:t>
                  </w:r>
                </w:p>
              </w:tc>
              <w:tc>
                <w:tcPr>
                  <w:tcW w:w="684" w:type="dxa"/>
                  <w:vMerge w:val="restart"/>
                  <w:noWrap w:val="0"/>
                  <w:vAlign w:val="center"/>
                </w:tcPr>
                <w:p w14:paraId="2120084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83</w:t>
                  </w:r>
                </w:p>
              </w:tc>
              <w:tc>
                <w:tcPr>
                  <w:tcW w:w="1266" w:type="dxa"/>
                  <w:vMerge w:val="restart"/>
                  <w:noWrap w:val="0"/>
                  <w:vAlign w:val="center"/>
                </w:tcPr>
                <w:p w14:paraId="797F985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noWrap w:val="0"/>
                  <w:vAlign w:val="center"/>
                </w:tcPr>
                <w:p w14:paraId="20358E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489FB6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68</w:t>
                  </w:r>
                </w:p>
              </w:tc>
              <w:tc>
                <w:tcPr>
                  <w:tcW w:w="565" w:type="dxa"/>
                  <w:vMerge w:val="restart"/>
                  <w:noWrap w:val="0"/>
                  <w:vAlign w:val="center"/>
                </w:tcPr>
                <w:p w14:paraId="56E5744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08BB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4238BBF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69A0938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635AA76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0CDE25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FA9D3E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2AF4DF1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2A65D6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38E81E3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EC3EF9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4AA81EC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517FA63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27</w:t>
                  </w:r>
                </w:p>
              </w:tc>
              <w:tc>
                <w:tcPr>
                  <w:tcW w:w="684" w:type="dxa"/>
                  <w:vMerge w:val="continue"/>
                  <w:noWrap w:val="0"/>
                  <w:vAlign w:val="center"/>
                </w:tcPr>
                <w:p w14:paraId="4436EA5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79630AC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5B2C48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F964E0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5316BDE0">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874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26BEBF4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816D05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3F77F6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272DFE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3E84974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90B972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5824FFE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E5251C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D4129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35CD8CF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50DC73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179230C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0B2490E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6F2E07C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0B131E3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A9BC60A">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02B0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0729E40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13558DA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12DFEBB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CD0CCF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2F7A554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5E6EFB1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C0187E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8F0D4B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109F326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1A71FDE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5467897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16</w:t>
                  </w:r>
                </w:p>
              </w:tc>
              <w:tc>
                <w:tcPr>
                  <w:tcW w:w="684" w:type="dxa"/>
                  <w:vMerge w:val="continue"/>
                  <w:noWrap w:val="0"/>
                  <w:vAlign w:val="center"/>
                </w:tcPr>
                <w:p w14:paraId="5A069F9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3262C75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06FE40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2D71B5A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5DA27D2E">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9C6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restart"/>
                  <w:noWrap w:val="0"/>
                  <w:vAlign w:val="center"/>
                </w:tcPr>
                <w:p w14:paraId="08731DF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5</w:t>
                  </w:r>
                </w:p>
              </w:tc>
              <w:tc>
                <w:tcPr>
                  <w:tcW w:w="468" w:type="dxa"/>
                  <w:vMerge w:val="continue"/>
                  <w:noWrap w:val="0"/>
                  <w:vAlign w:val="center"/>
                </w:tcPr>
                <w:p w14:paraId="4FF71B7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47C81BC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脉冲式布袋除尘器1#</w:t>
                  </w:r>
                </w:p>
              </w:tc>
              <w:tc>
                <w:tcPr>
                  <w:tcW w:w="946" w:type="dxa"/>
                  <w:vMerge w:val="restart"/>
                  <w:shd w:val="clear" w:color="auto" w:fill="auto"/>
                  <w:noWrap w:val="0"/>
                  <w:vAlign w:val="center"/>
                </w:tcPr>
                <w:p w14:paraId="66CC6C8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47203C7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12B395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653" w:type="dxa"/>
                  <w:vMerge w:val="restart"/>
                  <w:noWrap w:val="0"/>
                  <w:vAlign w:val="center"/>
                </w:tcPr>
                <w:p w14:paraId="4FD98F2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-51.53</w:t>
                  </w:r>
                </w:p>
              </w:tc>
              <w:tc>
                <w:tcPr>
                  <w:tcW w:w="546" w:type="dxa"/>
                  <w:vMerge w:val="restart"/>
                  <w:noWrap w:val="0"/>
                  <w:vAlign w:val="center"/>
                </w:tcPr>
                <w:p w14:paraId="2D0946F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241.67</w:t>
                  </w:r>
                </w:p>
              </w:tc>
              <w:tc>
                <w:tcPr>
                  <w:tcW w:w="514" w:type="dxa"/>
                  <w:vMerge w:val="restart"/>
                  <w:noWrap w:val="0"/>
                  <w:vAlign w:val="center"/>
                </w:tcPr>
                <w:p w14:paraId="07143F5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6424D0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605FDA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shd w:val="clear" w:color="auto" w:fill="auto"/>
                  <w:noWrap w:val="0"/>
                  <w:vAlign w:val="center"/>
                </w:tcPr>
                <w:p w14:paraId="056F192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83</w:t>
                  </w:r>
                </w:p>
              </w:tc>
              <w:tc>
                <w:tcPr>
                  <w:tcW w:w="1266" w:type="dxa"/>
                  <w:vMerge w:val="continue"/>
                  <w:shd w:val="clear" w:color="auto" w:fill="auto"/>
                  <w:noWrap w:val="0"/>
                  <w:vAlign w:val="center"/>
                </w:tcPr>
                <w:p w14:paraId="654AC55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shd w:val="clear" w:color="auto" w:fill="auto"/>
                  <w:noWrap w:val="0"/>
                  <w:vAlign w:val="center"/>
                </w:tcPr>
                <w:p w14:paraId="7E73D92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32713CF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68</w:t>
                  </w:r>
                </w:p>
              </w:tc>
              <w:tc>
                <w:tcPr>
                  <w:tcW w:w="565" w:type="dxa"/>
                  <w:vMerge w:val="restart"/>
                  <w:shd w:val="clear" w:color="auto" w:fill="auto"/>
                  <w:noWrap w:val="0"/>
                  <w:vAlign w:val="center"/>
                </w:tcPr>
                <w:p w14:paraId="4F1391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6CA0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7DD8B2E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C534A1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596B9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CAB5EA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92B57B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1BEDE12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65F0EAB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2A8605B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5CE0F8C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6AB116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3D5349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2212B3A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4AF19AE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00B850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A0D329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7E39A8E">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4999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25AF5F8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0F33D7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6ACFDB7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3ECB255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44047F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3AACF51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5CF270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142CD96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2D3DD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5537FE3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20A055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72E1D90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38AC816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2746C3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8AF182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4E847215">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7C8A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784699E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29C654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D835A8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1178F70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378047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0FBDDB4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2611F26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72B509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7EA4A6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63ABF76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1A0D5B2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00DFEB3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10CC629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4463DC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74D25A6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FDA4950">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32A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restart"/>
                  <w:noWrap w:val="0"/>
                  <w:vAlign w:val="center"/>
                </w:tcPr>
                <w:p w14:paraId="1B8A9F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6</w:t>
                  </w:r>
                </w:p>
              </w:tc>
              <w:tc>
                <w:tcPr>
                  <w:tcW w:w="468" w:type="dxa"/>
                  <w:vMerge w:val="continue"/>
                  <w:noWrap w:val="0"/>
                  <w:vAlign w:val="center"/>
                </w:tcPr>
                <w:p w14:paraId="24AF48C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295331A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脉冲式布袋除尘器2#</w:t>
                  </w:r>
                </w:p>
              </w:tc>
              <w:tc>
                <w:tcPr>
                  <w:tcW w:w="946" w:type="dxa"/>
                  <w:vMerge w:val="restart"/>
                  <w:shd w:val="clear" w:color="auto" w:fill="auto"/>
                  <w:noWrap w:val="0"/>
                  <w:vAlign w:val="center"/>
                </w:tcPr>
                <w:p w14:paraId="2385800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shd w:val="clear" w:color="auto" w:fill="auto"/>
                  <w:noWrap w:val="0"/>
                  <w:vAlign w:val="center"/>
                </w:tcPr>
                <w:p w14:paraId="75D7464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shd w:val="clear" w:color="auto" w:fill="auto"/>
                  <w:noWrap w:val="0"/>
                  <w:vAlign w:val="center"/>
                </w:tcPr>
                <w:p w14:paraId="0C0CB1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653" w:type="dxa"/>
                  <w:vMerge w:val="restart"/>
                  <w:noWrap w:val="0"/>
                  <w:vAlign w:val="center"/>
                </w:tcPr>
                <w:p w14:paraId="28DEF78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-45.71</w:t>
                  </w:r>
                </w:p>
              </w:tc>
              <w:tc>
                <w:tcPr>
                  <w:tcW w:w="546" w:type="dxa"/>
                  <w:vMerge w:val="restart"/>
                  <w:noWrap w:val="0"/>
                  <w:vAlign w:val="center"/>
                </w:tcPr>
                <w:p w14:paraId="5D92175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244.42</w:t>
                  </w:r>
                </w:p>
              </w:tc>
              <w:tc>
                <w:tcPr>
                  <w:tcW w:w="514" w:type="dxa"/>
                  <w:vMerge w:val="restart"/>
                  <w:noWrap w:val="0"/>
                  <w:vAlign w:val="center"/>
                </w:tcPr>
                <w:p w14:paraId="113F4EA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shd w:val="clear" w:color="auto" w:fill="auto"/>
                  <w:noWrap w:val="0"/>
                  <w:vAlign w:val="center"/>
                </w:tcPr>
                <w:p w14:paraId="71AB97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3C1AAE2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w:t>
                  </w:r>
                </w:p>
              </w:tc>
              <w:tc>
                <w:tcPr>
                  <w:tcW w:w="684" w:type="dxa"/>
                  <w:vMerge w:val="restart"/>
                  <w:shd w:val="clear" w:color="auto" w:fill="auto"/>
                  <w:noWrap w:val="0"/>
                  <w:vAlign w:val="center"/>
                </w:tcPr>
                <w:p w14:paraId="03B615A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83</w:t>
                  </w:r>
                </w:p>
              </w:tc>
              <w:tc>
                <w:tcPr>
                  <w:tcW w:w="1266" w:type="dxa"/>
                  <w:vMerge w:val="continue"/>
                  <w:shd w:val="clear" w:color="auto" w:fill="auto"/>
                  <w:noWrap w:val="0"/>
                  <w:vAlign w:val="center"/>
                </w:tcPr>
                <w:p w14:paraId="6965D21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shd w:val="clear" w:color="auto" w:fill="auto"/>
                  <w:noWrap w:val="0"/>
                  <w:vAlign w:val="center"/>
                </w:tcPr>
                <w:p w14:paraId="16A6CE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shd w:val="clear" w:color="auto" w:fill="auto"/>
                  <w:noWrap w:val="0"/>
                  <w:vAlign w:val="center"/>
                </w:tcPr>
                <w:p w14:paraId="00B46FE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68</w:t>
                  </w:r>
                </w:p>
              </w:tc>
              <w:tc>
                <w:tcPr>
                  <w:tcW w:w="565" w:type="dxa"/>
                  <w:vMerge w:val="restart"/>
                  <w:shd w:val="clear" w:color="auto" w:fill="auto"/>
                  <w:noWrap w:val="0"/>
                  <w:vAlign w:val="center"/>
                </w:tcPr>
                <w:p w14:paraId="592D71A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6F0F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4E5E848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FEFC18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3F8BE57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002DF0C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C776D7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6558146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DA1B56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4D2F75C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CD92A5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393704B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7D98D6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continue"/>
                  <w:noWrap w:val="0"/>
                  <w:vAlign w:val="center"/>
                </w:tcPr>
                <w:p w14:paraId="3935941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5B14AF6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1EC4B14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01082C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0E09FB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1FE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37DAFC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2EAAF4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2981596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0D92773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49691B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D1A68D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075C664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E9A0DB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0EAE5EE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71FF04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1A1B1EC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21C6334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026CFA7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0BB0CAF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F3BA1F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74290991">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749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1" w:type="dxa"/>
                  <w:vMerge w:val="continue"/>
                  <w:noWrap w:val="0"/>
                  <w:vAlign w:val="center"/>
                </w:tcPr>
                <w:p w14:paraId="12796BE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9C3578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2C49BE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70E14B6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1DF960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A55280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4E85F07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6C8679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4547150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shd w:val="clear" w:color="auto" w:fill="auto"/>
                  <w:noWrap w:val="0"/>
                  <w:vAlign w:val="center"/>
                </w:tcPr>
                <w:p w14:paraId="353BAF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shd w:val="clear" w:color="auto" w:fill="auto"/>
                  <w:noWrap w:val="0"/>
                  <w:vAlign w:val="center"/>
                </w:tcPr>
                <w:p w14:paraId="4CDB634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15DC967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DFA0D0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76B193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254B8E8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3E2D62C">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2316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71" w:type="dxa"/>
                  <w:vMerge w:val="restart"/>
                  <w:noWrap w:val="0"/>
                  <w:vAlign w:val="center"/>
                </w:tcPr>
                <w:p w14:paraId="1E2E6C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7</w:t>
                  </w:r>
                </w:p>
              </w:tc>
              <w:tc>
                <w:tcPr>
                  <w:tcW w:w="468" w:type="dxa"/>
                  <w:vMerge w:val="continue"/>
                  <w:noWrap w:val="0"/>
                  <w:vAlign w:val="center"/>
                </w:tcPr>
                <w:p w14:paraId="0AA0EC8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437" w:type="dxa"/>
                  <w:vMerge w:val="restart"/>
                  <w:noWrap w:val="0"/>
                  <w:vAlign w:val="center"/>
                </w:tcPr>
                <w:p w14:paraId="7804D98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脉冲式布袋除尘器3#</w:t>
                  </w:r>
                </w:p>
              </w:tc>
              <w:tc>
                <w:tcPr>
                  <w:tcW w:w="946" w:type="dxa"/>
                  <w:vMerge w:val="restart"/>
                  <w:noWrap w:val="0"/>
                  <w:vAlign w:val="center"/>
                </w:tcPr>
                <w:p w14:paraId="669E89A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74" w:type="dxa"/>
                  <w:vMerge w:val="restart"/>
                  <w:noWrap w:val="0"/>
                  <w:vAlign w:val="center"/>
                </w:tcPr>
                <w:p w14:paraId="4B371D6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709" w:type="dxa"/>
                  <w:vMerge w:val="restart"/>
                  <w:noWrap w:val="0"/>
                  <w:vAlign w:val="center"/>
                </w:tcPr>
                <w:p w14:paraId="5427F1C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653" w:type="dxa"/>
                  <w:vMerge w:val="restart"/>
                  <w:noWrap w:val="0"/>
                  <w:vAlign w:val="center"/>
                </w:tcPr>
                <w:p w14:paraId="6FA712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-40.45</w:t>
                  </w:r>
                </w:p>
              </w:tc>
              <w:tc>
                <w:tcPr>
                  <w:tcW w:w="546" w:type="dxa"/>
                  <w:vMerge w:val="restart"/>
                  <w:noWrap w:val="0"/>
                  <w:vAlign w:val="center"/>
                </w:tcPr>
                <w:p w14:paraId="2FE4C3C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246.85</w:t>
                  </w:r>
                </w:p>
              </w:tc>
              <w:tc>
                <w:tcPr>
                  <w:tcW w:w="514" w:type="dxa"/>
                  <w:vMerge w:val="restart"/>
                  <w:noWrap w:val="0"/>
                  <w:vAlign w:val="center"/>
                </w:tcPr>
                <w:p w14:paraId="7001154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1" w:type="dxa"/>
                  <w:noWrap w:val="0"/>
                  <w:vAlign w:val="center"/>
                </w:tcPr>
                <w:p w14:paraId="57EC440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东</w:t>
                  </w:r>
                </w:p>
              </w:tc>
              <w:tc>
                <w:tcPr>
                  <w:tcW w:w="606" w:type="dxa"/>
                  <w:shd w:val="clear" w:color="auto" w:fill="auto"/>
                  <w:noWrap w:val="0"/>
                  <w:vAlign w:val="center"/>
                </w:tcPr>
                <w:p w14:paraId="5FA0CC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684" w:type="dxa"/>
                  <w:vMerge w:val="restart"/>
                  <w:noWrap w:val="0"/>
                  <w:vAlign w:val="center"/>
                </w:tcPr>
                <w:p w14:paraId="570E6C4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83</w:t>
                  </w:r>
                </w:p>
              </w:tc>
              <w:tc>
                <w:tcPr>
                  <w:tcW w:w="1266" w:type="dxa"/>
                  <w:vMerge w:val="continue"/>
                  <w:noWrap w:val="0"/>
                  <w:vAlign w:val="center"/>
                </w:tcPr>
                <w:p w14:paraId="7E13229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678" w:type="dxa"/>
                  <w:vMerge w:val="restart"/>
                  <w:noWrap w:val="0"/>
                  <w:vAlign w:val="center"/>
                </w:tcPr>
                <w:p w14:paraId="5677F8F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980" w:type="dxa"/>
                  <w:vMerge w:val="restart"/>
                  <w:noWrap w:val="0"/>
                  <w:vAlign w:val="center"/>
                </w:tcPr>
                <w:p w14:paraId="0D4DD5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68</w:t>
                  </w:r>
                </w:p>
              </w:tc>
              <w:tc>
                <w:tcPr>
                  <w:tcW w:w="565" w:type="dxa"/>
                  <w:vMerge w:val="restart"/>
                  <w:noWrap w:val="0"/>
                  <w:vAlign w:val="center"/>
                </w:tcPr>
                <w:p w14:paraId="6DF0C3C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0EB0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71" w:type="dxa"/>
                  <w:vMerge w:val="continue"/>
                  <w:noWrap w:val="0"/>
                  <w:vAlign w:val="center"/>
                </w:tcPr>
                <w:p w14:paraId="5E10D0C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5C96255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153D107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19D0EAC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07D4224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444FB79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11C17FA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06587405">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627A6D9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7DD164E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06" w:type="dxa"/>
                  <w:shd w:val="clear" w:color="auto" w:fill="auto"/>
                  <w:noWrap w:val="0"/>
                  <w:vAlign w:val="center"/>
                </w:tcPr>
                <w:p w14:paraId="736838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w:t>
                  </w:r>
                </w:p>
              </w:tc>
              <w:tc>
                <w:tcPr>
                  <w:tcW w:w="684" w:type="dxa"/>
                  <w:vMerge w:val="continue"/>
                  <w:noWrap w:val="0"/>
                  <w:vAlign w:val="center"/>
                </w:tcPr>
                <w:p w14:paraId="4AA9264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212312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3E124FA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14B2C25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66CADC9B">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1084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71" w:type="dxa"/>
                  <w:vMerge w:val="continue"/>
                  <w:noWrap w:val="0"/>
                  <w:vAlign w:val="center"/>
                </w:tcPr>
                <w:p w14:paraId="7A6B0CE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2553072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491669E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58FE20F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3BCCFF5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3487E11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7804CFA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528F1EE7">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2AA25A5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283EE1F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06" w:type="dxa"/>
                  <w:shd w:val="clear" w:color="auto" w:fill="auto"/>
                  <w:noWrap w:val="0"/>
                  <w:vAlign w:val="center"/>
                </w:tcPr>
                <w:p w14:paraId="7576ED2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684" w:type="dxa"/>
                  <w:vMerge w:val="continue"/>
                  <w:noWrap w:val="0"/>
                  <w:vAlign w:val="center"/>
                </w:tcPr>
                <w:p w14:paraId="78D95BD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2257045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764F457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4572908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2DA6B53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0B67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71" w:type="dxa"/>
                  <w:vMerge w:val="continue"/>
                  <w:noWrap w:val="0"/>
                  <w:vAlign w:val="center"/>
                </w:tcPr>
                <w:p w14:paraId="28F5684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468" w:type="dxa"/>
                  <w:vMerge w:val="continue"/>
                  <w:noWrap w:val="0"/>
                  <w:vAlign w:val="center"/>
                </w:tcPr>
                <w:p w14:paraId="4448B96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37" w:type="dxa"/>
                  <w:vMerge w:val="continue"/>
                  <w:noWrap w:val="0"/>
                  <w:vAlign w:val="center"/>
                </w:tcPr>
                <w:p w14:paraId="0AB7574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46" w:type="dxa"/>
                  <w:vMerge w:val="continue"/>
                  <w:noWrap w:val="0"/>
                  <w:vAlign w:val="center"/>
                </w:tcPr>
                <w:p w14:paraId="4E96D7F0">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74" w:type="dxa"/>
                  <w:vMerge w:val="continue"/>
                  <w:noWrap w:val="0"/>
                  <w:vAlign w:val="center"/>
                </w:tcPr>
                <w:p w14:paraId="4F820D9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709" w:type="dxa"/>
                  <w:vMerge w:val="continue"/>
                  <w:noWrap w:val="0"/>
                  <w:vAlign w:val="center"/>
                </w:tcPr>
                <w:p w14:paraId="5AD8C6BC">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53" w:type="dxa"/>
                  <w:vMerge w:val="continue"/>
                  <w:noWrap w:val="0"/>
                  <w:vAlign w:val="center"/>
                </w:tcPr>
                <w:p w14:paraId="3666D33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46" w:type="dxa"/>
                  <w:vMerge w:val="continue"/>
                  <w:noWrap w:val="0"/>
                  <w:vAlign w:val="center"/>
                </w:tcPr>
                <w:p w14:paraId="34188A9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14" w:type="dxa"/>
                  <w:vMerge w:val="continue"/>
                  <w:noWrap w:val="0"/>
                  <w:vAlign w:val="center"/>
                </w:tcPr>
                <w:p w14:paraId="76756B0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1" w:type="dxa"/>
                  <w:noWrap w:val="0"/>
                  <w:vAlign w:val="center"/>
                </w:tcPr>
                <w:p w14:paraId="4070B72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06" w:type="dxa"/>
                  <w:noWrap w:val="0"/>
                  <w:vAlign w:val="center"/>
                </w:tcPr>
                <w:p w14:paraId="2331F8A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12</w:t>
                  </w:r>
                </w:p>
              </w:tc>
              <w:tc>
                <w:tcPr>
                  <w:tcW w:w="684" w:type="dxa"/>
                  <w:vMerge w:val="continue"/>
                  <w:noWrap w:val="0"/>
                  <w:vAlign w:val="center"/>
                </w:tcPr>
                <w:p w14:paraId="604A382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66" w:type="dxa"/>
                  <w:vMerge w:val="continue"/>
                  <w:noWrap w:val="0"/>
                  <w:vAlign w:val="center"/>
                </w:tcPr>
                <w:p w14:paraId="001F2BA4">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678" w:type="dxa"/>
                  <w:vMerge w:val="continue"/>
                  <w:noWrap w:val="0"/>
                  <w:vAlign w:val="center"/>
                </w:tcPr>
                <w:p w14:paraId="682BBB52">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980" w:type="dxa"/>
                  <w:vMerge w:val="continue"/>
                  <w:noWrap w:val="0"/>
                  <w:vAlign w:val="center"/>
                </w:tcPr>
                <w:p w14:paraId="5B93B87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65" w:type="dxa"/>
                  <w:vMerge w:val="continue"/>
                  <w:noWrap w:val="0"/>
                  <w:vAlign w:val="center"/>
                </w:tcPr>
                <w:p w14:paraId="35F72770">
                  <w:pPr>
                    <w:pStyle w:val="16"/>
                    <w:bidi w:val="0"/>
                    <w:rPr>
                      <w:rFonts w:hint="default" w:ascii="Times New Roman" w:hAnsi="Times New Roman" w:cs="Times New Roman"/>
                      <w:color w:val="000000" w:themeColor="text1"/>
                      <w:highlight w:val="none"/>
                      <w14:textFill>
                        <w14:solidFill>
                          <w14:schemeClr w14:val="tx1"/>
                        </w14:solidFill>
                      </w14:textFill>
                    </w:rPr>
                  </w:pPr>
                </w:p>
              </w:tc>
            </w:tr>
          </w:tbl>
          <w:p w14:paraId="112DF375">
            <w:pPr>
              <w:pStyle w:val="16"/>
              <w:bidi w:val="0"/>
              <w:rPr>
                <w:rFonts w:hint="default" w:ascii="Times New Roman" w:hAnsi="Times New Roman" w:cs="Times New Roman"/>
                <w:color w:val="000000" w:themeColor="text1"/>
                <w:highlight w:val="none"/>
                <w14:textFill>
                  <w14:solidFill>
                    <w14:schemeClr w14:val="tx1"/>
                  </w14:solidFill>
                </w14:textFill>
              </w:rPr>
            </w:pPr>
          </w:p>
        </w:tc>
      </w:tr>
    </w:tbl>
    <w:p w14:paraId="6409E6F2">
      <w:pPr>
        <w:jc w:val="center"/>
        <w:outlineLvl w:val="9"/>
        <w:rPr>
          <w:rFonts w:hint="default" w:ascii="Times New Roman" w:hAnsi="Times New Roman" w:eastAsia="黑体" w:cs="Times New Roman"/>
          <w:color w:val="000000" w:themeColor="text1"/>
          <w:sz w:val="30"/>
          <w:szCs w:val="30"/>
          <w:highlight w:val="none"/>
          <w14:textFill>
            <w14:solidFill>
              <w14:schemeClr w14:val="tx1"/>
            </w14:solidFill>
          </w14:textFill>
        </w:rPr>
      </w:pPr>
    </w:p>
    <w:p w14:paraId="632C475E">
      <w:pPr>
        <w:jc w:val="center"/>
        <w:outlineLvl w:val="9"/>
        <w:rPr>
          <w:rFonts w:hint="default" w:ascii="Times New Roman" w:hAnsi="Times New Roman" w:eastAsia="黑体" w:cs="Times New Roman"/>
          <w:color w:val="000000" w:themeColor="text1"/>
          <w:sz w:val="30"/>
          <w:szCs w:val="30"/>
          <w:highlight w:val="none"/>
          <w14:textFill>
            <w14:solidFill>
              <w14:schemeClr w14:val="tx1"/>
            </w14:solidFill>
          </w14:textFill>
        </w:rPr>
      </w:pPr>
    </w:p>
    <w:p w14:paraId="3E6F4302">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
        <w:gridCol w:w="8781"/>
      </w:tblGrid>
      <w:tr w14:paraId="762D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7" w:hRule="atLeast"/>
        </w:trPr>
        <w:tc>
          <w:tcPr>
            <w:tcW w:w="279" w:type="dxa"/>
          </w:tcPr>
          <w:p w14:paraId="39A43093">
            <w:pPr>
              <w:jc w:val="center"/>
              <w:outlineLvl w:val="0"/>
              <w:rPr>
                <w:rFonts w:hint="default" w:ascii="Times New Roman" w:hAnsi="Times New Roman" w:eastAsia="黑体" w:cs="Times New Roman"/>
                <w:color w:val="000000" w:themeColor="text1"/>
                <w:sz w:val="30"/>
                <w:szCs w:val="30"/>
                <w:highlight w:val="none"/>
                <w:vertAlign w:val="baseline"/>
                <w14:textFill>
                  <w14:solidFill>
                    <w14:schemeClr w14:val="tx1"/>
                  </w14:solidFill>
                </w14:textFill>
              </w:rPr>
            </w:pPr>
          </w:p>
        </w:tc>
        <w:tc>
          <w:tcPr>
            <w:tcW w:w="8781" w:type="dxa"/>
          </w:tcPr>
          <w:p w14:paraId="76A67E2E">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（2）声环境影响预测</w:t>
            </w:r>
          </w:p>
          <w:p w14:paraId="2E2E318F">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本项目主要的噪声设备根据设置的位置可分为室外声源、室内声源；采用《环境影响评价技术导则 声环境》（HJ2.4-2021）附录B中工业噪声预测计算模型进行预测，相关模型简述如下：</w:t>
            </w:r>
          </w:p>
          <w:p w14:paraId="27F77897">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w:t>
            </w:r>
            <w:r>
              <w:rPr>
                <w:rFonts w:hint="default" w:ascii="Times New Roman" w:hAnsi="Times New Roman" w:cs="Times New Roman"/>
                <w:color w:val="000000" w:themeColor="text1"/>
                <w:highlight w:val="none"/>
                <w14:textFill>
                  <w14:solidFill>
                    <w14:schemeClr w14:val="tx1"/>
                  </w14:solidFill>
                </w14:textFill>
              </w:rPr>
              <w:t>室外声源在环境影响评价中，应根据声源声功率级或参考位置处的声压级、户外声传播衰减，计算预测点的声级，按下式计算</w:t>
            </w:r>
          </w:p>
          <w:p w14:paraId="00619D28">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Lp(r)＝Lw+DC－</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Adiv+Aatm+Agr+Abar+Amisc</w:t>
            </w:r>
            <w:r>
              <w:rPr>
                <w:rFonts w:hint="default" w:ascii="Times New Roman" w:hAnsi="Times New Roman" w:cs="Times New Roman"/>
                <w:color w:val="000000" w:themeColor="text1"/>
                <w:highlight w:val="none"/>
                <w:lang w:eastAsia="zh-CN"/>
                <w14:textFill>
                  <w14:solidFill>
                    <w14:schemeClr w14:val="tx1"/>
                  </w14:solidFill>
                </w14:textFill>
              </w:rPr>
              <w:t>）</w:t>
            </w:r>
          </w:p>
          <w:p w14:paraId="12164231">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式中：Lp(r)—预测点处声压级，dB；</w:t>
            </w:r>
          </w:p>
          <w:p w14:paraId="111ED4C4">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Lw—倍频带声功率级，dB；</w:t>
            </w:r>
          </w:p>
          <w:p w14:paraId="5024967C">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DC—指向性校正，dB；它描述点声源的等效连续声压级与产生声功率级的全向点声源在规定方向的级的偏差程度；</w:t>
            </w:r>
          </w:p>
          <w:p w14:paraId="60036EBF">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Adiv—几何发散引起的倍频带衰减，dB；</w:t>
            </w:r>
          </w:p>
          <w:p w14:paraId="4146043D">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Aatm—大气吸收引起的倍频带衰减，dB；</w:t>
            </w:r>
          </w:p>
          <w:p w14:paraId="61D1A73D">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Agr—地面效应引起的倍频带衰减，dB；</w:t>
            </w:r>
          </w:p>
          <w:p w14:paraId="59B3D1F9">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Abar—声屏障引起的倍频带衰减，dB；</w:t>
            </w:r>
          </w:p>
          <w:p w14:paraId="57D0CF5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Amisc—其他多方面效应引起的倍频带衰减，dB。</w:t>
            </w:r>
          </w:p>
          <w:p w14:paraId="0C11F2CE">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无指向性点声源几何发散衰减</w:t>
            </w:r>
            <w:r>
              <w:rPr>
                <w:rFonts w:hint="default" w:ascii="Times New Roman" w:hAnsi="Times New Roman" w:cs="Times New Roman"/>
                <w:color w:val="000000" w:themeColor="text1"/>
                <w:highlight w:val="none"/>
                <w:lang w:eastAsia="zh-CN"/>
                <w14:textFill>
                  <w14:solidFill>
                    <w14:schemeClr w14:val="tx1"/>
                  </w14:solidFill>
                </w14:textFill>
              </w:rPr>
              <w:t>按</w:t>
            </w:r>
            <w:r>
              <w:rPr>
                <w:rFonts w:hint="default" w:ascii="Times New Roman" w:hAnsi="Times New Roman" w:cs="Times New Roman"/>
                <w:color w:val="000000" w:themeColor="text1"/>
                <w:highlight w:val="none"/>
                <w14:textFill>
                  <w14:solidFill>
                    <w14:schemeClr w14:val="tx1"/>
                  </w14:solidFill>
                </w14:textFill>
              </w:rPr>
              <w:t>下式计算</w:t>
            </w:r>
          </w:p>
          <w:p w14:paraId="6F042A7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Lp(r)=Lp(r0)-20lg(r/r0)</w:t>
            </w:r>
          </w:p>
          <w:p w14:paraId="5AD0AD9E">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式中：Lp(r)——建设项目声源在距离声源r处值，dB(A)；</w:t>
            </w:r>
          </w:p>
          <w:p w14:paraId="03CC3381">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Lp(r0)——建设项目声源值，dB(A)；</w:t>
            </w:r>
          </w:p>
          <w:p w14:paraId="1C21CD9B">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w:t>
            </w:r>
            <w:r>
              <w:rPr>
                <w:rFonts w:hint="default" w:ascii="Times New Roman" w:hAnsi="Times New Roman" w:cs="Times New Roman"/>
                <w:color w:val="000000" w:themeColor="text1"/>
                <w:highlight w:val="none"/>
                <w14:textFill>
                  <w14:solidFill>
                    <w14:schemeClr w14:val="tx1"/>
                  </w14:solidFill>
                </w14:textFill>
              </w:rPr>
              <w:t>室内声源等效室外声源声功率级计算方法声源位于室内，室内声源可采用等效室外声源声功率级法进行计算。设靠近开口处（或窗户）室内、室外某倍频带的声压级或A声级分别为Lp1和Lp2。若声源所在室内声场为近似扩散声场，则室外的倍频带声压级可按导则中的式（B.1）近似求出：</w:t>
            </w:r>
          </w:p>
          <w:p w14:paraId="0CED909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8480" behindDoc="0" locked="0" layoutInCell="1" allowOverlap="1">
                  <wp:simplePos x="0" y="0"/>
                  <wp:positionH relativeFrom="column">
                    <wp:posOffset>2019300</wp:posOffset>
                  </wp:positionH>
                  <wp:positionV relativeFrom="paragraph">
                    <wp:posOffset>177800</wp:posOffset>
                  </wp:positionV>
                  <wp:extent cx="1351915" cy="271145"/>
                  <wp:effectExtent l="0" t="0" r="4445" b="3175"/>
                  <wp:wrapTopAndBottom/>
                  <wp:docPr id="1" name="图片 1" descr="216aa74303aedfb03b6311d46defe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16aa74303aedfb03b6311d46defe3e"/>
                          <pic:cNvPicPr>
                            <a:picLocks noChangeAspect="1"/>
                          </pic:cNvPicPr>
                        </pic:nvPicPr>
                        <pic:blipFill>
                          <a:blip r:embed="rId31"/>
                          <a:stretch>
                            <a:fillRect/>
                          </a:stretch>
                        </pic:blipFill>
                        <pic:spPr>
                          <a:xfrm>
                            <a:off x="0" y="0"/>
                            <a:ext cx="1351915" cy="271145"/>
                          </a:xfrm>
                          <a:prstGeom prst="rect">
                            <a:avLst/>
                          </a:prstGeom>
                        </pic:spPr>
                      </pic:pic>
                    </a:graphicData>
                  </a:graphic>
                </wp:anchor>
              </w:drawing>
            </w:r>
          </w:p>
          <w:p w14:paraId="73FFD417">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式中：Lp1—靠近开口处（或窗户）室内某倍频带的声压级或A声级，dB；</w:t>
            </w:r>
          </w:p>
          <w:p w14:paraId="22BCD1E7">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Lp2—靠近开口处（或窗户）室外某倍频带的声压级或A声级，dB；</w:t>
            </w:r>
          </w:p>
          <w:p w14:paraId="425F1C1E">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TL—隔墙（或窗户）倍频带或A声级的隔声量，dB。</w:t>
            </w:r>
          </w:p>
          <w:p w14:paraId="4BB0DE93">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然后按室外声源预测方法计算预测点处的A声级。</w:t>
            </w:r>
          </w:p>
          <w:p w14:paraId="3E25C193">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③</w:t>
            </w:r>
            <w:r>
              <w:rPr>
                <w:rFonts w:hint="default" w:ascii="Times New Roman" w:hAnsi="Times New Roman" w:cs="Times New Roman"/>
                <w:color w:val="000000" w:themeColor="text1"/>
                <w:highlight w:val="none"/>
                <w14:textFill>
                  <w14:solidFill>
                    <w14:schemeClr w14:val="tx1"/>
                  </w14:solidFill>
                </w14:textFill>
              </w:rPr>
              <w:t>预测</w:t>
            </w:r>
          </w:p>
          <w:p w14:paraId="0AB95381">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建设项目声源在预测点产生的等效声级贡献值计算公式如下：</w:t>
            </w:r>
          </w:p>
          <w:p w14:paraId="3EE00E1F">
            <w:pPr>
              <w:bidi w:val="0"/>
              <w:spacing w:line="240" w:lineRule="auto"/>
              <w:ind w:firstLine="0" w:firstLineChars="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6432" behindDoc="0" locked="0" layoutInCell="1" allowOverlap="1">
                  <wp:simplePos x="0" y="0"/>
                  <wp:positionH relativeFrom="column">
                    <wp:posOffset>678180</wp:posOffset>
                  </wp:positionH>
                  <wp:positionV relativeFrom="paragraph">
                    <wp:posOffset>182880</wp:posOffset>
                  </wp:positionV>
                  <wp:extent cx="3312795" cy="567690"/>
                  <wp:effectExtent l="0" t="0" r="9525" b="11430"/>
                  <wp:wrapTopAndBottom/>
                  <wp:docPr id="2" name="图片 2" descr="0b6ad2231f81512ef950a5c36c9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b6ad2231f81512ef950a5c36c90053"/>
                          <pic:cNvPicPr>
                            <a:picLocks noChangeAspect="1"/>
                          </pic:cNvPicPr>
                        </pic:nvPicPr>
                        <pic:blipFill>
                          <a:blip r:embed="rId32"/>
                          <a:stretch>
                            <a:fillRect/>
                          </a:stretch>
                        </pic:blipFill>
                        <pic:spPr>
                          <a:xfrm>
                            <a:off x="0" y="0"/>
                            <a:ext cx="3312795" cy="567690"/>
                          </a:xfrm>
                          <a:prstGeom prst="rect">
                            <a:avLst/>
                          </a:prstGeom>
                        </pic:spPr>
                      </pic:pic>
                    </a:graphicData>
                  </a:graphic>
                </wp:anchor>
              </w:drawing>
            </w:r>
          </w:p>
          <w:p w14:paraId="69189A29">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式中：Leqg—建设项目声源在预测点产生的噪声贡献值，dB；</w:t>
            </w:r>
          </w:p>
          <w:p w14:paraId="52C0CAA3">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T—用于计算等效声级的时间，s；</w:t>
            </w:r>
          </w:p>
          <w:p w14:paraId="12C29F90">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N—室外声源个数；ti—在T时间内i声源工作时间，s；</w:t>
            </w:r>
          </w:p>
          <w:p w14:paraId="665604B6">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M—等效室外声源个数；tj—在T时间内j声源工作时间，s。</w:t>
            </w:r>
          </w:p>
          <w:p w14:paraId="74872014">
            <w:pPr>
              <w:bidi w:val="0"/>
              <w:spacing w:line="240" w:lineRule="auto"/>
              <w:ind w:firstLine="0" w:firstLineChars="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预测点的预测等效声级</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Leq</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计算公式如下：</w:t>
            </w:r>
          </w:p>
          <w:p w14:paraId="72C89224">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7456" behindDoc="0" locked="0" layoutInCell="1" allowOverlap="1">
                  <wp:simplePos x="0" y="0"/>
                  <wp:positionH relativeFrom="column">
                    <wp:posOffset>762000</wp:posOffset>
                  </wp:positionH>
                  <wp:positionV relativeFrom="paragraph">
                    <wp:posOffset>228600</wp:posOffset>
                  </wp:positionV>
                  <wp:extent cx="2655570" cy="375920"/>
                  <wp:effectExtent l="0" t="0" r="11430" b="5080"/>
                  <wp:wrapTopAndBottom/>
                  <wp:docPr id="4" name="图片 4" descr="ee97c7c4e6f5a42655966e38b850c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e97c7c4e6f5a42655966e38b850c67"/>
                          <pic:cNvPicPr>
                            <a:picLocks noChangeAspect="1"/>
                          </pic:cNvPicPr>
                        </pic:nvPicPr>
                        <pic:blipFill>
                          <a:blip r:embed="rId33"/>
                          <a:stretch>
                            <a:fillRect/>
                          </a:stretch>
                        </pic:blipFill>
                        <pic:spPr>
                          <a:xfrm>
                            <a:off x="0" y="0"/>
                            <a:ext cx="2655570" cy="375920"/>
                          </a:xfrm>
                          <a:prstGeom prst="rect">
                            <a:avLst/>
                          </a:prstGeom>
                        </pic:spPr>
                      </pic:pic>
                    </a:graphicData>
                  </a:graphic>
                </wp:anchor>
              </w:drawing>
            </w:r>
            <w:r>
              <w:rPr>
                <w:rFonts w:hint="default" w:ascii="Times New Roman" w:hAnsi="Times New Roman" w:cs="Times New Roman"/>
                <w:color w:val="000000" w:themeColor="text1"/>
                <w:highlight w:val="none"/>
                <w14:textFill>
                  <w14:solidFill>
                    <w14:schemeClr w14:val="tx1"/>
                  </w14:solidFill>
                </w14:textFill>
              </w:rPr>
              <w:t>式中：Leq——预测点的噪声预测值，dB；</w:t>
            </w:r>
          </w:p>
          <w:p w14:paraId="270EADD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Leqg——建设项目声源在预测点产生的噪声贡献值，dB；</w:t>
            </w:r>
          </w:p>
          <w:p w14:paraId="1B6BBFA2">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Leqb——预测点的背景噪声值，dB。</w:t>
            </w:r>
          </w:p>
          <w:p w14:paraId="0E9B9C25">
            <w:pPr>
              <w:bidi w:val="0"/>
              <w:jc w:val="both"/>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根据导则中的预测模式结合本项目平面布置，本项目噪声预测结果见</w:t>
            </w:r>
            <w:r>
              <w:rPr>
                <w:rFonts w:hint="default" w:ascii="Times New Roman" w:hAnsi="Times New Roman" w:cs="Times New Roman"/>
                <w:color w:val="000000" w:themeColor="text1"/>
                <w:highlight w:val="none"/>
                <w:lang w:val="en-US" w:eastAsia="zh-CN"/>
                <w14:textFill>
                  <w14:solidFill>
                    <w14:schemeClr w14:val="tx1"/>
                  </w14:solidFill>
                </w14:textFill>
              </w:rPr>
              <w:t>下</w:t>
            </w: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eastAsia="zh-CN"/>
                <w14:textFill>
                  <w14:solidFill>
                    <w14:schemeClr w14:val="tx1"/>
                  </w14:solidFill>
                </w14:textFill>
              </w:rPr>
              <w:t>：</w:t>
            </w:r>
          </w:p>
          <w:p w14:paraId="166BE18C">
            <w:pPr>
              <w:pStyle w:val="18"/>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4.4-</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运营期机械设备</w:t>
            </w:r>
            <w:r>
              <w:rPr>
                <w:rFonts w:hint="default" w:ascii="Times New Roman" w:hAnsi="Times New Roman" w:cs="Times New Roman"/>
                <w:color w:val="000000" w:themeColor="text1"/>
                <w:highlight w:val="none"/>
                <w:lang w:val="en-US" w:eastAsia="zh-CN"/>
                <w14:textFill>
                  <w14:solidFill>
                    <w14:schemeClr w14:val="tx1"/>
                  </w14:solidFill>
                </w14:textFill>
              </w:rPr>
              <w:t>在不同距离处的噪声级强度</w:t>
            </w:r>
          </w:p>
          <w:tbl>
            <w:tblPr>
              <w:tblStyle w:val="1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8"/>
              <w:gridCol w:w="991"/>
              <w:gridCol w:w="539"/>
              <w:gridCol w:w="385"/>
              <w:gridCol w:w="450"/>
              <w:gridCol w:w="447"/>
              <w:gridCol w:w="604"/>
              <w:gridCol w:w="604"/>
              <w:gridCol w:w="604"/>
              <w:gridCol w:w="604"/>
              <w:gridCol w:w="602"/>
              <w:gridCol w:w="623"/>
              <w:gridCol w:w="538"/>
              <w:gridCol w:w="538"/>
              <w:gridCol w:w="648"/>
            </w:tblGrid>
            <w:tr w14:paraId="39033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 w:hRule="atLeast"/>
                <w:jc w:val="center"/>
              </w:trPr>
              <w:tc>
                <w:tcPr>
                  <w:tcW w:w="221" w:type="pct"/>
                  <w:vMerge w:val="restart"/>
                  <w:tcBorders>
                    <w:tl2br w:val="nil"/>
                    <w:tr2bl w:val="nil"/>
                  </w:tcBorders>
                  <w:noWrap w:val="0"/>
                  <w:vAlign w:val="center"/>
                </w:tcPr>
                <w:p w14:paraId="0999D1B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579" w:type="pct"/>
                  <w:vMerge w:val="restart"/>
                  <w:tcBorders>
                    <w:tl2br w:val="nil"/>
                    <w:tr2bl w:val="nil"/>
                  </w:tcBorders>
                  <w:noWrap w:val="0"/>
                  <w:vAlign w:val="center"/>
                </w:tcPr>
                <w:p w14:paraId="0565345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机械名称</w:t>
                  </w:r>
                </w:p>
              </w:tc>
              <w:tc>
                <w:tcPr>
                  <w:tcW w:w="4198" w:type="pct"/>
                  <w:gridSpan w:val="13"/>
                  <w:tcBorders>
                    <w:tl2br w:val="nil"/>
                    <w:tr2bl w:val="nil"/>
                  </w:tcBorders>
                  <w:noWrap w:val="0"/>
                  <w:vAlign w:val="center"/>
                </w:tcPr>
                <w:p w14:paraId="5791C38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经距离衰减后不同距离处的噪声强度 dB（A）</w:t>
                  </w:r>
                </w:p>
              </w:tc>
            </w:tr>
            <w:tr w14:paraId="1A058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 w:hRule="atLeast"/>
                <w:jc w:val="center"/>
              </w:trPr>
              <w:tc>
                <w:tcPr>
                  <w:tcW w:w="221" w:type="pct"/>
                  <w:vMerge w:val="continue"/>
                  <w:tcBorders>
                    <w:tl2br w:val="nil"/>
                    <w:tr2bl w:val="nil"/>
                  </w:tcBorders>
                  <w:noWrap w:val="0"/>
                  <w:vAlign w:val="center"/>
                </w:tcPr>
                <w:p w14:paraId="5700401D">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579" w:type="pct"/>
                  <w:vMerge w:val="continue"/>
                  <w:tcBorders>
                    <w:tl2br w:val="nil"/>
                    <w:tr2bl w:val="nil"/>
                  </w:tcBorders>
                  <w:noWrap w:val="0"/>
                  <w:vAlign w:val="center"/>
                </w:tcPr>
                <w:p w14:paraId="1CA4CD3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15" w:type="pct"/>
                  <w:tcBorders>
                    <w:tl2br w:val="nil"/>
                    <w:tr2bl w:val="nil"/>
                  </w:tcBorders>
                  <w:noWrap w:val="0"/>
                  <w:vAlign w:val="center"/>
                </w:tcPr>
                <w:p w14:paraId="7E30CA4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1m</w:t>
                  </w:r>
                </w:p>
              </w:tc>
              <w:tc>
                <w:tcPr>
                  <w:tcW w:w="225" w:type="pct"/>
                  <w:tcBorders>
                    <w:tl2br w:val="nil"/>
                    <w:tr2bl w:val="nil"/>
                  </w:tcBorders>
                  <w:noWrap w:val="0"/>
                  <w:vAlign w:val="center"/>
                </w:tcPr>
                <w:p w14:paraId="23A51DA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10m</w:t>
                  </w:r>
                </w:p>
              </w:tc>
              <w:tc>
                <w:tcPr>
                  <w:tcW w:w="263" w:type="pct"/>
                  <w:tcBorders>
                    <w:tl2br w:val="nil"/>
                    <w:tr2bl w:val="nil"/>
                  </w:tcBorders>
                  <w:noWrap w:val="0"/>
                  <w:vAlign w:val="center"/>
                </w:tcPr>
                <w:p w14:paraId="1272637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20m</w:t>
                  </w:r>
                </w:p>
              </w:tc>
              <w:tc>
                <w:tcPr>
                  <w:tcW w:w="261" w:type="pct"/>
                  <w:tcBorders>
                    <w:tl2br w:val="nil"/>
                    <w:tr2bl w:val="nil"/>
                  </w:tcBorders>
                  <w:noWrap w:val="0"/>
                  <w:vAlign w:val="center"/>
                </w:tcPr>
                <w:p w14:paraId="69D5143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30m</w:t>
                  </w:r>
                </w:p>
              </w:tc>
              <w:tc>
                <w:tcPr>
                  <w:tcW w:w="353" w:type="pct"/>
                  <w:tcBorders>
                    <w:tl2br w:val="nil"/>
                    <w:tr2bl w:val="nil"/>
                  </w:tcBorders>
                  <w:noWrap w:val="0"/>
                  <w:vAlign w:val="center"/>
                </w:tcPr>
                <w:p w14:paraId="5016D17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40m</w:t>
                  </w:r>
                </w:p>
              </w:tc>
              <w:tc>
                <w:tcPr>
                  <w:tcW w:w="353" w:type="pct"/>
                  <w:tcBorders>
                    <w:tl2br w:val="nil"/>
                    <w:tr2bl w:val="nil"/>
                  </w:tcBorders>
                  <w:noWrap w:val="0"/>
                  <w:vAlign w:val="center"/>
                </w:tcPr>
                <w:p w14:paraId="13A9BF8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50m</w:t>
                  </w:r>
                </w:p>
              </w:tc>
              <w:tc>
                <w:tcPr>
                  <w:tcW w:w="353" w:type="pct"/>
                  <w:tcBorders>
                    <w:tl2br w:val="nil"/>
                    <w:tr2bl w:val="nil"/>
                  </w:tcBorders>
                  <w:noWrap w:val="0"/>
                  <w:vAlign w:val="center"/>
                </w:tcPr>
                <w:p w14:paraId="5CA64A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60m</w:t>
                  </w:r>
                </w:p>
              </w:tc>
              <w:tc>
                <w:tcPr>
                  <w:tcW w:w="353" w:type="pct"/>
                  <w:tcBorders>
                    <w:tl2br w:val="nil"/>
                    <w:tr2bl w:val="nil"/>
                  </w:tcBorders>
                  <w:noWrap w:val="0"/>
                  <w:vAlign w:val="center"/>
                </w:tcPr>
                <w:p w14:paraId="18D4108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70m</w:t>
                  </w:r>
                </w:p>
              </w:tc>
              <w:tc>
                <w:tcPr>
                  <w:tcW w:w="352" w:type="pct"/>
                  <w:tcBorders>
                    <w:tl2br w:val="nil"/>
                    <w:tr2bl w:val="nil"/>
                  </w:tcBorders>
                  <w:noWrap w:val="0"/>
                  <w:vAlign w:val="center"/>
                </w:tcPr>
                <w:p w14:paraId="2A27EC0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80m</w:t>
                  </w:r>
                </w:p>
              </w:tc>
              <w:tc>
                <w:tcPr>
                  <w:tcW w:w="364" w:type="pct"/>
                  <w:tcBorders>
                    <w:tl2br w:val="nil"/>
                    <w:tr2bl w:val="nil"/>
                  </w:tcBorders>
                  <w:noWrap w:val="0"/>
                  <w:vAlign w:val="center"/>
                </w:tcPr>
                <w:p w14:paraId="2DE31EE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90m</w:t>
                  </w:r>
                </w:p>
              </w:tc>
              <w:tc>
                <w:tcPr>
                  <w:tcW w:w="314" w:type="pct"/>
                  <w:tcBorders>
                    <w:tl2br w:val="nil"/>
                    <w:tr2bl w:val="nil"/>
                  </w:tcBorders>
                  <w:noWrap w:val="0"/>
                  <w:vAlign w:val="center"/>
                </w:tcPr>
                <w:p w14:paraId="071818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100m</w:t>
                  </w:r>
                </w:p>
              </w:tc>
              <w:tc>
                <w:tcPr>
                  <w:tcW w:w="314" w:type="pct"/>
                  <w:tcBorders>
                    <w:tl2br w:val="nil"/>
                    <w:tr2bl w:val="nil"/>
                  </w:tcBorders>
                  <w:noWrap w:val="0"/>
                  <w:vAlign w:val="center"/>
                </w:tcPr>
                <w:p w14:paraId="595D96E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150m</w:t>
                  </w:r>
                </w:p>
              </w:tc>
              <w:tc>
                <w:tcPr>
                  <w:tcW w:w="377" w:type="pct"/>
                  <w:tcBorders>
                    <w:tl2br w:val="nil"/>
                    <w:tr2bl w:val="nil"/>
                  </w:tcBorders>
                  <w:noWrap w:val="0"/>
                  <w:vAlign w:val="center"/>
                </w:tcPr>
                <w:p w14:paraId="31FD7C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200m</w:t>
                  </w:r>
                </w:p>
              </w:tc>
            </w:tr>
            <w:tr w14:paraId="5E454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1" w:type="pct"/>
                  <w:tcBorders>
                    <w:tl2br w:val="nil"/>
                    <w:tr2bl w:val="nil"/>
                  </w:tcBorders>
                  <w:noWrap w:val="0"/>
                  <w:vAlign w:val="center"/>
                </w:tcPr>
                <w:p w14:paraId="14C73FC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579" w:type="pct"/>
                  <w:tcBorders>
                    <w:tl2br w:val="nil"/>
                    <w:tr2bl w:val="nil"/>
                  </w:tcBorders>
                  <w:noWrap w:val="0"/>
                  <w:vAlign w:val="center"/>
                </w:tcPr>
                <w:p w14:paraId="492EBED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自卸汽车</w:t>
                  </w:r>
                </w:p>
              </w:tc>
              <w:tc>
                <w:tcPr>
                  <w:tcW w:w="315" w:type="pct"/>
                  <w:tcBorders>
                    <w:tl2br w:val="nil"/>
                    <w:tr2bl w:val="nil"/>
                  </w:tcBorders>
                  <w:noWrap w:val="0"/>
                  <w:vAlign w:val="center"/>
                </w:tcPr>
                <w:p w14:paraId="04F4912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88</w:t>
                  </w:r>
                </w:p>
              </w:tc>
              <w:tc>
                <w:tcPr>
                  <w:tcW w:w="225" w:type="pct"/>
                  <w:tcBorders>
                    <w:tl2br w:val="nil"/>
                    <w:tr2bl w:val="nil"/>
                  </w:tcBorders>
                  <w:noWrap w:val="0"/>
                  <w:vAlign w:val="center"/>
                </w:tcPr>
                <w:p w14:paraId="4AD1C94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68</w:t>
                  </w:r>
                </w:p>
              </w:tc>
              <w:tc>
                <w:tcPr>
                  <w:tcW w:w="263" w:type="pct"/>
                  <w:tcBorders>
                    <w:tl2br w:val="nil"/>
                    <w:tr2bl w:val="nil"/>
                  </w:tcBorders>
                  <w:noWrap w:val="0"/>
                  <w:vAlign w:val="center"/>
                </w:tcPr>
                <w:p w14:paraId="71230B4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61.9</w:t>
                  </w:r>
                </w:p>
              </w:tc>
              <w:tc>
                <w:tcPr>
                  <w:tcW w:w="261" w:type="pct"/>
                  <w:tcBorders>
                    <w:tl2br w:val="nil"/>
                    <w:tr2bl w:val="nil"/>
                  </w:tcBorders>
                  <w:noWrap w:val="0"/>
                  <w:vAlign w:val="center"/>
                </w:tcPr>
                <w:p w14:paraId="037B37A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58.4</w:t>
                  </w:r>
                </w:p>
              </w:tc>
              <w:tc>
                <w:tcPr>
                  <w:tcW w:w="353" w:type="pct"/>
                  <w:tcBorders>
                    <w:tl2br w:val="nil"/>
                    <w:tr2bl w:val="nil"/>
                  </w:tcBorders>
                  <w:noWrap w:val="0"/>
                  <w:vAlign w:val="center"/>
                </w:tcPr>
                <w:p w14:paraId="2D9D156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55.9</w:t>
                  </w:r>
                </w:p>
              </w:tc>
              <w:tc>
                <w:tcPr>
                  <w:tcW w:w="353" w:type="pct"/>
                  <w:tcBorders>
                    <w:tl2br w:val="nil"/>
                    <w:tr2bl w:val="nil"/>
                  </w:tcBorders>
                  <w:noWrap w:val="0"/>
                  <w:vAlign w:val="center"/>
                </w:tcPr>
                <w:p w14:paraId="3826133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54</w:t>
                  </w:r>
                </w:p>
              </w:tc>
              <w:tc>
                <w:tcPr>
                  <w:tcW w:w="353" w:type="pct"/>
                  <w:tcBorders>
                    <w:tl2br w:val="nil"/>
                    <w:tr2bl w:val="nil"/>
                  </w:tcBorders>
                  <w:noWrap w:val="0"/>
                  <w:vAlign w:val="center"/>
                </w:tcPr>
                <w:p w14:paraId="7B360FC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52.4</w:t>
                  </w:r>
                </w:p>
              </w:tc>
              <w:tc>
                <w:tcPr>
                  <w:tcW w:w="353" w:type="pct"/>
                  <w:tcBorders>
                    <w:tl2br w:val="nil"/>
                    <w:tr2bl w:val="nil"/>
                  </w:tcBorders>
                  <w:noWrap w:val="0"/>
                  <w:vAlign w:val="center"/>
                </w:tcPr>
                <w:p w14:paraId="4018DB2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51</w:t>
                  </w:r>
                </w:p>
              </w:tc>
              <w:tc>
                <w:tcPr>
                  <w:tcW w:w="352" w:type="pct"/>
                  <w:tcBorders>
                    <w:tl2br w:val="nil"/>
                    <w:tr2bl w:val="nil"/>
                  </w:tcBorders>
                  <w:noWrap w:val="0"/>
                  <w:vAlign w:val="center"/>
                </w:tcPr>
                <w:p w14:paraId="4FB35D3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49.9</w:t>
                  </w:r>
                </w:p>
              </w:tc>
              <w:tc>
                <w:tcPr>
                  <w:tcW w:w="364" w:type="pct"/>
                  <w:tcBorders>
                    <w:tl2br w:val="nil"/>
                    <w:tr2bl w:val="nil"/>
                  </w:tcBorders>
                  <w:noWrap w:val="0"/>
                  <w:vAlign w:val="center"/>
                </w:tcPr>
                <w:p w14:paraId="3BE1D50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48.9</w:t>
                  </w:r>
                </w:p>
              </w:tc>
              <w:tc>
                <w:tcPr>
                  <w:tcW w:w="314" w:type="pct"/>
                  <w:tcBorders>
                    <w:tl2br w:val="nil"/>
                    <w:tr2bl w:val="nil"/>
                  </w:tcBorders>
                  <w:noWrap w:val="0"/>
                  <w:vAlign w:val="center"/>
                </w:tcPr>
                <w:p w14:paraId="5513AE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48</w:t>
                  </w:r>
                </w:p>
              </w:tc>
              <w:tc>
                <w:tcPr>
                  <w:tcW w:w="314" w:type="pct"/>
                  <w:tcBorders>
                    <w:tl2br w:val="nil"/>
                    <w:tr2bl w:val="nil"/>
                  </w:tcBorders>
                  <w:noWrap w:val="0"/>
                  <w:vAlign w:val="center"/>
                </w:tcPr>
                <w:p w14:paraId="2EF2EC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44.4</w:t>
                  </w:r>
                </w:p>
              </w:tc>
              <w:tc>
                <w:tcPr>
                  <w:tcW w:w="377" w:type="pct"/>
                  <w:tcBorders>
                    <w:tl2br w:val="nil"/>
                    <w:tr2bl w:val="nil"/>
                  </w:tcBorders>
                  <w:noWrap w:val="0"/>
                  <w:vAlign w:val="center"/>
                </w:tcPr>
                <w:p w14:paraId="651728E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41.9</w:t>
                  </w:r>
                </w:p>
              </w:tc>
            </w:tr>
            <w:tr w14:paraId="52A50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21" w:type="pct"/>
                  <w:tcBorders>
                    <w:tl2br w:val="nil"/>
                    <w:tr2bl w:val="nil"/>
                  </w:tcBorders>
                  <w:noWrap w:val="0"/>
                  <w:vAlign w:val="center"/>
                </w:tcPr>
                <w:p w14:paraId="31E1706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579" w:type="pct"/>
                  <w:tcBorders>
                    <w:tl2br w:val="nil"/>
                    <w:tr2bl w:val="nil"/>
                  </w:tcBorders>
                  <w:noWrap w:val="0"/>
                  <w:vAlign w:val="center"/>
                </w:tcPr>
                <w:p w14:paraId="73B99E1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轮式装载机</w:t>
                  </w:r>
                </w:p>
              </w:tc>
              <w:tc>
                <w:tcPr>
                  <w:tcW w:w="315" w:type="pct"/>
                  <w:tcBorders>
                    <w:tl2br w:val="nil"/>
                    <w:tr2bl w:val="nil"/>
                  </w:tcBorders>
                  <w:noWrap w:val="0"/>
                  <w:vAlign w:val="center"/>
                </w:tcPr>
                <w:p w14:paraId="245B02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85</w:t>
                  </w:r>
                </w:p>
              </w:tc>
              <w:tc>
                <w:tcPr>
                  <w:tcW w:w="225" w:type="pct"/>
                  <w:tcBorders>
                    <w:tl2br w:val="nil"/>
                    <w:tr2bl w:val="nil"/>
                  </w:tcBorders>
                  <w:noWrap w:val="0"/>
                  <w:vAlign w:val="center"/>
                </w:tcPr>
                <w:p w14:paraId="571018D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65</w:t>
                  </w:r>
                </w:p>
              </w:tc>
              <w:tc>
                <w:tcPr>
                  <w:tcW w:w="263" w:type="pct"/>
                  <w:tcBorders>
                    <w:tl2br w:val="nil"/>
                    <w:tr2bl w:val="nil"/>
                  </w:tcBorders>
                  <w:noWrap w:val="0"/>
                  <w:vAlign w:val="center"/>
                </w:tcPr>
                <w:p w14:paraId="6560762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59</w:t>
                  </w:r>
                </w:p>
              </w:tc>
              <w:tc>
                <w:tcPr>
                  <w:tcW w:w="261" w:type="pct"/>
                  <w:tcBorders>
                    <w:tl2br w:val="nil"/>
                    <w:tr2bl w:val="nil"/>
                  </w:tcBorders>
                  <w:noWrap w:val="0"/>
                  <w:vAlign w:val="center"/>
                </w:tcPr>
                <w:p w14:paraId="6339556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55.4</w:t>
                  </w:r>
                </w:p>
              </w:tc>
              <w:tc>
                <w:tcPr>
                  <w:tcW w:w="353" w:type="pct"/>
                  <w:tcBorders>
                    <w:tl2br w:val="nil"/>
                    <w:tr2bl w:val="nil"/>
                  </w:tcBorders>
                  <w:noWrap w:val="0"/>
                  <w:vAlign w:val="center"/>
                </w:tcPr>
                <w:p w14:paraId="5E257A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52.9</w:t>
                  </w:r>
                </w:p>
              </w:tc>
              <w:tc>
                <w:tcPr>
                  <w:tcW w:w="353" w:type="pct"/>
                  <w:tcBorders>
                    <w:tl2br w:val="nil"/>
                    <w:tr2bl w:val="nil"/>
                  </w:tcBorders>
                  <w:noWrap w:val="0"/>
                  <w:vAlign w:val="center"/>
                </w:tcPr>
                <w:p w14:paraId="334ADE2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51</w:t>
                  </w:r>
                </w:p>
              </w:tc>
              <w:tc>
                <w:tcPr>
                  <w:tcW w:w="353" w:type="pct"/>
                  <w:tcBorders>
                    <w:tl2br w:val="nil"/>
                    <w:tr2bl w:val="nil"/>
                  </w:tcBorders>
                  <w:noWrap w:val="0"/>
                  <w:vAlign w:val="center"/>
                </w:tcPr>
                <w:p w14:paraId="08A2201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49.4</w:t>
                  </w:r>
                </w:p>
              </w:tc>
              <w:tc>
                <w:tcPr>
                  <w:tcW w:w="353" w:type="pct"/>
                  <w:tcBorders>
                    <w:tl2br w:val="nil"/>
                    <w:tr2bl w:val="nil"/>
                  </w:tcBorders>
                  <w:noWrap w:val="0"/>
                  <w:vAlign w:val="center"/>
                </w:tcPr>
                <w:p w14:paraId="40AAAA1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48</w:t>
                  </w:r>
                </w:p>
              </w:tc>
              <w:tc>
                <w:tcPr>
                  <w:tcW w:w="352" w:type="pct"/>
                  <w:tcBorders>
                    <w:tl2br w:val="nil"/>
                    <w:tr2bl w:val="nil"/>
                  </w:tcBorders>
                  <w:noWrap w:val="0"/>
                  <w:vAlign w:val="center"/>
                </w:tcPr>
                <w:p w14:paraId="3D53317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46.9</w:t>
                  </w:r>
                </w:p>
              </w:tc>
              <w:tc>
                <w:tcPr>
                  <w:tcW w:w="364" w:type="pct"/>
                  <w:tcBorders>
                    <w:tl2br w:val="nil"/>
                    <w:tr2bl w:val="nil"/>
                  </w:tcBorders>
                  <w:noWrap w:val="0"/>
                  <w:vAlign w:val="center"/>
                </w:tcPr>
                <w:p w14:paraId="64B316C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45.9</w:t>
                  </w:r>
                </w:p>
              </w:tc>
              <w:tc>
                <w:tcPr>
                  <w:tcW w:w="314" w:type="pct"/>
                  <w:tcBorders>
                    <w:tl2br w:val="nil"/>
                    <w:tr2bl w:val="nil"/>
                  </w:tcBorders>
                  <w:noWrap w:val="0"/>
                  <w:vAlign w:val="center"/>
                </w:tcPr>
                <w:p w14:paraId="32C5932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45</w:t>
                  </w:r>
                </w:p>
              </w:tc>
              <w:tc>
                <w:tcPr>
                  <w:tcW w:w="314" w:type="pct"/>
                  <w:tcBorders>
                    <w:tl2br w:val="nil"/>
                    <w:tr2bl w:val="nil"/>
                  </w:tcBorders>
                  <w:noWrap w:val="0"/>
                  <w:vAlign w:val="center"/>
                </w:tcPr>
                <w:p w14:paraId="1A90DD5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41.4</w:t>
                  </w:r>
                </w:p>
              </w:tc>
              <w:tc>
                <w:tcPr>
                  <w:tcW w:w="377" w:type="pct"/>
                  <w:tcBorders>
                    <w:tl2br w:val="nil"/>
                    <w:tr2bl w:val="nil"/>
                  </w:tcBorders>
                  <w:noWrap w:val="0"/>
                  <w:vAlign w:val="center"/>
                </w:tcPr>
                <w:p w14:paraId="2E3158F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38.9</w:t>
                  </w:r>
                </w:p>
              </w:tc>
            </w:tr>
          </w:tbl>
          <w:p w14:paraId="19069BB2">
            <w:pPr>
              <w:pStyle w:val="18"/>
              <w:bidi w:val="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厂界</w:t>
            </w:r>
            <w:r>
              <w:rPr>
                <w:rFonts w:hint="default" w:ascii="Times New Roman" w:hAnsi="Times New Roman" w:cs="Times New Roman"/>
                <w:color w:val="000000" w:themeColor="text1"/>
                <w:highlight w:val="none"/>
                <w14:textFill>
                  <w14:solidFill>
                    <w14:schemeClr w14:val="tx1"/>
                  </w14:solidFill>
                </w14:textFill>
              </w:rPr>
              <w:t>噪声</w:t>
            </w:r>
            <w:r>
              <w:rPr>
                <w:rFonts w:hint="default" w:ascii="Times New Roman" w:hAnsi="Times New Roman" w:cs="Times New Roman"/>
                <w:color w:val="000000" w:themeColor="text1"/>
                <w:highlight w:val="none"/>
                <w:lang w:val="en-US" w:eastAsia="zh-CN"/>
                <w14:textFill>
                  <w14:solidFill>
                    <w14:schemeClr w14:val="tx1"/>
                  </w14:solidFill>
                </w14:textFill>
              </w:rPr>
              <w:t>影响</w:t>
            </w:r>
            <w:r>
              <w:rPr>
                <w:rFonts w:hint="default" w:ascii="Times New Roman" w:hAnsi="Times New Roman" w:cs="Times New Roman"/>
                <w:color w:val="000000" w:themeColor="text1"/>
                <w:highlight w:val="none"/>
                <w14:textFill>
                  <w14:solidFill>
                    <w14:schemeClr w14:val="tx1"/>
                  </w14:solidFill>
                </w14:textFill>
              </w:rPr>
              <w:t>预测</w:t>
            </w:r>
            <w:r>
              <w:rPr>
                <w:rFonts w:hint="default" w:ascii="Times New Roman" w:hAnsi="Times New Roman" w:cs="Times New Roman"/>
                <w:color w:val="000000" w:themeColor="text1"/>
                <w:highlight w:val="none"/>
                <w:lang w:val="en-US" w:eastAsia="zh-CN"/>
                <w14:textFill>
                  <w14:solidFill>
                    <w14:schemeClr w14:val="tx1"/>
                  </w14:solidFill>
                </w14:textFill>
              </w:rPr>
              <w:t>值</w:t>
            </w:r>
            <w:r>
              <w:rPr>
                <w:rFonts w:hint="default" w:ascii="Times New Roman" w:hAnsi="Times New Roman" w:cs="Times New Roman"/>
                <w:color w:val="000000" w:themeColor="text1"/>
                <w:highlight w:val="none"/>
                <w14:textFill>
                  <w14:solidFill>
                    <w14:schemeClr w14:val="tx1"/>
                  </w14:solidFill>
                </w14:textFill>
              </w:rPr>
              <w:t xml:space="preserve">      单位dB（A）</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369"/>
              <w:gridCol w:w="1411"/>
              <w:gridCol w:w="1587"/>
              <w:gridCol w:w="1238"/>
              <w:gridCol w:w="1239"/>
            </w:tblGrid>
            <w:tr w14:paraId="242A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vMerge w:val="restart"/>
                  <w:tcBorders>
                    <w:tl2br w:val="nil"/>
                    <w:tr2bl w:val="nil"/>
                  </w:tcBorders>
                  <w:vAlign w:val="center"/>
                </w:tcPr>
                <w:p w14:paraId="721DFED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预测点</w:t>
                  </w:r>
                </w:p>
              </w:tc>
              <w:tc>
                <w:tcPr>
                  <w:tcW w:w="1256" w:type="dxa"/>
                  <w:vMerge w:val="restart"/>
                  <w:tcBorders>
                    <w:tl2br w:val="nil"/>
                    <w:tr2bl w:val="nil"/>
                  </w:tcBorders>
                  <w:vAlign w:val="center"/>
                </w:tcPr>
                <w:p w14:paraId="3C7A9D5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背景值</w:t>
                  </w:r>
                </w:p>
              </w:tc>
              <w:tc>
                <w:tcPr>
                  <w:tcW w:w="1294" w:type="dxa"/>
                  <w:vMerge w:val="restart"/>
                  <w:tcBorders>
                    <w:tl2br w:val="nil"/>
                    <w:tr2bl w:val="nil"/>
                  </w:tcBorders>
                  <w:vAlign w:val="center"/>
                </w:tcPr>
                <w:p w14:paraId="0F5EAEF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贡献值</w:t>
                  </w:r>
                </w:p>
              </w:tc>
              <w:tc>
                <w:tcPr>
                  <w:tcW w:w="1456" w:type="dxa"/>
                  <w:vMerge w:val="restart"/>
                  <w:tcBorders>
                    <w:tl2br w:val="nil"/>
                    <w:tr2bl w:val="nil"/>
                  </w:tcBorders>
                  <w:vAlign w:val="center"/>
                </w:tcPr>
                <w:p w14:paraId="4F04E78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预测值</w:t>
                  </w:r>
                </w:p>
              </w:tc>
              <w:tc>
                <w:tcPr>
                  <w:tcW w:w="2273" w:type="dxa"/>
                  <w:gridSpan w:val="2"/>
                  <w:tcBorders>
                    <w:tl2br w:val="nil"/>
                    <w:tr2bl w:val="nil"/>
                  </w:tcBorders>
                  <w:vAlign w:val="center"/>
                </w:tcPr>
                <w:p w14:paraId="1158C29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《工业企业厂界环境噪声排放标准》（GB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12348-2008）</w:t>
                  </w:r>
                </w:p>
              </w:tc>
            </w:tr>
            <w:tr w14:paraId="0DC8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vMerge w:val="continue"/>
                  <w:tcBorders>
                    <w:tl2br w:val="nil"/>
                    <w:tr2bl w:val="nil"/>
                  </w:tcBorders>
                  <w:vAlign w:val="center"/>
                </w:tcPr>
                <w:p w14:paraId="2EADB1E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56" w:type="dxa"/>
                  <w:vMerge w:val="continue"/>
                  <w:tcBorders>
                    <w:tl2br w:val="nil"/>
                    <w:tr2bl w:val="nil"/>
                  </w:tcBorders>
                  <w:vAlign w:val="center"/>
                </w:tcPr>
                <w:p w14:paraId="1C4A3349">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294" w:type="dxa"/>
                  <w:vMerge w:val="continue"/>
                  <w:tcBorders>
                    <w:tl2br w:val="nil"/>
                    <w:tr2bl w:val="nil"/>
                  </w:tcBorders>
                  <w:vAlign w:val="center"/>
                </w:tcPr>
                <w:p w14:paraId="6C2BEB3E">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456" w:type="dxa"/>
                  <w:vMerge w:val="continue"/>
                  <w:tcBorders>
                    <w:tl2br w:val="nil"/>
                    <w:tr2bl w:val="nil"/>
                  </w:tcBorders>
                  <w:vAlign w:val="center"/>
                </w:tcPr>
                <w:p w14:paraId="047415E8">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136" w:type="dxa"/>
                  <w:tcBorders>
                    <w:tl2br w:val="nil"/>
                    <w:tr2bl w:val="nil"/>
                  </w:tcBorders>
                  <w:vAlign w:val="center"/>
                </w:tcPr>
                <w:p w14:paraId="46754C2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昼间</w:t>
                  </w:r>
                </w:p>
              </w:tc>
              <w:tc>
                <w:tcPr>
                  <w:tcW w:w="1137" w:type="dxa"/>
                  <w:tcBorders>
                    <w:tl2br w:val="nil"/>
                    <w:tr2bl w:val="nil"/>
                  </w:tcBorders>
                  <w:vAlign w:val="center"/>
                </w:tcPr>
                <w:p w14:paraId="70C52E8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夜间</w:t>
                  </w:r>
                </w:p>
              </w:tc>
            </w:tr>
            <w:tr w14:paraId="38FA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570" w:type="dxa"/>
                  <w:tcBorders>
                    <w:tl2br w:val="nil"/>
                    <w:tr2bl w:val="nil"/>
                  </w:tcBorders>
                  <w:vAlign w:val="center"/>
                </w:tcPr>
                <w:p w14:paraId="4364D67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项目区东侧</w:t>
                  </w:r>
                </w:p>
              </w:tc>
              <w:tc>
                <w:tcPr>
                  <w:tcW w:w="1256" w:type="dxa"/>
                  <w:tcBorders>
                    <w:tl2br w:val="nil"/>
                    <w:tr2bl w:val="nil"/>
                  </w:tcBorders>
                  <w:vAlign w:val="center"/>
                </w:tcPr>
                <w:p w14:paraId="66B812D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294" w:type="dxa"/>
                  <w:tcBorders>
                    <w:tl2br w:val="nil"/>
                    <w:tr2bl w:val="nil"/>
                  </w:tcBorders>
                  <w:vAlign w:val="center"/>
                </w:tcPr>
                <w:p w14:paraId="775C141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42.57</w:t>
                  </w:r>
                </w:p>
              </w:tc>
              <w:tc>
                <w:tcPr>
                  <w:tcW w:w="1456" w:type="dxa"/>
                  <w:tcBorders>
                    <w:tl2br w:val="nil"/>
                    <w:tr2bl w:val="nil"/>
                  </w:tcBorders>
                  <w:vAlign w:val="center"/>
                </w:tcPr>
                <w:p w14:paraId="784C6F6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136" w:type="dxa"/>
                  <w:vMerge w:val="restart"/>
                  <w:tcBorders>
                    <w:tl2br w:val="nil"/>
                    <w:tr2bl w:val="nil"/>
                  </w:tcBorders>
                  <w:vAlign w:val="center"/>
                </w:tcPr>
                <w:p w14:paraId="29A4467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1137" w:type="dxa"/>
                  <w:vMerge w:val="restart"/>
                  <w:tcBorders>
                    <w:tl2br w:val="nil"/>
                    <w:tr2bl w:val="nil"/>
                  </w:tcBorders>
                  <w:vAlign w:val="center"/>
                </w:tcPr>
                <w:p w14:paraId="2AC5BAB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不生产</w:t>
                  </w:r>
                </w:p>
              </w:tc>
            </w:tr>
            <w:tr w14:paraId="18EB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l2br w:val="nil"/>
                    <w:tr2bl w:val="nil"/>
                  </w:tcBorders>
                  <w:vAlign w:val="center"/>
                </w:tcPr>
                <w:p w14:paraId="711D4BC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项目区南侧</w:t>
                  </w:r>
                </w:p>
              </w:tc>
              <w:tc>
                <w:tcPr>
                  <w:tcW w:w="1256" w:type="dxa"/>
                  <w:tcBorders>
                    <w:tl2br w:val="nil"/>
                    <w:tr2bl w:val="nil"/>
                  </w:tcBorders>
                  <w:vAlign w:val="center"/>
                </w:tcPr>
                <w:p w14:paraId="1452F09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294" w:type="dxa"/>
                  <w:tcBorders>
                    <w:tl2br w:val="nil"/>
                    <w:tr2bl w:val="nil"/>
                  </w:tcBorders>
                  <w:vAlign w:val="center"/>
                </w:tcPr>
                <w:p w14:paraId="7C84E5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44.8</w:t>
                  </w:r>
                </w:p>
              </w:tc>
              <w:tc>
                <w:tcPr>
                  <w:tcW w:w="1456" w:type="dxa"/>
                  <w:tcBorders>
                    <w:tl2br w:val="nil"/>
                    <w:tr2bl w:val="nil"/>
                  </w:tcBorders>
                  <w:vAlign w:val="center"/>
                </w:tcPr>
                <w:p w14:paraId="10E3F76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136" w:type="dxa"/>
                  <w:vMerge w:val="continue"/>
                  <w:tcBorders>
                    <w:tl2br w:val="nil"/>
                    <w:tr2bl w:val="nil"/>
                  </w:tcBorders>
                  <w:vAlign w:val="center"/>
                </w:tcPr>
                <w:p w14:paraId="1D57D081">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137" w:type="dxa"/>
                  <w:vMerge w:val="continue"/>
                  <w:tcBorders>
                    <w:tl2br w:val="nil"/>
                    <w:tr2bl w:val="nil"/>
                  </w:tcBorders>
                  <w:vAlign w:val="center"/>
                </w:tcPr>
                <w:p w14:paraId="698EB880">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5426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l2br w:val="nil"/>
                    <w:tr2bl w:val="nil"/>
                  </w:tcBorders>
                  <w:vAlign w:val="center"/>
                </w:tcPr>
                <w:p w14:paraId="3662880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项目区西侧</w:t>
                  </w:r>
                </w:p>
              </w:tc>
              <w:tc>
                <w:tcPr>
                  <w:tcW w:w="1256" w:type="dxa"/>
                  <w:tcBorders>
                    <w:tl2br w:val="nil"/>
                    <w:tr2bl w:val="nil"/>
                  </w:tcBorders>
                  <w:vAlign w:val="center"/>
                </w:tcPr>
                <w:p w14:paraId="12994F5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294" w:type="dxa"/>
                  <w:tcBorders>
                    <w:tl2br w:val="nil"/>
                    <w:tr2bl w:val="nil"/>
                  </w:tcBorders>
                  <w:vAlign w:val="center"/>
                </w:tcPr>
                <w:p w14:paraId="1545DF4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54.74</w:t>
                  </w:r>
                </w:p>
              </w:tc>
              <w:tc>
                <w:tcPr>
                  <w:tcW w:w="1456" w:type="dxa"/>
                  <w:tcBorders>
                    <w:tl2br w:val="nil"/>
                    <w:tr2bl w:val="nil"/>
                  </w:tcBorders>
                  <w:vAlign w:val="center"/>
                </w:tcPr>
                <w:p w14:paraId="5AFA48A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136" w:type="dxa"/>
                  <w:vMerge w:val="continue"/>
                  <w:tcBorders>
                    <w:tl2br w:val="nil"/>
                    <w:tr2bl w:val="nil"/>
                  </w:tcBorders>
                  <w:vAlign w:val="center"/>
                </w:tcPr>
                <w:p w14:paraId="0545138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137" w:type="dxa"/>
                  <w:vMerge w:val="continue"/>
                  <w:tcBorders>
                    <w:tl2br w:val="nil"/>
                    <w:tr2bl w:val="nil"/>
                  </w:tcBorders>
                  <w:vAlign w:val="center"/>
                </w:tcPr>
                <w:p w14:paraId="53B4934F">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490A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l2br w:val="nil"/>
                    <w:tr2bl w:val="nil"/>
                  </w:tcBorders>
                  <w:vAlign w:val="center"/>
                </w:tcPr>
                <w:p w14:paraId="522DC7F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项目区北侧</w:t>
                  </w:r>
                </w:p>
              </w:tc>
              <w:tc>
                <w:tcPr>
                  <w:tcW w:w="1256" w:type="dxa"/>
                  <w:tcBorders>
                    <w:tl2br w:val="nil"/>
                    <w:tr2bl w:val="nil"/>
                  </w:tcBorders>
                  <w:vAlign w:val="center"/>
                </w:tcPr>
                <w:p w14:paraId="32A5DAE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294" w:type="dxa"/>
                  <w:tcBorders>
                    <w:tl2br w:val="nil"/>
                    <w:tr2bl w:val="nil"/>
                  </w:tcBorders>
                  <w:vAlign w:val="center"/>
                </w:tcPr>
                <w:p w14:paraId="4EF1145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48.49</w:t>
                  </w:r>
                </w:p>
              </w:tc>
              <w:tc>
                <w:tcPr>
                  <w:tcW w:w="1456" w:type="dxa"/>
                  <w:tcBorders>
                    <w:tl2br w:val="nil"/>
                    <w:tr2bl w:val="nil"/>
                  </w:tcBorders>
                  <w:vAlign w:val="center"/>
                </w:tcPr>
                <w:p w14:paraId="5F266D8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136" w:type="dxa"/>
                  <w:vMerge w:val="continue"/>
                  <w:tcBorders>
                    <w:tl2br w:val="nil"/>
                    <w:tr2bl w:val="nil"/>
                  </w:tcBorders>
                  <w:vAlign w:val="center"/>
                </w:tcPr>
                <w:p w14:paraId="3757EC4A">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137" w:type="dxa"/>
                  <w:vMerge w:val="continue"/>
                  <w:tcBorders>
                    <w:tl2br w:val="nil"/>
                    <w:tr2bl w:val="nil"/>
                  </w:tcBorders>
                  <w:vAlign w:val="center"/>
                </w:tcPr>
                <w:p w14:paraId="26C7797E">
                  <w:pPr>
                    <w:pStyle w:val="16"/>
                    <w:bidi w:val="0"/>
                    <w:rPr>
                      <w:rFonts w:hint="default" w:ascii="Times New Roman" w:hAnsi="Times New Roman" w:cs="Times New Roman"/>
                      <w:color w:val="000000" w:themeColor="text1"/>
                      <w:highlight w:val="none"/>
                      <w14:textFill>
                        <w14:solidFill>
                          <w14:schemeClr w14:val="tx1"/>
                        </w14:solidFill>
                      </w14:textFill>
                    </w:rPr>
                  </w:pPr>
                </w:p>
              </w:tc>
            </w:tr>
          </w:tbl>
          <w:p w14:paraId="3E4AD0C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color w:val="000000" w:themeColor="text1"/>
                <w:highlight w:val="none"/>
                <w14:textFill>
                  <w14:solidFill>
                    <w14:schemeClr w14:val="tx1"/>
                  </w14:solidFill>
                </w14:textFill>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5"/>
            </w:tblGrid>
            <w:tr w14:paraId="640A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9" w:type="dxa"/>
                  <w:vAlign w:val="top"/>
                </w:tcPr>
                <w:p w14:paraId="40F24C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highlight w:val="none"/>
                      <w:vertAlign w:val="baseline"/>
                      <w14:textFill>
                        <w14:solidFill>
                          <w14:schemeClr w14:val="tx1"/>
                        </w14:solidFill>
                      </w14:textFill>
                    </w:rPr>
                  </w:pPr>
                  <w:r>
                    <w:rPr>
                      <w:rStyle w:val="25"/>
                      <w:rFonts w:hint="default" w:ascii="Times New Roman" w:hAnsi="Times New Roman" w:cs="Times New Roman"/>
                      <w:color w:val="000000" w:themeColor="text1"/>
                      <w:highlight w:val="none"/>
                      <w:lang w:val="en-US" w:eastAsia="zh-CN"/>
                      <w14:textFill>
                        <w14:solidFill>
                          <w14:schemeClr w14:val="tx1"/>
                        </w14:solidFill>
                      </w14:textFill>
                    </w:rPr>
                    <w:t>图</w:t>
                  </w:r>
                  <w:r>
                    <w:rPr>
                      <w:rStyle w:val="25"/>
                      <w:rFonts w:hint="default" w:ascii="Times New Roman" w:hAnsi="Times New Roman" w:cs="Times New Roman"/>
                      <w:color w:val="000000" w:themeColor="text1"/>
                      <w:highlight w:val="none"/>
                      <w14:textFill>
                        <w14:solidFill>
                          <w14:schemeClr w14:val="tx1"/>
                        </w14:solidFill>
                      </w14:textFill>
                    </w:rPr>
                    <w:t>4</w:t>
                  </w:r>
                  <w:r>
                    <w:rPr>
                      <w:rStyle w:val="25"/>
                      <w:rFonts w:hint="default" w:ascii="Times New Roman" w:hAnsi="Times New Roman" w:cs="Times New Roman"/>
                      <w:color w:val="000000" w:themeColor="text1"/>
                      <w:highlight w:val="none"/>
                      <w:lang w:val="en-US" w:eastAsia="zh-CN"/>
                      <w14:textFill>
                        <w14:solidFill>
                          <w14:schemeClr w14:val="tx1"/>
                        </w14:solidFill>
                      </w14:textFill>
                    </w:rPr>
                    <w:t>.4-1</w:t>
                  </w:r>
                  <w:r>
                    <w:rPr>
                      <w:rStyle w:val="25"/>
                      <w:rFonts w:hint="default" w:ascii="Times New Roman" w:hAnsi="Times New Roman" w:cs="Times New Roman"/>
                      <w:color w:val="000000" w:themeColor="text1"/>
                      <w:highlight w:val="none"/>
                      <w14:textFill>
                        <w14:solidFill>
                          <w14:schemeClr w14:val="tx1"/>
                        </w14:solidFill>
                      </w14:textFill>
                    </w:rPr>
                    <w:t xml:space="preserve">  </w:t>
                  </w:r>
                  <w:r>
                    <w:rPr>
                      <w:rStyle w:val="25"/>
                      <w:rFonts w:hint="default" w:ascii="Times New Roman" w:hAnsi="Times New Roman" w:cs="Times New Roman"/>
                      <w:color w:val="000000" w:themeColor="text1"/>
                      <w:highlight w:val="none"/>
                      <w:lang w:val="en-US" w:eastAsia="zh-CN"/>
                      <w14:textFill>
                        <w14:solidFill>
                          <w14:schemeClr w14:val="tx1"/>
                        </w14:solidFill>
                      </w14:textFill>
                    </w:rPr>
                    <w:t>厂界</w:t>
                  </w:r>
                  <w:r>
                    <w:rPr>
                      <w:rStyle w:val="25"/>
                      <w:rFonts w:hint="default" w:ascii="Times New Roman" w:hAnsi="Times New Roman" w:cs="Times New Roman"/>
                      <w:color w:val="000000" w:themeColor="text1"/>
                      <w:highlight w:val="none"/>
                      <w14:textFill>
                        <w14:solidFill>
                          <w14:schemeClr w14:val="tx1"/>
                        </w14:solidFill>
                      </w14:textFill>
                    </w:rPr>
                    <w:t>噪声</w:t>
                  </w:r>
                  <w:r>
                    <w:rPr>
                      <w:rStyle w:val="25"/>
                      <w:rFonts w:hint="default" w:ascii="Times New Roman" w:hAnsi="Times New Roman" w:cs="Times New Roman"/>
                      <w:color w:val="000000" w:themeColor="text1"/>
                      <w:highlight w:val="none"/>
                      <w:lang w:val="en-US" w:eastAsia="zh-CN"/>
                      <w14:textFill>
                        <w14:solidFill>
                          <w14:schemeClr w14:val="tx1"/>
                        </w14:solidFill>
                      </w14:textFill>
                    </w:rPr>
                    <w:t>影响</w:t>
                  </w:r>
                  <w:r>
                    <w:rPr>
                      <w:rStyle w:val="25"/>
                      <w:rFonts w:hint="default" w:ascii="Times New Roman" w:hAnsi="Times New Roman" w:cs="Times New Roman"/>
                      <w:color w:val="000000" w:themeColor="text1"/>
                      <w:highlight w:val="none"/>
                      <w14:textFill>
                        <w14:solidFill>
                          <w14:schemeClr w14:val="tx1"/>
                        </w14:solidFill>
                      </w14:textFill>
                    </w:rPr>
                    <w:t>预测</w:t>
                  </w:r>
                  <w:r>
                    <w:rPr>
                      <w:rStyle w:val="25"/>
                      <w:rFonts w:hint="default" w:ascii="Times New Roman" w:hAnsi="Times New Roman" w:cs="Times New Roman"/>
                      <w:color w:val="000000" w:themeColor="text1"/>
                      <w:highlight w:val="none"/>
                      <w:lang w:val="en-US" w:eastAsia="zh-CN"/>
                      <w14:textFill>
                        <w14:solidFill>
                          <w14:schemeClr w14:val="tx1"/>
                        </w14:solidFill>
                      </w14:textFill>
                    </w:rPr>
                    <w:t>结果图</w:t>
                  </w: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9504" behindDoc="0" locked="0" layoutInCell="1" allowOverlap="1">
                        <wp:simplePos x="0" y="0"/>
                        <wp:positionH relativeFrom="column">
                          <wp:posOffset>-8255</wp:posOffset>
                        </wp:positionH>
                        <wp:positionV relativeFrom="paragraph">
                          <wp:posOffset>0</wp:posOffset>
                        </wp:positionV>
                        <wp:extent cx="5286375" cy="4425315"/>
                        <wp:effectExtent l="0" t="0" r="1905" b="9525"/>
                        <wp:wrapTopAndBottom/>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34"/>
                                <a:stretch>
                                  <a:fillRect/>
                                </a:stretch>
                              </pic:blipFill>
                              <pic:spPr>
                                <a:xfrm>
                                  <a:off x="0" y="0"/>
                                  <a:ext cx="5286375" cy="4425315"/>
                                </a:xfrm>
                                <a:prstGeom prst="rect">
                                  <a:avLst/>
                                </a:prstGeom>
                                <a:noFill/>
                                <a:ln>
                                  <a:noFill/>
                                </a:ln>
                              </pic:spPr>
                            </pic:pic>
                          </a:graphicData>
                        </a:graphic>
                      </wp:anchor>
                    </w:drawing>
                  </w:r>
                  <w:r>
                    <w:rPr>
                      <w:rFonts w:hint="default" w:ascii="Times New Roman" w:hAnsi="Times New Roman" w:cs="Times New Roman"/>
                      <w:b/>
                      <w:bCs/>
                      <w:color w:val="000000" w:themeColor="text1"/>
                      <w:highlight w:val="none"/>
                      <w:lang w:val="en-US"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96520</wp:posOffset>
                        </wp:positionH>
                        <wp:positionV relativeFrom="paragraph">
                          <wp:posOffset>5715</wp:posOffset>
                        </wp:positionV>
                        <wp:extent cx="304800" cy="304800"/>
                        <wp:effectExtent l="0" t="0" r="0" b="0"/>
                        <wp:wrapNone/>
                        <wp:docPr id="18" name="图片 18" descr="d20fe70f0b5b2fe4e752da91fa22f5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20fe70f0b5b2fe4e752da91fa22f5e6"/>
                                <pic:cNvPicPr>
                                  <a:picLocks noChangeAspect="1"/>
                                </pic:cNvPicPr>
                              </pic:nvPicPr>
                              <pic:blipFill>
                                <a:blip r:embed="rId35"/>
                                <a:stretch>
                                  <a:fillRect/>
                                </a:stretch>
                              </pic:blipFill>
                              <pic:spPr>
                                <a:xfrm>
                                  <a:off x="0" y="0"/>
                                  <a:ext cx="304800" cy="304800"/>
                                </a:xfrm>
                                <a:prstGeom prst="rect">
                                  <a:avLst/>
                                </a:prstGeom>
                              </pic:spPr>
                            </pic:pic>
                          </a:graphicData>
                        </a:graphic>
                      </wp:anchor>
                    </w:drawing>
                  </w:r>
                </w:p>
              </w:tc>
            </w:tr>
          </w:tbl>
          <w:p w14:paraId="50F25173">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预测结果分析：</w:t>
            </w:r>
            <w:r>
              <w:rPr>
                <w:rFonts w:hint="default" w:ascii="Times New Roman" w:hAnsi="Times New Roman" w:cs="Times New Roman"/>
                <w:color w:val="000000" w:themeColor="text1"/>
                <w:highlight w:val="none"/>
                <w14:textFill>
                  <w14:solidFill>
                    <w14:schemeClr w14:val="tx1"/>
                  </w14:solidFill>
                </w14:textFill>
              </w:rPr>
              <w:t>考虑噪声源的距离衰减、空气吸收、围墙屏蔽效应等影响因素，按衰减模式，计算出本项目新增噪声源传播到厂界某一监测点的A声级。在本次噪声源衰减的计算过程中，仅考虑距离衰减这个衰减因素，对于声能在传播过程中受到其它因素的影响，忽略不计。根据《环境影响评价技术导则 声环境》</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2.4-2021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进行边界噪声评价时，新建项目以工程噪声贡献值作为评价量</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项目选用低噪声设备，并对高噪声设备进行基础隔声、减振</w:t>
            </w:r>
            <w:r>
              <w:rPr>
                <w:rFonts w:hint="default" w:ascii="Times New Roman" w:hAnsi="Times New Roman" w:cs="Times New Roman"/>
                <w:color w:val="000000" w:themeColor="text1"/>
                <w:highlight w:val="none"/>
                <w:lang w:eastAsia="zh-CN"/>
                <w14:textFill>
                  <w14:solidFill>
                    <w14:schemeClr w14:val="tx1"/>
                  </w14:solidFill>
                </w14:textFill>
              </w:rPr>
              <w:t>等措施</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本项目夜间不生产。</w:t>
            </w:r>
            <w:r>
              <w:rPr>
                <w:rFonts w:hint="default" w:ascii="Times New Roman" w:hAnsi="Times New Roman" w:cs="Times New Roman"/>
                <w:color w:val="000000" w:themeColor="text1"/>
                <w:highlight w:val="none"/>
                <w14:textFill>
                  <w14:solidFill>
                    <w14:schemeClr w14:val="tx1"/>
                  </w14:solidFill>
                </w14:textFill>
              </w:rPr>
              <w:t>预测结果表明，经处理后厂界噪声符合《工业企业厂界环境噪声排放标准》（GB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12348-2008）中</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类标准要求，对周围环境影响较小。</w:t>
            </w:r>
          </w:p>
          <w:p w14:paraId="48C3EBE8">
            <w:pPr>
              <w:bidi w:val="0"/>
              <w:jc w:val="both"/>
              <w:rPr>
                <w:rFonts w:hint="default" w:ascii="Times New Roman" w:hAnsi="Times New Roman" w:eastAsia="宋体" w:cs="Times New Roman"/>
                <w:b w:val="0"/>
                <w:bCs/>
                <w:snapToGrid w:val="0"/>
                <w:color w:val="000000" w:themeColor="text1"/>
                <w:kern w:val="0"/>
                <w:szCs w:val="24"/>
                <w:highlight w:val="none"/>
                <w:lang w:val="en-US" w:eastAsia="zh-CN" w:bidi="ar-SA"/>
                <w14:textFill>
                  <w14:solidFill>
                    <w14:schemeClr w14:val="tx1"/>
                  </w14:solidFill>
                </w14:textFill>
                <w14:ligatures w14:val="none"/>
              </w:rPr>
            </w:pPr>
            <w:r>
              <w:rPr>
                <w:rFonts w:hint="default" w:ascii="Times New Roman" w:hAnsi="Times New Roman" w:cs="Times New Roman"/>
                <w:color w:val="000000" w:themeColor="text1"/>
                <w:highlight w:val="none"/>
                <w:lang w:val="en-US" w:eastAsia="zh-CN"/>
                <w14:textFill>
                  <w14:solidFill>
                    <w14:schemeClr w14:val="tx1"/>
                  </w14:solidFill>
                </w14:textFill>
              </w:rPr>
              <w:t>（3）噪声监测计划</w:t>
            </w:r>
          </w:p>
          <w:p w14:paraId="16A4CEDA">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根据《排污单位自行监测技术指南 总则》（HJ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819-2017）</w:t>
            </w:r>
            <w:r>
              <w:rPr>
                <w:rFonts w:hint="default" w:ascii="Times New Roman" w:hAnsi="Times New Roman" w:cs="Times New Roman"/>
                <w:color w:val="000000" w:themeColor="text1"/>
                <w:highlight w:val="none"/>
                <w:lang w:val="en-US"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《排污许可证申请与核发技术规范 工业噪声</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（HJ 1301-2023）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噪声</w:t>
            </w:r>
            <w:r>
              <w:rPr>
                <w:rFonts w:hint="default" w:ascii="Times New Roman" w:hAnsi="Times New Roman" w:cs="Times New Roman"/>
                <w:color w:val="000000" w:themeColor="text1"/>
                <w:highlight w:val="none"/>
                <w14:textFill>
                  <w14:solidFill>
                    <w14:schemeClr w14:val="tx1"/>
                  </w14:solidFill>
                </w14:textFill>
              </w:rPr>
              <w:t>污染源自行监测计划如下：</w:t>
            </w:r>
          </w:p>
          <w:p w14:paraId="775C7A4B">
            <w:pPr>
              <w:pStyle w:val="18"/>
              <w:bidi w:val="0"/>
              <w:rPr>
                <w:rFonts w:hint="default" w:ascii="Times New Roman" w:hAnsi="Times New Roman" w:eastAsia="宋体" w:cs="Times New Roman"/>
                <w:b/>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运营期</w:t>
            </w:r>
            <w:r>
              <w:rPr>
                <w:rFonts w:hint="default" w:ascii="Times New Roman" w:hAnsi="Times New Roman" w:cs="Times New Roman"/>
                <w:color w:val="000000" w:themeColor="text1"/>
                <w:highlight w:val="none"/>
                <w:lang w:val="en-US" w:eastAsia="zh-CN"/>
                <w14:textFill>
                  <w14:solidFill>
                    <w14:schemeClr w14:val="tx1"/>
                  </w14:solidFill>
                </w14:textFill>
              </w:rPr>
              <w:t>噪声</w:t>
            </w:r>
            <w:r>
              <w:rPr>
                <w:rFonts w:hint="default" w:ascii="Times New Roman" w:hAnsi="Times New Roman" w:cs="Times New Roman"/>
                <w:color w:val="000000" w:themeColor="text1"/>
                <w:highlight w:val="none"/>
                <w14:textFill>
                  <w14:solidFill>
                    <w14:schemeClr w14:val="tx1"/>
                  </w14:solidFill>
                </w14:textFill>
              </w:rPr>
              <w:t>监测计划</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6"/>
              <w:gridCol w:w="1258"/>
              <w:gridCol w:w="1397"/>
              <w:gridCol w:w="4014"/>
            </w:tblGrid>
            <w:tr w14:paraId="58ED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tcBorders>
                    <w:tl2br w:val="nil"/>
                    <w:tr2bl w:val="nil"/>
                  </w:tcBorders>
                  <w:noWrap w:val="0"/>
                  <w:tcMar>
                    <w:left w:w="0" w:type="dxa"/>
                    <w:right w:w="0" w:type="dxa"/>
                  </w:tcMar>
                  <w:vAlign w:val="center"/>
                </w:tcPr>
                <w:p w14:paraId="5B7EA79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监测点位</w:t>
                  </w:r>
                </w:p>
              </w:tc>
              <w:tc>
                <w:tcPr>
                  <w:tcW w:w="984" w:type="dxa"/>
                  <w:tcBorders>
                    <w:tl2br w:val="nil"/>
                    <w:tr2bl w:val="nil"/>
                  </w:tcBorders>
                  <w:noWrap w:val="0"/>
                  <w:tcMar>
                    <w:left w:w="0" w:type="dxa"/>
                    <w:right w:w="0" w:type="dxa"/>
                  </w:tcMar>
                  <w:vAlign w:val="center"/>
                </w:tcPr>
                <w:p w14:paraId="1E037EB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监测指标</w:t>
                  </w:r>
                </w:p>
              </w:tc>
              <w:tc>
                <w:tcPr>
                  <w:tcW w:w="1092" w:type="dxa"/>
                  <w:tcBorders>
                    <w:tl2br w:val="nil"/>
                    <w:tr2bl w:val="nil"/>
                  </w:tcBorders>
                  <w:noWrap w:val="0"/>
                  <w:tcMar>
                    <w:left w:w="0" w:type="dxa"/>
                    <w:right w:w="0" w:type="dxa"/>
                  </w:tcMar>
                  <w:vAlign w:val="center"/>
                </w:tcPr>
                <w:p w14:paraId="068E027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监测频次</w:t>
                  </w:r>
                </w:p>
              </w:tc>
              <w:tc>
                <w:tcPr>
                  <w:tcW w:w="3139" w:type="dxa"/>
                  <w:tcBorders>
                    <w:tl2br w:val="nil"/>
                    <w:tr2bl w:val="nil"/>
                  </w:tcBorders>
                  <w:noWrap w:val="0"/>
                  <w:tcMar>
                    <w:left w:w="0" w:type="dxa"/>
                    <w:right w:w="0" w:type="dxa"/>
                  </w:tcMar>
                  <w:vAlign w:val="center"/>
                </w:tcPr>
                <w:p w14:paraId="094A784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执行排放标准</w:t>
                  </w:r>
                </w:p>
              </w:tc>
            </w:tr>
            <w:tr w14:paraId="37C8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76" w:type="dxa"/>
                  <w:tcBorders>
                    <w:tl2br w:val="nil"/>
                    <w:tr2bl w:val="nil"/>
                  </w:tcBorders>
                  <w:shd w:val="clear" w:color="auto" w:fill="auto"/>
                  <w:noWrap w:val="0"/>
                  <w:tcMar>
                    <w:left w:w="0" w:type="dxa"/>
                    <w:right w:w="0" w:type="dxa"/>
                  </w:tcMar>
                  <w:vAlign w:val="center"/>
                </w:tcPr>
                <w:p w14:paraId="4681A99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厂界四周</w:t>
                  </w:r>
                </w:p>
              </w:tc>
              <w:tc>
                <w:tcPr>
                  <w:tcW w:w="984" w:type="dxa"/>
                  <w:tcBorders>
                    <w:tl2br w:val="nil"/>
                    <w:tr2bl w:val="nil"/>
                  </w:tcBorders>
                  <w:shd w:val="clear" w:color="auto" w:fill="auto"/>
                  <w:noWrap w:val="0"/>
                  <w:tcMar>
                    <w:left w:w="0" w:type="dxa"/>
                    <w:right w:w="0" w:type="dxa"/>
                  </w:tcMar>
                  <w:vAlign w:val="center"/>
                </w:tcPr>
                <w:p w14:paraId="5F893F9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噪声</w:t>
                  </w:r>
                </w:p>
              </w:tc>
              <w:tc>
                <w:tcPr>
                  <w:tcW w:w="1092" w:type="dxa"/>
                  <w:tcBorders>
                    <w:tl2br w:val="nil"/>
                    <w:tr2bl w:val="nil"/>
                  </w:tcBorders>
                  <w:shd w:val="clear" w:color="auto" w:fill="auto"/>
                  <w:noWrap w:val="0"/>
                  <w:tcMar>
                    <w:left w:w="0" w:type="dxa"/>
                    <w:right w:w="0" w:type="dxa"/>
                  </w:tcMar>
                  <w:vAlign w:val="center"/>
                </w:tcPr>
                <w:p w14:paraId="31D8B36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1次/季度</w:t>
                  </w:r>
                </w:p>
              </w:tc>
              <w:tc>
                <w:tcPr>
                  <w:tcW w:w="3139" w:type="dxa"/>
                  <w:tcBorders>
                    <w:tl2br w:val="nil"/>
                    <w:tr2bl w:val="nil"/>
                  </w:tcBorders>
                  <w:shd w:val="clear" w:color="auto" w:fill="auto"/>
                  <w:noWrap w:val="0"/>
                  <w:tcMar>
                    <w:left w:w="0" w:type="dxa"/>
                    <w:right w:w="0" w:type="dxa"/>
                  </w:tcMar>
                  <w:vAlign w:val="center"/>
                </w:tcPr>
                <w:p w14:paraId="0A2680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《工业企业厂界环境噪声排放标准》（GB12348-2008）</w:t>
                  </w:r>
                  <w:r>
                    <w:rPr>
                      <w:rFonts w:hint="default" w:ascii="Times New Roman" w:hAnsi="Times New Roman" w:cs="Times New Roman"/>
                      <w:color w:val="000000" w:themeColor="text1"/>
                      <w:highlight w:val="none"/>
                      <w:lang w:val="en-US" w:eastAsia="zh-CN"/>
                      <w14:textFill>
                        <w14:solidFill>
                          <w14:schemeClr w14:val="tx1"/>
                        </w14:solidFill>
                      </w14:textFill>
                    </w:rPr>
                    <w:t>表1中二类排放限值</w:t>
                  </w:r>
                </w:p>
                <w:p w14:paraId="0B14E81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昼间：6</w:t>
                  </w:r>
                  <w:r>
                    <w:rPr>
                      <w:rFonts w:hint="default" w:ascii="Times New Roman" w:hAnsi="Times New Roman"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highlight w:val="none"/>
                      <w14:textFill>
                        <w14:solidFill>
                          <w14:schemeClr w14:val="tx1"/>
                        </w14:solidFill>
                      </w14:textFill>
                    </w:rPr>
                    <w:t>dB（A）</w:t>
                  </w:r>
                </w:p>
                <w:p w14:paraId="2878B7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夜间：5</w:t>
                  </w:r>
                  <w:r>
                    <w:rPr>
                      <w:rFonts w:hint="default" w:ascii="Times New Roman" w:hAnsi="Times New Roman"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highlight w:val="none"/>
                      <w14:textFill>
                        <w14:solidFill>
                          <w14:schemeClr w14:val="tx1"/>
                        </w14:solidFill>
                      </w14:textFill>
                    </w:rPr>
                    <w:t>dB（A）</w:t>
                  </w:r>
                </w:p>
              </w:tc>
            </w:tr>
          </w:tbl>
          <w:p w14:paraId="0FB81B20">
            <w:pPr>
              <w:pStyle w:val="3"/>
              <w:bidi w:val="0"/>
              <w:rPr>
                <w:rFonts w:hint="default" w:ascii="Times New Roman" w:hAnsi="Times New Roman" w:cs="Times New Roman"/>
                <w:color w:val="000000" w:themeColor="text1"/>
                <w:highlight w:val="none"/>
                <w14:textFill>
                  <w14:solidFill>
                    <w14:schemeClr w14:val="tx1"/>
                  </w14:solidFill>
                </w14:textFill>
              </w:rPr>
            </w:pPr>
            <w:bookmarkStart w:id="11" w:name="_Toc249693709"/>
            <w:bookmarkStart w:id="12" w:name="_Toc319228420"/>
            <w:bookmarkStart w:id="13" w:name="_Toc383796790"/>
            <w:bookmarkStart w:id="14" w:name="_Toc16383"/>
            <w:bookmarkStart w:id="15" w:name="_Toc332103632"/>
            <w:bookmarkStart w:id="16" w:name="_Toc382903251"/>
            <w:bookmarkStart w:id="17" w:name="_Toc381340756"/>
            <w:bookmarkStart w:id="18" w:name="_Toc332103732"/>
            <w:bookmarkStart w:id="19" w:name="_Toc384381675"/>
            <w:bookmarkStart w:id="20" w:name="_Toc382903246"/>
            <w:bookmarkStart w:id="21" w:name="_Toc381340751"/>
            <w:bookmarkStart w:id="22" w:name="_Toc383796785"/>
            <w:r>
              <w:rPr>
                <w:rFonts w:hint="default" w:ascii="Times New Roman" w:hAnsi="Times New Roman" w:cs="Times New Roman"/>
                <w:color w:val="000000" w:themeColor="text1"/>
                <w:highlight w:val="none"/>
                <w14:textFill>
                  <w14:solidFill>
                    <w14:schemeClr w14:val="tx1"/>
                  </w14:solidFill>
                </w14:textFill>
              </w:rPr>
              <w:t>4.5固体废物</w:t>
            </w:r>
            <w:bookmarkEnd w:id="11"/>
            <w:bookmarkEnd w:id="12"/>
            <w:bookmarkEnd w:id="13"/>
            <w:bookmarkEnd w:id="14"/>
            <w:bookmarkEnd w:id="15"/>
            <w:bookmarkEnd w:id="16"/>
            <w:bookmarkEnd w:id="17"/>
            <w:bookmarkEnd w:id="18"/>
            <w:r>
              <w:rPr>
                <w:rFonts w:hint="default" w:ascii="Times New Roman" w:hAnsi="Times New Roman" w:cs="Times New Roman"/>
                <w:color w:val="000000" w:themeColor="text1"/>
                <w:highlight w:val="none"/>
                <w14:textFill>
                  <w14:solidFill>
                    <w14:schemeClr w14:val="tx1"/>
                  </w14:solidFill>
                </w14:textFill>
              </w:rPr>
              <w:t>影响分析及防治措施</w:t>
            </w:r>
          </w:p>
          <w:p w14:paraId="304E2659">
            <w:pPr>
              <w:bidi w:val="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本项目建设完成后，产生的固体废物为：除尘器</w:t>
            </w:r>
            <w:r>
              <w:rPr>
                <w:rFonts w:hint="default" w:ascii="Times New Roman" w:hAnsi="Times New Roman" w:cs="Times New Roman"/>
                <w:color w:val="000000" w:themeColor="text1"/>
                <w:highlight w:val="none"/>
                <w:lang w:val="en-US" w:eastAsia="zh-CN"/>
                <w14:textFill>
                  <w14:solidFill>
                    <w14:schemeClr w14:val="tx1"/>
                  </w14:solidFill>
                </w14:textFill>
              </w:rPr>
              <w:t>收集粉尘</w:t>
            </w:r>
            <w:r>
              <w:rPr>
                <w:rFonts w:hint="default" w:ascii="Times New Roman" w:hAnsi="Times New Roman" w:cs="Times New Roman"/>
                <w:color w:val="000000" w:themeColor="text1"/>
                <w:highlight w:val="none"/>
                <w14:textFill>
                  <w14:solidFill>
                    <w14:schemeClr w14:val="tx1"/>
                  </w14:solidFill>
                </w14:textFill>
              </w:rPr>
              <w:t>、除尘器废布袋、生活垃圾；产生的危险废物主要为：</w:t>
            </w:r>
            <w:r>
              <w:rPr>
                <w:rFonts w:hint="default" w:ascii="Times New Roman" w:hAnsi="Times New Roman" w:cs="Times New Roman"/>
                <w:color w:val="000000" w:themeColor="text1"/>
                <w:highlight w:val="none"/>
                <w:lang w:val="en-US"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废油</w:t>
            </w:r>
            <w:r>
              <w:rPr>
                <w:rFonts w:hint="default" w:ascii="Times New Roman" w:hAnsi="Times New Roman" w:cs="Times New Roman"/>
                <w:color w:val="000000" w:themeColor="text1"/>
                <w:highlight w:val="none"/>
                <w:lang w:val="en-US" w:eastAsia="zh-CN"/>
                <w14:textFill>
                  <w14:solidFill>
                    <w14:schemeClr w14:val="tx1"/>
                  </w14:solidFill>
                </w14:textFill>
              </w:rPr>
              <w:t>桶、废防渗膜</w:t>
            </w:r>
            <w:r>
              <w:rPr>
                <w:rFonts w:hint="default" w:ascii="Times New Roman" w:hAnsi="Times New Roman" w:cs="Times New Roman"/>
                <w:color w:val="000000" w:themeColor="text1"/>
                <w:highlight w:val="none"/>
                <w14:textFill>
                  <w14:solidFill>
                    <w14:schemeClr w14:val="tx1"/>
                  </w14:solidFill>
                </w14:textFill>
              </w:rPr>
              <w:t>，根据建设单位提供资料，固体废物主要产排情况见下表。</w:t>
            </w:r>
          </w:p>
          <w:p w14:paraId="5E2199C5">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.5-1</w:t>
            </w:r>
            <w:r>
              <w:rPr>
                <w:rFonts w:hint="default" w:ascii="Times New Roman" w:hAnsi="Times New Roman" w:cs="Times New Roman"/>
                <w:color w:val="000000" w:themeColor="text1"/>
                <w:highlight w:val="none"/>
                <w14:textFill>
                  <w14:solidFill>
                    <w14:schemeClr w14:val="tx1"/>
                  </w14:solidFill>
                </w14:textFill>
              </w:rPr>
              <w:t xml:space="preserve">  项目固体废物产生及排放情况表</w:t>
            </w:r>
          </w:p>
          <w:tbl>
            <w:tblPr>
              <w:tblStyle w:val="11"/>
              <w:tblW w:w="8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394"/>
              <w:gridCol w:w="372"/>
              <w:gridCol w:w="893"/>
              <w:gridCol w:w="1387"/>
              <w:gridCol w:w="474"/>
              <w:gridCol w:w="392"/>
              <w:gridCol w:w="614"/>
              <w:gridCol w:w="440"/>
              <w:gridCol w:w="730"/>
              <w:gridCol w:w="736"/>
              <w:gridCol w:w="1748"/>
            </w:tblGrid>
            <w:tr w14:paraId="574E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jc w:val="center"/>
              </w:trPr>
              <w:tc>
                <w:tcPr>
                  <w:tcW w:w="422" w:type="dxa"/>
                  <w:tcBorders>
                    <w:tl2br w:val="nil"/>
                    <w:tr2bl w:val="nil"/>
                  </w:tcBorders>
                  <w:vAlign w:val="center"/>
                </w:tcPr>
                <w:p w14:paraId="42A998B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产生环节</w:t>
                  </w:r>
                </w:p>
              </w:tc>
              <w:tc>
                <w:tcPr>
                  <w:tcW w:w="394" w:type="dxa"/>
                  <w:tcBorders>
                    <w:tl2br w:val="nil"/>
                    <w:tr2bl w:val="nil"/>
                  </w:tcBorders>
                  <w:vAlign w:val="center"/>
                </w:tcPr>
                <w:p w14:paraId="7C9422B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372" w:type="dxa"/>
                  <w:tcBorders>
                    <w:tl2br w:val="nil"/>
                    <w:tr2bl w:val="nil"/>
                  </w:tcBorders>
                  <w:vAlign w:val="center"/>
                </w:tcPr>
                <w:p w14:paraId="49B49E0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属性</w:t>
                  </w:r>
                </w:p>
              </w:tc>
              <w:tc>
                <w:tcPr>
                  <w:tcW w:w="893" w:type="dxa"/>
                  <w:tcBorders>
                    <w:tl2br w:val="nil"/>
                    <w:tr2bl w:val="nil"/>
                  </w:tcBorders>
                  <w:vAlign w:val="center"/>
                </w:tcPr>
                <w:p w14:paraId="54E4F18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有毒</w:t>
                  </w:r>
                  <w:r>
                    <w:rPr>
                      <w:rFonts w:hint="default" w:ascii="Times New Roman" w:hAnsi="Times New Roman" w:cs="Times New Roman"/>
                      <w:color w:val="000000" w:themeColor="text1"/>
                      <w:highlight w:val="none"/>
                      <w:lang w:eastAsia="zh-CN"/>
                      <w14:textFill>
                        <w14:solidFill>
                          <w14:schemeClr w14:val="tx1"/>
                        </w14:solidFill>
                      </w14:textFill>
                    </w:rPr>
                    <w:t>有害物质</w:t>
                  </w:r>
                  <w:r>
                    <w:rPr>
                      <w:rFonts w:hint="default" w:ascii="Times New Roman" w:hAnsi="Times New Roman" w:cs="Times New Roman"/>
                      <w:color w:val="000000" w:themeColor="text1"/>
                      <w:highlight w:val="none"/>
                      <w14:textFill>
                        <w14:solidFill>
                          <w14:schemeClr w14:val="tx1"/>
                        </w14:solidFill>
                      </w14:textFill>
                    </w:rPr>
                    <w:t>名称</w:t>
                  </w:r>
                </w:p>
              </w:tc>
              <w:tc>
                <w:tcPr>
                  <w:tcW w:w="1387" w:type="dxa"/>
                  <w:tcBorders>
                    <w:tl2br w:val="nil"/>
                    <w:tr2bl w:val="nil"/>
                  </w:tcBorders>
                  <w:vAlign w:val="center"/>
                </w:tcPr>
                <w:p w14:paraId="510C070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固体废物及危险废物编码</w:t>
                  </w:r>
                </w:p>
              </w:tc>
              <w:tc>
                <w:tcPr>
                  <w:tcW w:w="474" w:type="dxa"/>
                  <w:tcBorders>
                    <w:tl2br w:val="nil"/>
                    <w:tr2bl w:val="nil"/>
                  </w:tcBorders>
                  <w:vAlign w:val="center"/>
                </w:tcPr>
                <w:p w14:paraId="1D4F1BC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物理形状</w:t>
                  </w:r>
                </w:p>
              </w:tc>
              <w:tc>
                <w:tcPr>
                  <w:tcW w:w="392" w:type="dxa"/>
                  <w:tcBorders>
                    <w:tl2br w:val="nil"/>
                    <w:tr2bl w:val="nil"/>
                  </w:tcBorders>
                  <w:vAlign w:val="center"/>
                </w:tcPr>
                <w:p w14:paraId="234DAA4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环境危险特性</w:t>
                  </w:r>
                </w:p>
              </w:tc>
              <w:tc>
                <w:tcPr>
                  <w:tcW w:w="614" w:type="dxa"/>
                  <w:tcBorders>
                    <w:tl2br w:val="nil"/>
                    <w:tr2bl w:val="nil"/>
                  </w:tcBorders>
                  <w:vAlign w:val="center"/>
                </w:tcPr>
                <w:p w14:paraId="150E919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产生量(t/a)</w:t>
                  </w:r>
                </w:p>
              </w:tc>
              <w:tc>
                <w:tcPr>
                  <w:tcW w:w="440" w:type="dxa"/>
                  <w:tcBorders>
                    <w:tl2br w:val="nil"/>
                    <w:tr2bl w:val="nil"/>
                  </w:tcBorders>
                  <w:vAlign w:val="center"/>
                </w:tcPr>
                <w:p w14:paraId="65EBF772">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贮存方式</w:t>
                  </w:r>
                </w:p>
              </w:tc>
              <w:tc>
                <w:tcPr>
                  <w:tcW w:w="730" w:type="dxa"/>
                  <w:tcBorders>
                    <w:tl2br w:val="nil"/>
                    <w:tr2bl w:val="nil"/>
                  </w:tcBorders>
                  <w:vAlign w:val="center"/>
                </w:tcPr>
                <w:p w14:paraId="4E89440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利用处置方式和去向</w:t>
                  </w:r>
                </w:p>
              </w:tc>
              <w:tc>
                <w:tcPr>
                  <w:tcW w:w="736" w:type="dxa"/>
                  <w:tcBorders>
                    <w:tl2br w:val="nil"/>
                    <w:tr2bl w:val="nil"/>
                  </w:tcBorders>
                  <w:vAlign w:val="center"/>
                </w:tcPr>
                <w:p w14:paraId="6091CA2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利用或处置量(t/a)</w:t>
                  </w:r>
                </w:p>
              </w:tc>
              <w:tc>
                <w:tcPr>
                  <w:tcW w:w="1748" w:type="dxa"/>
                  <w:tcBorders>
                    <w:tl2br w:val="nil"/>
                    <w:tr2bl w:val="nil"/>
                  </w:tcBorders>
                  <w:vAlign w:val="center"/>
                </w:tcPr>
                <w:p w14:paraId="55BB67E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环境管理要求</w:t>
                  </w:r>
                </w:p>
              </w:tc>
            </w:tr>
            <w:tr w14:paraId="3186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22" w:type="dxa"/>
                  <w:vMerge w:val="restart"/>
                  <w:tcBorders>
                    <w:tl2br w:val="nil"/>
                    <w:tr2bl w:val="nil"/>
                  </w:tcBorders>
                  <w:vAlign w:val="center"/>
                </w:tcPr>
                <w:p w14:paraId="06C0D46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除尘系统</w:t>
                  </w:r>
                </w:p>
              </w:tc>
              <w:tc>
                <w:tcPr>
                  <w:tcW w:w="394" w:type="dxa"/>
                  <w:tcBorders>
                    <w:tl2br w:val="nil"/>
                    <w:tr2bl w:val="nil"/>
                  </w:tcBorders>
                  <w:vAlign w:val="center"/>
                </w:tcPr>
                <w:p w14:paraId="672EE578">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收集的除尘灰</w:t>
                  </w:r>
                </w:p>
              </w:tc>
              <w:tc>
                <w:tcPr>
                  <w:tcW w:w="372" w:type="dxa"/>
                  <w:tcBorders>
                    <w:tl2br w:val="nil"/>
                    <w:tr2bl w:val="nil"/>
                  </w:tcBorders>
                  <w:vAlign w:val="center"/>
                </w:tcPr>
                <w:p w14:paraId="66CAB9A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一般废物</w:t>
                  </w:r>
                </w:p>
              </w:tc>
              <w:tc>
                <w:tcPr>
                  <w:tcW w:w="893" w:type="dxa"/>
                  <w:tcBorders>
                    <w:tl2br w:val="nil"/>
                    <w:tr2bl w:val="nil"/>
                  </w:tcBorders>
                  <w:vAlign w:val="center"/>
                </w:tcPr>
                <w:p w14:paraId="36FD3FE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1387" w:type="dxa"/>
                  <w:tcBorders>
                    <w:tl2br w:val="nil"/>
                    <w:tr2bl w:val="nil"/>
                  </w:tcBorders>
                  <w:vAlign w:val="center"/>
                </w:tcPr>
                <w:p w14:paraId="4F04BE2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900-</w:t>
                  </w:r>
                  <w:r>
                    <w:rPr>
                      <w:rFonts w:hint="default" w:ascii="Times New Roman" w:hAnsi="Times New Roman" w:cs="Times New Roman"/>
                      <w:color w:val="000000" w:themeColor="text1"/>
                      <w:highlight w:val="none"/>
                      <w:lang w:val="en-US" w:eastAsia="zh-CN"/>
                      <w14:textFill>
                        <w14:solidFill>
                          <w14:schemeClr w14:val="tx1"/>
                        </w14:solidFill>
                      </w14:textFill>
                    </w:rPr>
                    <w:t>099</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S59</w:t>
                  </w:r>
                </w:p>
              </w:tc>
              <w:tc>
                <w:tcPr>
                  <w:tcW w:w="474" w:type="dxa"/>
                  <w:tcBorders>
                    <w:tl2br w:val="nil"/>
                    <w:tr2bl w:val="nil"/>
                  </w:tcBorders>
                  <w:vAlign w:val="center"/>
                </w:tcPr>
                <w:p w14:paraId="6F1FB91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固态</w:t>
                  </w:r>
                </w:p>
              </w:tc>
              <w:tc>
                <w:tcPr>
                  <w:tcW w:w="392" w:type="dxa"/>
                  <w:tcBorders>
                    <w:tl2br w:val="nil"/>
                    <w:tr2bl w:val="nil"/>
                  </w:tcBorders>
                  <w:vAlign w:val="center"/>
                </w:tcPr>
                <w:p w14:paraId="014B5EA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614" w:type="dxa"/>
                  <w:tcBorders>
                    <w:tl2br w:val="nil"/>
                    <w:tr2bl w:val="nil"/>
                  </w:tcBorders>
                  <w:vAlign w:val="center"/>
                </w:tcPr>
                <w:p w14:paraId="7197B8B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409.76</w:t>
                  </w:r>
                </w:p>
              </w:tc>
              <w:tc>
                <w:tcPr>
                  <w:tcW w:w="440" w:type="dxa"/>
                  <w:tcBorders>
                    <w:tl2br w:val="nil"/>
                    <w:tr2bl w:val="nil"/>
                  </w:tcBorders>
                  <w:vAlign w:val="center"/>
                </w:tcPr>
                <w:p w14:paraId="047AF0D2">
                  <w:pPr>
                    <w:pStyle w:val="1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集中收集</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暂存于弃渣场</w:t>
                  </w:r>
                </w:p>
              </w:tc>
              <w:tc>
                <w:tcPr>
                  <w:tcW w:w="730" w:type="dxa"/>
                  <w:tcBorders>
                    <w:tl2br w:val="nil"/>
                    <w:tr2bl w:val="nil"/>
                  </w:tcBorders>
                  <w:vAlign w:val="center"/>
                </w:tcPr>
                <w:p w14:paraId="12FA7E4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服务期满后用于场地平整</w:t>
                  </w:r>
                </w:p>
              </w:tc>
              <w:tc>
                <w:tcPr>
                  <w:tcW w:w="736" w:type="dxa"/>
                  <w:tcBorders>
                    <w:tl2br w:val="nil"/>
                    <w:tr2bl w:val="nil"/>
                  </w:tcBorders>
                  <w:vAlign w:val="center"/>
                </w:tcPr>
                <w:p w14:paraId="505145D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409.76</w:t>
                  </w:r>
                </w:p>
              </w:tc>
              <w:tc>
                <w:tcPr>
                  <w:tcW w:w="1748" w:type="dxa"/>
                  <w:vMerge w:val="restart"/>
                  <w:tcBorders>
                    <w:tl2br w:val="nil"/>
                    <w:tr2bl w:val="nil"/>
                  </w:tcBorders>
                  <w:vAlign w:val="center"/>
                </w:tcPr>
                <w:p w14:paraId="2B549ADF">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《一般工业固体废物贮存和填埋污染控制标准》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18599-2020</w:t>
                  </w:r>
                  <w:r>
                    <w:rPr>
                      <w:rFonts w:hint="default" w:ascii="Times New Roman" w:hAnsi="Times New Roman" w:cs="Times New Roman"/>
                      <w:color w:val="000000" w:themeColor="text1"/>
                      <w:highlight w:val="none"/>
                      <w:lang w:eastAsia="zh-CN"/>
                      <w14:textFill>
                        <w14:solidFill>
                          <w14:schemeClr w14:val="tx1"/>
                        </w14:solidFill>
                      </w14:textFill>
                    </w:rPr>
                    <w:t>）</w:t>
                  </w:r>
                </w:p>
              </w:tc>
            </w:tr>
            <w:tr w14:paraId="498C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422" w:type="dxa"/>
                  <w:vMerge w:val="continue"/>
                  <w:tcBorders>
                    <w:tl2br w:val="nil"/>
                    <w:tr2bl w:val="nil"/>
                  </w:tcBorders>
                  <w:vAlign w:val="center"/>
                </w:tcPr>
                <w:p w14:paraId="0985E6C3">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94" w:type="dxa"/>
                  <w:tcBorders>
                    <w:tl2br w:val="nil"/>
                    <w:tr2bl w:val="nil"/>
                  </w:tcBorders>
                  <w:vAlign w:val="center"/>
                </w:tcPr>
                <w:p w14:paraId="29C1310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废布袋</w:t>
                  </w:r>
                </w:p>
              </w:tc>
              <w:tc>
                <w:tcPr>
                  <w:tcW w:w="372" w:type="dxa"/>
                  <w:tcBorders>
                    <w:tl2br w:val="nil"/>
                    <w:tr2bl w:val="nil"/>
                  </w:tcBorders>
                  <w:vAlign w:val="center"/>
                </w:tcPr>
                <w:p w14:paraId="3A26372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一般废物</w:t>
                  </w:r>
                </w:p>
              </w:tc>
              <w:tc>
                <w:tcPr>
                  <w:tcW w:w="893" w:type="dxa"/>
                  <w:tcBorders>
                    <w:tl2br w:val="nil"/>
                    <w:tr2bl w:val="nil"/>
                  </w:tcBorders>
                  <w:vAlign w:val="center"/>
                </w:tcPr>
                <w:p w14:paraId="4A79DF2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1387" w:type="dxa"/>
                  <w:tcBorders>
                    <w:tl2br w:val="nil"/>
                    <w:tr2bl w:val="nil"/>
                  </w:tcBorders>
                  <w:vAlign w:val="center"/>
                </w:tcPr>
                <w:p w14:paraId="1CE4213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900-</w:t>
                  </w:r>
                  <w:r>
                    <w:rPr>
                      <w:rFonts w:hint="default" w:ascii="Times New Roman" w:hAnsi="Times New Roman" w:cs="Times New Roman"/>
                      <w:color w:val="000000" w:themeColor="text1"/>
                      <w:highlight w:val="none"/>
                      <w:lang w:val="en-US" w:eastAsia="zh-CN"/>
                      <w14:textFill>
                        <w14:solidFill>
                          <w14:schemeClr w14:val="tx1"/>
                        </w14:solidFill>
                      </w14:textFill>
                    </w:rPr>
                    <w:t>099</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S59</w:t>
                  </w:r>
                </w:p>
              </w:tc>
              <w:tc>
                <w:tcPr>
                  <w:tcW w:w="474" w:type="dxa"/>
                  <w:tcBorders>
                    <w:tl2br w:val="nil"/>
                    <w:tr2bl w:val="nil"/>
                  </w:tcBorders>
                  <w:vAlign w:val="center"/>
                </w:tcPr>
                <w:p w14:paraId="6A6576F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固态</w:t>
                  </w:r>
                </w:p>
              </w:tc>
              <w:tc>
                <w:tcPr>
                  <w:tcW w:w="392" w:type="dxa"/>
                  <w:tcBorders>
                    <w:tl2br w:val="nil"/>
                    <w:tr2bl w:val="nil"/>
                  </w:tcBorders>
                  <w:vAlign w:val="center"/>
                </w:tcPr>
                <w:p w14:paraId="6D255FC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614" w:type="dxa"/>
                  <w:tcBorders>
                    <w:tl2br w:val="nil"/>
                    <w:tr2bl w:val="nil"/>
                  </w:tcBorders>
                  <w:vAlign w:val="center"/>
                </w:tcPr>
                <w:p w14:paraId="6B38138E">
                  <w:pPr>
                    <w:pStyle w:val="16"/>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440" w:type="dxa"/>
                  <w:tcBorders>
                    <w:tl2br w:val="nil"/>
                    <w:tr2bl w:val="nil"/>
                  </w:tcBorders>
                  <w:vAlign w:val="center"/>
                </w:tcPr>
                <w:p w14:paraId="1BC3946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集中收集</w:t>
                  </w:r>
                </w:p>
              </w:tc>
              <w:tc>
                <w:tcPr>
                  <w:tcW w:w="730" w:type="dxa"/>
                  <w:tcBorders>
                    <w:tl2br w:val="nil"/>
                    <w:tr2bl w:val="nil"/>
                  </w:tcBorders>
                  <w:vAlign w:val="center"/>
                </w:tcPr>
                <w:p w14:paraId="3BD5954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厂家回收处理</w:t>
                  </w:r>
                </w:p>
              </w:tc>
              <w:tc>
                <w:tcPr>
                  <w:tcW w:w="736" w:type="dxa"/>
                  <w:tcBorders>
                    <w:tl2br w:val="nil"/>
                    <w:tr2bl w:val="nil"/>
                  </w:tcBorders>
                  <w:vAlign w:val="center"/>
                </w:tcPr>
                <w:p w14:paraId="51F53A5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748" w:type="dxa"/>
                  <w:vMerge w:val="continue"/>
                  <w:tcBorders>
                    <w:tl2br w:val="nil"/>
                    <w:tr2bl w:val="nil"/>
                  </w:tcBorders>
                  <w:vAlign w:val="center"/>
                </w:tcPr>
                <w:p w14:paraId="451554FF">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3304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 w:type="dxa"/>
                  <w:vMerge w:val="restart"/>
                  <w:tcBorders>
                    <w:tl2br w:val="nil"/>
                    <w:tr2bl w:val="nil"/>
                  </w:tcBorders>
                  <w:vAlign w:val="center"/>
                </w:tcPr>
                <w:p w14:paraId="695A64F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设备保养</w:t>
                  </w:r>
                </w:p>
              </w:tc>
              <w:tc>
                <w:tcPr>
                  <w:tcW w:w="394" w:type="dxa"/>
                  <w:tcBorders>
                    <w:tl2br w:val="nil"/>
                    <w:tr2bl w:val="nil"/>
                  </w:tcBorders>
                  <w:vAlign w:val="center"/>
                </w:tcPr>
                <w:p w14:paraId="4F81AD1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废</w:t>
                  </w:r>
                  <w:r>
                    <w:rPr>
                      <w:rFonts w:hint="default" w:ascii="Times New Roman" w:hAnsi="Times New Roman" w:cs="Times New Roman"/>
                      <w:color w:val="000000" w:themeColor="text1"/>
                      <w:highlight w:val="none"/>
                      <w:lang w:val="en-US" w:eastAsia="zh-CN"/>
                      <w14:textFill>
                        <w14:solidFill>
                          <w14:schemeClr w14:val="tx1"/>
                        </w14:solidFill>
                      </w14:textFill>
                    </w:rPr>
                    <w:t>润滑油</w:t>
                  </w:r>
                </w:p>
              </w:tc>
              <w:tc>
                <w:tcPr>
                  <w:tcW w:w="372" w:type="dxa"/>
                  <w:tcBorders>
                    <w:tl2br w:val="nil"/>
                    <w:tr2bl w:val="nil"/>
                  </w:tcBorders>
                  <w:vAlign w:val="center"/>
                </w:tcPr>
                <w:p w14:paraId="6110FA2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危险废物</w:t>
                  </w:r>
                </w:p>
              </w:tc>
              <w:tc>
                <w:tcPr>
                  <w:tcW w:w="893" w:type="dxa"/>
                  <w:tcBorders>
                    <w:tl2br w:val="nil"/>
                    <w:tr2bl w:val="nil"/>
                  </w:tcBorders>
                  <w:vAlign w:val="center"/>
                </w:tcPr>
                <w:p w14:paraId="6E9AA8A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HW08废矿物油与含矿物油废物</w:t>
                  </w:r>
                </w:p>
              </w:tc>
              <w:tc>
                <w:tcPr>
                  <w:tcW w:w="1387" w:type="dxa"/>
                  <w:tcBorders>
                    <w:tl2br w:val="nil"/>
                    <w:tr2bl w:val="nil"/>
                  </w:tcBorders>
                  <w:vAlign w:val="center"/>
                </w:tcPr>
                <w:p w14:paraId="0E54110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900-21</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-08</w:t>
                  </w:r>
                </w:p>
              </w:tc>
              <w:tc>
                <w:tcPr>
                  <w:tcW w:w="474" w:type="dxa"/>
                  <w:tcBorders>
                    <w:tl2br w:val="nil"/>
                    <w:tr2bl w:val="nil"/>
                  </w:tcBorders>
                  <w:vAlign w:val="center"/>
                </w:tcPr>
                <w:p w14:paraId="242C727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液态</w:t>
                  </w:r>
                </w:p>
              </w:tc>
              <w:tc>
                <w:tcPr>
                  <w:tcW w:w="392" w:type="dxa"/>
                  <w:tcBorders>
                    <w:tl2br w:val="nil"/>
                    <w:tr2bl w:val="nil"/>
                  </w:tcBorders>
                  <w:vAlign w:val="center"/>
                </w:tcPr>
                <w:p w14:paraId="3D24678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T，I</w:t>
                  </w:r>
                </w:p>
              </w:tc>
              <w:tc>
                <w:tcPr>
                  <w:tcW w:w="614" w:type="dxa"/>
                  <w:tcBorders>
                    <w:tl2br w:val="nil"/>
                    <w:tr2bl w:val="nil"/>
                  </w:tcBorders>
                  <w:vAlign w:val="center"/>
                </w:tcPr>
                <w:p w14:paraId="5FC9472F">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w:t>
                  </w:r>
                </w:p>
              </w:tc>
              <w:tc>
                <w:tcPr>
                  <w:tcW w:w="440" w:type="dxa"/>
                  <w:tcBorders>
                    <w:tl2br w:val="nil"/>
                    <w:tr2bl w:val="nil"/>
                  </w:tcBorders>
                  <w:vAlign w:val="center"/>
                </w:tcPr>
                <w:p w14:paraId="72E4996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c>
                <w:tcPr>
                  <w:tcW w:w="730" w:type="dxa"/>
                  <w:tcBorders>
                    <w:tl2br w:val="nil"/>
                    <w:tr2bl w:val="nil"/>
                  </w:tcBorders>
                  <w:vAlign w:val="center"/>
                </w:tcPr>
                <w:p w14:paraId="3AAF86B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委托有资质的单位回收</w:t>
                  </w:r>
                </w:p>
              </w:tc>
              <w:tc>
                <w:tcPr>
                  <w:tcW w:w="736" w:type="dxa"/>
                  <w:tcBorders>
                    <w:tl2br w:val="nil"/>
                    <w:tr2bl w:val="nil"/>
                  </w:tcBorders>
                  <w:vAlign w:val="center"/>
                </w:tcPr>
                <w:p w14:paraId="253A53B7">
                  <w:pPr>
                    <w:pStyle w:val="16"/>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w:t>
                  </w:r>
                </w:p>
              </w:tc>
              <w:tc>
                <w:tcPr>
                  <w:tcW w:w="1748" w:type="dxa"/>
                  <w:tcBorders>
                    <w:tl2br w:val="nil"/>
                    <w:tr2bl w:val="nil"/>
                  </w:tcBorders>
                  <w:vAlign w:val="center"/>
                </w:tcPr>
                <w:p w14:paraId="40BE067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eastAsia="zh-CN"/>
                      <w14:textFill>
                        <w14:solidFill>
                          <w14:schemeClr w14:val="tx1"/>
                        </w14:solidFill>
                      </w14:textFill>
                    </w:rPr>
                    <w:t>18597-2023）</w:t>
                  </w:r>
                </w:p>
              </w:tc>
            </w:tr>
            <w:tr w14:paraId="6E7A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22" w:type="dxa"/>
                  <w:vMerge w:val="continue"/>
                  <w:tcBorders>
                    <w:tl2br w:val="nil"/>
                    <w:tr2bl w:val="nil"/>
                  </w:tcBorders>
                  <w:vAlign w:val="center"/>
                </w:tcPr>
                <w:p w14:paraId="2A75F6E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94" w:type="dxa"/>
                  <w:tcBorders>
                    <w:tl2br w:val="nil"/>
                    <w:tr2bl w:val="nil"/>
                  </w:tcBorders>
                  <w:vAlign w:val="center"/>
                </w:tcPr>
                <w:p w14:paraId="303B17C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废油</w:t>
                  </w:r>
                  <w:r>
                    <w:rPr>
                      <w:rFonts w:hint="default" w:ascii="Times New Roman" w:hAnsi="Times New Roman" w:cs="Times New Roman"/>
                      <w:color w:val="000000" w:themeColor="text1"/>
                      <w:highlight w:val="none"/>
                      <w:lang w:val="en-US" w:eastAsia="zh-CN"/>
                      <w14:textFill>
                        <w14:solidFill>
                          <w14:schemeClr w14:val="tx1"/>
                        </w14:solidFill>
                      </w14:textFill>
                    </w:rPr>
                    <w:t>桶</w:t>
                  </w:r>
                </w:p>
              </w:tc>
              <w:tc>
                <w:tcPr>
                  <w:tcW w:w="372" w:type="dxa"/>
                  <w:tcBorders>
                    <w:tl2br w:val="nil"/>
                    <w:tr2bl w:val="nil"/>
                  </w:tcBorders>
                  <w:shd w:val="clear" w:color="auto" w:fill="auto"/>
                  <w:vAlign w:val="center"/>
                </w:tcPr>
                <w:p w14:paraId="772FA8A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危险废物</w:t>
                  </w:r>
                </w:p>
              </w:tc>
              <w:tc>
                <w:tcPr>
                  <w:tcW w:w="893" w:type="dxa"/>
                  <w:tcBorders>
                    <w:tl2br w:val="nil"/>
                    <w:tr2bl w:val="nil"/>
                  </w:tcBorders>
                  <w:shd w:val="clear" w:color="auto" w:fill="auto"/>
                  <w:vAlign w:val="center"/>
                </w:tcPr>
                <w:p w14:paraId="25307D3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HW08废矿物油与含矿物油废物</w:t>
                  </w:r>
                </w:p>
              </w:tc>
              <w:tc>
                <w:tcPr>
                  <w:tcW w:w="1387" w:type="dxa"/>
                  <w:tcBorders>
                    <w:tl2br w:val="nil"/>
                    <w:tr2bl w:val="nil"/>
                  </w:tcBorders>
                  <w:shd w:val="clear" w:color="auto" w:fill="auto"/>
                  <w:vAlign w:val="center"/>
                </w:tcPr>
                <w:p w14:paraId="113E94A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900-2</w:t>
                  </w:r>
                  <w:r>
                    <w:rPr>
                      <w:rFonts w:hint="default" w:ascii="Times New Roman" w:hAnsi="Times New Roman" w:cs="Times New Roman"/>
                      <w:color w:val="000000" w:themeColor="text1"/>
                      <w:highlight w:val="none"/>
                      <w:lang w:val="en-US" w:eastAsia="zh-CN"/>
                      <w14:textFill>
                        <w14:solidFill>
                          <w14:schemeClr w14:val="tx1"/>
                        </w14:solidFill>
                      </w14:textFill>
                    </w:rPr>
                    <w:t>49</w:t>
                  </w:r>
                  <w:r>
                    <w:rPr>
                      <w:rFonts w:hint="default" w:ascii="Times New Roman" w:hAnsi="Times New Roman" w:cs="Times New Roman"/>
                      <w:color w:val="000000" w:themeColor="text1"/>
                      <w:highlight w:val="none"/>
                      <w14:textFill>
                        <w14:solidFill>
                          <w14:schemeClr w14:val="tx1"/>
                        </w14:solidFill>
                      </w14:textFill>
                    </w:rPr>
                    <w:t>-08</w:t>
                  </w:r>
                </w:p>
              </w:tc>
              <w:tc>
                <w:tcPr>
                  <w:tcW w:w="474" w:type="dxa"/>
                  <w:tcBorders>
                    <w:tl2br w:val="nil"/>
                    <w:tr2bl w:val="nil"/>
                  </w:tcBorders>
                  <w:shd w:val="clear" w:color="auto" w:fill="auto"/>
                  <w:vAlign w:val="center"/>
                </w:tcPr>
                <w:p w14:paraId="0E179BE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固态</w:t>
                  </w:r>
                </w:p>
              </w:tc>
              <w:tc>
                <w:tcPr>
                  <w:tcW w:w="392" w:type="dxa"/>
                  <w:tcBorders>
                    <w:tl2br w:val="nil"/>
                    <w:tr2bl w:val="nil"/>
                  </w:tcBorders>
                  <w:shd w:val="clear" w:color="auto" w:fill="auto"/>
                  <w:vAlign w:val="center"/>
                </w:tcPr>
                <w:p w14:paraId="3ADDA0F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T，I</w:t>
                  </w:r>
                </w:p>
              </w:tc>
              <w:tc>
                <w:tcPr>
                  <w:tcW w:w="614" w:type="dxa"/>
                  <w:tcBorders>
                    <w:tl2br w:val="nil"/>
                    <w:tr2bl w:val="nil"/>
                  </w:tcBorders>
                  <w:shd w:val="clear" w:color="auto" w:fill="auto"/>
                  <w:vAlign w:val="center"/>
                </w:tcPr>
                <w:p w14:paraId="01818C3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w:t>
                  </w:r>
                </w:p>
              </w:tc>
              <w:tc>
                <w:tcPr>
                  <w:tcW w:w="440" w:type="dxa"/>
                  <w:tcBorders>
                    <w:tl2br w:val="nil"/>
                    <w:tr2bl w:val="nil"/>
                  </w:tcBorders>
                  <w:shd w:val="clear" w:color="auto" w:fill="auto"/>
                  <w:vAlign w:val="center"/>
                </w:tcPr>
                <w:p w14:paraId="743EF65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c>
                <w:tcPr>
                  <w:tcW w:w="730" w:type="dxa"/>
                  <w:tcBorders>
                    <w:tl2br w:val="nil"/>
                    <w:tr2bl w:val="nil"/>
                  </w:tcBorders>
                  <w:shd w:val="clear" w:color="auto" w:fill="auto"/>
                  <w:vAlign w:val="center"/>
                </w:tcPr>
                <w:p w14:paraId="1978D1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委托有资质的单位回收</w:t>
                  </w:r>
                </w:p>
              </w:tc>
              <w:tc>
                <w:tcPr>
                  <w:tcW w:w="736" w:type="dxa"/>
                  <w:tcBorders>
                    <w:tl2br w:val="nil"/>
                    <w:tr2bl w:val="nil"/>
                  </w:tcBorders>
                  <w:shd w:val="clear" w:color="auto" w:fill="auto"/>
                  <w:vAlign w:val="center"/>
                </w:tcPr>
                <w:p w14:paraId="39C337A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w:t>
                  </w:r>
                </w:p>
              </w:tc>
              <w:tc>
                <w:tcPr>
                  <w:tcW w:w="1748" w:type="dxa"/>
                  <w:tcBorders>
                    <w:tl2br w:val="nil"/>
                    <w:tr2bl w:val="nil"/>
                  </w:tcBorders>
                  <w:shd w:val="clear" w:color="auto" w:fill="auto"/>
                  <w:vAlign w:val="center"/>
                </w:tcPr>
                <w:p w14:paraId="3EDEBDC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eastAsia="zh-CN"/>
                      <w14:textFill>
                        <w14:solidFill>
                          <w14:schemeClr w14:val="tx1"/>
                        </w14:solidFill>
                      </w14:textFill>
                    </w:rPr>
                    <w:t>18597-2023）</w:t>
                  </w:r>
                </w:p>
              </w:tc>
            </w:tr>
            <w:tr w14:paraId="4B4B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422" w:type="dxa"/>
                  <w:vMerge w:val="continue"/>
                  <w:tcBorders>
                    <w:tl2br w:val="nil"/>
                    <w:tr2bl w:val="nil"/>
                  </w:tcBorders>
                  <w:vAlign w:val="center"/>
                </w:tcPr>
                <w:p w14:paraId="1D79D3D6">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394" w:type="dxa"/>
                  <w:tcBorders>
                    <w:tl2br w:val="nil"/>
                    <w:tr2bl w:val="nil"/>
                  </w:tcBorders>
                  <w:vAlign w:val="center"/>
                </w:tcPr>
                <w:p w14:paraId="26031DD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废防渗膜</w:t>
                  </w:r>
                </w:p>
              </w:tc>
              <w:tc>
                <w:tcPr>
                  <w:tcW w:w="372" w:type="dxa"/>
                  <w:tcBorders>
                    <w:tl2br w:val="nil"/>
                    <w:tr2bl w:val="nil"/>
                  </w:tcBorders>
                  <w:shd w:val="clear" w:color="auto" w:fill="auto"/>
                  <w:vAlign w:val="center"/>
                </w:tcPr>
                <w:p w14:paraId="6F1B9DF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危险废物</w:t>
                  </w:r>
                </w:p>
              </w:tc>
              <w:tc>
                <w:tcPr>
                  <w:tcW w:w="893" w:type="dxa"/>
                  <w:tcBorders>
                    <w:tl2br w:val="nil"/>
                    <w:tr2bl w:val="nil"/>
                  </w:tcBorders>
                  <w:shd w:val="clear" w:color="auto" w:fill="auto"/>
                  <w:vAlign w:val="center"/>
                </w:tcPr>
                <w:p w14:paraId="246D6A5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HW08废矿物油与含矿物油废物</w:t>
                  </w:r>
                </w:p>
              </w:tc>
              <w:tc>
                <w:tcPr>
                  <w:tcW w:w="1387" w:type="dxa"/>
                  <w:tcBorders>
                    <w:tl2br w:val="nil"/>
                    <w:tr2bl w:val="nil"/>
                  </w:tcBorders>
                  <w:shd w:val="clear" w:color="auto" w:fill="auto"/>
                  <w:vAlign w:val="center"/>
                </w:tcPr>
                <w:p w14:paraId="4CE34F5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900-2</w:t>
                  </w:r>
                  <w:r>
                    <w:rPr>
                      <w:rFonts w:hint="default" w:ascii="Times New Roman" w:hAnsi="Times New Roman" w:cs="Times New Roman"/>
                      <w:color w:val="000000" w:themeColor="text1"/>
                      <w:highlight w:val="none"/>
                      <w:lang w:val="en-US" w:eastAsia="zh-CN"/>
                      <w14:textFill>
                        <w14:solidFill>
                          <w14:schemeClr w14:val="tx1"/>
                        </w14:solidFill>
                      </w14:textFill>
                    </w:rPr>
                    <w:t>49</w:t>
                  </w:r>
                  <w:r>
                    <w:rPr>
                      <w:rFonts w:hint="default" w:ascii="Times New Roman" w:hAnsi="Times New Roman" w:cs="Times New Roman"/>
                      <w:color w:val="000000" w:themeColor="text1"/>
                      <w:highlight w:val="none"/>
                      <w14:textFill>
                        <w14:solidFill>
                          <w14:schemeClr w14:val="tx1"/>
                        </w14:solidFill>
                      </w14:textFill>
                    </w:rPr>
                    <w:t>-08</w:t>
                  </w:r>
                </w:p>
              </w:tc>
              <w:tc>
                <w:tcPr>
                  <w:tcW w:w="474" w:type="dxa"/>
                  <w:tcBorders>
                    <w:tl2br w:val="nil"/>
                    <w:tr2bl w:val="nil"/>
                  </w:tcBorders>
                  <w:shd w:val="clear" w:color="auto" w:fill="auto"/>
                  <w:vAlign w:val="center"/>
                </w:tcPr>
                <w:p w14:paraId="164E8BB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固</w:t>
                  </w:r>
                  <w:r>
                    <w:rPr>
                      <w:rFonts w:hint="default" w:ascii="Times New Roman" w:hAnsi="Times New Roman" w:cs="Times New Roman"/>
                      <w:color w:val="000000" w:themeColor="text1"/>
                      <w:highlight w:val="none"/>
                      <w14:textFill>
                        <w14:solidFill>
                          <w14:schemeClr w14:val="tx1"/>
                        </w14:solidFill>
                      </w14:textFill>
                    </w:rPr>
                    <w:t>态</w:t>
                  </w:r>
                </w:p>
              </w:tc>
              <w:tc>
                <w:tcPr>
                  <w:tcW w:w="392" w:type="dxa"/>
                  <w:tcBorders>
                    <w:tl2br w:val="nil"/>
                    <w:tr2bl w:val="nil"/>
                  </w:tcBorders>
                  <w:shd w:val="clear" w:color="auto" w:fill="auto"/>
                  <w:vAlign w:val="center"/>
                </w:tcPr>
                <w:p w14:paraId="3271FAF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T，I</w:t>
                  </w:r>
                </w:p>
              </w:tc>
              <w:tc>
                <w:tcPr>
                  <w:tcW w:w="614" w:type="dxa"/>
                  <w:tcBorders>
                    <w:tl2br w:val="nil"/>
                    <w:tr2bl w:val="nil"/>
                  </w:tcBorders>
                  <w:shd w:val="clear" w:color="auto" w:fill="auto"/>
                  <w:vAlign w:val="center"/>
                </w:tcPr>
                <w:p w14:paraId="3F12FBB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0.01</w:t>
                  </w:r>
                </w:p>
              </w:tc>
              <w:tc>
                <w:tcPr>
                  <w:tcW w:w="440" w:type="dxa"/>
                  <w:tcBorders>
                    <w:tl2br w:val="nil"/>
                    <w:tr2bl w:val="nil"/>
                  </w:tcBorders>
                  <w:shd w:val="clear" w:color="auto" w:fill="auto"/>
                  <w:vAlign w:val="center"/>
                </w:tcPr>
                <w:p w14:paraId="1D92D6D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c>
                <w:tcPr>
                  <w:tcW w:w="730" w:type="dxa"/>
                  <w:tcBorders>
                    <w:tl2br w:val="nil"/>
                    <w:tr2bl w:val="nil"/>
                  </w:tcBorders>
                  <w:shd w:val="clear" w:color="auto" w:fill="auto"/>
                  <w:vAlign w:val="center"/>
                </w:tcPr>
                <w:p w14:paraId="5624714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委托有资质的单位回收</w:t>
                  </w:r>
                </w:p>
              </w:tc>
              <w:tc>
                <w:tcPr>
                  <w:tcW w:w="736" w:type="dxa"/>
                  <w:tcBorders>
                    <w:tl2br w:val="nil"/>
                    <w:tr2bl w:val="nil"/>
                  </w:tcBorders>
                  <w:shd w:val="clear" w:color="auto" w:fill="auto"/>
                  <w:vAlign w:val="center"/>
                </w:tcPr>
                <w:p w14:paraId="42E775A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0.01</w:t>
                  </w:r>
                </w:p>
              </w:tc>
              <w:tc>
                <w:tcPr>
                  <w:tcW w:w="1748" w:type="dxa"/>
                  <w:tcBorders>
                    <w:tl2br w:val="nil"/>
                    <w:tr2bl w:val="nil"/>
                  </w:tcBorders>
                  <w:shd w:val="clear" w:color="auto" w:fill="auto"/>
                  <w:vAlign w:val="center"/>
                </w:tcPr>
                <w:p w14:paraId="3C81000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eastAsia="zh-CN"/>
                      <w14:textFill>
                        <w14:solidFill>
                          <w14:schemeClr w14:val="tx1"/>
                        </w14:solidFill>
                      </w14:textFill>
                    </w:rPr>
                    <w:t>18597-2023）</w:t>
                  </w:r>
                </w:p>
              </w:tc>
            </w:tr>
            <w:tr w14:paraId="7293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422" w:type="dxa"/>
                  <w:tcBorders>
                    <w:tl2br w:val="nil"/>
                    <w:tr2bl w:val="nil"/>
                  </w:tcBorders>
                  <w:vAlign w:val="center"/>
                </w:tcPr>
                <w:p w14:paraId="5CBBECB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破碎、筛分</w:t>
                  </w:r>
                </w:p>
              </w:tc>
              <w:tc>
                <w:tcPr>
                  <w:tcW w:w="394" w:type="dxa"/>
                  <w:tcBorders>
                    <w:tl2br w:val="nil"/>
                    <w:tr2bl w:val="nil"/>
                  </w:tcBorders>
                  <w:vAlign w:val="center"/>
                </w:tcPr>
                <w:p w14:paraId="410A32D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不合格产品</w:t>
                  </w:r>
                </w:p>
              </w:tc>
              <w:tc>
                <w:tcPr>
                  <w:tcW w:w="372" w:type="dxa"/>
                  <w:tcBorders>
                    <w:tl2br w:val="nil"/>
                    <w:tr2bl w:val="nil"/>
                  </w:tcBorders>
                  <w:vAlign w:val="center"/>
                </w:tcPr>
                <w:p w14:paraId="3496EBB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一般废物</w:t>
                  </w:r>
                </w:p>
              </w:tc>
              <w:tc>
                <w:tcPr>
                  <w:tcW w:w="893" w:type="dxa"/>
                  <w:tcBorders>
                    <w:tl2br w:val="nil"/>
                    <w:tr2bl w:val="nil"/>
                  </w:tcBorders>
                  <w:shd w:val="clear" w:color="auto" w:fill="auto"/>
                  <w:vAlign w:val="center"/>
                </w:tcPr>
                <w:p w14:paraId="7408403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1387" w:type="dxa"/>
                  <w:tcBorders>
                    <w:tl2br w:val="nil"/>
                    <w:tr2bl w:val="nil"/>
                  </w:tcBorders>
                  <w:shd w:val="clear" w:color="auto" w:fill="auto"/>
                  <w:vAlign w:val="center"/>
                </w:tcPr>
                <w:p w14:paraId="46C0FB1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900-</w:t>
                  </w:r>
                  <w:r>
                    <w:rPr>
                      <w:rFonts w:hint="default" w:ascii="Times New Roman" w:hAnsi="Times New Roman" w:cs="Times New Roman"/>
                      <w:color w:val="000000" w:themeColor="text1"/>
                      <w:highlight w:val="none"/>
                      <w:lang w:val="en-US" w:eastAsia="zh-CN"/>
                      <w14:textFill>
                        <w14:solidFill>
                          <w14:schemeClr w14:val="tx1"/>
                        </w14:solidFill>
                      </w14:textFill>
                    </w:rPr>
                    <w:t>099</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S59</w:t>
                  </w:r>
                </w:p>
              </w:tc>
              <w:tc>
                <w:tcPr>
                  <w:tcW w:w="474" w:type="dxa"/>
                  <w:tcBorders>
                    <w:tl2br w:val="nil"/>
                    <w:tr2bl w:val="nil"/>
                  </w:tcBorders>
                  <w:shd w:val="clear" w:color="auto" w:fill="auto"/>
                  <w:vAlign w:val="center"/>
                </w:tcPr>
                <w:p w14:paraId="0EBE5DA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固态</w:t>
                  </w:r>
                </w:p>
              </w:tc>
              <w:tc>
                <w:tcPr>
                  <w:tcW w:w="392" w:type="dxa"/>
                  <w:tcBorders>
                    <w:tl2br w:val="nil"/>
                    <w:tr2bl w:val="nil"/>
                  </w:tcBorders>
                  <w:shd w:val="clear" w:color="auto" w:fill="auto"/>
                  <w:vAlign w:val="center"/>
                </w:tcPr>
                <w:p w14:paraId="731E696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614" w:type="dxa"/>
                  <w:tcBorders>
                    <w:tl2br w:val="nil"/>
                    <w:tr2bl w:val="nil"/>
                  </w:tcBorders>
                  <w:shd w:val="clear" w:color="auto" w:fill="auto"/>
                  <w:vAlign w:val="center"/>
                </w:tcPr>
                <w:p w14:paraId="7F9AAA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19290.24</w:t>
                  </w:r>
                </w:p>
              </w:tc>
              <w:tc>
                <w:tcPr>
                  <w:tcW w:w="440" w:type="dxa"/>
                  <w:tcBorders>
                    <w:tl2br w:val="nil"/>
                    <w:tr2bl w:val="nil"/>
                  </w:tcBorders>
                  <w:vAlign w:val="center"/>
                </w:tcPr>
                <w:p w14:paraId="67DE6E9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集中收集，弃渣场暂存</w:t>
                  </w:r>
                </w:p>
              </w:tc>
              <w:tc>
                <w:tcPr>
                  <w:tcW w:w="730" w:type="dxa"/>
                  <w:tcBorders>
                    <w:tl2br w:val="nil"/>
                    <w:tr2bl w:val="nil"/>
                  </w:tcBorders>
                  <w:vAlign w:val="center"/>
                </w:tcPr>
                <w:p w14:paraId="749AE02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服务期满后场地平整</w:t>
                  </w:r>
                </w:p>
              </w:tc>
              <w:tc>
                <w:tcPr>
                  <w:tcW w:w="736" w:type="dxa"/>
                  <w:tcBorders>
                    <w:tl2br w:val="nil"/>
                    <w:tr2bl w:val="nil"/>
                  </w:tcBorders>
                  <w:vAlign w:val="center"/>
                </w:tcPr>
                <w:p w14:paraId="5E7754E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19290.24</w:t>
                  </w:r>
                </w:p>
              </w:tc>
              <w:tc>
                <w:tcPr>
                  <w:tcW w:w="1748" w:type="dxa"/>
                  <w:vMerge w:val="restart"/>
                  <w:tcBorders>
                    <w:tl2br w:val="nil"/>
                    <w:tr2bl w:val="nil"/>
                  </w:tcBorders>
                  <w:vAlign w:val="center"/>
                </w:tcPr>
                <w:p w14:paraId="73B584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《一般工业固体废物贮存和填埋污染控制标准》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18599-2020</w:t>
                  </w:r>
                  <w:r>
                    <w:rPr>
                      <w:rFonts w:hint="default" w:ascii="Times New Roman" w:hAnsi="Times New Roman" w:cs="Times New Roman"/>
                      <w:color w:val="000000" w:themeColor="text1"/>
                      <w:highlight w:val="none"/>
                      <w:lang w:eastAsia="zh-CN"/>
                      <w14:textFill>
                        <w14:solidFill>
                          <w14:schemeClr w14:val="tx1"/>
                        </w14:solidFill>
                      </w14:textFill>
                    </w:rPr>
                    <w:t>）</w:t>
                  </w:r>
                </w:p>
              </w:tc>
            </w:tr>
            <w:tr w14:paraId="2EC0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422" w:type="dxa"/>
                  <w:tcBorders>
                    <w:tl2br w:val="nil"/>
                    <w:tr2bl w:val="nil"/>
                  </w:tcBorders>
                  <w:vAlign w:val="center"/>
                </w:tcPr>
                <w:p w14:paraId="70356BB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员工生活</w:t>
                  </w:r>
                </w:p>
              </w:tc>
              <w:tc>
                <w:tcPr>
                  <w:tcW w:w="394" w:type="dxa"/>
                  <w:tcBorders>
                    <w:tl2br w:val="nil"/>
                    <w:tr2bl w:val="nil"/>
                  </w:tcBorders>
                  <w:vAlign w:val="center"/>
                </w:tcPr>
                <w:p w14:paraId="7AA54AD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生活垃圾</w:t>
                  </w:r>
                </w:p>
              </w:tc>
              <w:tc>
                <w:tcPr>
                  <w:tcW w:w="372" w:type="dxa"/>
                  <w:tcBorders>
                    <w:tl2br w:val="nil"/>
                    <w:tr2bl w:val="nil"/>
                  </w:tcBorders>
                  <w:shd w:val="clear" w:color="auto" w:fill="auto"/>
                  <w:vAlign w:val="center"/>
                </w:tcPr>
                <w:p w14:paraId="6591782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一般废物</w:t>
                  </w:r>
                </w:p>
              </w:tc>
              <w:tc>
                <w:tcPr>
                  <w:tcW w:w="893" w:type="dxa"/>
                  <w:tcBorders>
                    <w:tl2br w:val="nil"/>
                    <w:tr2bl w:val="nil"/>
                  </w:tcBorders>
                  <w:shd w:val="clear" w:color="auto" w:fill="auto"/>
                  <w:vAlign w:val="center"/>
                </w:tcPr>
                <w:p w14:paraId="502CF64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1387" w:type="dxa"/>
                  <w:tcBorders>
                    <w:tl2br w:val="nil"/>
                    <w:tr2bl w:val="nil"/>
                  </w:tcBorders>
                  <w:shd w:val="clear" w:color="auto" w:fill="auto"/>
                  <w:vAlign w:val="center"/>
                </w:tcPr>
                <w:p w14:paraId="76C5D03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474" w:type="dxa"/>
                  <w:tcBorders>
                    <w:tl2br w:val="nil"/>
                    <w:tr2bl w:val="nil"/>
                  </w:tcBorders>
                  <w:shd w:val="clear" w:color="auto" w:fill="auto"/>
                  <w:vAlign w:val="center"/>
                </w:tcPr>
                <w:p w14:paraId="1CA122F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固态</w:t>
                  </w:r>
                </w:p>
              </w:tc>
              <w:tc>
                <w:tcPr>
                  <w:tcW w:w="392" w:type="dxa"/>
                  <w:tcBorders>
                    <w:tl2br w:val="nil"/>
                    <w:tr2bl w:val="nil"/>
                  </w:tcBorders>
                  <w:shd w:val="clear" w:color="auto" w:fill="auto"/>
                  <w:vAlign w:val="center"/>
                </w:tcPr>
                <w:p w14:paraId="2154812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无</w:t>
                  </w:r>
                </w:p>
              </w:tc>
              <w:tc>
                <w:tcPr>
                  <w:tcW w:w="614" w:type="dxa"/>
                  <w:tcBorders>
                    <w:tl2br w:val="nil"/>
                    <w:tr2bl w:val="nil"/>
                  </w:tcBorders>
                  <w:shd w:val="clear" w:color="auto" w:fill="auto"/>
                  <w:vAlign w:val="center"/>
                </w:tcPr>
                <w:p w14:paraId="5BFD1FD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0.84</w:t>
                  </w:r>
                </w:p>
              </w:tc>
              <w:tc>
                <w:tcPr>
                  <w:tcW w:w="440" w:type="dxa"/>
                  <w:tcBorders>
                    <w:tl2br w:val="nil"/>
                    <w:tr2bl w:val="nil"/>
                  </w:tcBorders>
                  <w:vAlign w:val="center"/>
                </w:tcPr>
                <w:p w14:paraId="7F7771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集中收集</w:t>
                  </w:r>
                </w:p>
              </w:tc>
              <w:tc>
                <w:tcPr>
                  <w:tcW w:w="730" w:type="dxa"/>
                  <w:tcBorders>
                    <w:tl2br w:val="nil"/>
                    <w:tr2bl w:val="nil"/>
                  </w:tcBorders>
                  <w:vAlign w:val="center"/>
                </w:tcPr>
                <w:p w14:paraId="53801471">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依托中铁隧道局新建伊阿铁路SX标项目部处理</w:t>
                  </w:r>
                </w:p>
              </w:tc>
              <w:tc>
                <w:tcPr>
                  <w:tcW w:w="736" w:type="dxa"/>
                  <w:tcBorders>
                    <w:tl2br w:val="nil"/>
                    <w:tr2bl w:val="nil"/>
                  </w:tcBorders>
                  <w:vAlign w:val="center"/>
                </w:tcPr>
                <w:p w14:paraId="442926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0.84</w:t>
                  </w:r>
                </w:p>
              </w:tc>
              <w:tc>
                <w:tcPr>
                  <w:tcW w:w="1748" w:type="dxa"/>
                  <w:vMerge w:val="continue"/>
                  <w:tcBorders>
                    <w:tl2br w:val="nil"/>
                    <w:tr2bl w:val="nil"/>
                  </w:tcBorders>
                  <w:vAlign w:val="center"/>
                </w:tcPr>
                <w:p w14:paraId="1A6FDA2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bookmarkEnd w:id="19"/>
            <w:bookmarkEnd w:id="20"/>
            <w:bookmarkEnd w:id="21"/>
            <w:bookmarkEnd w:id="22"/>
          </w:tbl>
          <w:p w14:paraId="42113744">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（1）生产固废</w:t>
            </w:r>
          </w:p>
          <w:p w14:paraId="3D9328F2">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项目产生固废主要是除尘器</w:t>
            </w:r>
            <w:r>
              <w:rPr>
                <w:rFonts w:hint="default" w:ascii="Times New Roman" w:hAnsi="Times New Roman" w:cs="Times New Roman"/>
                <w:color w:val="000000" w:themeColor="text1"/>
                <w:highlight w:val="none"/>
                <w:lang w:val="en-US" w:eastAsia="zh-CN"/>
                <w14:textFill>
                  <w14:solidFill>
                    <w14:schemeClr w14:val="tx1"/>
                  </w14:solidFill>
                </w14:textFill>
              </w:rPr>
              <w:t>收集的除尘灰</w:t>
            </w:r>
            <w:r>
              <w:rPr>
                <w:rFonts w:hint="default" w:ascii="Times New Roman" w:hAnsi="Times New Roman" w:cs="Times New Roman"/>
                <w:color w:val="000000" w:themeColor="text1"/>
                <w:highlight w:val="none"/>
                <w14:textFill>
                  <w14:solidFill>
                    <w14:schemeClr w14:val="tx1"/>
                  </w14:solidFill>
                </w14:textFill>
              </w:rPr>
              <w:t>、废旧布袋</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不合格产品、生活垃圾</w:t>
            </w:r>
            <w:r>
              <w:rPr>
                <w:rFonts w:hint="default" w:ascii="Times New Roman" w:hAnsi="Times New Roman" w:cs="Times New Roman"/>
                <w:color w:val="000000" w:themeColor="text1"/>
                <w:highlight w:val="none"/>
                <w14:textFill>
                  <w14:solidFill>
                    <w14:schemeClr w14:val="tx1"/>
                  </w14:solidFill>
                </w14:textFill>
              </w:rPr>
              <w:t>。</w:t>
            </w:r>
          </w:p>
          <w:p w14:paraId="42957866">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根据计算除尘器收集粉尘量为</w:t>
            </w:r>
            <w:r>
              <w:rPr>
                <w:rFonts w:hint="eastAsia" w:cs="Times New Roman"/>
                <w:color w:val="000000" w:themeColor="text1"/>
                <w:highlight w:val="none"/>
                <w:lang w:val="en-US" w:eastAsia="zh-CN"/>
                <w14:textFill>
                  <w14:solidFill>
                    <w14:schemeClr w14:val="tx1"/>
                  </w14:solidFill>
                </w14:textFill>
              </w:rPr>
              <w:t>409.76</w:t>
            </w:r>
            <w:r>
              <w:rPr>
                <w:rFonts w:hint="default" w:ascii="Times New Roman" w:hAnsi="Times New Roman" w:cs="Times New Roman"/>
                <w:color w:val="000000" w:themeColor="text1"/>
                <w:highlight w:val="none"/>
                <w14:textFill>
                  <w14:solidFill>
                    <w14:schemeClr w14:val="tx1"/>
                  </w14:solidFill>
                </w14:textFill>
              </w:rPr>
              <w:t>t/a，收集后的粉尘</w:t>
            </w:r>
            <w:r>
              <w:rPr>
                <w:rFonts w:hint="eastAsia" w:cs="Times New Roman"/>
                <w:color w:val="000000" w:themeColor="text1"/>
                <w:highlight w:val="none"/>
                <w:lang w:val="en-US" w:eastAsia="zh-CN"/>
                <w14:textFill>
                  <w14:solidFill>
                    <w14:schemeClr w14:val="tx1"/>
                  </w14:solidFill>
                </w14:textFill>
              </w:rPr>
              <w:t>集中收集暂存于弃渣场，</w:t>
            </w:r>
            <w:r>
              <w:rPr>
                <w:rFonts w:hint="default" w:ascii="Times New Roman" w:hAnsi="Times New Roman" w:cs="Times New Roman"/>
                <w:color w:val="000000" w:themeColor="text1"/>
                <w:highlight w:val="none"/>
                <w14:textFill>
                  <w14:solidFill>
                    <w14:schemeClr w14:val="tx1"/>
                  </w14:solidFill>
                </w14:textFill>
              </w:rPr>
              <w:t>服务期满后场地平整。废布袋由厂家回收</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不合格产品集中收集暂存于弃渣场，服务期满后用于场地平整。</w:t>
            </w:r>
          </w:p>
          <w:p w14:paraId="62E0E34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生活垃圾来自</w:t>
            </w:r>
            <w:r>
              <w:rPr>
                <w:rFonts w:hint="default" w:ascii="Times New Roman" w:hAnsi="Times New Roman" w:cs="Times New Roman"/>
                <w:color w:val="000000" w:themeColor="text1"/>
                <w:highlight w:val="none"/>
                <w:lang w:val="en-US" w:eastAsia="zh-CN"/>
                <w14:textFill>
                  <w14:solidFill>
                    <w14:schemeClr w14:val="tx1"/>
                  </w14:solidFill>
                </w14:textFill>
              </w:rPr>
              <w:t>工作</w:t>
            </w:r>
            <w:r>
              <w:rPr>
                <w:rFonts w:hint="default" w:ascii="Times New Roman" w:hAnsi="Times New Roman" w:cs="Times New Roman"/>
                <w:color w:val="000000" w:themeColor="text1"/>
                <w:highlight w:val="none"/>
                <w14:textFill>
                  <w14:solidFill>
                    <w14:schemeClr w14:val="tx1"/>
                  </w14:solidFill>
                </w14:textFill>
              </w:rPr>
              <w:t>人员日常生活，以纸张、塑料瓶为主。本项目作业人员为</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人，按每人每天产生0.35kg生活垃圾计算，则生活垃圾产生量为</w:t>
            </w:r>
            <w:r>
              <w:rPr>
                <w:rFonts w:hint="default" w:ascii="Times New Roman" w:hAnsi="Times New Roman" w:cs="Times New Roman"/>
                <w:color w:val="000000" w:themeColor="text1"/>
                <w:highlight w:val="none"/>
                <w:lang w:val="en-US" w:eastAsia="zh-CN"/>
                <w14:textFill>
                  <w14:solidFill>
                    <w14:schemeClr w14:val="tx1"/>
                  </w14:solidFill>
                </w14:textFill>
              </w:rPr>
              <w:t>2.8</w:t>
            </w:r>
            <w:r>
              <w:rPr>
                <w:rFonts w:hint="default" w:ascii="Times New Roman" w:hAnsi="Times New Roman" w:cs="Times New Roman"/>
                <w:color w:val="000000" w:themeColor="text1"/>
                <w:highlight w:val="none"/>
                <w14:textFill>
                  <w14:solidFill>
                    <w14:schemeClr w14:val="tx1"/>
                  </w14:solidFill>
                </w14:textFill>
              </w:rPr>
              <w:t>kg/d</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0.84</w:t>
            </w:r>
            <w:r>
              <w:rPr>
                <w:rFonts w:hint="default" w:ascii="Times New Roman" w:hAnsi="Times New Roman" w:cs="Times New Roman"/>
                <w:color w:val="000000" w:themeColor="text1"/>
                <w:highlight w:val="none"/>
                <w14:textFill>
                  <w14:solidFill>
                    <w14:schemeClr w14:val="tx1"/>
                  </w14:solidFill>
                </w14:textFill>
              </w:rPr>
              <w:t>t</w:t>
            </w:r>
            <w:r>
              <w:rPr>
                <w:rFonts w:hint="default" w:ascii="Times New Roman" w:hAnsi="Times New Roman" w:cs="Times New Roman"/>
                <w:color w:val="000000" w:themeColor="text1"/>
                <w:highlight w:val="none"/>
                <w:lang w:val="en-US" w:eastAsia="zh-CN"/>
                <w14:textFill>
                  <w14:solidFill>
                    <w14:schemeClr w14:val="tx1"/>
                  </w14:solidFill>
                </w14:textFill>
              </w:rPr>
              <w:t>/a</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工作人员住宿依托中铁隧道局新建伊阿铁路SX标项目部，生活垃圾由项目部处置</w:t>
            </w:r>
            <w:r>
              <w:rPr>
                <w:rFonts w:hint="default" w:ascii="Times New Roman" w:hAnsi="Times New Roman" w:cs="Times New Roman"/>
                <w:color w:val="000000" w:themeColor="text1"/>
                <w:highlight w:val="none"/>
                <w14:textFill>
                  <w14:solidFill>
                    <w14:schemeClr w14:val="tx1"/>
                  </w14:solidFill>
                </w14:textFill>
              </w:rPr>
              <w:t>。</w:t>
            </w:r>
          </w:p>
          <w:p w14:paraId="4E2665AB">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（2）危险废物</w:t>
            </w:r>
          </w:p>
          <w:p w14:paraId="46BA31F4">
            <w:pPr>
              <w:bidi w:val="0"/>
              <w:jc w:val="both"/>
              <w:rPr>
                <w:rFonts w:hint="default" w:ascii="Times New Roman" w:hAnsi="Times New Roman" w:eastAsia="宋体" w:cs="Times New Roman"/>
                <w:snapToGrid w:val="0"/>
                <w:color w:val="000000" w:themeColor="text1"/>
                <w:kern w:val="0"/>
                <w:szCs w:val="24"/>
                <w:highlight w:val="none"/>
                <w:lang w:val="en-US" w:eastAsia="zh-CN" w:bidi="ar-SA"/>
                <w14:textFill>
                  <w14:solidFill>
                    <w14:schemeClr w14:val="tx1"/>
                  </w14:solidFill>
                </w14:textFill>
                <w14:ligatures w14:val="none"/>
              </w:rPr>
            </w:pPr>
            <w:r>
              <w:rPr>
                <w:rFonts w:hint="default" w:ascii="Times New Roman" w:hAnsi="Times New Roman" w:cs="Times New Roman"/>
                <w:color w:val="000000" w:themeColor="text1"/>
                <w:highlight w:val="none"/>
                <w:lang w:val="en-US" w:eastAsia="zh-CN"/>
                <w14:textFill>
                  <w14:solidFill>
                    <w14:schemeClr w14:val="tx1"/>
                  </w14:solidFill>
                </w14:textFill>
              </w:rPr>
              <w:t>项目设备保养产生的废润滑油、废油桶、废防渗膜集中收集，交由有资质单位回收处理。</w:t>
            </w:r>
          </w:p>
          <w:p w14:paraId="49B3F9C1">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4.5.1危险废物防治措施</w:t>
            </w:r>
          </w:p>
          <w:p w14:paraId="7B527863">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项目运营过程中</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、废油</w:t>
            </w:r>
            <w:r>
              <w:rPr>
                <w:rFonts w:hint="default" w:ascii="Times New Roman" w:hAnsi="Times New Roman" w:cs="Times New Roman"/>
                <w:color w:val="000000" w:themeColor="text1"/>
                <w:highlight w:val="none"/>
                <w:lang w:val="en-US" w:eastAsia="zh-CN"/>
                <w14:textFill>
                  <w14:solidFill>
                    <w14:schemeClr w14:val="tx1"/>
                  </w14:solidFill>
                </w14:textFill>
              </w:rPr>
              <w:t>桶、废防渗膜</w:t>
            </w:r>
            <w:r>
              <w:rPr>
                <w:rFonts w:hint="default" w:ascii="Times New Roman" w:hAnsi="Times New Roman" w:cs="Times New Roman"/>
                <w:color w:val="000000" w:themeColor="text1"/>
                <w:highlight w:val="none"/>
                <w14:textFill>
                  <w14:solidFill>
                    <w14:schemeClr w14:val="tx1"/>
                  </w14:solidFill>
                </w14:textFill>
              </w:rPr>
              <w:t>属于危险废</w:t>
            </w:r>
            <w:r>
              <w:rPr>
                <w:rFonts w:hint="default" w:ascii="Times New Roman" w:hAnsi="Times New Roman" w:cs="Times New Roman"/>
                <w:color w:val="000000" w:themeColor="text1"/>
                <w:highlight w:val="none"/>
                <w:lang w:val="en-US" w:eastAsia="zh-CN"/>
                <w14:textFill>
                  <w14:solidFill>
                    <w14:schemeClr w14:val="tx1"/>
                  </w14:solidFill>
                </w14:textFill>
              </w:rPr>
              <w:t>物</w:t>
            </w:r>
            <w:r>
              <w:rPr>
                <w:rFonts w:hint="default" w:ascii="Times New Roman" w:hAnsi="Times New Roman" w:cs="Times New Roman"/>
                <w:color w:val="000000" w:themeColor="text1"/>
                <w:highlight w:val="none"/>
                <w14:textFill>
                  <w14:solidFill>
                    <w14:schemeClr w14:val="tx1"/>
                  </w14:solidFill>
                </w14:textFill>
              </w:rPr>
              <w:t>，应集中收集后委托有资质的处理单位进行处理。本项目危险废物临时贮存场所的建设必须满足《危险废物贮存污染控制标准》（GB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18597-2023）相关要求。</w:t>
            </w:r>
          </w:p>
          <w:p w14:paraId="3358021C">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对危险废物的收集、暂存和运输按国家标准有如下要求：</w:t>
            </w:r>
          </w:p>
          <w:p w14:paraId="5E20AE83">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一</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危险废物的收集包装</w:t>
            </w:r>
          </w:p>
          <w:p w14:paraId="24E95BF2">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有符合要求的包装容器、收集人员的个人防护设备。</w:t>
            </w:r>
          </w:p>
          <w:p w14:paraId="71577677">
            <w:pPr>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a.</w:t>
            </w:r>
            <w:r>
              <w:rPr>
                <w:rFonts w:hint="default" w:ascii="Times New Roman" w:hAnsi="Times New Roman" w:cs="Times New Roman"/>
                <w:color w:val="000000" w:themeColor="text1"/>
                <w:highlight w:val="none"/>
                <w14:textFill>
                  <w14:solidFill>
                    <w14:schemeClr w14:val="tx1"/>
                  </w14:solidFill>
                </w14:textFill>
              </w:rPr>
              <w:t>危险废物的收集容器应在醒目位置贴有危险废物标签，在收集场所醒目的地方设置危险废物警告标识。</w:t>
            </w:r>
          </w:p>
          <w:p w14:paraId="05F246E5">
            <w:pPr>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b</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危险废物标签应标明以下信息：主要化学成分或危险废物名称、数量、物理形态、危险类别、安全措施以及危险废物产生单位名称、地址、联系人及电话。</w:t>
            </w:r>
          </w:p>
          <w:p w14:paraId="6DA436A2">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二</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危险废物的暂存要求危险废物堆放场所应满足《危险废物贮存污染控制标准》（GB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18597-2023）中的有关规定：</w:t>
            </w:r>
          </w:p>
          <w:p w14:paraId="103B8A0E">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a.</w:t>
            </w:r>
            <w:r>
              <w:rPr>
                <w:rFonts w:hint="default" w:ascii="Times New Roman" w:hAnsi="Times New Roman" w:cs="Times New Roman"/>
                <w:color w:val="000000" w:themeColor="text1"/>
                <w:highlight w:val="none"/>
                <w14:textFill>
                  <w14:solidFill>
                    <w14:schemeClr w14:val="tx1"/>
                  </w14:solidFill>
                </w14:textFill>
              </w:rPr>
              <w:t>按《环境保护图形标识—固体废物贮存（处置）场》</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15562.2</w:t>
            </w:r>
            <w:r>
              <w:rPr>
                <w:rFonts w:hint="default" w:ascii="Times New Roman" w:hAnsi="Times New Roman" w:cs="Times New Roman"/>
                <w:color w:val="000000" w:themeColor="text1"/>
                <w:highlight w:val="none"/>
                <w:lang w:val="en-US" w:eastAsia="zh-CN"/>
                <w14:textFill>
                  <w14:solidFill>
                    <w14:schemeClr w14:val="tx1"/>
                  </w14:solidFill>
                </w14:textFill>
              </w:rPr>
              <w:t>-1995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及其修改单</w:t>
            </w:r>
            <w:r>
              <w:rPr>
                <w:rFonts w:hint="default" w:ascii="Times New Roman" w:hAnsi="Times New Roman" w:cs="Times New Roman"/>
                <w:color w:val="000000" w:themeColor="text1"/>
                <w:highlight w:val="none"/>
                <w14:textFill>
                  <w14:solidFill>
                    <w14:schemeClr w14:val="tx1"/>
                  </w14:solidFill>
                </w14:textFill>
              </w:rPr>
              <w:t>设置警示标志。</w:t>
            </w:r>
          </w:p>
          <w:p w14:paraId="2C4CDB02">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b.</w:t>
            </w:r>
            <w:r>
              <w:rPr>
                <w:rFonts w:hint="default" w:ascii="Times New Roman" w:hAnsi="Times New Roman" w:cs="Times New Roman"/>
                <w:color w:val="000000" w:themeColor="text1"/>
                <w:highlight w:val="none"/>
                <w14:textFill>
                  <w14:solidFill>
                    <w14:schemeClr w14:val="tx1"/>
                  </w14:solidFill>
                </w14:textFill>
              </w:rPr>
              <w:t>必须有耐腐蚀的硬化地面和基础防渗层，地面无裂隙；设施底部必须高于地下水最高水位。</w:t>
            </w:r>
          </w:p>
          <w:p w14:paraId="722F8EFE">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c.</w:t>
            </w:r>
            <w:r>
              <w:rPr>
                <w:rFonts w:hint="default" w:ascii="Times New Roman" w:hAnsi="Times New Roman" w:cs="Times New Roman"/>
                <w:color w:val="000000" w:themeColor="text1"/>
                <w:highlight w:val="none"/>
                <w14:textFill>
                  <w14:solidFill>
                    <w14:schemeClr w14:val="tx1"/>
                  </w14:solidFill>
                </w14:textFill>
              </w:rPr>
              <w:t>要求有必要的防风、防雨、防晒措施。</w:t>
            </w:r>
          </w:p>
          <w:p w14:paraId="394517A5">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d.</w:t>
            </w:r>
            <w:r>
              <w:rPr>
                <w:rFonts w:hint="default" w:ascii="Times New Roman" w:hAnsi="Times New Roman" w:cs="Times New Roman"/>
                <w:color w:val="000000" w:themeColor="text1"/>
                <w:highlight w:val="none"/>
                <w14:textFill>
                  <w14:solidFill>
                    <w14:schemeClr w14:val="tx1"/>
                  </w14:solidFill>
                </w14:textFill>
              </w:rPr>
              <w:t>要有隔离设施或其他防护栅栏。</w:t>
            </w:r>
          </w:p>
          <w:p w14:paraId="6F6FBE91">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e.</w:t>
            </w:r>
            <w:r>
              <w:rPr>
                <w:rFonts w:hint="default" w:ascii="Times New Roman" w:hAnsi="Times New Roman" w:cs="Times New Roman"/>
                <w:color w:val="000000" w:themeColor="text1"/>
                <w:highlight w:val="none"/>
                <w14:textFill>
                  <w14:solidFill>
                    <w14:schemeClr w14:val="tx1"/>
                  </w14:solidFill>
                </w14:textFill>
              </w:rPr>
              <w:t>应配备通讯设备、照明设施、安全防护服装，并设有报警装置和应急防护设施。</w:t>
            </w:r>
          </w:p>
          <w:p w14:paraId="396E79CD">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三</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危险废物的运输要求危险废物的运输应采取危险废物转移联单制度，保证运输安全，防止非法转移和非法处置，保证危险废物的安全监控，防止危险废物污染事故发生。</w:t>
            </w:r>
          </w:p>
          <w:p w14:paraId="6EAE1CCD">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（四）危险废物处置</w:t>
            </w:r>
          </w:p>
          <w:p w14:paraId="7993B82F">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产生的危险废物实行分类收集后置于贮存设施内，贮存时限一般不得超过一年，并设专人管理。盛装危险废物的容器和包装物以及产生、收集、贮存、运输、处置危险废物的场所，必须依法设置相应标识、警示标志和标签，标签上应注明贮存的废物类别、危害性以及开始贮存时间等内容。企业必须严格执行危险废物转移计划报批和依法运行危险废物转移联单，并通过信息系统登记转移计划和电子转移联单。企业还需健全</w:t>
            </w:r>
            <w:r>
              <w:rPr>
                <w:rFonts w:hint="default" w:ascii="Times New Roman" w:hAnsi="Times New Roman" w:cs="Times New Roman"/>
                <w:color w:val="000000" w:themeColor="text1"/>
                <w:highlight w:val="none"/>
                <w:lang w:eastAsia="zh-CN"/>
                <w14:textFill>
                  <w14:solidFill>
                    <w14:schemeClr w14:val="tx1"/>
                  </w14:solidFill>
                </w14:textFill>
              </w:rPr>
              <w:t>生产</w:t>
            </w:r>
            <w:r>
              <w:rPr>
                <w:rFonts w:hint="default" w:ascii="Times New Roman" w:hAnsi="Times New Roman" w:cs="Times New Roman"/>
                <w:color w:val="000000" w:themeColor="text1"/>
                <w:highlight w:val="none"/>
                <w14:textFill>
                  <w14:solidFill>
                    <w14:schemeClr w14:val="tx1"/>
                  </w14:solidFill>
                </w14:textFill>
              </w:rPr>
              <w:t>单位内部管理制度，包括落实危险废物产生信息公开制度，建立员工培训和固体废物管理员制度，完善危险废物相关档案管理制度；建立和完善突发危险废物环境应急</w:t>
            </w:r>
            <w:r>
              <w:rPr>
                <w:rFonts w:hint="default" w:ascii="Times New Roman" w:hAnsi="Times New Roman" w:cs="Times New Roman"/>
                <w:color w:val="000000" w:themeColor="text1"/>
                <w:highlight w:val="none"/>
                <w:lang w:val="en-US" w:eastAsia="zh-CN"/>
                <w14:textFill>
                  <w14:solidFill>
                    <w14:schemeClr w14:val="tx1"/>
                  </w14:solidFill>
                </w14:textFill>
              </w:rPr>
              <w:t>预</w:t>
            </w:r>
            <w:r>
              <w:rPr>
                <w:rFonts w:hint="default" w:ascii="Times New Roman" w:hAnsi="Times New Roman" w:cs="Times New Roman"/>
                <w:color w:val="000000" w:themeColor="text1"/>
                <w:highlight w:val="none"/>
                <w14:textFill>
                  <w14:solidFill>
                    <w14:schemeClr w14:val="tx1"/>
                  </w14:solidFill>
                </w14:textFill>
              </w:rPr>
              <w:t>案。</w:t>
            </w:r>
          </w:p>
          <w:p w14:paraId="01B2944F">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both"/>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（五）危险废物泄露收集设施设计要求</w:t>
            </w:r>
          </w:p>
          <w:p w14:paraId="33F0BAC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both"/>
              <w:textAlignment w:val="auto"/>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本项目</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危险废物贮存点</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建筑面积5 </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m</w:t>
            </w:r>
            <w:r>
              <w:rPr>
                <w:rFonts w:hint="eastAsia" w:ascii="Times New Roman" w:hAnsi="Times New Roman"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2</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，贮存液态危险废物（桶装废润滑油）及固态危险废物（废油桶、废防渗膜），严格按照《危险废物贮存污染控制标准》（GB 18597‑2023）</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6.2.2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p>
          <w:p w14:paraId="70043FD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pP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贮存库内部设置</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一体式防渗围堰</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，围堰墙体高度≥150 mm；围堰、墙裙、地面采用抗渗混凝土+2 mm厚HDPE防渗防腐层，无裂缝，防渗性能与危废库地面保持一致；库房出入口设置同高度防渗挡水门槛，防止泄漏废液外流至库外。库内低位设置密闭防渗集液坑，有效容积≥0.2 </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m</w:t>
            </w:r>
            <w:r>
              <w:rPr>
                <w:rFonts w:hint="eastAsia" w:eastAsia="宋体" w:cs="Times New Roman"/>
                <w:snapToGrid w:val="0"/>
                <w:color w:val="000000" w:themeColor="text1"/>
                <w:kern w:val="0"/>
                <w:sz w:val="24"/>
                <w:szCs w:val="24"/>
                <w:highlight w:val="none"/>
                <w:vertAlign w:val="superscript"/>
                <w:lang w:val="en-US" w:eastAsia="zh-CN" w:bidi="ar-SA"/>
                <w14:textFill>
                  <w14:solidFill>
                    <w14:schemeClr w14:val="tx1"/>
                  </w14:solidFill>
                </w14:textFill>
                <w14:ligatures w14:val="none"/>
              </w:rPr>
              <w:t>3</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集液坑内部做</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好</w:t>
            </w:r>
            <w:r>
              <w:rPr>
                <w:rFonts w:hint="default"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防渗防腐，泄漏废液收集后，装入密闭危废桶，作为危险废物交由资质单位处置，不得外排。</w:t>
            </w:r>
          </w:p>
          <w:p w14:paraId="2CBAD5A3">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4.5.2一般工业固废防治措施</w:t>
            </w:r>
          </w:p>
          <w:p w14:paraId="494C3378">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一般工业固废包括收集到的粉尘</w:t>
            </w:r>
            <w:r>
              <w:rPr>
                <w:rFonts w:hint="default" w:ascii="Times New Roman" w:hAnsi="Times New Roman" w:cs="Times New Roman"/>
                <w:color w:val="000000" w:themeColor="text1"/>
                <w:highlight w:val="none"/>
                <w:lang w:val="en-US" w:eastAsia="zh-CN"/>
                <w14:textFill>
                  <w14:solidFill>
                    <w14:schemeClr w14:val="tx1"/>
                  </w14:solidFill>
                </w14:textFill>
              </w:rPr>
              <w:t>及除尘器废布袋</w:t>
            </w:r>
            <w:r>
              <w:rPr>
                <w:rFonts w:hint="default" w:ascii="Times New Roman" w:hAnsi="Times New Roman" w:cs="Times New Roman"/>
                <w:color w:val="000000" w:themeColor="text1"/>
                <w:highlight w:val="none"/>
                <w14:textFill>
                  <w14:solidFill>
                    <w14:schemeClr w14:val="tx1"/>
                  </w14:solidFill>
                </w14:textFill>
              </w:rPr>
              <w:t>。建设单位</w:t>
            </w:r>
            <w:r>
              <w:rPr>
                <w:rFonts w:hint="default" w:ascii="Times New Roman" w:hAnsi="Times New Roman" w:cs="Times New Roman"/>
                <w:color w:val="000000" w:themeColor="text1"/>
                <w:highlight w:val="none"/>
                <w:lang w:val="en-US" w:eastAsia="zh-CN"/>
                <w14:textFill>
                  <w14:solidFill>
                    <w14:schemeClr w14:val="tx1"/>
                  </w14:solidFill>
                </w14:textFill>
              </w:rPr>
              <w:t>应</w:t>
            </w:r>
            <w:r>
              <w:rPr>
                <w:rFonts w:hint="default" w:ascii="Times New Roman" w:hAnsi="Times New Roman" w:cs="Times New Roman"/>
                <w:color w:val="000000" w:themeColor="text1"/>
                <w:highlight w:val="none"/>
                <w14:textFill>
                  <w14:solidFill>
                    <w14:schemeClr w14:val="tx1"/>
                  </w14:solidFill>
                </w14:textFill>
              </w:rPr>
              <w:t>按照《一般工业固体废物贮存和填埋污染物控制标准》（GB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18599-2020）的要求</w:t>
            </w:r>
            <w:r>
              <w:rPr>
                <w:rFonts w:hint="default" w:ascii="Times New Roman" w:hAnsi="Times New Roman" w:cs="Times New Roman"/>
                <w:color w:val="000000" w:themeColor="text1"/>
                <w:highlight w:val="none"/>
                <w:lang w:val="en-US" w:eastAsia="zh-CN"/>
                <w14:textFill>
                  <w14:solidFill>
                    <w14:schemeClr w14:val="tx1"/>
                  </w14:solidFill>
                </w14:textFill>
              </w:rPr>
              <w:t>管理固体废物，</w:t>
            </w:r>
            <w:r>
              <w:rPr>
                <w:rFonts w:hint="default" w:ascii="Times New Roman" w:hAnsi="Times New Roman" w:cs="Times New Roman"/>
                <w:color w:val="000000" w:themeColor="text1"/>
                <w:highlight w:val="none"/>
                <w14:textFill>
                  <w14:solidFill>
                    <w14:schemeClr w14:val="tx1"/>
                  </w14:solidFill>
                </w14:textFill>
              </w:rPr>
              <w:t>不得随处堆放，禁止危险废物及生活垃圾混入，固废临时贮存场应满足如下要求：</w:t>
            </w:r>
          </w:p>
          <w:p w14:paraId="1369BBC2">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①地面应采取硬化措施并满足承载力要求，必要时采取相应措施防止地基下沉。</w:t>
            </w:r>
          </w:p>
          <w:p w14:paraId="600C1DC4">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②要求设置必要的防风、防雨、防晒措施，堆放场周边应设置导流渠。</w:t>
            </w:r>
          </w:p>
          <w:p w14:paraId="2DD2AED7">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③按《环境保护图形标识—固体废物贮存（处置）场》（GB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15562.2）要求设置环境保护图形标志。</w:t>
            </w:r>
          </w:p>
          <w:p w14:paraId="1514A27A">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④除尘器收尘灰收集后作为原料用于生产线。</w:t>
            </w:r>
          </w:p>
          <w:p w14:paraId="233926E0">
            <w:pPr>
              <w:bidi w:val="0"/>
              <w:rPr>
                <w:rFonts w:hint="default" w:ascii="Times New Roman" w:hAnsi="Times New Roman" w:eastAsia="宋体" w:cs="Times New Roman"/>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⑤除尘器废滤袋收集后由厂家回收。</w:t>
            </w:r>
          </w:p>
          <w:p w14:paraId="0D3BBDA4">
            <w:pPr>
              <w:pStyle w:val="3"/>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4.5.3环境管理要求</w:t>
            </w:r>
          </w:p>
          <w:p w14:paraId="3037076D">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项目应按照《一般工业固体废物管理台账制定指南（试行）》（公告·2021年·第82号）、《排污许可证申请与核发技术规范 工业固体废物（试行）》（HJ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1200-2021）、《危险废物管理计划和管理台账制定技术导则》（HJ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1259-2022）、《危险废物识别标志设置技术规范》（HJ 1276-2022）的要求规范管理一般工业固体废物和危险废物。</w:t>
            </w:r>
          </w:p>
          <w:p w14:paraId="4A5A2DB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一般</w:t>
            </w:r>
            <w:r>
              <w:rPr>
                <w:rFonts w:hint="default" w:ascii="Times New Roman" w:hAnsi="Times New Roman" w:cs="Times New Roman"/>
                <w:color w:val="000000" w:themeColor="text1"/>
                <w:highlight w:val="none"/>
                <w14:textFill>
                  <w14:solidFill>
                    <w14:schemeClr w14:val="tx1"/>
                  </w14:solidFill>
                </w14:textFill>
              </w:rPr>
              <w:t>固体废物产生及处置情况</w:t>
            </w:r>
          </w:p>
          <w:p w14:paraId="552FA8AF">
            <w:pPr>
              <w:bidi w:val="0"/>
              <w:jc w:val="both"/>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除尘器收集的粉</w:t>
            </w:r>
            <w:r>
              <w:rPr>
                <w:rFonts w:hint="eastAsia" w:cs="Times New Roman"/>
                <w:color w:val="000000" w:themeColor="text1"/>
                <w:highlight w:val="none"/>
                <w:lang w:val="en-US" w:eastAsia="zh-CN"/>
                <w14:textFill>
                  <w14:solidFill>
                    <w14:schemeClr w14:val="tx1"/>
                  </w14:solidFill>
                </w14:textFill>
              </w:rPr>
              <w:t>尘</w:t>
            </w:r>
            <w:r>
              <w:rPr>
                <w:rFonts w:hint="default" w:ascii="Times New Roman" w:hAnsi="Times New Roman" w:cs="Times New Roman"/>
                <w:color w:val="000000" w:themeColor="text1"/>
                <w:highlight w:val="none"/>
                <w:lang w:val="en-US" w:eastAsia="zh-CN"/>
                <w14:textFill>
                  <w14:solidFill>
                    <w14:schemeClr w14:val="tx1"/>
                  </w14:solidFill>
                </w14:textFill>
              </w:rPr>
              <w:t>集中收集</w:t>
            </w:r>
            <w:r>
              <w:rPr>
                <w:rFonts w:hint="eastAsia" w:cs="Times New Roman"/>
                <w:color w:val="000000" w:themeColor="text1"/>
                <w:highlight w:val="none"/>
                <w:lang w:val="en-US" w:eastAsia="zh-CN"/>
                <w14:textFill>
                  <w14:solidFill>
                    <w14:schemeClr w14:val="tx1"/>
                  </w14:solidFill>
                </w14:textFill>
              </w:rPr>
              <w:t>暂存于弃渣场，</w:t>
            </w:r>
            <w:r>
              <w:rPr>
                <w:rFonts w:hint="default" w:ascii="Times New Roman" w:hAnsi="Times New Roman" w:cs="Times New Roman"/>
                <w:color w:val="000000" w:themeColor="text1"/>
                <w:highlight w:val="none"/>
                <w:lang w:val="en-US" w:eastAsia="zh-CN"/>
                <w14:textFill>
                  <w14:solidFill>
                    <w14:schemeClr w14:val="tx1"/>
                  </w14:solidFill>
                </w14:textFill>
              </w:rPr>
              <w:t>服务期满后场地平整</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废布袋</w:t>
            </w:r>
            <w:r>
              <w:rPr>
                <w:rFonts w:hint="default" w:ascii="Times New Roman" w:hAnsi="Times New Roman" w:cs="Times New Roman"/>
                <w:color w:val="000000" w:themeColor="text1"/>
                <w:highlight w:val="none"/>
                <w14:textFill>
                  <w14:solidFill>
                    <w14:schemeClr w14:val="tx1"/>
                  </w14:solidFill>
                </w14:textFill>
              </w:rPr>
              <w:t>收集后</w:t>
            </w:r>
            <w:r>
              <w:rPr>
                <w:rFonts w:hint="default" w:ascii="Times New Roman" w:hAnsi="Times New Roman" w:cs="Times New Roman"/>
                <w:color w:val="000000" w:themeColor="text1"/>
                <w:highlight w:val="none"/>
                <w:lang w:val="en-US" w:eastAsia="zh-CN"/>
                <w14:textFill>
                  <w14:solidFill>
                    <w14:schemeClr w14:val="tx1"/>
                  </w14:solidFill>
                </w14:textFill>
              </w:rPr>
              <w:t>厂家回收</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工作人员住宿依托中铁隧道局新建伊阿铁路SX标项目部，生活垃圾由项目部处置</w:t>
            </w:r>
            <w:r>
              <w:rPr>
                <w:rFonts w:hint="default" w:ascii="Times New Roman" w:hAnsi="Times New Roman" w:cs="Times New Roman"/>
                <w:color w:val="000000" w:themeColor="text1"/>
                <w:highlight w:val="none"/>
                <w:lang w:val="en-US" w:eastAsia="zh-CN"/>
                <w14:textFill>
                  <w14:solidFill>
                    <w14:schemeClr w14:val="tx1"/>
                  </w14:solidFill>
                </w14:textFill>
              </w:rPr>
              <w:t>；废布袋由厂家回收，其贮存场所贮存参照执行《一般工业固体废物贮存和填埋污染控制标准》（GB 18599-2020）防渗等环保要求。为加强监督管理，贮存场所按照《环境保护图形标志—固体废物贮存（处置）场》（GB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15562.2-1995）及修改单的要求设置环保图形标志，此外一般固废需按照《一般工业固体废物管理台账制定指南（试行）》（公告2021年第82号）的要求制定一般工业固体废物管理台账，并设立专人负责台账的管理与归档，一般工业固体废物管理台账保存期限不少于5年。</w:t>
            </w:r>
          </w:p>
          <w:p w14:paraId="3C97D8AD">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（2）危险废物暂存要求</w:t>
            </w:r>
          </w:p>
          <w:p w14:paraId="19CF7A91">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本项目拟建设</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一间，面积约5m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，危险废物拟1年委托处置一次。项目产生的危废于</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密封暂存后，定期送具有危险废物处置资质单位进行处理，</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设有防腐、防渗、防雨等设施。</w:t>
            </w:r>
          </w:p>
          <w:p w14:paraId="4E9D18AB">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处置要求</w:t>
            </w:r>
          </w:p>
          <w:p w14:paraId="0089E04F">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1）危险废物暂存处建设要求</w:t>
            </w:r>
          </w:p>
          <w:p w14:paraId="62F86126">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设置专门的</w:t>
            </w:r>
            <w:r>
              <w:rPr>
                <w:rFonts w:hint="eastAsia" w:cs="Times New Roman"/>
                <w:color w:val="000000" w:themeColor="text1"/>
                <w:highlight w:val="none"/>
                <w:lang w:val="en-US" w:eastAsia="zh-CN"/>
                <w14:textFill>
                  <w14:solidFill>
                    <w14:schemeClr w14:val="tx1"/>
                  </w14:solidFill>
                </w14:textFill>
              </w:rPr>
              <w:t>危险废物贮存点</w:t>
            </w:r>
            <w:r>
              <w:rPr>
                <w:rFonts w:hint="default" w:ascii="Times New Roman" w:hAnsi="Times New Roman" w:cs="Times New Roman"/>
                <w:color w:val="000000" w:themeColor="text1"/>
                <w:highlight w:val="none"/>
                <w:lang w:val="en-US" w:eastAsia="zh-CN"/>
                <w14:textFill>
                  <w14:solidFill>
                    <w14:schemeClr w14:val="tx1"/>
                  </w14:solidFill>
                </w14:textFill>
              </w:rPr>
              <w:t>，用于收集暂存废润滑油、废油桶、废防渗膜。堆放满足《危险废物贮存污染控制标准》（GB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18597-2023）中相关建设要求：</w:t>
            </w:r>
          </w:p>
          <w:p w14:paraId="691212B4">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①贮存设施应根据危险废物的形态、物理化学性质、包装形式和污染物迁移途径，采取必要的防风、防晒、防雨、防漏、防渗、防腐以及其他环境污染防治措施，不应露天堆放危险废物。</w:t>
            </w:r>
          </w:p>
          <w:p w14:paraId="0B4FBCEC">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②贮存设施应根据危险废物的类别、数量、形态、物理化学性质和污染防治等要求设置必要的贮存分区，避免不相容的危险废物接触、混合。</w:t>
            </w:r>
          </w:p>
          <w:p w14:paraId="30EE0AFC">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③贮存设施或贮存分区内地面、墙面裙角、堵截泄漏的围堰、接触危险废物的隔板和墙体等应采用坚固的材料建造，表面无裂缝。</w:t>
            </w:r>
          </w:p>
          <w:p w14:paraId="278BEA79">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-7</w:t>
            </w:r>
            <w:r>
              <w:rPr>
                <w:rFonts w:hint="default" w:ascii="Times New Roman" w:hAnsi="Times New Roman" w:cs="Times New Roman"/>
                <w:color w:val="000000" w:themeColor="text1"/>
                <w:highlight w:val="none"/>
                <w:lang w:val="en-US" w:eastAsia="zh-CN"/>
                <w14:textFill>
                  <w14:solidFill>
                    <w14:schemeClr w14:val="tx1"/>
                  </w14:solidFill>
                </w14:textFill>
              </w:rPr>
              <w:t>cm/s），或至少2mm厚高密度聚乙烯膜等人工防渗材料（渗透系数不大于10</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-10</w:t>
            </w:r>
            <w:r>
              <w:rPr>
                <w:rFonts w:hint="default" w:ascii="Times New Roman" w:hAnsi="Times New Roman" w:cs="Times New Roman"/>
                <w:color w:val="000000" w:themeColor="text1"/>
                <w:highlight w:val="none"/>
                <w:lang w:val="en-US" w:eastAsia="zh-CN"/>
                <w14:textFill>
                  <w14:solidFill>
                    <w14:schemeClr w14:val="tx1"/>
                  </w14:solidFill>
                </w14:textFill>
              </w:rPr>
              <w:t>cm/s），或其他防渗性能等效的材料。</w:t>
            </w:r>
          </w:p>
          <w:p w14:paraId="1295611A">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⑤同一贮存设施宜采用相同的防渗、防腐工艺（包括防渗、防腐结构或材料），防渗、防腐材料应覆盖所有可能与废物及其渗滤液、渗漏液等接触的构筑物表面；采用不同防渗、防腐工艺应分别建设贮存分区。</w:t>
            </w:r>
          </w:p>
          <w:p w14:paraId="650A8F3C">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⑥贮存设施应采取技术和管理措施防止无关人员进入。</w:t>
            </w:r>
          </w:p>
          <w:p w14:paraId="723C3EE6">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2）容器和包装物污染控制要求</w:t>
            </w:r>
          </w:p>
          <w:p w14:paraId="37967A21">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①容器和包装物材质、内衬应与盛装的危险废物相容。</w:t>
            </w:r>
          </w:p>
          <w:p w14:paraId="0B22F877">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②针对不同类别、形态、物理化学性质的危险废物，其容器和包装物应满足相应的防渗、防漏、防腐和强度等要求。</w:t>
            </w:r>
          </w:p>
          <w:p w14:paraId="6F5D0F9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③硬质容器和包装物及其支护结构堆叠码放时不应有明显变形，无破损泄漏。</w:t>
            </w:r>
          </w:p>
          <w:p w14:paraId="60F1F88F">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④柔性容器和包装物堆叠码放时应封口严密，无破损泄漏。</w:t>
            </w:r>
          </w:p>
          <w:p w14:paraId="59643C7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⑤使用容器盛装液态、半固态危险废物时，容器内部应留有适当的空间，以适应因温度变化等可能引发的收缩和膨胀，防止其导致容器渗漏或永久变形。</w:t>
            </w:r>
          </w:p>
          <w:p w14:paraId="41F109A7">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⑥容器和包装物外表面应保持清洁。</w:t>
            </w:r>
          </w:p>
          <w:p w14:paraId="39A2C02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3）危险废物贮存设施的运行与管理要求</w:t>
            </w:r>
          </w:p>
          <w:p w14:paraId="1876B9EB">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①危险废物存入贮存设施前应对危险废物类别和特性与危险废物标签等危险废物识别标志的一致性进行核验，不一致的或类别、特性不明的不应存入。</w:t>
            </w:r>
          </w:p>
          <w:p w14:paraId="343F5C0D">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②应定期检查危险废物的贮存状况，及时清理贮存设施地面，更换破损泄漏的危险废物贮存容器和包装物，保证堆存危险废物的防雨、防风、防扬尘等设施功能完好。</w:t>
            </w:r>
          </w:p>
          <w:p w14:paraId="1A4BCCE1">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③作业设备及车辆等结束作业离开贮存设施时，应对其残留的危险废物进行清理，清理的废物或清洗废水应收集处理。</w:t>
            </w:r>
          </w:p>
          <w:p w14:paraId="698EED7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④贮存设施运行期间，应按国家有关标准和规定建立危险废物管理台账并保存。</w:t>
            </w:r>
          </w:p>
          <w:p w14:paraId="420D8119">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⑤贮存设施所有者或运营者应建立贮存设施环境管理制度、管理人员岗位职责制度、设施运行操作制度、人员岗位培训制度等。</w:t>
            </w:r>
          </w:p>
          <w:p w14:paraId="44376D14">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⑥贮存设施所有者或运营者应依据国家土壤和地下水污染防治的有关规定，结合贮存设施特点建立土壤和地下水污染隐患排查制度，并定期开展隐患排查；发现隐患应及时采取措施消除隐患，并建立档案。</w:t>
            </w:r>
          </w:p>
          <w:p w14:paraId="34B5B2F7">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⑦贮存设施所有者或运营者应建立贮存设施全部档案，包括设计、施工、验收、运行、监测和环境应急等，应按国家有关档案管理的法律法规进行整理和归档。</w:t>
            </w:r>
          </w:p>
          <w:p w14:paraId="2926C654">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4）危险废物贮存设施的安全防护要求</w:t>
            </w:r>
          </w:p>
          <w:p w14:paraId="616C35C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①危险废物贮存设施必须按GB15562.2及修改单的规定设置警示标志。</w:t>
            </w:r>
          </w:p>
          <w:p w14:paraId="28D63428">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②危险废物贮存设施周围应设置围墙或其他防护栅栏。</w:t>
            </w:r>
          </w:p>
          <w:p w14:paraId="792A968B">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③危险废物贮存设施应配备通讯设备、照明设施、安全防护服装及工具，并设有应急防护设施。</w:t>
            </w:r>
          </w:p>
          <w:p w14:paraId="7FB6681D">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④危险废物贮存设施内清理出来的泄漏物，一律按危险废物处理。</w:t>
            </w:r>
          </w:p>
          <w:p w14:paraId="024AE2A8">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5）危险废物的转运要求</w:t>
            </w:r>
          </w:p>
          <w:p w14:paraId="72AC3B7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危险废物应按照国家有关规定向当地环境保护行政主管部门申报登记，接受当地环境保护行政主管部门监督管理。在危险废物外运至处置单位时必须严格遵守以下要求：</w:t>
            </w:r>
          </w:p>
          <w:p w14:paraId="0DFC05E1">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①做好每次外运处置废弃物的运输登记，做好危险废物电子转移联单工作。</w:t>
            </w:r>
          </w:p>
          <w:p w14:paraId="50E0F643">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②废弃物处置单位的运输人员必须掌握危险化学品运输的安全知识，对化学品的性质、危害特性、包装容器的使用特性和发生意外时的应急措施了解所运载的危险。运输车辆必须具有车辆危险货物运输许可证。</w:t>
            </w:r>
          </w:p>
          <w:p w14:paraId="76DF34BE">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③处置单位在运输危险废物时必须配备押运人员，并随时处于押运人员的监管之下，不得超装、超载，严格按照所在城市规定的行车时间和行车路线行驶，不得进入危险化学品运输车辆禁止通行的区域。</w:t>
            </w:r>
          </w:p>
          <w:p w14:paraId="6DC05DF2">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④危险废物在运输途中若发生被盗、丢失、流散、泄漏等情况时，公司及押运人员必须立即向当地公安部门报告，并采取一切可能的警示措施。</w:t>
            </w:r>
          </w:p>
          <w:p w14:paraId="66E3238C">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⑤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219EE5E4">
            <w:pPr>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企业危险废物需按照《危险废物管理计划和管理台账制定技术导则》（HJ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1259-2022）中的要求制定危险废物管理计划和管理台账，根据危险废物产生、贮存利用、处置等环节的动态流向，如实建立各环节的危险废物管理台账，危险废物管理台账保存时间原则上应存档5年以上。</w:t>
            </w:r>
          </w:p>
          <w:p w14:paraId="5E836F89">
            <w:pPr>
              <w:bidi w:val="0"/>
              <w:jc w:val="both"/>
              <w:rPr>
                <w:rFonts w:hint="default" w:ascii="Times New Roman" w:hAnsi="Times New Roman" w:eastAsia="宋体" w:cs="Times New Roman"/>
                <w:snapToGrid w:val="0"/>
                <w:color w:val="000000" w:themeColor="text1"/>
                <w:kern w:val="0"/>
                <w:szCs w:val="24"/>
                <w:highlight w:val="none"/>
                <w:lang w:val="en-US" w:eastAsia="zh-CN" w:bidi="ar-SA"/>
                <w14:textFill>
                  <w14:solidFill>
                    <w14:schemeClr w14:val="tx1"/>
                  </w14:solidFill>
                </w14:textFill>
                <w14:ligatures w14:val="none"/>
              </w:rPr>
            </w:pPr>
            <w:r>
              <w:rPr>
                <w:rFonts w:hint="default" w:ascii="Times New Roman" w:hAnsi="Times New Roman" w:cs="Times New Roman"/>
                <w:color w:val="000000" w:themeColor="text1"/>
                <w:highlight w:val="none"/>
                <w:lang w:val="en-US" w:eastAsia="zh-CN"/>
                <w14:textFill>
                  <w14:solidFill>
                    <w14:schemeClr w14:val="tx1"/>
                  </w14:solidFill>
                </w14:textFill>
              </w:rPr>
              <w:t>综上，本项目在确保固体废物得到以上妥善处理的情况下，对周围环境的影响较小。</w:t>
            </w:r>
          </w:p>
          <w:p w14:paraId="22603AF7">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4.6地下水、土壤环境影响分析</w:t>
            </w:r>
          </w:p>
          <w:p w14:paraId="305AD5F0">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4.6.1污染源及污染途径</w:t>
            </w:r>
          </w:p>
          <w:p w14:paraId="5F62517C">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正常情况下本项目运营期严格落实防渗漏措施，污染物不会发生渗漏对地下水和土壤造成影响；非正常情况下本项目</w:t>
            </w:r>
            <w:r>
              <w:rPr>
                <w:rFonts w:hint="default" w:ascii="Times New Roman" w:hAnsi="Times New Roman" w:cs="Times New Roman"/>
                <w:color w:val="000000" w:themeColor="text1"/>
                <w:highlight w:val="none"/>
                <w:lang w:val="en-US" w:eastAsia="zh-CN"/>
                <w14:textFill>
                  <w14:solidFill>
                    <w14:schemeClr w14:val="tx1"/>
                  </w14:solidFill>
                </w14:textFill>
              </w:rPr>
              <w:t>洗车平台</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highlight w:val="none"/>
                <w:lang w:val="en-US" w:eastAsia="zh-CN"/>
                <w14:textFill>
                  <w14:solidFill>
                    <w14:schemeClr w14:val="tx1"/>
                  </w14:solidFill>
                </w14:textFill>
              </w:rPr>
              <w:t>沉淀</w:t>
            </w:r>
            <w:r>
              <w:rPr>
                <w:rFonts w:hint="default" w:ascii="Times New Roman" w:hAnsi="Times New Roman" w:cs="Times New Roman"/>
                <w:color w:val="000000" w:themeColor="text1"/>
                <w:highlight w:val="none"/>
                <w:lang w:eastAsia="zh-CN"/>
                <w14:textFill>
                  <w14:solidFill>
                    <w14:schemeClr w14:val="tx1"/>
                  </w14:solidFill>
                </w14:textFill>
              </w:rPr>
              <w:t>池等</w:t>
            </w:r>
            <w:r>
              <w:rPr>
                <w:rFonts w:hint="default" w:ascii="Times New Roman" w:hAnsi="Times New Roman" w:cs="Times New Roman"/>
                <w:color w:val="000000" w:themeColor="text1"/>
                <w:highlight w:val="none"/>
                <w14:textFill>
                  <w14:solidFill>
                    <w14:schemeClr w14:val="tx1"/>
                  </w14:solidFill>
                </w14:textFill>
              </w:rPr>
              <w:t>污染物可能因泄漏</w:t>
            </w:r>
            <w:r>
              <w:rPr>
                <w:rFonts w:hint="default" w:ascii="Times New Roman" w:hAnsi="Times New Roman" w:cs="Times New Roman"/>
                <w:color w:val="000000" w:themeColor="text1"/>
                <w:highlight w:val="none"/>
                <w:lang w:val="en-US" w:eastAsia="zh-CN"/>
                <w14:textFill>
                  <w14:solidFill>
                    <w14:schemeClr w14:val="tx1"/>
                  </w14:solidFill>
                </w14:textFill>
              </w:rPr>
              <w:t>地面漫流</w:t>
            </w:r>
            <w:r>
              <w:rPr>
                <w:rFonts w:hint="default" w:ascii="Times New Roman" w:hAnsi="Times New Roman" w:cs="Times New Roman"/>
                <w:color w:val="000000" w:themeColor="text1"/>
                <w:highlight w:val="none"/>
                <w14:textFill>
                  <w14:solidFill>
                    <w14:schemeClr w14:val="tx1"/>
                  </w14:solidFill>
                </w14:textFill>
              </w:rPr>
              <w:t>进入地下水和土壤，对地下水环境和土壤环境造成影响</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废润滑油泄漏地面漫流进入地下水和土壤，对地下水和土壤环境造成影响。</w:t>
            </w:r>
            <w:r>
              <w:rPr>
                <w:rFonts w:hint="default" w:ascii="Times New Roman" w:hAnsi="Times New Roman" w:cs="Times New Roman"/>
                <w:color w:val="000000" w:themeColor="text1"/>
                <w:highlight w:val="none"/>
                <w14:textFill>
                  <w14:solidFill>
                    <w14:schemeClr w14:val="tx1"/>
                  </w14:solidFill>
                </w14:textFill>
              </w:rPr>
              <w:t>因此，本项目建设单位必须做好防渗漏措施，杜绝非正常情况的发生。</w:t>
            </w:r>
          </w:p>
          <w:p w14:paraId="62E6A0B8">
            <w:pPr>
              <w:pStyle w:val="18"/>
              <w:bidi w:val="0"/>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-1  地下水、土壤环境影响因子及污染途径一览表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1773"/>
              <w:gridCol w:w="1624"/>
              <w:gridCol w:w="2220"/>
              <w:gridCol w:w="1713"/>
            </w:tblGrid>
            <w:tr w14:paraId="53A7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tcBorders>
                    <w:tl2br w:val="nil"/>
                    <w:tr2bl w:val="nil"/>
                  </w:tcBorders>
                  <w:vAlign w:val="center"/>
                </w:tcPr>
                <w:p w14:paraId="5949E73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污染源</w:t>
                  </w:r>
                </w:p>
              </w:tc>
              <w:tc>
                <w:tcPr>
                  <w:tcW w:w="1771" w:type="dxa"/>
                  <w:tcBorders>
                    <w:tl2br w:val="nil"/>
                    <w:tr2bl w:val="nil"/>
                  </w:tcBorders>
                  <w:vAlign w:val="center"/>
                </w:tcPr>
                <w:p w14:paraId="3A84DBA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节点</w:t>
                  </w:r>
                </w:p>
              </w:tc>
              <w:tc>
                <w:tcPr>
                  <w:tcW w:w="1622" w:type="dxa"/>
                  <w:tcBorders>
                    <w:tl2br w:val="nil"/>
                    <w:tr2bl w:val="nil"/>
                  </w:tcBorders>
                  <w:vAlign w:val="center"/>
                </w:tcPr>
                <w:p w14:paraId="20C2452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污染途径</w:t>
                  </w:r>
                </w:p>
              </w:tc>
              <w:tc>
                <w:tcPr>
                  <w:tcW w:w="2217" w:type="dxa"/>
                  <w:tcBorders>
                    <w:tl2br w:val="nil"/>
                    <w:tr2bl w:val="nil"/>
                  </w:tcBorders>
                  <w:vAlign w:val="center"/>
                </w:tcPr>
                <w:p w14:paraId="7558A0E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w:t>
                  </w:r>
                </w:p>
              </w:tc>
              <w:tc>
                <w:tcPr>
                  <w:tcW w:w="1711" w:type="dxa"/>
                  <w:tcBorders>
                    <w:tl2br w:val="nil"/>
                    <w:tr2bl w:val="nil"/>
                  </w:tcBorders>
                  <w:vAlign w:val="center"/>
                </w:tcPr>
                <w:p w14:paraId="71E2EDA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备注</w:t>
                  </w:r>
                </w:p>
              </w:tc>
            </w:tr>
            <w:tr w14:paraId="52FC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tcBorders>
                    <w:tl2br w:val="nil"/>
                    <w:tr2bl w:val="nil"/>
                  </w:tcBorders>
                  <w:vAlign w:val="center"/>
                </w:tcPr>
                <w:p w14:paraId="25E81AB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洗车平台</w:t>
                  </w:r>
                </w:p>
              </w:tc>
              <w:tc>
                <w:tcPr>
                  <w:tcW w:w="1771" w:type="dxa"/>
                  <w:tcBorders>
                    <w:tl2br w:val="nil"/>
                    <w:tr2bl w:val="nil"/>
                  </w:tcBorders>
                  <w:vAlign w:val="center"/>
                </w:tcPr>
                <w:p w14:paraId="5733D39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沉淀</w:t>
                  </w:r>
                  <w:r>
                    <w:rPr>
                      <w:rFonts w:hint="default" w:ascii="Times New Roman" w:hAnsi="Times New Roman" w:cs="Times New Roman"/>
                      <w:color w:val="000000" w:themeColor="text1"/>
                      <w:highlight w:val="none"/>
                      <w14:textFill>
                        <w14:solidFill>
                          <w14:schemeClr w14:val="tx1"/>
                        </w14:solidFill>
                      </w14:textFill>
                    </w:rPr>
                    <w:t>池</w:t>
                  </w:r>
                </w:p>
              </w:tc>
              <w:tc>
                <w:tcPr>
                  <w:tcW w:w="1622" w:type="dxa"/>
                  <w:tcBorders>
                    <w:tl2br w:val="nil"/>
                    <w:tr2bl w:val="nil"/>
                  </w:tcBorders>
                  <w:vAlign w:val="center"/>
                </w:tcPr>
                <w:p w14:paraId="02BFEA2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地面漫流</w:t>
                  </w:r>
                </w:p>
              </w:tc>
              <w:tc>
                <w:tcPr>
                  <w:tcW w:w="2217" w:type="dxa"/>
                  <w:tcBorders>
                    <w:tl2br w:val="nil"/>
                    <w:tr2bl w:val="nil"/>
                  </w:tcBorders>
                  <w:vAlign w:val="center"/>
                </w:tcPr>
                <w:p w14:paraId="487F8FA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COD、BOD</w:t>
                  </w:r>
                  <w:r>
                    <w:rPr>
                      <w:rFonts w:hint="default" w:ascii="Times New Roman" w:hAnsi="Times New Roman" w:cs="Times New Roman"/>
                      <w:color w:val="000000" w:themeColor="text1"/>
                      <w:highlight w:val="none"/>
                      <w:vertAlign w:val="subscript"/>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、NH</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-N、SS</w:t>
                  </w:r>
                </w:p>
              </w:tc>
              <w:tc>
                <w:tcPr>
                  <w:tcW w:w="1711" w:type="dxa"/>
                  <w:tcBorders>
                    <w:tl2br w:val="nil"/>
                    <w:tr2bl w:val="nil"/>
                  </w:tcBorders>
                  <w:vAlign w:val="center"/>
                </w:tcPr>
                <w:p w14:paraId="6817F8E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渗漏</w:t>
                  </w:r>
                </w:p>
              </w:tc>
            </w:tr>
            <w:tr w14:paraId="7916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tcBorders>
                    <w:tl2br w:val="nil"/>
                    <w:tr2bl w:val="nil"/>
                  </w:tcBorders>
                  <w:vAlign w:val="center"/>
                </w:tcPr>
                <w:p w14:paraId="60E6EDF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机械维修</w:t>
                  </w:r>
                </w:p>
              </w:tc>
              <w:tc>
                <w:tcPr>
                  <w:tcW w:w="1771" w:type="dxa"/>
                  <w:tcBorders>
                    <w:tl2br w:val="nil"/>
                    <w:tr2bl w:val="nil"/>
                  </w:tcBorders>
                  <w:vAlign w:val="center"/>
                </w:tcPr>
                <w:p w14:paraId="46E4F59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c>
                <w:tcPr>
                  <w:tcW w:w="1622" w:type="dxa"/>
                  <w:tcBorders>
                    <w:tl2br w:val="nil"/>
                    <w:tr2bl w:val="nil"/>
                  </w:tcBorders>
                  <w:vAlign w:val="center"/>
                </w:tcPr>
                <w:p w14:paraId="4533B85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地面漫流</w:t>
                  </w:r>
                </w:p>
              </w:tc>
              <w:tc>
                <w:tcPr>
                  <w:tcW w:w="2217" w:type="dxa"/>
                  <w:tcBorders>
                    <w:tl2br w:val="nil"/>
                    <w:tr2bl w:val="nil"/>
                  </w:tcBorders>
                  <w:vAlign w:val="center"/>
                </w:tcPr>
                <w:p w14:paraId="7F677119">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废润滑油</w:t>
                  </w:r>
                </w:p>
              </w:tc>
              <w:tc>
                <w:tcPr>
                  <w:tcW w:w="1711" w:type="dxa"/>
                  <w:tcBorders>
                    <w:tl2br w:val="nil"/>
                    <w:tr2bl w:val="nil"/>
                  </w:tcBorders>
                  <w:vAlign w:val="center"/>
                </w:tcPr>
                <w:p w14:paraId="15BF8B5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渗漏</w:t>
                  </w:r>
                </w:p>
              </w:tc>
            </w:tr>
            <w:tr w14:paraId="35A1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tcBorders>
                    <w:tl2br w:val="nil"/>
                    <w:tr2bl w:val="nil"/>
                  </w:tcBorders>
                  <w:vAlign w:val="center"/>
                </w:tcPr>
                <w:p w14:paraId="2FE0833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柴油储存区</w:t>
                  </w:r>
                </w:p>
              </w:tc>
              <w:tc>
                <w:tcPr>
                  <w:tcW w:w="1771" w:type="dxa"/>
                  <w:tcBorders>
                    <w:tl2br w:val="nil"/>
                    <w:tr2bl w:val="nil"/>
                  </w:tcBorders>
                  <w:vAlign w:val="center"/>
                </w:tcPr>
                <w:p w14:paraId="7E9EC7D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施工机械加油</w:t>
                  </w:r>
                </w:p>
              </w:tc>
              <w:tc>
                <w:tcPr>
                  <w:tcW w:w="1622" w:type="dxa"/>
                  <w:tcBorders>
                    <w:tl2br w:val="nil"/>
                    <w:tr2bl w:val="nil"/>
                  </w:tcBorders>
                  <w:vAlign w:val="center"/>
                </w:tcPr>
                <w:p w14:paraId="55379FC3">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地面漫流</w:t>
                  </w:r>
                </w:p>
              </w:tc>
              <w:tc>
                <w:tcPr>
                  <w:tcW w:w="2217" w:type="dxa"/>
                  <w:tcBorders>
                    <w:tl2br w:val="nil"/>
                    <w:tr2bl w:val="nil"/>
                  </w:tcBorders>
                  <w:vAlign w:val="center"/>
                </w:tcPr>
                <w:p w14:paraId="12027F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w:t>
                  </w:r>
                </w:p>
              </w:tc>
              <w:tc>
                <w:tcPr>
                  <w:tcW w:w="1711" w:type="dxa"/>
                  <w:tcBorders>
                    <w:tl2br w:val="nil"/>
                    <w:tr2bl w:val="nil"/>
                  </w:tcBorders>
                  <w:vAlign w:val="center"/>
                </w:tcPr>
                <w:p w14:paraId="718682A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渗漏</w:t>
                  </w:r>
                </w:p>
              </w:tc>
            </w:tr>
          </w:tbl>
          <w:p w14:paraId="3EAF9F63">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4.6.2污染防控措施</w:t>
            </w:r>
          </w:p>
          <w:p w14:paraId="613AC541">
            <w:pPr>
              <w:bidi w:val="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根据建设项目废水污染物特性，具体防渗措施如下：</w:t>
            </w:r>
          </w:p>
          <w:p w14:paraId="49D3DE91">
            <w:pPr>
              <w:pStyle w:val="18"/>
              <w:bidi w:val="0"/>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.6-2</w:t>
            </w:r>
            <w:r>
              <w:rPr>
                <w:rFonts w:hint="default" w:ascii="Times New Roman" w:hAnsi="Times New Roman"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厂区工程防渗措施一览表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5"/>
              <w:gridCol w:w="3100"/>
              <w:gridCol w:w="3081"/>
            </w:tblGrid>
            <w:tr w14:paraId="0CCC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2" w:type="dxa"/>
                  <w:tcBorders>
                    <w:tl2br w:val="nil"/>
                    <w:tr2bl w:val="nil"/>
                  </w:tcBorders>
                  <w:vAlign w:val="center"/>
                </w:tcPr>
                <w:p w14:paraId="72CD8E9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污染区</w:t>
                  </w:r>
                </w:p>
              </w:tc>
              <w:tc>
                <w:tcPr>
                  <w:tcW w:w="3096" w:type="dxa"/>
                  <w:tcBorders>
                    <w:tl2br w:val="nil"/>
                    <w:tr2bl w:val="nil"/>
                  </w:tcBorders>
                  <w:vAlign w:val="center"/>
                </w:tcPr>
                <w:p w14:paraId="37A8D48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防渗结构</w:t>
                  </w:r>
                </w:p>
              </w:tc>
              <w:tc>
                <w:tcPr>
                  <w:tcW w:w="3077" w:type="dxa"/>
                  <w:tcBorders>
                    <w:tl2br w:val="nil"/>
                    <w:tr2bl w:val="nil"/>
                  </w:tcBorders>
                  <w:vAlign w:val="center"/>
                </w:tcPr>
                <w:p w14:paraId="1811224A">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防渗技术要求</w:t>
                  </w:r>
                </w:p>
              </w:tc>
            </w:tr>
            <w:tr w14:paraId="262B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2" w:type="dxa"/>
                  <w:tcBorders>
                    <w:tl2br w:val="nil"/>
                    <w:tr2bl w:val="nil"/>
                  </w:tcBorders>
                  <w:vAlign w:val="center"/>
                </w:tcPr>
                <w:p w14:paraId="06C9126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柴油储存区</w:t>
                  </w:r>
                </w:p>
              </w:tc>
              <w:tc>
                <w:tcPr>
                  <w:tcW w:w="3096" w:type="dxa"/>
                  <w:tcBorders>
                    <w:tl2br w:val="nil"/>
                    <w:tr2bl w:val="nil"/>
                  </w:tcBorders>
                  <w:vAlign w:val="center"/>
                </w:tcPr>
                <w:p w14:paraId="756FE6C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人工防渗层：2mm厚高密度聚乙烯+20cm水泥硬化</w:t>
                  </w:r>
                </w:p>
              </w:tc>
              <w:tc>
                <w:tcPr>
                  <w:tcW w:w="3077" w:type="dxa"/>
                  <w:tcBorders>
                    <w:tl2br w:val="nil"/>
                    <w:tr2bl w:val="nil"/>
                  </w:tcBorders>
                  <w:shd w:val="clear" w:color="auto" w:fill="auto"/>
                  <w:vAlign w:val="center"/>
                </w:tcPr>
                <w:p w14:paraId="070DAF74">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14:textFill>
                        <w14:solidFill>
                          <w14:schemeClr w14:val="tx1"/>
                        </w14:solidFill>
                      </w14:textFill>
                    </w:rPr>
                    <w:t>防渗层为至少1m厚黏土层（渗透系数≤10</w:t>
                  </w:r>
                  <w:r>
                    <w:rPr>
                      <w:rFonts w:hint="default" w:ascii="Times New Roman" w:hAnsi="Times New Roman" w:cs="Times New Roman"/>
                      <w:color w:val="000000" w:themeColor="text1"/>
                      <w:highlight w:val="none"/>
                      <w:vertAlign w:val="superscript"/>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cm/s），或2mm厚高密度聚乙烯，或至少2mm厚的</w:t>
                  </w:r>
                  <w:r>
                    <w:rPr>
                      <w:rFonts w:hint="default" w:ascii="Times New Roman" w:hAnsi="Times New Roman" w:cs="Times New Roman"/>
                      <w:color w:val="000000" w:themeColor="text1"/>
                      <w:highlight w:val="none"/>
                      <w:lang w:eastAsia="zh-CN"/>
                      <w14:textFill>
                        <w14:solidFill>
                          <w14:schemeClr w14:val="tx1"/>
                        </w14:solidFill>
                      </w14:textFill>
                    </w:rPr>
                    <w:t>其他人工</w:t>
                  </w:r>
                  <w:r>
                    <w:rPr>
                      <w:rFonts w:hint="default" w:ascii="Times New Roman" w:hAnsi="Times New Roman" w:cs="Times New Roman"/>
                      <w:color w:val="000000" w:themeColor="text1"/>
                      <w:highlight w:val="none"/>
                      <w14:textFill>
                        <w14:solidFill>
                          <w14:schemeClr w14:val="tx1"/>
                        </w14:solidFill>
                      </w14:textFill>
                    </w:rPr>
                    <w:t>材料，渗透系数K≤10</w:t>
                  </w:r>
                  <w:r>
                    <w:rPr>
                      <w:rFonts w:hint="default" w:ascii="Times New Roman" w:hAnsi="Times New Roman" w:cs="Times New Roman"/>
                      <w:color w:val="000000" w:themeColor="text1"/>
                      <w:highlight w:val="none"/>
                      <w:vertAlign w:val="super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cm/s</w:t>
                  </w:r>
                </w:p>
              </w:tc>
            </w:tr>
            <w:tr w14:paraId="3AA3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2" w:type="dxa"/>
                  <w:tcBorders>
                    <w:tl2br w:val="nil"/>
                    <w:tr2bl w:val="nil"/>
                  </w:tcBorders>
                  <w:vAlign w:val="center"/>
                </w:tcPr>
                <w:p w14:paraId="1A07FDB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洗车平台、沉淀池</w:t>
                  </w:r>
                </w:p>
              </w:tc>
              <w:tc>
                <w:tcPr>
                  <w:tcW w:w="3096" w:type="dxa"/>
                  <w:tcBorders>
                    <w:tl2br w:val="nil"/>
                    <w:tr2bl w:val="nil"/>
                  </w:tcBorders>
                  <w:vAlign w:val="center"/>
                </w:tcPr>
                <w:p w14:paraId="2C4617A7">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人工防渗层：水泥混凝土硬化地面，厚度20cm</w:t>
                  </w:r>
                </w:p>
              </w:tc>
              <w:tc>
                <w:tcPr>
                  <w:tcW w:w="3077" w:type="dxa"/>
                  <w:tcBorders>
                    <w:tl2br w:val="nil"/>
                    <w:tr2bl w:val="nil"/>
                  </w:tcBorders>
                  <w:shd w:val="clear" w:color="auto" w:fill="auto"/>
                  <w:vAlign w:val="center"/>
                </w:tcPr>
                <w:p w14:paraId="0BCF9A70">
                  <w:pPr>
                    <w:pStyle w:val="16"/>
                    <w:bidi w:val="0"/>
                    <w:ind w:firstLine="0" w:firstLineChars="0"/>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highlight w:val="none"/>
                      <w14:textFill>
                        <w14:solidFill>
                          <w14:schemeClr w14:val="tx1"/>
                        </w14:solidFill>
                      </w14:textFill>
                    </w:rPr>
                    <w:t>等效黏土防渗层Mb≥1.5m，渗透系数K≤1×10</w:t>
                  </w:r>
                  <w:r>
                    <w:rPr>
                      <w:rFonts w:hint="default" w:ascii="Times New Roman" w:hAnsi="Times New Roman" w:cs="Times New Roman"/>
                      <w:color w:val="000000" w:themeColor="text1"/>
                      <w:highlight w:val="none"/>
                      <w:vertAlign w:val="superscript"/>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cm/s；或参照GB16889执行</w:t>
                  </w:r>
                </w:p>
              </w:tc>
            </w:tr>
          </w:tbl>
          <w:p w14:paraId="18676FC5">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本项目地下水、</w:t>
            </w:r>
            <w:r>
              <w:rPr>
                <w:rFonts w:hint="default" w:ascii="Times New Roman" w:hAnsi="Times New Roman" w:cs="Times New Roman"/>
                <w:color w:val="000000" w:themeColor="text1"/>
                <w:highlight w:val="none"/>
                <w:lang w:eastAsia="zh-CN"/>
                <w14:textFill>
                  <w14:solidFill>
                    <w14:schemeClr w14:val="tx1"/>
                  </w14:solidFill>
                </w14:textFill>
              </w:rPr>
              <w:t>土壤污染防治</w:t>
            </w:r>
            <w:r>
              <w:rPr>
                <w:rFonts w:hint="default" w:ascii="Times New Roman" w:hAnsi="Times New Roman" w:cs="Times New Roman"/>
                <w:color w:val="000000" w:themeColor="text1"/>
                <w:highlight w:val="none"/>
                <w14:textFill>
                  <w14:solidFill>
                    <w14:schemeClr w14:val="tx1"/>
                  </w14:solidFill>
                </w14:textFill>
              </w:rPr>
              <w:t>措施应在做好防止和减少</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跑、冒、滴、漏</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等源头控制措施的基础上，对项目区域进行分区防渗处理。</w:t>
            </w:r>
          </w:p>
          <w:p w14:paraId="30EA13B9">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①积极推行实施清洁生产，实现各类废物循环利用，减少污染物的排放量；</w:t>
            </w:r>
          </w:p>
          <w:p w14:paraId="25AF38AD">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②应根据国家现行相关规范加强环境管理，采取防止和降低污染物跑、冒、滴、漏的措施。正常运营过程中应加强巡检及时处理污染物跑、冒、滴、漏，同时应加强对防渗工程的检查，若发现防渗密封材料老化或损坏，应及时维修更换；</w:t>
            </w:r>
          </w:p>
          <w:p w14:paraId="33310F27">
            <w:pPr>
              <w:bidi w:val="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③对工艺、管道、设备、污水储存及处理构筑物采取控制措施，防止污染物的跑、冒、滴、漏，将污染物泄漏的环境风险事故降到最低限度。</w:t>
            </w:r>
          </w:p>
          <w:p w14:paraId="5A41E05E">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4.6.3分区防渗处理</w:t>
            </w:r>
          </w:p>
          <w:p w14:paraId="04F9CA1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将本项目区域按污染物泄漏的途径和生产功能单元所处的位置划分为重点防渗区、一般防渗区和简单防渗区。</w:t>
            </w:r>
          </w:p>
          <w:p w14:paraId="5AC8B68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①重点防渗区：</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柴油储存区</w:t>
            </w:r>
          </w:p>
          <w:p w14:paraId="70ED529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防渗要求：</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eastAsia="宋体" w:cs="Times New Roman"/>
                <w:color w:val="000000" w:themeColor="text1"/>
                <w:highlight w:val="none"/>
                <w14:textFill>
                  <w14:solidFill>
                    <w14:schemeClr w14:val="tx1"/>
                  </w14:solidFill>
                </w14:textFill>
              </w:rPr>
              <w:t>应严格按照《危险废物贮存污染控制标准》（GB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18597-2023）中要求进行重点防渗，防渗层为至少1m厚黏土层（渗透系数≤10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cm/s），或2mm厚高密度聚乙烯，或至少2mm厚的</w:t>
            </w:r>
            <w:r>
              <w:rPr>
                <w:rFonts w:hint="default" w:ascii="Times New Roman" w:hAnsi="Times New Roman" w:cs="Times New Roman"/>
                <w:color w:val="000000" w:themeColor="text1"/>
                <w:highlight w:val="none"/>
                <w:lang w:eastAsia="zh-CN"/>
                <w14:textFill>
                  <w14:solidFill>
                    <w14:schemeClr w14:val="tx1"/>
                  </w14:solidFill>
                </w14:textFill>
              </w:rPr>
              <w:t>其他人工</w:t>
            </w:r>
            <w:r>
              <w:rPr>
                <w:rFonts w:hint="default" w:ascii="Times New Roman" w:hAnsi="Times New Roman" w:eastAsia="宋体" w:cs="Times New Roman"/>
                <w:color w:val="000000" w:themeColor="text1"/>
                <w:highlight w:val="none"/>
                <w14:textFill>
                  <w14:solidFill>
                    <w14:schemeClr w14:val="tx1"/>
                  </w14:solidFill>
                </w14:textFill>
              </w:rPr>
              <w:t>材料，渗透系数K≤10</w:t>
            </w:r>
            <w:r>
              <w:rPr>
                <w:rFonts w:hint="default" w:ascii="Times New Roman" w:hAnsi="Times New Roman" w:eastAsia="宋体" w:cs="Times New Roman"/>
                <w:color w:val="000000" w:themeColor="text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highlight w:val="none"/>
                <w14:textFill>
                  <w14:solidFill>
                    <w14:schemeClr w14:val="tx1"/>
                  </w14:solidFill>
                </w14:textFill>
              </w:rPr>
              <w:t>cm/s。</w:t>
            </w:r>
          </w:p>
          <w:p w14:paraId="4473E10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②一般防渗区：</w:t>
            </w:r>
            <w:r>
              <w:rPr>
                <w:rFonts w:hint="default" w:ascii="Times New Roman" w:hAnsi="Times New Roman" w:cs="Times New Roman"/>
                <w:color w:val="000000" w:themeColor="text1"/>
                <w:highlight w:val="none"/>
                <w:lang w:val="en-US" w:eastAsia="zh-CN"/>
                <w14:textFill>
                  <w14:solidFill>
                    <w14:schemeClr w14:val="tx1"/>
                  </w14:solidFill>
                </w14:textFill>
              </w:rPr>
              <w:t>洗车平台、沉淀池</w:t>
            </w:r>
            <w:r>
              <w:rPr>
                <w:rFonts w:hint="default" w:ascii="Times New Roman" w:hAnsi="Times New Roman" w:eastAsia="宋体" w:cs="Times New Roman"/>
                <w:color w:val="000000" w:themeColor="text1"/>
                <w:highlight w:val="none"/>
                <w14:textFill>
                  <w14:solidFill>
                    <w14:schemeClr w14:val="tx1"/>
                  </w14:solidFill>
                </w14:textFill>
              </w:rPr>
              <w:t>。一般防渗区防渗要求：等效黏土防渗层Mb≥1.5m，渗透系数K≤1×10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cm/s；或参照GB16889执行。化粪池防渗要求：使用混凝土和防腐材料做防渗处理，外观色泽均匀，表面光滑，无裂纹、孔洞，表面加强筋完整，边缘整齐，使用前做荷载试验，检查密封性能和强度。</w:t>
            </w:r>
          </w:p>
          <w:p w14:paraId="5FE0B4B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③简单防渗区：</w:t>
            </w:r>
            <w:r>
              <w:rPr>
                <w:rFonts w:hint="default" w:ascii="Times New Roman" w:hAnsi="Times New Roman" w:cs="Times New Roman"/>
                <w:color w:val="000000" w:themeColor="text1"/>
                <w:highlight w:val="none"/>
                <w:lang w:val="en-US" w:eastAsia="zh-CN"/>
                <w14:textFill>
                  <w14:solidFill>
                    <w14:schemeClr w14:val="tx1"/>
                  </w14:solidFill>
                </w14:textFill>
              </w:rPr>
              <w:t>生产车间</w:t>
            </w:r>
          </w:p>
          <w:p w14:paraId="14ECE57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简单防渗区防渗要求：一般地面硬化。</w:t>
            </w:r>
          </w:p>
          <w:p w14:paraId="7E39BCB7">
            <w:pPr>
              <w:pStyle w:val="18"/>
              <w:bidi w:val="0"/>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.6-3</w:t>
            </w:r>
            <w:r>
              <w:rPr>
                <w:rFonts w:hint="default" w:ascii="Times New Roman" w:hAnsi="Times New Roman"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本项目地下水分区防渗情况一览表</w:t>
            </w:r>
          </w:p>
          <w:tbl>
            <w:tblPr>
              <w:tblStyle w:val="11"/>
              <w:tblW w:w="8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1501"/>
              <w:gridCol w:w="3457"/>
              <w:gridCol w:w="2420"/>
            </w:tblGrid>
            <w:tr w14:paraId="5AA1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60" w:type="dxa"/>
                  <w:tcBorders>
                    <w:tl2br w:val="nil"/>
                    <w:tr2bl w:val="nil"/>
                  </w:tcBorders>
                  <w:vAlign w:val="center"/>
                </w:tcPr>
                <w:p w14:paraId="00343EF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防渗分区</w:t>
                  </w:r>
                </w:p>
              </w:tc>
              <w:tc>
                <w:tcPr>
                  <w:tcW w:w="1501" w:type="dxa"/>
                  <w:tcBorders>
                    <w:tl2br w:val="nil"/>
                    <w:tr2bl w:val="nil"/>
                  </w:tcBorders>
                  <w:vAlign w:val="center"/>
                </w:tcPr>
                <w:p w14:paraId="731E03D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防渗区域</w:t>
                  </w:r>
                </w:p>
              </w:tc>
              <w:tc>
                <w:tcPr>
                  <w:tcW w:w="3457" w:type="dxa"/>
                  <w:tcBorders>
                    <w:tl2br w:val="nil"/>
                    <w:tr2bl w:val="nil"/>
                  </w:tcBorders>
                  <w:vAlign w:val="center"/>
                </w:tcPr>
                <w:p w14:paraId="312FB06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防渗要求</w:t>
                  </w:r>
                </w:p>
              </w:tc>
              <w:tc>
                <w:tcPr>
                  <w:tcW w:w="2420" w:type="dxa"/>
                  <w:tcBorders>
                    <w:tl2br w:val="nil"/>
                    <w:tr2bl w:val="nil"/>
                  </w:tcBorders>
                  <w:vAlign w:val="center"/>
                </w:tcPr>
                <w:p w14:paraId="255CFFB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防渗措施</w:t>
                  </w:r>
                </w:p>
              </w:tc>
            </w:tr>
            <w:tr w14:paraId="6459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1160" w:type="dxa"/>
                  <w:tcBorders>
                    <w:tl2br w:val="nil"/>
                    <w:tr2bl w:val="nil"/>
                  </w:tcBorders>
                  <w:vAlign w:val="center"/>
                </w:tcPr>
                <w:p w14:paraId="10DE92A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重点防渗区</w:t>
                  </w:r>
                </w:p>
              </w:tc>
              <w:tc>
                <w:tcPr>
                  <w:tcW w:w="1501" w:type="dxa"/>
                  <w:tcBorders>
                    <w:tl2br w:val="nil"/>
                    <w:tr2bl w:val="nil"/>
                  </w:tcBorders>
                  <w:vAlign w:val="center"/>
                </w:tcPr>
                <w:p w14:paraId="1DBACBA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柴油储存区、柴油发电机</w:t>
                  </w:r>
                </w:p>
              </w:tc>
              <w:tc>
                <w:tcPr>
                  <w:tcW w:w="3457" w:type="dxa"/>
                  <w:tcBorders>
                    <w:tl2br w:val="nil"/>
                    <w:tr2bl w:val="nil"/>
                  </w:tcBorders>
                  <w:vAlign w:val="center"/>
                </w:tcPr>
                <w:p w14:paraId="0A723E4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防渗层为至少1m厚黏土层（渗透系数≤10</w:t>
                  </w:r>
                  <w:r>
                    <w:rPr>
                      <w:rFonts w:hint="default" w:ascii="Times New Roman" w:hAnsi="Times New Roman" w:cs="Times New Roman"/>
                      <w:color w:val="000000" w:themeColor="text1"/>
                      <w:highlight w:val="none"/>
                      <w:vertAlign w:val="superscript"/>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cm/s），或2mm厚高密度聚乙烯，或至少2mm厚的</w:t>
                  </w:r>
                  <w:r>
                    <w:rPr>
                      <w:rFonts w:hint="default" w:ascii="Times New Roman" w:hAnsi="Times New Roman" w:cs="Times New Roman"/>
                      <w:color w:val="000000" w:themeColor="text1"/>
                      <w:highlight w:val="none"/>
                      <w:lang w:eastAsia="zh-CN"/>
                      <w14:textFill>
                        <w14:solidFill>
                          <w14:schemeClr w14:val="tx1"/>
                        </w14:solidFill>
                      </w14:textFill>
                    </w:rPr>
                    <w:t>其他人工</w:t>
                  </w:r>
                  <w:r>
                    <w:rPr>
                      <w:rFonts w:hint="default" w:ascii="Times New Roman" w:hAnsi="Times New Roman" w:cs="Times New Roman"/>
                      <w:color w:val="000000" w:themeColor="text1"/>
                      <w:highlight w:val="none"/>
                      <w14:textFill>
                        <w14:solidFill>
                          <w14:schemeClr w14:val="tx1"/>
                        </w14:solidFill>
                      </w14:textFill>
                    </w:rPr>
                    <w:t>材料，渗透系数K≤10</w:t>
                  </w:r>
                  <w:r>
                    <w:rPr>
                      <w:rFonts w:hint="default" w:ascii="Times New Roman" w:hAnsi="Times New Roman" w:cs="Times New Roman"/>
                      <w:color w:val="000000" w:themeColor="text1"/>
                      <w:highlight w:val="none"/>
                      <w:vertAlign w:val="super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cm/s</w:t>
                  </w:r>
                </w:p>
              </w:tc>
              <w:tc>
                <w:tcPr>
                  <w:tcW w:w="2420" w:type="dxa"/>
                  <w:tcBorders>
                    <w:tl2br w:val="nil"/>
                    <w:tr2bl w:val="nil"/>
                  </w:tcBorders>
                  <w:vAlign w:val="center"/>
                </w:tcPr>
                <w:p w14:paraId="7956A39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采用防渗混凝土硬化+2mm厚高密度聚乙烯防渗，满足渗透系数K≤1×10</w:t>
                  </w:r>
                  <w:r>
                    <w:rPr>
                      <w:rFonts w:hint="default" w:ascii="Times New Roman" w:hAnsi="Times New Roman" w:cs="Times New Roman"/>
                      <w:color w:val="000000" w:themeColor="text1"/>
                      <w:highlight w:val="none"/>
                      <w:vertAlign w:val="super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cm/s</w:t>
                  </w:r>
                </w:p>
              </w:tc>
            </w:tr>
            <w:tr w14:paraId="4D3F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160" w:type="dxa"/>
                  <w:tcBorders>
                    <w:tl2br w:val="nil"/>
                    <w:tr2bl w:val="nil"/>
                  </w:tcBorders>
                  <w:vAlign w:val="center"/>
                </w:tcPr>
                <w:p w14:paraId="7E4B043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一般防渗区</w:t>
                  </w:r>
                </w:p>
              </w:tc>
              <w:tc>
                <w:tcPr>
                  <w:tcW w:w="1501" w:type="dxa"/>
                  <w:tcBorders>
                    <w:tl2br w:val="nil"/>
                    <w:tr2bl w:val="nil"/>
                  </w:tcBorders>
                  <w:vAlign w:val="center"/>
                </w:tcPr>
                <w:p w14:paraId="753BE67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洗车平台、沉淀池</w:t>
                  </w:r>
                </w:p>
              </w:tc>
              <w:tc>
                <w:tcPr>
                  <w:tcW w:w="3457" w:type="dxa"/>
                  <w:tcBorders>
                    <w:tl2br w:val="nil"/>
                    <w:tr2bl w:val="nil"/>
                  </w:tcBorders>
                  <w:vAlign w:val="center"/>
                </w:tcPr>
                <w:p w14:paraId="56ABB15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等效黏土防渗层Mb≥1.5m，渗透系数K≤1×10</w:t>
                  </w:r>
                  <w:r>
                    <w:rPr>
                      <w:rFonts w:hint="default" w:ascii="Times New Roman" w:hAnsi="Times New Roman" w:cs="Times New Roman"/>
                      <w:color w:val="000000" w:themeColor="text1"/>
                      <w:highlight w:val="none"/>
                      <w:vertAlign w:val="superscript"/>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cm/s；或参照GB16889执行</w:t>
                  </w:r>
                </w:p>
              </w:tc>
              <w:tc>
                <w:tcPr>
                  <w:tcW w:w="2420" w:type="dxa"/>
                  <w:tcBorders>
                    <w:tl2br w:val="nil"/>
                    <w:tr2bl w:val="nil"/>
                  </w:tcBorders>
                  <w:vAlign w:val="center"/>
                </w:tcPr>
                <w:p w14:paraId="22B7EFA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采用防渗混凝土硬化，满足等效黏土防渗层Mb≥1.5m，渗透系数K≤1×10</w:t>
                  </w:r>
                  <w:r>
                    <w:rPr>
                      <w:rFonts w:hint="default" w:ascii="Times New Roman" w:hAnsi="Times New Roman" w:cs="Times New Roman"/>
                      <w:color w:val="000000" w:themeColor="text1"/>
                      <w:highlight w:val="none"/>
                      <w:vertAlign w:val="superscript"/>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cm/s</w:t>
                  </w:r>
                </w:p>
              </w:tc>
            </w:tr>
            <w:tr w14:paraId="4BC4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160" w:type="dxa"/>
                  <w:tcBorders>
                    <w:tl2br w:val="nil"/>
                    <w:tr2bl w:val="nil"/>
                  </w:tcBorders>
                  <w:vAlign w:val="center"/>
                </w:tcPr>
                <w:p w14:paraId="453B5C0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简单防渗区</w:t>
                  </w:r>
                </w:p>
              </w:tc>
              <w:tc>
                <w:tcPr>
                  <w:tcW w:w="1501" w:type="dxa"/>
                  <w:tcBorders>
                    <w:tl2br w:val="nil"/>
                    <w:tr2bl w:val="nil"/>
                  </w:tcBorders>
                  <w:vAlign w:val="center"/>
                </w:tcPr>
                <w:p w14:paraId="66663F8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生产车间</w:t>
                  </w:r>
                </w:p>
              </w:tc>
              <w:tc>
                <w:tcPr>
                  <w:tcW w:w="3457" w:type="dxa"/>
                  <w:tcBorders>
                    <w:tl2br w:val="nil"/>
                    <w:tr2bl w:val="nil"/>
                  </w:tcBorders>
                  <w:vAlign w:val="center"/>
                </w:tcPr>
                <w:p w14:paraId="2C41441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一般地面硬化</w:t>
                  </w:r>
                </w:p>
              </w:tc>
              <w:tc>
                <w:tcPr>
                  <w:tcW w:w="2420" w:type="dxa"/>
                  <w:tcBorders>
                    <w:tl2br w:val="nil"/>
                    <w:tr2bl w:val="nil"/>
                  </w:tcBorders>
                  <w:vAlign w:val="center"/>
                </w:tcPr>
                <w:p w14:paraId="6086CD4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采用混凝土硬化，满足一般地面硬化</w:t>
                  </w:r>
                </w:p>
              </w:tc>
            </w:tr>
          </w:tbl>
          <w:p w14:paraId="354DE42E">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5"/>
            </w:tblGrid>
            <w:tr w14:paraId="22F6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5" w:type="dxa"/>
                </w:tcPr>
                <w:p w14:paraId="6DD71AA8">
                  <w:pPr>
                    <w:spacing w:line="360" w:lineRule="auto"/>
                    <w:jc w:val="left"/>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object>
                      <v:shape id="_x0000_i1030" o:spt="75" type="#_x0000_t75" style="height:258.8pt;width:382.2pt;" o:ole="t" filled="f" o:preferrelative="t" stroked="t" coordsize="21600,21600">
                        <v:path/>
                        <v:fill on="f" focussize="0,0"/>
                        <v:stroke color="#000000" joinstyle="miter"/>
                        <v:imagedata r:id="rId37" o:title=""/>
                        <o:lock v:ext="edit" aspectratio="f"/>
                        <w10:wrap type="none"/>
                        <w10:anchorlock/>
                      </v:shape>
                      <o:OLEObject Type="Embed" ProgID="Visio.Drawing.15" ShapeID="_x0000_i1030" DrawAspect="Content" ObjectID="_1468075730" r:id="rId36">
                        <o:LockedField>false</o:LockedField>
                      </o:OLEObject>
                    </w:object>
                  </w:r>
                </w:p>
                <w:p w14:paraId="0E1EFD99">
                  <w:pPr>
                    <w:pStyle w:val="18"/>
                    <w:bidi w:val="0"/>
                    <w:rPr>
                      <w:rFonts w:hint="default" w:ascii="Times New Roman" w:hAnsi="Times New Roman" w:eastAsia="宋体" w:cs="Times New Roman"/>
                      <w:color w:val="000000" w:themeColor="text1"/>
                      <w:szCs w:val="24"/>
                      <w:highlight w:val="none"/>
                      <w:vertAlign w:val="baseli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图4.6-1   项目分区防渗图</w:t>
                  </w:r>
                </w:p>
              </w:tc>
            </w:tr>
          </w:tbl>
          <w:p w14:paraId="3C97B833">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由上述措施可知，本项目针对可能造成地下水和土壤污染影响的各途径均进行有效预防，在确保各项防控措施得以落实，并加强环境管理的前提下，可有效杜绝地下水和土壤污染。</w:t>
            </w:r>
          </w:p>
          <w:p w14:paraId="54400C19">
            <w:pPr>
              <w:bidi w:val="0"/>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综上所述，本项目在采取上述防控措施后，可有效防止地下水和土壤的污染。</w:t>
            </w:r>
          </w:p>
          <w:p w14:paraId="216AEC4C">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4.7环境风险分析</w:t>
            </w:r>
          </w:p>
          <w:p w14:paraId="0EE6DCE6">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4.7.1风险识别</w:t>
            </w:r>
          </w:p>
          <w:p w14:paraId="2F5AFE3D">
            <w:pPr>
              <w:bidi w:val="0"/>
              <w:rPr>
                <w:rFonts w:hint="default" w:ascii="Times New Roman" w:hAnsi="Times New Roman" w:eastAsia="宋体" w:cs="Times New Roman"/>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对照《建设项目环境风险评价技术导则》（HJ169-2018）附录B，本项目所使用的原辅材料涉及的风险物质为</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废</w:t>
            </w:r>
            <w:r>
              <w:rPr>
                <w:rFonts w:hint="default" w:ascii="Times New Roman" w:hAnsi="Times New Roman" w:cs="Times New Roman"/>
                <w:color w:val="000000" w:themeColor="text1"/>
                <w:highlight w:val="none"/>
                <w14:textFill>
                  <w14:solidFill>
                    <w14:schemeClr w14:val="tx1"/>
                  </w14:solidFill>
                </w14:textFill>
              </w:rPr>
              <w:t>油</w:t>
            </w:r>
            <w:r>
              <w:rPr>
                <w:rFonts w:hint="default" w:ascii="Times New Roman" w:hAnsi="Times New Roman" w:cs="Times New Roman"/>
                <w:color w:val="000000" w:themeColor="text1"/>
                <w:highlight w:val="none"/>
                <w:lang w:val="en-US" w:eastAsia="zh-CN"/>
                <w14:textFill>
                  <w14:solidFill>
                    <w14:schemeClr w14:val="tx1"/>
                  </w14:solidFill>
                </w14:textFill>
              </w:rPr>
              <w:t>桶、废防渗膜、柴油</w:t>
            </w:r>
            <w:r>
              <w:rPr>
                <w:rFonts w:hint="default" w:ascii="Times New Roman" w:hAnsi="Times New Roman" w:cs="Times New Roman"/>
                <w:color w:val="000000" w:themeColor="text1"/>
                <w:highlight w:val="none"/>
                <w14:textFill>
                  <w14:solidFill>
                    <w14:schemeClr w14:val="tx1"/>
                  </w14:solidFill>
                </w14:textFill>
              </w:rPr>
              <w:t>，经收集后临时贮存在</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内，委托</w:t>
            </w:r>
            <w:r>
              <w:rPr>
                <w:rFonts w:hint="default" w:ascii="Times New Roman" w:hAnsi="Times New Roman" w:cs="Times New Roman"/>
                <w:color w:val="000000" w:themeColor="text1"/>
                <w:highlight w:val="none"/>
                <w:lang w:val="en-US" w:eastAsia="zh-CN"/>
                <w14:textFill>
                  <w14:solidFill>
                    <w14:schemeClr w14:val="tx1"/>
                  </w14:solidFill>
                </w14:textFill>
              </w:rPr>
              <w:t>有</w:t>
            </w:r>
            <w:r>
              <w:rPr>
                <w:rFonts w:hint="default" w:ascii="Times New Roman" w:hAnsi="Times New Roman" w:cs="Times New Roman"/>
                <w:color w:val="000000" w:themeColor="text1"/>
                <w:highlight w:val="none"/>
                <w14:textFill>
                  <w14:solidFill>
                    <w14:schemeClr w14:val="tx1"/>
                  </w14:solidFill>
                </w14:textFill>
              </w:rPr>
              <w:t>资质的单位定期清运处置。</w:t>
            </w:r>
          </w:p>
          <w:p w14:paraId="2875FBAF">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4.7.2风险源分布情况及可能影响途径</w:t>
            </w:r>
          </w:p>
          <w:p w14:paraId="27E02FEB">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本项目风险源主要为</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w:t>
            </w:r>
          </w:p>
          <w:p w14:paraId="36E961EF">
            <w:pPr>
              <w:bidi w:val="0"/>
              <w:rPr>
                <w:rFonts w:hint="default" w:ascii="Times New Roman" w:hAnsi="Times New Roman" w:eastAsia="宋体" w:cs="Times New Roman"/>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废润滑油泄漏</w:t>
            </w:r>
            <w:r>
              <w:rPr>
                <w:rFonts w:hint="default" w:ascii="Times New Roman" w:hAnsi="Times New Roman" w:cs="Times New Roman"/>
                <w:color w:val="000000" w:themeColor="text1"/>
                <w:highlight w:val="none"/>
                <w14:textFill>
                  <w14:solidFill>
                    <w14:schemeClr w14:val="tx1"/>
                  </w14:solidFill>
                </w14:textFill>
              </w:rPr>
              <w:t>会造成有毒有害物质渗透至附近土壤和地下水，从而对土壤、地下水环境产生影响，因此本项目</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要严格按照《危险废物收集贮存运输技术规范》（HJ2025-2012）中的要求进行建设。本项目产生危险废物量较少，发生</w:t>
            </w:r>
            <w:r>
              <w:rPr>
                <w:rFonts w:hint="default" w:ascii="Times New Roman" w:hAnsi="Times New Roman" w:cs="Times New Roman"/>
                <w:color w:val="000000" w:themeColor="text1"/>
                <w:highlight w:val="none"/>
                <w:lang w:eastAsia="zh-CN"/>
                <w14:textFill>
                  <w14:solidFill>
                    <w14:schemeClr w14:val="tx1"/>
                  </w14:solidFill>
                </w14:textFill>
              </w:rPr>
              <w:t>泄漏</w:t>
            </w:r>
            <w:r>
              <w:rPr>
                <w:rFonts w:hint="default" w:ascii="Times New Roman" w:hAnsi="Times New Roman" w:cs="Times New Roman"/>
                <w:color w:val="000000" w:themeColor="text1"/>
                <w:highlight w:val="none"/>
                <w14:textFill>
                  <w14:solidFill>
                    <w14:schemeClr w14:val="tx1"/>
                  </w14:solidFill>
                </w14:textFill>
              </w:rPr>
              <w:t>可能性较小，因此对周边土壤、地下水环境影响较小。</w:t>
            </w:r>
          </w:p>
          <w:p w14:paraId="04C7293B">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4.7.</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环境风险分析结论及建议</w:t>
            </w:r>
          </w:p>
          <w:p w14:paraId="22721556">
            <w:pPr>
              <w:bidi w:val="0"/>
              <w:rPr>
                <w:rFonts w:hint="default" w:ascii="Times New Roman" w:hAnsi="Times New Roman" w:eastAsia="宋体" w:cs="Times New Roman"/>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本项目具有一定的环境风险，但是发生风险事故的可能性较小，即使发生风险，也能控制在可接受的范围内，因此，本项目的环境风险影响较小。根据《建设项目环境风险评价技术导则》（HJ169-2018）附录A1</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有毒物质、易燃物质及爆炸物质的临界量</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临界量见表4</w:t>
            </w:r>
            <w:r>
              <w:rPr>
                <w:rFonts w:hint="default" w:ascii="Times New Roman" w:hAnsi="Times New Roman" w:cs="Times New Roman"/>
                <w:color w:val="000000" w:themeColor="text1"/>
                <w:highlight w:val="none"/>
                <w:lang w:val="en-US" w:eastAsia="zh-CN"/>
                <w14:textFill>
                  <w14:solidFill>
                    <w14:schemeClr w14:val="tx1"/>
                  </w14:solidFill>
                </w14:textFill>
              </w:rPr>
              <w:t>.7-1</w:t>
            </w:r>
            <w:r>
              <w:rPr>
                <w:rFonts w:hint="default" w:ascii="Times New Roman" w:hAnsi="Times New Roman" w:cs="Times New Roman"/>
                <w:color w:val="000000" w:themeColor="text1"/>
                <w:highlight w:val="none"/>
                <w14:textFill>
                  <w14:solidFill>
                    <w14:schemeClr w14:val="tx1"/>
                  </w14:solidFill>
                </w14:textFill>
              </w:rPr>
              <w:t>。</w:t>
            </w:r>
          </w:p>
          <w:p w14:paraId="6A63C65D">
            <w:pPr>
              <w:pStyle w:val="18"/>
              <w:bidi w:val="0"/>
              <w:rPr>
                <w:rFonts w:hint="default" w:ascii="Times New Roman" w:hAnsi="Times New Roman" w:eastAsia="宋体" w:cs="Times New Roman"/>
                <w:b/>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.7-1</w:t>
            </w:r>
            <w:r>
              <w:rPr>
                <w:rFonts w:hint="default" w:ascii="Times New Roman" w:hAnsi="Times New Roman" w:cs="Times New Roman"/>
                <w:color w:val="000000" w:themeColor="text1"/>
                <w:highlight w:val="none"/>
                <w14:textFill>
                  <w14:solidFill>
                    <w14:schemeClr w14:val="tx1"/>
                  </w14:solidFill>
                </w14:textFill>
              </w:rPr>
              <w:t xml:space="preserve">  危险化学品临界量一览表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259"/>
              <w:gridCol w:w="1281"/>
              <w:gridCol w:w="1260"/>
              <w:gridCol w:w="1166"/>
              <w:gridCol w:w="2523"/>
            </w:tblGrid>
            <w:tr w14:paraId="2ADA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066" w:type="dxa"/>
                  <w:noWrap w:val="0"/>
                  <w:vAlign w:val="center"/>
                </w:tcPr>
                <w:p w14:paraId="6FBDF314">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1259" w:type="dxa"/>
                  <w:noWrap w:val="0"/>
                  <w:vAlign w:val="center"/>
                </w:tcPr>
                <w:p w14:paraId="74818B2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CAS号</w:t>
                  </w:r>
                </w:p>
              </w:tc>
              <w:tc>
                <w:tcPr>
                  <w:tcW w:w="1281" w:type="dxa"/>
                  <w:noWrap w:val="0"/>
                  <w:vAlign w:val="center"/>
                </w:tcPr>
                <w:p w14:paraId="6DDCB4EF">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最大储存量（t）</w:t>
                  </w:r>
                </w:p>
              </w:tc>
              <w:tc>
                <w:tcPr>
                  <w:tcW w:w="1260" w:type="dxa"/>
                  <w:noWrap w:val="0"/>
                  <w:vAlign w:val="center"/>
                </w:tcPr>
                <w:p w14:paraId="211F1E53">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临界量（t）</w:t>
                  </w:r>
                </w:p>
              </w:tc>
              <w:tc>
                <w:tcPr>
                  <w:tcW w:w="1166" w:type="dxa"/>
                  <w:noWrap w:val="0"/>
                  <w:vAlign w:val="center"/>
                </w:tcPr>
                <w:p w14:paraId="1FAD8CD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储存方式</w:t>
                  </w:r>
                </w:p>
              </w:tc>
              <w:tc>
                <w:tcPr>
                  <w:tcW w:w="2523" w:type="dxa"/>
                  <w:noWrap w:val="0"/>
                  <w:vAlign w:val="center"/>
                </w:tcPr>
                <w:p w14:paraId="0B54225B">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分布区域</w:t>
                  </w:r>
                </w:p>
              </w:tc>
            </w:tr>
            <w:tr w14:paraId="3350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66" w:type="dxa"/>
                  <w:noWrap w:val="0"/>
                  <w:vAlign w:val="center"/>
                </w:tcPr>
                <w:p w14:paraId="1ACBC4C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废润滑油</w:t>
                  </w:r>
                </w:p>
              </w:tc>
              <w:tc>
                <w:tcPr>
                  <w:tcW w:w="1259" w:type="dxa"/>
                  <w:noWrap w:val="0"/>
                  <w:vAlign w:val="center"/>
                </w:tcPr>
                <w:p w14:paraId="7445285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8002-05-9</w:t>
                  </w:r>
                </w:p>
              </w:tc>
              <w:tc>
                <w:tcPr>
                  <w:tcW w:w="1281" w:type="dxa"/>
                  <w:noWrap w:val="0"/>
                  <w:vAlign w:val="center"/>
                </w:tcPr>
                <w:p w14:paraId="681158B7">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0.1</w:t>
                  </w:r>
                </w:p>
              </w:tc>
              <w:tc>
                <w:tcPr>
                  <w:tcW w:w="1260" w:type="dxa"/>
                  <w:noWrap w:val="0"/>
                  <w:vAlign w:val="center"/>
                </w:tcPr>
                <w:p w14:paraId="1DB2D54C">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2500</w:t>
                  </w:r>
                </w:p>
              </w:tc>
              <w:tc>
                <w:tcPr>
                  <w:tcW w:w="1166" w:type="dxa"/>
                  <w:noWrap w:val="0"/>
                  <w:vAlign w:val="center"/>
                </w:tcPr>
                <w:p w14:paraId="25D1A84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桶装</w:t>
                  </w:r>
                </w:p>
              </w:tc>
              <w:tc>
                <w:tcPr>
                  <w:tcW w:w="2523" w:type="dxa"/>
                  <w:noWrap w:val="0"/>
                  <w:vAlign w:val="center"/>
                </w:tcPr>
                <w:p w14:paraId="732431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危险废物贮存点</w:t>
                  </w:r>
                </w:p>
              </w:tc>
            </w:tr>
            <w:tr w14:paraId="469B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66" w:type="dxa"/>
                  <w:noWrap w:val="0"/>
                  <w:vAlign w:val="center"/>
                </w:tcPr>
                <w:p w14:paraId="0F22B26E">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w:t>
                  </w:r>
                </w:p>
              </w:tc>
              <w:tc>
                <w:tcPr>
                  <w:tcW w:w="1259" w:type="dxa"/>
                  <w:noWrap w:val="0"/>
                  <w:vAlign w:val="center"/>
                </w:tcPr>
                <w:p w14:paraId="0C68AE6F">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68334-30-5</w:t>
                  </w:r>
                </w:p>
              </w:tc>
              <w:tc>
                <w:tcPr>
                  <w:tcW w:w="1281" w:type="dxa"/>
                  <w:noWrap w:val="0"/>
                  <w:vAlign w:val="center"/>
                </w:tcPr>
                <w:p w14:paraId="47076605">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0.8</w:t>
                  </w:r>
                  <w:r>
                    <w:rPr>
                      <w:rFonts w:hint="eastAsia" w:cs="Times New Roman"/>
                      <w:color w:val="000000" w:themeColor="text1"/>
                      <w:highlight w:val="none"/>
                      <w:lang w:val="en-US" w:eastAsia="zh-CN"/>
                      <w14:textFill>
                        <w14:solidFill>
                          <w14:schemeClr w14:val="tx1"/>
                        </w14:solidFill>
                      </w14:textFill>
                    </w:rPr>
                    <w:t>4</w:t>
                  </w:r>
                </w:p>
              </w:tc>
              <w:tc>
                <w:tcPr>
                  <w:tcW w:w="1260" w:type="dxa"/>
                  <w:noWrap w:val="0"/>
                  <w:vAlign w:val="center"/>
                </w:tcPr>
                <w:p w14:paraId="43AFD02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2500</w:t>
                  </w:r>
                </w:p>
              </w:tc>
              <w:tc>
                <w:tcPr>
                  <w:tcW w:w="1166" w:type="dxa"/>
                  <w:noWrap w:val="0"/>
                  <w:vAlign w:val="center"/>
                </w:tcPr>
                <w:p w14:paraId="610A66B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桶装</w:t>
                  </w:r>
                </w:p>
              </w:tc>
              <w:tc>
                <w:tcPr>
                  <w:tcW w:w="2523" w:type="dxa"/>
                  <w:noWrap w:val="0"/>
                  <w:vAlign w:val="center"/>
                </w:tcPr>
                <w:p w14:paraId="1F293C0B">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柴油储存区</w:t>
                  </w:r>
                </w:p>
              </w:tc>
            </w:tr>
            <w:tr w14:paraId="2FA1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66" w:type="dxa"/>
                  <w:noWrap w:val="0"/>
                  <w:vAlign w:val="center"/>
                </w:tcPr>
                <w:p w14:paraId="44839350">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合计</w:t>
                  </w:r>
                </w:p>
              </w:tc>
              <w:tc>
                <w:tcPr>
                  <w:tcW w:w="1259" w:type="dxa"/>
                  <w:noWrap w:val="0"/>
                  <w:vAlign w:val="center"/>
                </w:tcPr>
                <w:p w14:paraId="7657E066">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281" w:type="dxa"/>
                  <w:noWrap w:val="0"/>
                  <w:vAlign w:val="center"/>
                </w:tcPr>
                <w:p w14:paraId="401CD43A">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260" w:type="dxa"/>
                  <w:noWrap w:val="0"/>
                  <w:vAlign w:val="center"/>
                </w:tcPr>
                <w:p w14:paraId="44C984C4">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0.0003</w:t>
                  </w:r>
                  <w:r>
                    <w:rPr>
                      <w:rFonts w:hint="eastAsia" w:cs="Times New Roman"/>
                      <w:color w:val="000000" w:themeColor="text1"/>
                      <w:highlight w:val="none"/>
                      <w:lang w:val="en-US" w:eastAsia="zh-CN"/>
                      <w14:textFill>
                        <w14:solidFill>
                          <w14:schemeClr w14:val="tx1"/>
                        </w14:solidFill>
                      </w14:textFill>
                    </w:rPr>
                    <w:t>76</w:t>
                  </w:r>
                </w:p>
              </w:tc>
              <w:tc>
                <w:tcPr>
                  <w:tcW w:w="1166" w:type="dxa"/>
                  <w:noWrap w:val="0"/>
                  <w:vAlign w:val="center"/>
                </w:tcPr>
                <w:p w14:paraId="4893AE9D">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523" w:type="dxa"/>
                  <w:noWrap w:val="0"/>
                  <w:vAlign w:val="center"/>
                </w:tcPr>
                <w:p w14:paraId="0C0C35E2">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bl>
          <w:p w14:paraId="073DE84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根据危险物质数量与临界量比值，确定Q=</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0.0003</w:t>
            </w:r>
            <w:r>
              <w:rPr>
                <w:rFonts w:hint="eastAsia" w:cs="Times New Roman"/>
                <w:bCs/>
                <w:color w:val="000000" w:themeColor="text1"/>
                <w:sz w:val="24"/>
                <w:szCs w:val="24"/>
                <w:highlight w:val="none"/>
                <w:lang w:val="en-US" w:eastAsia="zh-CN"/>
                <w14:textFill>
                  <w14:solidFill>
                    <w14:schemeClr w14:val="tx1"/>
                  </w14:solidFill>
                </w14:textFill>
              </w:rPr>
              <w:t>76</w:t>
            </w:r>
            <w:r>
              <w:rPr>
                <w:rFonts w:hint="default" w:ascii="Times New Roman" w:hAnsi="Times New Roman" w:eastAsia="宋体" w:cs="Times New Roman"/>
                <w:bCs/>
                <w:color w:val="000000" w:themeColor="text1"/>
                <w:sz w:val="24"/>
                <w:szCs w:val="24"/>
                <w:highlight w:val="none"/>
                <w14:textFill>
                  <w14:solidFill>
                    <w14:schemeClr w14:val="tx1"/>
                  </w14:solidFill>
                </w14:textFill>
              </w:rPr>
              <w:t>＜1。当Q＜1时，该项目</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环境风险</w:t>
            </w:r>
            <w:r>
              <w:rPr>
                <w:rFonts w:hint="default" w:ascii="Times New Roman" w:hAnsi="Times New Roman" w:eastAsia="宋体" w:cs="Times New Roman"/>
                <w:bCs/>
                <w:color w:val="000000" w:themeColor="text1"/>
                <w:sz w:val="24"/>
                <w:szCs w:val="24"/>
                <w:highlight w:val="none"/>
                <w14:textFill>
                  <w14:solidFill>
                    <w14:schemeClr w14:val="tx1"/>
                  </w14:solidFill>
                </w14:textFill>
              </w:rPr>
              <w:t>潜势为Ⅰ，环境风险评价工作等级为简单分析。</w:t>
            </w:r>
          </w:p>
          <w:p w14:paraId="4E157140">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4.7.4风险防范措施</w:t>
            </w:r>
          </w:p>
          <w:p w14:paraId="23C785D4">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一、柴油贮存区风险防范措施</w:t>
            </w:r>
          </w:p>
          <w:p w14:paraId="03924EDF">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柴油贮存区</w:t>
            </w:r>
            <w:r>
              <w:rPr>
                <w:rFonts w:hint="default" w:ascii="Times New Roman" w:hAnsi="Times New Roman" w:cs="Times New Roman"/>
                <w:color w:val="000000" w:themeColor="text1"/>
                <w:highlight w:val="none"/>
                <w14:textFill>
                  <w14:solidFill>
                    <w14:schemeClr w14:val="tx1"/>
                  </w14:solidFill>
                </w14:textFill>
              </w:rPr>
              <w:t>地面采用硬化处理并设置防渗层，防渗层选用至少2mm厚高密度聚乙烯膜或等效防渗材料，渗透系数≤10</w:t>
            </w:r>
            <w:r>
              <w:rPr>
                <w:rFonts w:hint="default" w:ascii="Times New Roman" w:hAnsi="Times New Roman" w:cs="Times New Roman"/>
                <w:color w:val="000000" w:themeColor="text1"/>
                <w:highlight w:val="none"/>
                <w:vertAlign w:val="super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cm/s</w:t>
            </w:r>
            <w:r>
              <w:rPr>
                <w:rFonts w:hint="eastAsia" w:cs="Times New Roman"/>
                <w:color w:val="000000" w:themeColor="text1"/>
                <w:highlight w:val="none"/>
                <w:lang w:eastAsia="zh-CN"/>
                <w14:textFill>
                  <w14:solidFill>
                    <w14:schemeClr w14:val="tx1"/>
                  </w14:solidFill>
                </w14:textFill>
              </w:rPr>
              <w:t>。柴油储存区四周设置砖混或混凝土围堰，围堰高度不低于0.2m，在围堰内最低处设置事故油收集池（有效容积0.5m³），收集池平时保持空置，仅用于收集泄漏柴油，</w:t>
            </w:r>
            <w:r>
              <w:rPr>
                <w:rFonts w:hint="default" w:ascii="Times New Roman" w:hAnsi="Times New Roman" w:cs="Times New Roman"/>
                <w:color w:val="000000" w:themeColor="text1"/>
                <w:highlight w:val="none"/>
                <w14:textFill>
                  <w14:solidFill>
                    <w14:schemeClr w14:val="tx1"/>
                  </w14:solidFill>
                </w14:textFill>
              </w:rPr>
              <w:t>防止渗漏污染土壤和地下水。</w:t>
            </w:r>
          </w:p>
          <w:p w14:paraId="12FD56D3">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配备防爆型通风设备、照明设施及消防器材（如干粉灭火器、灭火沙、消防毯），</w:t>
            </w:r>
            <w:r>
              <w:rPr>
                <w:rFonts w:hint="eastAsia" w:cs="Times New Roman"/>
                <w:color w:val="000000" w:themeColor="text1"/>
                <w:highlight w:val="none"/>
                <w:lang w:val="en-US" w:eastAsia="zh-CN"/>
                <w14:textFill>
                  <w14:solidFill>
                    <w14:schemeClr w14:val="tx1"/>
                  </w14:solidFill>
                </w14:textFill>
              </w:rPr>
              <w:t>吸油毯等，</w:t>
            </w:r>
            <w:r>
              <w:rPr>
                <w:rFonts w:hint="default" w:ascii="Times New Roman" w:hAnsi="Times New Roman" w:cs="Times New Roman"/>
                <w:color w:val="000000" w:themeColor="text1"/>
                <w:highlight w:val="none"/>
                <w14:textFill>
                  <w14:solidFill>
                    <w14:schemeClr w14:val="tx1"/>
                  </w14:solidFill>
                </w14:textFill>
              </w:rPr>
              <w:t>严禁明火和静电产生，区域内设置明显的</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禁止烟火</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易燃危险</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警示标识。</w:t>
            </w:r>
          </w:p>
          <w:p w14:paraId="0B9C68C6">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建立定期巡检制度，每日检查储罐、阀门、管道有无泄漏，每周检测防渗层完整性，每月对消防设施进行维护保养。</w:t>
            </w:r>
          </w:p>
          <w:p w14:paraId="0A35ADDC">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风险防范措施</w:t>
            </w:r>
          </w:p>
          <w:p w14:paraId="1CCB2588">
            <w:pPr>
              <w:bidi w:val="0"/>
              <w:jc w:val="both"/>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按《危险废物贮存污染控制标准》（GB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18597-2023）建设，面积不小于5m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，设置独立的通风系统和防渗地面。</w:t>
            </w:r>
          </w:p>
          <w:p w14:paraId="50FBD58A">
            <w:pPr>
              <w:bidi w:val="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地面及裙</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脚</w:t>
            </w:r>
            <w:r>
              <w:rPr>
                <w:rFonts w:hint="default" w:ascii="Times New Roman" w:hAnsi="Times New Roman" w:eastAsia="宋体" w:cs="Times New Roman"/>
                <w:color w:val="000000" w:themeColor="text1"/>
                <w:highlight w:val="none"/>
                <w14:textFill>
                  <w14:solidFill>
                    <w14:schemeClr w14:val="tx1"/>
                  </w14:solidFill>
                </w14:textFill>
              </w:rPr>
              <w:t>采用抗渗混凝土浇筑，基础防渗层为1m厚黏土层（渗透系数≤10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cm/s）或2mm厚高密度聚乙烯膜，确保无裂隙、无渗漏。</w:t>
            </w:r>
          </w:p>
          <w:p w14:paraId="3E63B9DF">
            <w:pPr>
              <w:bidi w:val="0"/>
              <w:jc w:val="both"/>
              <w:rPr>
                <w:rFonts w:hint="default"/>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危废贮存库内设置一体式防渗围堰，围堰墙体高度≥150 mm；围堰有效堵截容积≥0.2 m</w:t>
            </w:r>
            <w:r>
              <w:rPr>
                <w:rFonts w:hint="eastAsia"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，满足库内最大废润滑油桶（200 L）全部泄漏的收集容量；库房门洞设置同高度防渗挡水门槛，防止废液外流。库内地面设置≥1%坡度，坡向低位0.2 m</w:t>
            </w:r>
            <w:r>
              <w:rPr>
                <w:rFonts w:hint="eastAsia"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防渗集液坑；沿墙脚设置防渗导流沟，围堰、导流沟、集液坑完整做防渗防腐处理，防渗层满足重点防渗要求。泄漏废液全部收集至密闭危废桶，作为危险废物委托处置，危废库不设置外排废水管道，收集废液严禁外排。</w:t>
            </w:r>
          </w:p>
          <w:p w14:paraId="66E36110">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按废物类别分区存放</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、废防渗膜，设置隔离设施避免不相容废物接触，各类危险废物容器粘贴规范的危险废物标签，注明成分、危害、产生单位等信息。配备防风、防雨、防晒设施</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配备通讯设备、应急防护服装（防化服、防护手套、护目镜）及泄漏应急处理工具（吸附棉、吸油毡、收集桶），设置报警装置。</w:t>
            </w:r>
          </w:p>
          <w:p w14:paraId="5606CCC1">
            <w:pPr>
              <w:numPr>
                <w:ilvl w:val="0"/>
                <w:numId w:val="0"/>
              </w:numPr>
              <w:bidi w:val="0"/>
              <w:ind w:firstLine="480" w:firstLineChars="200"/>
              <w:jc w:val="both"/>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三、</w:t>
            </w:r>
            <w:r>
              <w:rPr>
                <w:rFonts w:hint="eastAsia" w:cs="Times New Roman"/>
                <w:color w:val="000000" w:themeColor="text1"/>
                <w:highlight w:val="none"/>
                <w:lang w:val="en-US" w:eastAsia="zh-CN"/>
                <w14:textFill>
                  <w14:solidFill>
                    <w14:schemeClr w14:val="tx1"/>
                  </w14:solidFill>
                </w14:textFill>
              </w:rPr>
              <w:t>应急物资配备要求</w:t>
            </w:r>
          </w:p>
          <w:p w14:paraId="45DEA952">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柴油储存区、</w:t>
            </w:r>
            <w:r>
              <w:rPr>
                <w:rFonts w:hint="eastAsia"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危险废物贮存点</w:t>
            </w:r>
            <w:r>
              <w:rPr>
                <w:rFonts w:hint="eastAsia" w:ascii="Times New Roman" w:hAnsi="Times New Roman" w:eastAsia="宋体" w:cs="Times New Roman"/>
                <w:snapToGrid w:val="0"/>
                <w:color w:val="000000" w:themeColor="text1"/>
                <w:kern w:val="0"/>
                <w:sz w:val="24"/>
                <w:szCs w:val="24"/>
                <w:highlight w:val="none"/>
                <w:lang w:val="en-US" w:eastAsia="zh-CN" w:bidi="ar-SA"/>
                <w14:textFill>
                  <w14:solidFill>
                    <w14:schemeClr w14:val="tx1"/>
                  </w14:solidFill>
                </w14:textFill>
                <w14:ligatures w14:val="none"/>
              </w:rPr>
              <w:t>分别配置环境应急物资，专物专用，建立应急物资台账，每月检查，过期、损耗及时补充更换。柴油储存区需配备</w:t>
            </w:r>
            <w:r>
              <w:rPr>
                <w:rFonts w:ascii="宋体" w:hAnsi="宋体" w:eastAsia="宋体" w:cs="宋体"/>
                <w:color w:val="000000" w:themeColor="text1"/>
                <w:sz w:val="24"/>
                <w:szCs w:val="24"/>
                <w:highlight w:val="none"/>
                <w14:textFill>
                  <w14:solidFill>
                    <w14:schemeClr w14:val="tx1"/>
                  </w14:solidFill>
                </w14:textFill>
              </w:rPr>
              <w:t>干粉灭火器消防毯</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吸油毡、吸附棉、吸油沙袋</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警示警戒标识；</w:t>
            </w:r>
            <w:r>
              <w:rPr>
                <w:rFonts w:hint="eastAsia" w:ascii="宋体" w:hAnsi="宋体" w:eastAsia="宋体" w:cs="宋体"/>
                <w:color w:val="000000" w:themeColor="text1"/>
                <w:sz w:val="24"/>
                <w:szCs w:val="24"/>
                <w:highlight w:val="none"/>
                <w:lang w:val="en-US" w:eastAsia="zh-CN"/>
                <w14:textFill>
                  <w14:solidFill>
                    <w14:schemeClr w14:val="tx1"/>
                  </w14:solidFill>
                </w14:textFill>
              </w:rPr>
              <w:t>危险废物贮存点配备</w:t>
            </w:r>
            <w:r>
              <w:rPr>
                <w:rFonts w:ascii="宋体" w:hAnsi="宋体" w:eastAsia="宋体" w:cs="宋体"/>
                <w:color w:val="000000" w:themeColor="text1"/>
                <w:sz w:val="24"/>
                <w:szCs w:val="24"/>
                <w:highlight w:val="none"/>
                <w14:textFill>
                  <w14:solidFill>
                    <w14:schemeClr w14:val="tx1"/>
                  </w14:solidFill>
                </w14:textFill>
              </w:rPr>
              <w:t>吸油毡、吸附棉</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密闭耐油收集桶</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警示标识</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1DACDB8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应急物资</w:t>
            </w:r>
            <w:r>
              <w:rPr>
                <w:rFonts w:ascii="宋体" w:hAnsi="宋体" w:eastAsia="宋体" w:cs="宋体"/>
                <w:color w:val="000000" w:themeColor="text1"/>
                <w:sz w:val="24"/>
                <w:szCs w:val="24"/>
                <w:highlight w:val="none"/>
                <w14:textFill>
                  <w14:solidFill>
                    <w14:schemeClr w14:val="tx1"/>
                  </w14:solidFill>
                </w14:textFill>
              </w:rPr>
              <w:t>管理要求：应急物资存放位置张贴标识，明确管理人；严禁挪用；结合高寒环境，物资做好防冻保存；可与伊阿铁路项目部应急物资建立互助联动，保障极端情况下应急补给。</w:t>
            </w:r>
          </w:p>
          <w:p w14:paraId="5CAD58A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14:ligatures w14:val="none"/>
              </w:rPr>
              <w:t>四、</w:t>
            </w:r>
            <w:r>
              <w:rPr>
                <w:rFonts w:hint="eastAsia" w:ascii="宋体" w:hAnsi="宋体" w:eastAsia="宋体" w:cs="宋体"/>
                <w:color w:val="000000" w:themeColor="text1"/>
                <w:sz w:val="24"/>
                <w:szCs w:val="24"/>
                <w:highlight w:val="none"/>
                <w:lang w:val="en-US" w:eastAsia="zh-CN"/>
                <w14:textFill>
                  <w14:solidFill>
                    <w14:schemeClr w14:val="tx1"/>
                  </w14:solidFill>
                </w14:textFill>
              </w:rPr>
              <w:t>突发环境事件应急预案编制及备案要求</w:t>
            </w:r>
          </w:p>
          <w:p w14:paraId="75ADCFE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本项目风险潜势为Ⅰ级，项目投产运行前，建设单位应当开展环境风险评估、应急资源调查，编制本项目突发环境事件应急预案。预案编制完成后组织内部或外部评审，经建设单位主要负责人签署发布</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预案正式发布后20个工作日内，向项目所在地生态环境主管部门完成备案</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17CC030D">
            <w:pPr>
              <w:bidi w:val="0"/>
              <w:jc w:val="both"/>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五</w:t>
            </w:r>
            <w:r>
              <w:rPr>
                <w:rFonts w:hint="default" w:ascii="Times New Roman" w:hAnsi="Times New Roman" w:cs="Times New Roman"/>
                <w:color w:val="000000" w:themeColor="text1"/>
                <w:highlight w:val="none"/>
                <w14:textFill>
                  <w14:solidFill>
                    <w14:schemeClr w14:val="tx1"/>
                  </w14:solidFill>
                </w14:textFill>
              </w:rPr>
              <w:t>、泄漏事故收集措施</w:t>
            </w:r>
          </w:p>
          <w:p w14:paraId="5AAD4372">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（一）柴油泄漏收集</w:t>
            </w:r>
          </w:p>
          <w:p w14:paraId="56EEDA75">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少量泄漏（地面局部渗漏）：立即停止柴油装卸作业，关闭储罐阀门，使用吸附棉、吸油毡覆盖泄漏区域，吸附后装入专用密闭容器，作为危险废物委托有资质单位处置。</w:t>
            </w:r>
          </w:p>
          <w:p w14:paraId="6FDEF5E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大量泄漏（围堰内积聚）：启动应急响应，疏散周边人员，切断区域电源，使用防爆型抽油泵将泄漏柴油抽至备用储罐，残留油污用吸油毡彻底清理，清理后的废物按危险废物管理。</w:t>
            </w:r>
          </w:p>
          <w:p w14:paraId="69E27AA6">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泄漏收集</w:t>
            </w:r>
          </w:p>
          <w:p w14:paraId="044346BA">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泄漏：迅速用吸附棉、吸油毡覆盖泄漏点，防止流淌，用铲子将吸附后的废油及受污染土壤收集至专用耐腐蚀容器中，容器加盖密封并粘贴危险废物标签。</w:t>
            </w:r>
          </w:p>
          <w:p w14:paraId="705F35EE">
            <w:pPr>
              <w:bidi w:val="0"/>
              <w:jc w:val="both"/>
              <w:rPr>
                <w:rFonts w:hint="default" w:ascii="Times New Roman" w:hAnsi="Times New Roman" w:cs="Times New Roman"/>
                <w:color w:val="000000" w:themeColor="text1"/>
                <w:kern w:val="0"/>
                <w:highlight w:val="none"/>
                <w14:textFill>
                  <w14:solidFill>
                    <w14:schemeClr w14:val="tx1"/>
                  </w14:solidFill>
                </w14:textFill>
                <w14:ligatures w14:val="none"/>
              </w:rPr>
            </w:pPr>
            <w:r>
              <w:rPr>
                <w:rFonts w:hint="default" w:ascii="Times New Roman" w:hAnsi="Times New Roman" w:cs="Times New Roman"/>
                <w:color w:val="000000" w:themeColor="text1"/>
                <w:highlight w:val="none"/>
                <w14:textFill>
                  <w14:solidFill>
                    <w14:schemeClr w14:val="tx1"/>
                  </w14:solidFill>
                </w14:textFill>
              </w:rPr>
              <w:t>废防渗膜残留污染物泄漏：及时收集散落的废防渗膜碎片，用专用清洁剂清理受污染地面，清洗废水收集至密闭容器，作为危险废物一同处置，确保无残留污染物渗入地下。</w:t>
            </w:r>
          </w:p>
          <w:p w14:paraId="38726964">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.7-2</w:t>
            </w:r>
            <w:r>
              <w:rPr>
                <w:rFonts w:hint="default" w:ascii="Times New Roman" w:hAnsi="Times New Roman" w:cs="Times New Roman"/>
                <w:color w:val="000000" w:themeColor="text1"/>
                <w:highlight w:val="none"/>
                <w14:textFill>
                  <w14:solidFill>
                    <w14:schemeClr w14:val="tx1"/>
                  </w14:solidFill>
                </w14:textFill>
              </w:rPr>
              <w:t xml:space="preserve">  建设项目环境风险简单分析内容表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820"/>
              <w:gridCol w:w="2382"/>
              <w:gridCol w:w="986"/>
              <w:gridCol w:w="2483"/>
            </w:tblGrid>
            <w:tr w14:paraId="1B5C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tcBorders>
                    <w:tl2br w:val="nil"/>
                    <w:tr2bl w:val="nil"/>
                  </w:tcBorders>
                  <w:vAlign w:val="center"/>
                </w:tcPr>
                <w:p w14:paraId="06FF79F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建设项目名称</w:t>
                  </w:r>
                </w:p>
              </w:tc>
              <w:tc>
                <w:tcPr>
                  <w:tcW w:w="5988" w:type="dxa"/>
                  <w:gridSpan w:val="4"/>
                  <w:tcBorders>
                    <w:tl2br w:val="nil"/>
                    <w:tr2bl w:val="nil"/>
                  </w:tcBorders>
                  <w:vAlign w:val="center"/>
                </w:tcPr>
                <w:p w14:paraId="40534068">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中铁隧道局新建伊阿铁路SⅩ标弃渣固废综合利用项目</w:t>
                  </w:r>
                </w:p>
              </w:tc>
            </w:tr>
            <w:tr w14:paraId="2A47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691" w:type="dxa"/>
                  <w:tcBorders>
                    <w:tl2br w:val="nil"/>
                    <w:tr2bl w:val="nil"/>
                  </w:tcBorders>
                  <w:vAlign w:val="center"/>
                </w:tcPr>
                <w:p w14:paraId="1D812D1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建设地点</w:t>
                  </w:r>
                </w:p>
              </w:tc>
              <w:tc>
                <w:tcPr>
                  <w:tcW w:w="5988" w:type="dxa"/>
                  <w:gridSpan w:val="4"/>
                  <w:tcBorders>
                    <w:tl2br w:val="nil"/>
                    <w:tr2bl w:val="nil"/>
                  </w:tcBorders>
                  <w:vAlign w:val="center"/>
                </w:tcPr>
                <w:p w14:paraId="4FC46898">
                  <w:pPr>
                    <w:pStyle w:val="1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和静县</w:t>
                  </w:r>
                </w:p>
              </w:tc>
            </w:tr>
            <w:tr w14:paraId="5B6C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tcBorders>
                    <w:tl2br w:val="nil"/>
                    <w:tr2bl w:val="nil"/>
                  </w:tcBorders>
                  <w:vAlign w:val="center"/>
                </w:tcPr>
                <w:p w14:paraId="39C9178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地理坐标</w:t>
                  </w:r>
                </w:p>
              </w:tc>
              <w:tc>
                <w:tcPr>
                  <w:tcW w:w="736" w:type="dxa"/>
                  <w:tcBorders>
                    <w:tl2br w:val="nil"/>
                    <w:tr2bl w:val="nil"/>
                  </w:tcBorders>
                  <w:vAlign w:val="center"/>
                </w:tcPr>
                <w:p w14:paraId="298A00D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经度</w:t>
                  </w:r>
                </w:p>
              </w:tc>
              <w:tc>
                <w:tcPr>
                  <w:tcW w:w="2138" w:type="dxa"/>
                  <w:tcBorders>
                    <w:tl2br w:val="nil"/>
                    <w:tr2bl w:val="nil"/>
                  </w:tcBorders>
                  <w:vAlign w:val="center"/>
                </w:tcPr>
                <w:p w14:paraId="679BD36F">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885" w:type="dxa"/>
                  <w:tcBorders>
                    <w:tl2br w:val="nil"/>
                    <w:tr2bl w:val="nil"/>
                  </w:tcBorders>
                  <w:vAlign w:val="center"/>
                </w:tcPr>
                <w:p w14:paraId="469C4ADE">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纬度</w:t>
                  </w:r>
                </w:p>
              </w:tc>
              <w:tc>
                <w:tcPr>
                  <w:tcW w:w="2229" w:type="dxa"/>
                  <w:tcBorders>
                    <w:tl2br w:val="nil"/>
                    <w:tr2bl w:val="nil"/>
                  </w:tcBorders>
                  <w:vAlign w:val="center"/>
                </w:tcPr>
                <w:p w14:paraId="320BA8CD">
                  <w:pPr>
                    <w:pStyle w:val="16"/>
                    <w:bidi w:val="0"/>
                    <w:rPr>
                      <w:rFonts w:hint="default" w:ascii="Times New Roman" w:hAnsi="Times New Roman" w:cs="Times New Roman"/>
                      <w:color w:val="000000" w:themeColor="text1"/>
                      <w:highlight w:val="none"/>
                      <w14:textFill>
                        <w14:solidFill>
                          <w14:schemeClr w14:val="tx1"/>
                        </w14:solidFill>
                      </w14:textFill>
                    </w:rPr>
                  </w:pPr>
                </w:p>
              </w:tc>
            </w:tr>
            <w:tr w14:paraId="6A1F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tcBorders>
                    <w:tl2br w:val="nil"/>
                    <w:tr2bl w:val="nil"/>
                  </w:tcBorders>
                  <w:vAlign w:val="center"/>
                </w:tcPr>
                <w:p w14:paraId="721B145D">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主要危险物质及分布</w:t>
                  </w:r>
                </w:p>
              </w:tc>
              <w:tc>
                <w:tcPr>
                  <w:tcW w:w="5988" w:type="dxa"/>
                  <w:gridSpan w:val="4"/>
                  <w:tcBorders>
                    <w:tl2br w:val="nil"/>
                    <w:tr2bl w:val="nil"/>
                  </w:tcBorders>
                  <w:vAlign w:val="center"/>
                </w:tcPr>
                <w:p w14:paraId="2B5A1029">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本项目主要危险物质为</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储存在</w:t>
                  </w:r>
                  <w:r>
                    <w:rPr>
                      <w:rFonts w:hint="eastAsia" w:cs="Times New Roman"/>
                      <w:color w:val="000000" w:themeColor="text1"/>
                      <w:highlight w:val="none"/>
                      <w:lang w:eastAsia="zh-CN"/>
                      <w14:textFill>
                        <w14:solidFill>
                          <w14:schemeClr w14:val="tx1"/>
                        </w14:solidFill>
                      </w14:textFill>
                    </w:rPr>
                    <w:t>危险废物贮存点</w:t>
                  </w:r>
                  <w:r>
                    <w:rPr>
                      <w:rFonts w:hint="default" w:ascii="Times New Roman" w:hAnsi="Times New Roman" w:cs="Times New Roman"/>
                      <w:color w:val="000000" w:themeColor="text1"/>
                      <w:highlight w:val="none"/>
                      <w14:textFill>
                        <w14:solidFill>
                          <w14:schemeClr w14:val="tx1"/>
                        </w14:solidFill>
                      </w14:textFill>
                    </w:rPr>
                    <w:t>内</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柴油储存在柴油储存区</w:t>
                  </w:r>
                  <w:r>
                    <w:rPr>
                      <w:rFonts w:hint="default" w:ascii="Times New Roman" w:hAnsi="Times New Roman" w:cs="Times New Roman"/>
                      <w:color w:val="000000" w:themeColor="text1"/>
                      <w:highlight w:val="none"/>
                      <w14:textFill>
                        <w14:solidFill>
                          <w14:schemeClr w14:val="tx1"/>
                        </w14:solidFill>
                      </w14:textFill>
                    </w:rPr>
                    <w:t>。</w:t>
                  </w:r>
                </w:p>
              </w:tc>
            </w:tr>
            <w:tr w14:paraId="1156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tcBorders>
                    <w:tl2br w:val="nil"/>
                    <w:tr2bl w:val="nil"/>
                  </w:tcBorders>
                  <w:vAlign w:val="center"/>
                </w:tcPr>
                <w:p w14:paraId="5A9D8155">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环境影响途径及危害后果（大气、地表水、地下水等）</w:t>
                  </w:r>
                </w:p>
              </w:tc>
              <w:tc>
                <w:tcPr>
                  <w:tcW w:w="5988" w:type="dxa"/>
                  <w:gridSpan w:val="4"/>
                  <w:tcBorders>
                    <w:tl2br w:val="nil"/>
                    <w:tr2bl w:val="nil"/>
                  </w:tcBorders>
                  <w:vAlign w:val="center"/>
                </w:tcPr>
                <w:p w14:paraId="5CAC8B40">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lang w:val="en-US" w:eastAsia="zh-CN"/>
                      <w14:textFill>
                        <w14:solidFill>
                          <w14:schemeClr w14:val="tx1"/>
                        </w14:solidFill>
                      </w14:textFill>
                    </w:rPr>
                    <w:t>柴油</w:t>
                  </w:r>
                  <w:r>
                    <w:rPr>
                      <w:rFonts w:hint="default" w:ascii="Times New Roman" w:hAnsi="Times New Roman" w:cs="Times New Roman"/>
                      <w:color w:val="000000" w:themeColor="text1"/>
                      <w:highlight w:val="none"/>
                      <w:lang w:eastAsia="zh-CN"/>
                      <w14:textFill>
                        <w14:solidFill>
                          <w14:schemeClr w14:val="tx1"/>
                        </w14:solidFill>
                      </w14:textFill>
                    </w:rPr>
                    <w:t>泄漏</w:t>
                  </w:r>
                  <w:r>
                    <w:rPr>
                      <w:rFonts w:hint="default" w:ascii="Times New Roman" w:hAnsi="Times New Roman" w:cs="Times New Roman"/>
                      <w:color w:val="000000" w:themeColor="text1"/>
                      <w:highlight w:val="none"/>
                      <w14:textFill>
                        <w14:solidFill>
                          <w14:schemeClr w14:val="tx1"/>
                        </w14:solidFill>
                      </w14:textFill>
                    </w:rPr>
                    <w:t>对周边土壤、地下水环境造成影响</w:t>
                  </w:r>
                </w:p>
              </w:tc>
            </w:tr>
            <w:tr w14:paraId="2006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tcBorders>
                    <w:tl2br w:val="nil"/>
                    <w:tr2bl w:val="nil"/>
                  </w:tcBorders>
                  <w:vAlign w:val="center"/>
                </w:tcPr>
                <w:p w14:paraId="5A3FCB1C">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风险防范措施要求</w:t>
                  </w:r>
                </w:p>
              </w:tc>
              <w:tc>
                <w:tcPr>
                  <w:tcW w:w="5988" w:type="dxa"/>
                  <w:gridSpan w:val="4"/>
                  <w:tcBorders>
                    <w:tl2br w:val="nil"/>
                    <w:tr2bl w:val="nil"/>
                  </w:tcBorders>
                  <w:vAlign w:val="center"/>
                </w:tcPr>
                <w:p w14:paraId="0B8EF473">
                  <w:pPr>
                    <w:pStyle w:val="16"/>
                    <w:bidi w:val="0"/>
                    <w:jc w:val="left"/>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highlight w:val="none"/>
                      <w14:textFill>
                        <w14:solidFill>
                          <w14:schemeClr w14:val="tx1"/>
                        </w14:solidFill>
                      </w14:textFill>
                    </w:rPr>
                    <w:t>严格执行安全生产各项制度；</w:t>
                  </w:r>
                </w:p>
                <w:p w14:paraId="24BB7C55">
                  <w:pPr>
                    <w:pStyle w:val="16"/>
                    <w:bidi w:val="0"/>
                    <w:jc w:val="left"/>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2.柴油储存区地面采取防渗措施，</w:t>
                  </w:r>
                  <w:r>
                    <w:rPr>
                      <w:rFonts w:hint="default" w:ascii="Times New Roman" w:hAnsi="Times New Roman" w:eastAsia="宋体" w:cs="Times New Roman"/>
                      <w:color w:val="000000" w:themeColor="text1"/>
                      <w:highlight w:val="none"/>
                      <w14:textFill>
                        <w14:solidFill>
                          <w14:schemeClr w14:val="tx1"/>
                        </w14:solidFill>
                      </w14:textFill>
                    </w:rPr>
                    <w:t>配备防爆型通风设备、照明设施及消防器材（如干粉灭火器、灭火沙、消防毯），吸油毯等，严禁明火和静电产生，区域内设置明显的“禁止烟火”“易燃危险”警示标识。建立定期巡检制度，每日检查</w:t>
                  </w:r>
                  <w:r>
                    <w:rPr>
                      <w:rFonts w:hint="eastAsia" w:cs="Times New Roman"/>
                      <w:color w:val="000000" w:themeColor="text1"/>
                      <w:highlight w:val="none"/>
                      <w:lang w:val="en-US" w:eastAsia="zh-CN"/>
                      <w14:textFill>
                        <w14:solidFill>
                          <w14:schemeClr w14:val="tx1"/>
                        </w14:solidFill>
                      </w14:textFill>
                    </w:rPr>
                    <w:t>柴油罐</w:t>
                  </w:r>
                  <w:r>
                    <w:rPr>
                      <w:rFonts w:hint="default" w:ascii="Times New Roman" w:hAnsi="Times New Roman" w:eastAsia="宋体" w:cs="Times New Roman"/>
                      <w:color w:val="000000" w:themeColor="text1"/>
                      <w:highlight w:val="none"/>
                      <w14:textFill>
                        <w14:solidFill>
                          <w14:schemeClr w14:val="tx1"/>
                        </w14:solidFill>
                      </w14:textFill>
                    </w:rPr>
                    <w:t>有无泄漏，每周检测防渗层完整性，每月对消防设施进行维护保养。；</w:t>
                  </w:r>
                </w:p>
                <w:p w14:paraId="0B6FA3BF">
                  <w:pPr>
                    <w:pStyle w:val="16"/>
                    <w:bidi w:val="0"/>
                    <w:jc w:val="left"/>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3.危险废物贮存点</w:t>
                  </w:r>
                  <w:r>
                    <w:rPr>
                      <w:rFonts w:hint="default" w:ascii="Times New Roman" w:hAnsi="Times New Roman" w:cs="Times New Roman"/>
                      <w:color w:val="000000" w:themeColor="text1"/>
                      <w:highlight w:val="none"/>
                      <w14:textFill>
                        <w14:solidFill>
                          <w14:schemeClr w14:val="tx1"/>
                        </w14:solidFill>
                      </w14:textFill>
                    </w:rPr>
                    <w:t>按《危险废物贮存污染控制标准》（GB</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18597-2023）建设</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按废物类别分区存放</w:t>
                  </w:r>
                  <w:r>
                    <w:rPr>
                      <w:rFonts w:hint="default" w:ascii="Times New Roman" w:hAnsi="Times New Roman" w:cs="Times New Roman"/>
                      <w:color w:val="000000" w:themeColor="text1"/>
                      <w:highlight w:val="none"/>
                      <w:lang w:eastAsia="zh-CN"/>
                      <w14:textFill>
                        <w14:solidFill>
                          <w14:schemeClr w14:val="tx1"/>
                        </w14:solidFill>
                      </w14:textFill>
                    </w:rPr>
                    <w:t>废润滑油</w:t>
                  </w:r>
                  <w:r>
                    <w:rPr>
                      <w:rFonts w:hint="default" w:ascii="Times New Roman" w:hAnsi="Times New Roman" w:cs="Times New Roman"/>
                      <w:color w:val="000000" w:themeColor="text1"/>
                      <w:highlight w:val="none"/>
                      <w14:textFill>
                        <w14:solidFill>
                          <w14:schemeClr w14:val="tx1"/>
                        </w14:solidFill>
                      </w14:textFill>
                    </w:rPr>
                    <w:t>、废防渗膜，设置隔离设施避免不相容废物接触，各类危险废物容器粘贴规范的危险废物标签，注明成分、危害、产生单位等信息。配备防风、防雨、防晒设施</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配备通讯设备、应急防护服装（防化服、防护手套、护目镜）及泄漏应急处理工具（吸附棉、吸油毡、收集桶），设置报警装置。</w:t>
                  </w:r>
                </w:p>
                <w:p w14:paraId="720BE81F">
                  <w:pPr>
                    <w:pStyle w:val="16"/>
                    <w:bidi w:val="0"/>
                    <w:jc w:val="left"/>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4.日常进行检查，确保不发生故障。</w:t>
                  </w:r>
                </w:p>
              </w:tc>
            </w:tr>
            <w:tr w14:paraId="2428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691" w:type="dxa"/>
                  <w:tcBorders>
                    <w:tl2br w:val="nil"/>
                    <w:tr2bl w:val="nil"/>
                  </w:tcBorders>
                  <w:vAlign w:val="center"/>
                </w:tcPr>
                <w:p w14:paraId="18D99871">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填表说明</w:t>
                  </w:r>
                </w:p>
              </w:tc>
              <w:tc>
                <w:tcPr>
                  <w:tcW w:w="5988" w:type="dxa"/>
                  <w:gridSpan w:val="4"/>
                  <w:tcBorders>
                    <w:tl2br w:val="nil"/>
                    <w:tr2bl w:val="nil"/>
                  </w:tcBorders>
                  <w:vAlign w:val="center"/>
                </w:tcPr>
                <w:p w14:paraId="4DE2F6D6">
                  <w:pPr>
                    <w:pStyle w:val="16"/>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bl>
          <w:p w14:paraId="5EF0BB07">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Times New Roman" w:hAnsi="Times New Roman" w:cs="Times New Roman"/>
                <w:color w:val="000000" w:themeColor="text1"/>
                <w:highlight w:val="none"/>
                <w:lang w:val="en-US" w:eastAsia="zh-CN"/>
                <w14:textFill>
                  <w14:solidFill>
                    <w14:schemeClr w14:val="tx1"/>
                  </w14:solidFill>
                </w14:textFill>
              </w:rPr>
              <w:t>8水土保持防治</w:t>
            </w:r>
            <w:r>
              <w:rPr>
                <w:rFonts w:hint="default" w:ascii="Times New Roman" w:hAnsi="Times New Roman" w:cs="Times New Roman"/>
                <w:color w:val="000000" w:themeColor="text1"/>
                <w:highlight w:val="none"/>
                <w:lang w:val="en-US" w:eastAsia="zh-CN"/>
                <w14:textFill>
                  <w14:solidFill>
                    <w14:schemeClr w14:val="tx1"/>
                  </w14:solidFill>
                </w14:textFill>
              </w:rPr>
              <w:t>措施</w:t>
            </w:r>
          </w:p>
          <w:p w14:paraId="5DE1E719">
            <w:pPr>
              <w:pStyle w:val="3"/>
              <w:keepNext/>
              <w:keepLines w:val="0"/>
              <w:pageBreakBefore w:val="0"/>
              <w:widowControl w:val="0"/>
              <w:kinsoku/>
              <w:wordWrap/>
              <w:overflowPunct w:val="0"/>
              <w:topLinePunct w:val="0"/>
              <w:autoSpaceDE w:val="0"/>
              <w:autoSpaceDN w:val="0"/>
              <w:bidi w:val="0"/>
              <w:adjustRightInd w:val="0"/>
              <w:snapToGrid w:val="0"/>
              <w:ind w:firstLine="480" w:firstLineChars="200"/>
              <w:jc w:val="both"/>
              <w:textAlignment w:val="auto"/>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（一）项目属于水土保持方案判定及与伊阿铁路弃渣场水土保持防治责任衔接</w:t>
            </w:r>
          </w:p>
          <w:p w14:paraId="0FAA1C36">
            <w:pPr>
              <w:pStyle w:val="3"/>
              <w:keepNext/>
              <w:keepLines w:val="0"/>
              <w:pageBreakBefore w:val="0"/>
              <w:widowControl w:val="0"/>
              <w:kinsoku/>
              <w:wordWrap/>
              <w:overflowPunct w:val="0"/>
              <w:topLinePunct w:val="0"/>
              <w:autoSpaceDE w:val="0"/>
              <w:autoSpaceDN w:val="0"/>
              <w:bidi w:val="0"/>
              <w:adjustRightInd w:val="0"/>
              <w:snapToGrid w:val="0"/>
              <w:ind w:firstLine="480" w:firstLineChars="200"/>
              <w:jc w:val="both"/>
              <w:textAlignment w:val="auto"/>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lang w:val="en-US" w:eastAsia="zh-CN"/>
                <w14:textFill>
                  <w14:solidFill>
                    <w14:schemeClr w14:val="tx1"/>
                  </w14:solidFill>
                </w14:textFill>
              </w:rPr>
              <w:t>本项目为伊阿铁路配套弃渣综合利用项目，本项目加工设施扰动占地面积4189 m</w:t>
            </w:r>
            <w:r>
              <w:rPr>
                <w:rFonts w:hint="eastAsia" w:cs="Times New Roman"/>
                <w:b w:val="0"/>
                <w:bCs w:val="0"/>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（0.4189 hm</w:t>
            </w:r>
            <w:r>
              <w:rPr>
                <w:rFonts w:hint="eastAsia" w:cs="Times New Roman"/>
                <w:b w:val="0"/>
                <w:bCs w:val="0"/>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，小于0.5 hm</w:t>
            </w:r>
            <w:r>
              <w:rPr>
                <w:rFonts w:hint="eastAsia" w:cs="Times New Roman"/>
                <w:b w:val="0"/>
                <w:bCs w:val="0"/>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）；仅少量设备基础开挖，项目本身挖填土石方总量小于1000 m</w:t>
            </w:r>
            <w:r>
              <w:rPr>
                <w:rFonts w:hint="eastAsia" w:cs="Times New Roman"/>
                <w:b w:val="0"/>
                <w:bCs w:val="0"/>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原料为弃渣场内既有堆存隧道弃渣，不属于本项目新产生土石方。依据《生产建设项目水土保持方案管理办法》（水利部令第53号）第七条：征占地面积不足0.5公顷并且挖填土石方总量不足1000立方米的生产建设项目，不需要编制水土保持方案，但应当按照水土保持有关技术标准做好水土流失防治工作。因此本项目无需单独编制水土保持报告表，但建设单位必须落实各项水土保持防治措施，做好水土流失预防治理。</w:t>
            </w:r>
          </w:p>
          <w:p w14:paraId="189E4E40">
            <w:pPr>
              <w:pStyle w:val="3"/>
              <w:bidi w:val="0"/>
              <w:ind w:firstLine="480" w:firstLineChars="200"/>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lang w:val="en-US" w:eastAsia="zh-CN"/>
                <w14:textFill>
                  <w14:solidFill>
                    <w14:schemeClr w14:val="tx1"/>
                  </w14:solidFill>
                </w14:textFill>
              </w:rPr>
              <w:t>本项目利用的弃渣场属于新建伊阿铁路主体工程配套弃渣场，已纳入《新建铁路伊宁至阿克苏线环境影响报告书》及铁路主体工程水土保持方案内，不属于本项目新增水土保持责任范围。本项目仅承担加工设施建设、生产活动新增扰动范围（4189 m²加工区）的水土保持防治责任；弃渣场大范围渣体堆存、渣场边坡整体稳定、渣场大范围植被恢复等仍由伊阿铁路主体工程水土保持责任体系负责。</w:t>
            </w:r>
          </w:p>
          <w:p w14:paraId="67940081">
            <w:pPr>
              <w:numPr>
                <w:ilvl w:val="0"/>
                <w:numId w:val="0"/>
              </w:numPr>
              <w:ind w:left="0" w:leftChars="0" w:firstLine="480" w:firstLineChars="200"/>
              <w:rPr>
                <w:rFonts w:hint="eastAsia"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4"/>
                <w:szCs w:val="24"/>
                <w:lang w:val="en-US" w:eastAsia="zh-CN" w:bidi="ar-SA"/>
                <w14:textFill>
                  <w14:solidFill>
                    <w14:schemeClr w14:val="tx1"/>
                  </w14:solidFill>
                </w14:textFill>
                <w14:ligatures w14:val="none"/>
              </w:rPr>
              <w:t>（</w:t>
            </w:r>
            <w:r>
              <w:rPr>
                <w:rFonts w:hint="eastAsia" w:cs="Times New Roman"/>
                <w:b w:val="0"/>
                <w:bCs w:val="0"/>
                <w:snapToGrid w:val="0"/>
                <w:color w:val="000000" w:themeColor="text1"/>
                <w:kern w:val="0"/>
                <w:sz w:val="24"/>
                <w:szCs w:val="24"/>
                <w:lang w:val="en-US" w:eastAsia="zh-CN" w:bidi="ar-SA"/>
                <w14:textFill>
                  <w14:solidFill>
                    <w14:schemeClr w14:val="tx1"/>
                  </w14:solidFill>
                </w14:textFill>
                <w14:ligatures w14:val="none"/>
              </w:rPr>
              <w:t>二</w:t>
            </w:r>
            <w:r>
              <w:rPr>
                <w:rFonts w:hint="eastAsia" w:ascii="Times New Roman" w:hAnsi="Times New Roman" w:eastAsia="宋体" w:cs="Times New Roman"/>
                <w:b w:val="0"/>
                <w:bCs w:val="0"/>
                <w:snapToGrid w:val="0"/>
                <w:color w:val="000000" w:themeColor="text1"/>
                <w:kern w:val="0"/>
                <w:sz w:val="24"/>
                <w:szCs w:val="24"/>
                <w:lang w:val="en-US" w:eastAsia="zh-CN" w:bidi="ar-SA"/>
                <w14:textFill>
                  <w14:solidFill>
                    <w14:schemeClr w14:val="tx1"/>
                  </w14:solidFill>
                </w14:textFill>
                <w14:ligatures w14:val="none"/>
              </w:rPr>
              <w:t>）</w:t>
            </w:r>
            <w:r>
              <w:rPr>
                <w:rFonts w:hint="eastAsia" w:cs="Times New Roman"/>
                <w:b w:val="0"/>
                <w:bCs w:val="0"/>
                <w:color w:val="000000" w:themeColor="text1"/>
                <w:highlight w:val="none"/>
                <w:lang w:val="en-US" w:eastAsia="zh-CN"/>
                <w14:textFill>
                  <w14:solidFill>
                    <w14:schemeClr w14:val="tx1"/>
                  </w14:solidFill>
                </w14:textFill>
              </w:rPr>
              <w:t>本项目水土流失防治措施</w:t>
            </w:r>
          </w:p>
          <w:p w14:paraId="3B9FCCBE">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1.加工区施工前剥离表层草甸表土，集中堆存于指定区域，堆土周边设置简易临时拦挡，表面采用防尘网全覆盖防护，严禁表土与弃渣、建筑垃圾混杂，表土全部留存用于后期植被恢复，不得作为回填填料。</w:t>
            </w:r>
          </w:p>
          <w:p w14:paraId="6398258B">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2.设备基础少量开挖产生的土石方场内平衡处置，不向外随意倾倒；避开强降雨时段开展土方作业，减少水力侵蚀。</w:t>
            </w:r>
          </w:p>
          <w:p w14:paraId="5792E4EF">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3.原料、成品密闭堆存，厂区道路定期洒水降尘，减少风力侵蚀；除尘灰暂存于弃渣场，服务期满后用于场地平整，不在场地随意露天堆放。</w:t>
            </w:r>
          </w:p>
          <w:p w14:paraId="2BEDDDD5">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480" w:firstLineChars="200"/>
              <w:jc w:val="left"/>
              <w:textAlignment w:val="auto"/>
              <w:rPr>
                <w:rFonts w:hint="default"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pPr>
            <w:r>
              <w:rPr>
                <w:rFonts w:hint="eastAsia" w:ascii="Times New Roman" w:hAnsi="Times New Roman" w:eastAsia="宋体" w:cs="Times New Roman"/>
                <w:b w:val="0"/>
                <w:bCs w:val="0"/>
                <w:snapToGrid w:val="0"/>
                <w:color w:val="000000" w:themeColor="text1"/>
                <w:kern w:val="44"/>
                <w:sz w:val="24"/>
                <w:szCs w:val="30"/>
                <w:highlight w:val="none"/>
                <w:lang w:val="en-US" w:eastAsia="zh-CN" w:bidi="ar-SA"/>
                <w14:textFill>
                  <w14:solidFill>
                    <w14:schemeClr w14:val="tx1"/>
                  </w14:solidFill>
                </w14:textFill>
                <w14:ligatures w14:val="none"/>
              </w:rPr>
              <w:t>4.维护厂区内临时排水沟畅通，严禁废渣、石粉堵塞排水通道，不得侵占弃渣场原有截排水、排洪设施。</w:t>
            </w:r>
          </w:p>
          <w:p w14:paraId="05C39015">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服务期满后的生态恢复措施</w:t>
            </w:r>
          </w:p>
          <w:p w14:paraId="25D04622">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服务期满后，拆除临时建构筑物，回覆原剥离草地表土，采用乡土草种混播恢复草地；落实后期抚育管护，开展生态监测，实现原地类草地功能恢复，与区域自然生态相协调。本项目为铁路配套临时加工项目，服务期满，本项目仅对自身建设生产新增扰动的4189 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加工设施占地范围实施生态恢复；整个弃渣场总占地63327 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的生态恢复属于新建伊阿铁路主体工程环评及水土保持责任范畴，不由本项目承担。</w:t>
            </w:r>
          </w:p>
          <w:p w14:paraId="65084BB5">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一、土壤重构与改良</w:t>
            </w:r>
          </w:p>
          <w:p w14:paraId="60DB036A">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优先回覆原草地表土；草地恢复覆土厚度不小于20‑30cm，土层厚度不足时采取客土回填。覆土完成后适度翻耕，破碎土块，清除石块，改善土壤通透性。</w:t>
            </w:r>
          </w:p>
          <w:p w14:paraId="59E13F1A">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二、植被恢复措施</w:t>
            </w:r>
          </w:p>
          <w:p w14:paraId="1F96907B">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原则：优先选用本地乡土草种，模拟原生草地群落，不盲目引入外来物种，尽量恢复原有草地类型。</w:t>
            </w:r>
          </w:p>
          <w:p w14:paraId="174B1894">
            <w:pP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草种来源：优先从和静县本地林草部门采购经检疫合格的乡土草种，严禁引入外来入侵种。草种以紫花针茅、扁穗冰草、委陵菜为主。</w:t>
            </w:r>
          </w:p>
          <w:p w14:paraId="52490D2A">
            <w:pPr>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播种量：因项目区属于高寒草甸，项目区降水少、蒸发大，故草种应适当增加，每亩地播撒草种量2.5kg，深翻整地后人工撒播。</w:t>
            </w:r>
          </w:p>
          <w:p w14:paraId="34B0A849">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灌溉方式：</w:t>
            </w:r>
            <w:r>
              <w:rPr>
                <w:rFonts w:hint="default" w:ascii="Times New Roman" w:hAnsi="Times New Roman" w:cs="Times New Roman"/>
                <w:color w:val="000000" w:themeColor="text1"/>
                <w:highlight w:val="none"/>
                <w:lang w:val="en-US" w:eastAsia="zh-CN"/>
                <w14:textFill>
                  <w14:solidFill>
                    <w14:schemeClr w14:val="tx1"/>
                  </w14:solidFill>
                </w14:textFill>
              </w:rPr>
              <w:t>播种选适宜季节（雨季前最佳），提高出苗率</w:t>
            </w:r>
            <w:r>
              <w:rPr>
                <w:rFonts w:hint="eastAsia" w:cs="Times New Roman"/>
                <w:color w:val="000000" w:themeColor="text1"/>
                <w:highlight w:val="none"/>
                <w:lang w:val="en-US" w:eastAsia="zh-CN"/>
                <w14:textFill>
                  <w14:solidFill>
                    <w14:schemeClr w14:val="tx1"/>
                  </w14:solidFill>
                </w14:textFill>
              </w:rPr>
              <w:t>。播种后，</w:t>
            </w:r>
            <w:r>
              <w:rPr>
                <w:rFonts w:hint="default" w:ascii="Times New Roman" w:hAnsi="Times New Roman" w:cs="Times New Roman"/>
                <w:color w:val="000000" w:themeColor="text1"/>
                <w:highlight w:val="none"/>
                <w:lang w:val="en-US" w:eastAsia="zh-CN"/>
                <w14:textFill>
                  <w14:solidFill>
                    <w14:schemeClr w14:val="tx1"/>
                  </w14:solidFill>
                </w14:textFill>
              </w:rPr>
              <w:t>利用项目现有20m</w:t>
            </w:r>
            <w:r>
              <w:rPr>
                <w:rFonts w:hint="eastAsia"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水车</w:t>
            </w:r>
            <w:r>
              <w:rPr>
                <w:rFonts w:hint="eastAsia" w:cs="Times New Roman"/>
                <w:color w:val="000000" w:themeColor="text1"/>
                <w:highlight w:val="none"/>
                <w:lang w:val="en-US" w:eastAsia="zh-CN"/>
                <w14:textFill>
                  <w14:solidFill>
                    <w14:schemeClr w14:val="tx1"/>
                  </w14:solidFill>
                </w14:textFill>
              </w:rPr>
              <w:t>拉水灌溉，待草籽发芽定根后，逐渐减少洒水次数，依靠雨水，最终过渡到自然生长。</w:t>
            </w:r>
          </w:p>
          <w:p w14:paraId="0CA290F6">
            <w:pPr>
              <w:numPr>
                <w:ilvl w:val="0"/>
                <w:numId w:val="0"/>
              </w:numPr>
              <w:ind w:firstLine="480" w:firstLineChars="200"/>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14:ligatures w14:val="none"/>
              </w:rPr>
              <w:t>三、</w:t>
            </w:r>
            <w:r>
              <w:rPr>
                <w:rFonts w:hint="eastAsia" w:cs="Times New Roman"/>
                <w:color w:val="000000" w:themeColor="text1"/>
                <w:highlight w:val="none"/>
                <w:lang w:val="en-US" w:eastAsia="zh-CN"/>
                <w14:textFill>
                  <w14:solidFill>
                    <w14:schemeClr w14:val="tx1"/>
                  </w14:solidFill>
                </w14:textFill>
              </w:rPr>
              <w:t>验收指标</w:t>
            </w:r>
          </w:p>
          <w:p w14:paraId="7D41B792">
            <w:pPr>
              <w:numPr>
                <w:ilvl w:val="0"/>
                <w:numId w:val="0"/>
              </w:numPr>
              <w:jc w:val="center"/>
              <w:rPr>
                <w:rFonts w:hint="default"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snapToGrid w:val="0"/>
                <w:color w:val="000000" w:themeColor="text1"/>
                <w:kern w:val="0"/>
                <w:sz w:val="21"/>
                <w:szCs w:val="21"/>
                <w:highlight w:val="none"/>
                <w:lang w:val="en-US" w:eastAsia="zh-CN" w:bidi="ar-SA"/>
                <w14:textFill>
                  <w14:solidFill>
                    <w14:schemeClr w14:val="tx1"/>
                  </w14:solidFill>
                </w14:textFill>
                <w14:ligatures w14:val="none"/>
              </w:rPr>
              <w:t>表4.</w:t>
            </w:r>
            <w:r>
              <w:rPr>
                <w:rFonts w:hint="eastAsia" w:cs="Times New Roman"/>
                <w:b/>
                <w:snapToGrid w:val="0"/>
                <w:color w:val="000000" w:themeColor="text1"/>
                <w:kern w:val="0"/>
                <w:sz w:val="21"/>
                <w:szCs w:val="21"/>
                <w:highlight w:val="none"/>
                <w:lang w:val="en-US" w:eastAsia="zh-CN" w:bidi="ar-SA"/>
                <w14:textFill>
                  <w14:solidFill>
                    <w14:schemeClr w14:val="tx1"/>
                  </w14:solidFill>
                </w14:textFill>
                <w14:ligatures w14:val="none"/>
              </w:rPr>
              <w:t>9</w:t>
            </w:r>
            <w:r>
              <w:rPr>
                <w:rFonts w:hint="eastAsia" w:ascii="Times New Roman" w:hAnsi="Times New Roman" w:eastAsia="宋体" w:cs="Times New Roman"/>
                <w:b/>
                <w:snapToGrid w:val="0"/>
                <w:color w:val="000000" w:themeColor="text1"/>
                <w:kern w:val="0"/>
                <w:sz w:val="21"/>
                <w:szCs w:val="21"/>
                <w:highlight w:val="none"/>
                <w:lang w:val="en-US" w:eastAsia="zh-CN" w:bidi="ar-SA"/>
                <w14:textFill>
                  <w14:solidFill>
                    <w14:schemeClr w14:val="tx1"/>
                  </w14:solidFill>
                </w14:textFill>
                <w14:ligatures w14:val="none"/>
              </w:rPr>
              <w:t>-1   验收指标一览表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252"/>
              <w:gridCol w:w="6303"/>
            </w:tblGrid>
            <w:tr w14:paraId="77E5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jc w:val="center"/>
              </w:trPr>
              <w:tc>
                <w:tcPr>
                  <w:tcW w:w="2252" w:type="dxa"/>
                  <w:tcBorders>
                    <w:tl2br w:val="nil"/>
                    <w:tr2bl w:val="nil"/>
                  </w:tcBorders>
                  <w:shd w:val="clear" w:color="auto" w:fill="auto"/>
                  <w:tcMar>
                    <w:top w:w="120" w:type="dxa"/>
                    <w:left w:w="192" w:type="dxa"/>
                    <w:bottom w:w="120" w:type="dxa"/>
                    <w:right w:w="192" w:type="dxa"/>
                  </w:tcMar>
                  <w:vAlign w:val="top"/>
                </w:tcPr>
                <w:p w14:paraId="54BFA8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指标类别</w:t>
                  </w:r>
                </w:p>
              </w:tc>
              <w:tc>
                <w:tcPr>
                  <w:tcW w:w="6303" w:type="dxa"/>
                  <w:tcBorders>
                    <w:tl2br w:val="nil"/>
                    <w:tr2bl w:val="nil"/>
                  </w:tcBorders>
                  <w:shd w:val="clear" w:color="auto" w:fill="auto"/>
                  <w:tcMar>
                    <w:top w:w="120" w:type="dxa"/>
                    <w:left w:w="192" w:type="dxa"/>
                    <w:bottom w:w="120" w:type="dxa"/>
                    <w:right w:w="192" w:type="dxa"/>
                  </w:tcMar>
                  <w:vAlign w:val="top"/>
                </w:tcPr>
                <w:p w14:paraId="61562B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验收指标</w:t>
                  </w:r>
                </w:p>
              </w:tc>
            </w:tr>
            <w:tr w14:paraId="4773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52" w:type="dxa"/>
                  <w:tcBorders>
                    <w:tl2br w:val="nil"/>
                    <w:tr2bl w:val="nil"/>
                  </w:tcBorders>
                  <w:shd w:val="clear" w:color="auto" w:fill="auto"/>
                  <w:tcMar>
                    <w:top w:w="120" w:type="dxa"/>
                    <w:left w:w="192" w:type="dxa"/>
                    <w:bottom w:w="120" w:type="dxa"/>
                    <w:right w:w="192" w:type="dxa"/>
                  </w:tcMar>
                  <w:vAlign w:val="top"/>
                </w:tcPr>
                <w:p w14:paraId="5F3E65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植被覆盖度</w:t>
                  </w:r>
                </w:p>
              </w:tc>
              <w:tc>
                <w:tcPr>
                  <w:tcW w:w="6303" w:type="dxa"/>
                  <w:tcBorders>
                    <w:tl2br w:val="nil"/>
                    <w:tr2bl w:val="nil"/>
                  </w:tcBorders>
                  <w:shd w:val="clear" w:color="auto" w:fill="auto"/>
                  <w:tcMar>
                    <w:top w:w="120" w:type="dxa"/>
                    <w:left w:w="192" w:type="dxa"/>
                    <w:bottom w:w="120" w:type="dxa"/>
                    <w:right w:w="192" w:type="dxa"/>
                  </w:tcMar>
                  <w:vAlign w:val="top"/>
                </w:tcPr>
                <w:p w14:paraId="361CFB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w:t>
                  </w: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60%</w:t>
                  </w: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（恢复后第2年），≥</w:t>
                  </w: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70%</w:t>
                  </w: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（恢复后第3年）</w:t>
                  </w:r>
                </w:p>
              </w:tc>
            </w:tr>
            <w:tr w14:paraId="1F01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2252" w:type="dxa"/>
                  <w:tcBorders>
                    <w:tl2br w:val="nil"/>
                    <w:tr2bl w:val="nil"/>
                  </w:tcBorders>
                  <w:shd w:val="clear" w:color="auto" w:fill="auto"/>
                  <w:tcMar>
                    <w:top w:w="120" w:type="dxa"/>
                    <w:left w:w="192" w:type="dxa"/>
                    <w:bottom w:w="120" w:type="dxa"/>
                    <w:right w:w="192" w:type="dxa"/>
                  </w:tcMar>
                  <w:vAlign w:val="top"/>
                </w:tcPr>
                <w:p w14:paraId="6EC524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成活率/保存率</w:t>
                  </w:r>
                </w:p>
              </w:tc>
              <w:tc>
                <w:tcPr>
                  <w:tcW w:w="6303" w:type="dxa"/>
                  <w:tcBorders>
                    <w:tl2br w:val="nil"/>
                    <w:tr2bl w:val="nil"/>
                  </w:tcBorders>
                  <w:shd w:val="clear" w:color="auto" w:fill="auto"/>
                  <w:tcMar>
                    <w:top w:w="120" w:type="dxa"/>
                    <w:left w:w="192" w:type="dxa"/>
                    <w:bottom w:w="120" w:type="dxa"/>
                    <w:right w:w="192" w:type="dxa"/>
                  </w:tcMar>
                  <w:vAlign w:val="top"/>
                </w:tcPr>
                <w:p w14:paraId="7338AD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主要建群种（紫花针茅、扁穗冰草）保存率≥</w:t>
                  </w: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65%</w:t>
                  </w:r>
                </w:p>
              </w:tc>
            </w:tr>
            <w:tr w14:paraId="0E3D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52" w:type="dxa"/>
                  <w:tcBorders>
                    <w:tl2br w:val="nil"/>
                    <w:tr2bl w:val="nil"/>
                  </w:tcBorders>
                  <w:shd w:val="clear" w:color="auto" w:fill="auto"/>
                  <w:tcMar>
                    <w:top w:w="120" w:type="dxa"/>
                    <w:left w:w="192" w:type="dxa"/>
                    <w:bottom w:w="120" w:type="dxa"/>
                    <w:right w:w="192" w:type="dxa"/>
                  </w:tcMar>
                  <w:vAlign w:val="top"/>
                </w:tcPr>
                <w:p w14:paraId="15D543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生物量</w:t>
                  </w:r>
                </w:p>
              </w:tc>
              <w:tc>
                <w:tcPr>
                  <w:tcW w:w="6303" w:type="dxa"/>
                  <w:tcBorders>
                    <w:tl2br w:val="nil"/>
                    <w:tr2bl w:val="nil"/>
                  </w:tcBorders>
                  <w:shd w:val="clear" w:color="auto" w:fill="auto"/>
                  <w:tcMar>
                    <w:top w:w="120" w:type="dxa"/>
                    <w:left w:w="192" w:type="dxa"/>
                    <w:bottom w:w="120" w:type="dxa"/>
                    <w:right w:w="192" w:type="dxa"/>
                  </w:tcMar>
                  <w:vAlign w:val="top"/>
                </w:tcPr>
                <w:p w14:paraId="392E25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干草产量≥</w:t>
                  </w: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800kg/hm²</w:t>
                  </w: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（恢复后第3年）</w:t>
                  </w:r>
                </w:p>
              </w:tc>
            </w:tr>
            <w:tr w14:paraId="49EC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2252" w:type="dxa"/>
                  <w:tcBorders>
                    <w:tl2br w:val="nil"/>
                    <w:tr2bl w:val="nil"/>
                  </w:tcBorders>
                  <w:shd w:val="clear" w:color="auto" w:fill="auto"/>
                  <w:tcMar>
                    <w:top w:w="120" w:type="dxa"/>
                    <w:left w:w="192" w:type="dxa"/>
                    <w:bottom w:w="120" w:type="dxa"/>
                    <w:right w:w="192" w:type="dxa"/>
                  </w:tcMar>
                  <w:vAlign w:val="top"/>
                </w:tcPr>
                <w:p w14:paraId="500D09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物种多样性</w:t>
                  </w:r>
                </w:p>
              </w:tc>
              <w:tc>
                <w:tcPr>
                  <w:tcW w:w="6303" w:type="dxa"/>
                  <w:tcBorders>
                    <w:tl2br w:val="nil"/>
                    <w:tr2bl w:val="nil"/>
                  </w:tcBorders>
                  <w:shd w:val="clear" w:color="auto" w:fill="auto"/>
                  <w:tcMar>
                    <w:top w:w="120" w:type="dxa"/>
                    <w:left w:w="192" w:type="dxa"/>
                    <w:bottom w:w="120" w:type="dxa"/>
                    <w:right w:w="192" w:type="dxa"/>
                  </w:tcMar>
                  <w:vAlign w:val="top"/>
                </w:tcPr>
                <w:p w14:paraId="2EDBE6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恢复草地植物种数≥</w:t>
                  </w: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5种/样方</w:t>
                  </w: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（1 m×1 m），乡土物种占比≥</w:t>
                  </w: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80%</w:t>
                  </w:r>
                </w:p>
              </w:tc>
            </w:tr>
            <w:tr w14:paraId="4521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52" w:type="dxa"/>
                  <w:tcBorders>
                    <w:tl2br w:val="nil"/>
                    <w:tr2bl w:val="nil"/>
                  </w:tcBorders>
                  <w:shd w:val="clear" w:color="auto" w:fill="auto"/>
                  <w:tcMar>
                    <w:top w:w="120" w:type="dxa"/>
                    <w:left w:w="192" w:type="dxa"/>
                    <w:bottom w:w="120" w:type="dxa"/>
                    <w:right w:w="192" w:type="dxa"/>
                  </w:tcMar>
                  <w:vAlign w:val="top"/>
                </w:tcPr>
                <w:p w14:paraId="15E50F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景观协调性</w:t>
                  </w:r>
                </w:p>
              </w:tc>
              <w:tc>
                <w:tcPr>
                  <w:tcW w:w="6303" w:type="dxa"/>
                  <w:tcBorders>
                    <w:tl2br w:val="nil"/>
                    <w:tr2bl w:val="nil"/>
                  </w:tcBorders>
                  <w:shd w:val="clear" w:color="auto" w:fill="auto"/>
                  <w:tcMar>
                    <w:top w:w="120" w:type="dxa"/>
                    <w:left w:w="192" w:type="dxa"/>
                    <w:bottom w:w="120" w:type="dxa"/>
                    <w:right w:w="192" w:type="dxa"/>
                  </w:tcMar>
                  <w:vAlign w:val="top"/>
                </w:tcPr>
                <w:p w14:paraId="295418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恢复区域植被群落结构、优势种组成与周边未扰动草地基本一致，无明显裸露斑块</w:t>
                  </w:r>
                </w:p>
              </w:tc>
            </w:tr>
            <w:tr w14:paraId="2846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52" w:type="dxa"/>
                  <w:tcBorders>
                    <w:tl2br w:val="nil"/>
                    <w:tr2bl w:val="nil"/>
                  </w:tcBorders>
                  <w:shd w:val="clear" w:color="auto" w:fill="auto"/>
                  <w:tcMar>
                    <w:top w:w="120" w:type="dxa"/>
                    <w:left w:w="192" w:type="dxa"/>
                    <w:bottom w:w="120" w:type="dxa"/>
                    <w:right w:w="192" w:type="dxa"/>
                  </w:tcMar>
                  <w:vAlign w:val="top"/>
                </w:tcPr>
                <w:p w14:paraId="24ACF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Style w:val="14"/>
                      <w:rFonts w:hint="default" w:ascii="Times New Roman" w:hAnsi="Times New Roman" w:eastAsia="宋体" w:cs="Times New Roman"/>
                      <w:b w:val="0"/>
                      <w:bCs w:val="0"/>
                      <w:i w:val="0"/>
                      <w:iCs w:val="0"/>
                      <w:caps w:val="0"/>
                      <w:snapToGrid w:val="0"/>
                      <w:color w:val="000000" w:themeColor="text1"/>
                      <w:spacing w:val="6"/>
                      <w:kern w:val="0"/>
                      <w:sz w:val="21"/>
                      <w:szCs w:val="21"/>
                      <w:vertAlign w:val="baseline"/>
                      <w:lang w:val="en-US" w:eastAsia="zh-CN" w:bidi="ar"/>
                      <w14:textFill>
                        <w14:solidFill>
                          <w14:schemeClr w14:val="tx1"/>
                        </w14:solidFill>
                      </w14:textFill>
                      <w14:ligatures w14:val="none"/>
                    </w:rPr>
                    <w:t>工程措施</w:t>
                  </w:r>
                </w:p>
              </w:tc>
              <w:tc>
                <w:tcPr>
                  <w:tcW w:w="6303" w:type="dxa"/>
                  <w:tcBorders>
                    <w:tl2br w:val="nil"/>
                    <w:tr2bl w:val="nil"/>
                  </w:tcBorders>
                  <w:shd w:val="clear" w:color="auto" w:fill="auto"/>
                  <w:tcMar>
                    <w:top w:w="120" w:type="dxa"/>
                    <w:left w:w="192" w:type="dxa"/>
                    <w:bottom w:w="120" w:type="dxa"/>
                    <w:right w:w="192" w:type="dxa"/>
                  </w:tcMar>
                  <w:vAlign w:val="top"/>
                </w:tcPr>
                <w:p w14:paraId="16B3F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val="0"/>
                      <w:bCs w:val="0"/>
                      <w:i w:val="0"/>
                      <w:iCs w:val="0"/>
                      <w:caps w:val="0"/>
                      <w:color w:val="000000" w:themeColor="text1"/>
                      <w:spacing w:val="6"/>
                      <w:sz w:val="21"/>
                      <w:szCs w:val="21"/>
                      <w14:textFill>
                        <w14:solidFill>
                          <w14:schemeClr w14:val="tx1"/>
                        </w14:solidFill>
                      </w14:textFill>
                    </w:rPr>
                  </w:pP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硬化地面拆除率100%，建筑垃圾清运率100%，土地平整度符合</w:t>
                  </w:r>
                  <w:r>
                    <w:rPr>
                      <w:rFonts w:hint="eastAsia"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w:t>
                  </w: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占补平衡</w:t>
                  </w:r>
                  <w:r>
                    <w:rPr>
                      <w:rFonts w:hint="eastAsia"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w:t>
                  </w:r>
                  <w:r>
                    <w:rPr>
                      <w:rFonts w:hint="default" w:ascii="Times New Roman" w:hAnsi="Times New Roman" w:eastAsia="宋体" w:cs="Times New Roman"/>
                      <w:b w:val="0"/>
                      <w:bCs w:val="0"/>
                      <w:i w:val="0"/>
                      <w:iCs w:val="0"/>
                      <w:caps w:val="0"/>
                      <w:snapToGrid w:val="0"/>
                      <w:color w:val="000000" w:themeColor="text1"/>
                      <w:spacing w:val="6"/>
                      <w:kern w:val="0"/>
                      <w:sz w:val="21"/>
                      <w:szCs w:val="21"/>
                      <w:lang w:val="en-US" w:eastAsia="zh-CN" w:bidi="ar"/>
                      <w14:textFill>
                        <w14:solidFill>
                          <w14:schemeClr w14:val="tx1"/>
                        </w14:solidFill>
                      </w14:textFill>
                      <w14:ligatures w14:val="none"/>
                    </w:rPr>
                    <w:t>要求</w:t>
                  </w:r>
                </w:p>
              </w:tc>
            </w:tr>
          </w:tbl>
          <w:p w14:paraId="3B5268D2">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四、生态监测</w:t>
            </w:r>
          </w:p>
          <w:p w14:paraId="57ECE5EE">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监测内容：植被盖度、草种存活情况、土壤侵蚀、渣体稳定性；</w:t>
            </w:r>
          </w:p>
          <w:p w14:paraId="28476E10">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目标指标：草地植被盖度达到周边原生草地水平，林草植被恢复率满足水土保持标准，无明显水土流失、渣体失稳现象。</w:t>
            </w:r>
          </w:p>
          <w:p w14:paraId="302CF2F5">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环保投资</w:t>
            </w:r>
          </w:p>
          <w:p w14:paraId="63774BD9">
            <w:pPr>
              <w:bidi w:val="0"/>
              <w:rPr>
                <w:rFonts w:hint="default" w:ascii="Times New Roman" w:hAnsi="Times New Roman" w:eastAsia="宋体" w:cs="Times New Roman"/>
                <w:bCs/>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项目总投资</w:t>
            </w:r>
            <w:r>
              <w:rPr>
                <w:rFonts w:hint="default" w:ascii="Times New Roman" w:hAnsi="Times New Roman" w:cs="Times New Roman"/>
                <w:color w:val="000000" w:themeColor="text1"/>
                <w:highlight w:val="none"/>
                <w:lang w:val="en-US" w:eastAsia="zh-CN"/>
                <w14:textFill>
                  <w14:solidFill>
                    <w14:schemeClr w14:val="tx1"/>
                  </w14:solidFill>
                </w14:textFill>
              </w:rPr>
              <w:t>300</w:t>
            </w:r>
            <w:r>
              <w:rPr>
                <w:rFonts w:hint="default" w:ascii="Times New Roman" w:hAnsi="Times New Roman" w:cs="Times New Roman"/>
                <w:color w:val="000000" w:themeColor="text1"/>
                <w:highlight w:val="none"/>
                <w14:textFill>
                  <w14:solidFill>
                    <w14:schemeClr w14:val="tx1"/>
                  </w14:solidFill>
                </w14:textFill>
              </w:rPr>
              <w:t>万元，其中环保投资约</w:t>
            </w:r>
            <w:r>
              <w:rPr>
                <w:rFonts w:hint="default" w:ascii="Times New Roman" w:hAnsi="Times New Roman" w:cs="Times New Roman"/>
                <w:color w:val="000000" w:themeColor="text1"/>
                <w:highlight w:val="none"/>
                <w:lang w:val="en-US" w:eastAsia="zh-CN"/>
                <w14:textFill>
                  <w14:solidFill>
                    <w14:schemeClr w14:val="tx1"/>
                  </w14:solidFill>
                </w14:textFill>
              </w:rPr>
              <w:t>58</w:t>
            </w:r>
            <w:r>
              <w:rPr>
                <w:rFonts w:hint="default" w:ascii="Times New Roman" w:hAnsi="Times New Roman" w:cs="Times New Roman"/>
                <w:color w:val="000000" w:themeColor="text1"/>
                <w:highlight w:val="none"/>
                <w14:textFill>
                  <w14:solidFill>
                    <w14:schemeClr w14:val="tx1"/>
                  </w14:solidFill>
                </w14:textFill>
              </w:rPr>
              <w:t>万元，占总投资的</w:t>
            </w:r>
            <w:r>
              <w:rPr>
                <w:rFonts w:hint="default" w:ascii="Times New Roman" w:hAnsi="Times New Roman" w:cs="Times New Roman"/>
                <w:color w:val="000000" w:themeColor="text1"/>
                <w:highlight w:val="none"/>
                <w:lang w:val="en-US" w:eastAsia="zh-CN"/>
                <w14:textFill>
                  <w14:solidFill>
                    <w14:schemeClr w14:val="tx1"/>
                  </w14:solidFill>
                </w14:textFill>
              </w:rPr>
              <w:t>19.3</w:t>
            </w:r>
            <w:r>
              <w:rPr>
                <w:rFonts w:hint="default" w:ascii="Times New Roman" w:hAnsi="Times New Roman" w:cs="Times New Roman"/>
                <w:color w:val="000000" w:themeColor="text1"/>
                <w:highlight w:val="none"/>
                <w14:textFill>
                  <w14:solidFill>
                    <w14:schemeClr w14:val="tx1"/>
                  </w14:solidFill>
                </w14:textFill>
              </w:rPr>
              <w:t>%，环保投资情况</w:t>
            </w:r>
            <w:r>
              <w:rPr>
                <w:rFonts w:hint="default" w:ascii="Times New Roman" w:hAnsi="Times New Roman" w:cs="Times New Roman"/>
                <w:color w:val="000000" w:themeColor="text1"/>
                <w:highlight w:val="none"/>
                <w:lang w:eastAsia="zh-CN"/>
                <w14:textFill>
                  <w14:solidFill>
                    <w14:schemeClr w14:val="tx1"/>
                  </w14:solidFill>
                </w14:textFill>
              </w:rPr>
              <w:t>见下</w:t>
            </w: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p>
          <w:p w14:paraId="638D8D93">
            <w:pPr>
              <w:pStyle w:val="18"/>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表4</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-1  环保投资估算表</w:t>
            </w:r>
          </w:p>
          <w:tbl>
            <w:tblPr>
              <w:tblStyle w:val="11"/>
              <w:tblW w:w="85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950"/>
              <w:gridCol w:w="4663"/>
              <w:gridCol w:w="1012"/>
              <w:gridCol w:w="1370"/>
            </w:tblGrid>
            <w:tr w14:paraId="3D33C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B20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序号</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EC6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环保设施类别</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A33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主要环保工程内容</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585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投资（万元）</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598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备注</w:t>
                  </w:r>
                </w:p>
              </w:tc>
            </w:tr>
            <w:tr w14:paraId="3D7F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824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786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废气治理</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F91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脉冲布袋除尘器、集气罩、15m排气筒、雾炮抑尘设施、运输道路洒水降尘配套设施</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2BF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35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BFA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专项废气治理，不含破碎、筛分主机等主体生产设备</w:t>
                  </w:r>
                </w:p>
              </w:tc>
            </w:tr>
            <w:tr w14:paraId="64FF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518F">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956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废水治理</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6DE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洗车平台、循环沉淀池、防渗土工膜、废水回用配套设施</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69D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DF3F">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r>
            <w:tr w14:paraId="16EE0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39E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F1F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噪声治理</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BDD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设备减振基座、隔声垫片、车间隔声围护</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C07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7A40">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r>
            <w:tr w14:paraId="2AC41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2FA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F68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固体废物、危险废物处置</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4A2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危险废物贮存点</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（5</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m</w:t>
                  </w:r>
                  <w:r>
                    <w:rPr>
                      <w:rFonts w:hint="eastAsia" w:ascii="Times New Roman" w:hAnsi="Times New Roman" w:eastAsia="宋体" w:cs="Times New Roman"/>
                      <w:i w:val="0"/>
                      <w:iCs w:val="0"/>
                      <w:snapToGrid w:val="0"/>
                      <w:color w:val="000000" w:themeColor="text1"/>
                      <w:kern w:val="0"/>
                      <w:sz w:val="21"/>
                      <w:szCs w:val="21"/>
                      <w:u w:val="none"/>
                      <w:vertAlign w:val="superscript"/>
                      <w:lang w:val="en-US" w:eastAsia="zh-CN" w:bidi="ar"/>
                      <w14:textFill>
                        <w14:solidFill>
                          <w14:schemeClr w14:val="tx1"/>
                        </w14:solidFill>
                      </w14:textFill>
                      <w14:ligatures w14:val="none"/>
                    </w:rPr>
                    <w:t>2</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）、危废容器、防渗、警示标识、固废收集器具</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7BD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6201">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w:t>
                  </w:r>
                </w:p>
              </w:tc>
            </w:tr>
            <w:tr w14:paraId="0136B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347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E5D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地下水、土壤防渗</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CA6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重点防渗区、一般防渗区防渗工程材料及施工（危废库、柴油储存区、沉淀池）</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9B4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2085">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r>
            <w:tr w14:paraId="12B3C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C82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F7E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环境风险防控</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F90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柴油区围堰、事故集油池、吸油毡、应急物资、消防器材、警示标识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228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103C">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r>
            <w:tr w14:paraId="38660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52A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7</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D0B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生态保护与恢复</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761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施工期表土剥离、表土堆存防护网；服务期满覆土、草种、播撒、2年生态监测管护</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0DC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snapToGrid w:val="0"/>
                      <w:color w:val="000000" w:themeColor="text1"/>
                      <w:kern w:val="0"/>
                      <w:sz w:val="21"/>
                      <w:szCs w:val="21"/>
                      <w:highlight w:val="none"/>
                      <w:u w:val="none"/>
                      <w:lang w:val="en-US" w:eastAsia="zh-CN" w:bidi="ar"/>
                      <w14:textFill>
                        <w14:solidFill>
                          <w14:schemeClr w14:val="tx1"/>
                        </w14:solidFill>
                      </w14:textFill>
                      <w14:ligatures w14:val="none"/>
                    </w:rPr>
                    <w:t>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B729">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弃渣场水土保持方案中已纳入，本次环评中不再重复划拨环保投资</w:t>
                  </w:r>
                </w:p>
              </w:tc>
            </w:tr>
            <w:tr w14:paraId="02269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865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合计</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998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w:t>
                  </w:r>
                </w:p>
              </w:tc>
              <w:tc>
                <w:tcPr>
                  <w:tcW w:w="4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709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493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58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398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14:ligatures w14:val="none"/>
                    </w:rPr>
                    <w:t>不含破碎、筛分、输送等主体生产工艺设备投资</w:t>
                  </w:r>
                </w:p>
              </w:tc>
            </w:tr>
          </w:tbl>
          <w:p w14:paraId="07800D39">
            <w:pPr>
              <w:ind w:left="0" w:leftChars="0" w:firstLine="0" w:firstLineChars="0"/>
              <w:jc w:val="both"/>
              <w:outlineLvl w:val="0"/>
              <w:rPr>
                <w:rFonts w:hint="default" w:ascii="Times New Roman" w:hAnsi="Times New Roman" w:eastAsia="黑体" w:cs="Times New Roman"/>
                <w:color w:val="000000" w:themeColor="text1"/>
                <w:sz w:val="30"/>
                <w:szCs w:val="30"/>
                <w:highlight w:val="none"/>
                <w:vertAlign w:val="baseline"/>
                <w14:textFill>
                  <w14:solidFill>
                    <w14:schemeClr w14:val="tx1"/>
                  </w14:solidFill>
                </w14:textFill>
              </w:rPr>
            </w:pPr>
          </w:p>
        </w:tc>
      </w:tr>
    </w:tbl>
    <w:p w14:paraId="6DC1FDE0">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0F6C31A">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eastAsia="黑体" w:cs="Times New Roman"/>
          <w:color w:val="000000" w:themeColor="text1"/>
          <w:sz w:val="30"/>
          <w:szCs w:val="30"/>
          <w:highlight w:val="none"/>
          <w14:textFill>
            <w14:solidFill>
              <w14:schemeClr w14:val="tx1"/>
            </w14:solidFill>
          </w14:textFill>
        </w:rPr>
        <w:t>五、</w:t>
      </w:r>
      <w:bookmarkStart w:id="23" w:name="_Hlk54167917"/>
      <w:r>
        <w:rPr>
          <w:rFonts w:hint="default" w:ascii="Times New Roman" w:hAnsi="Times New Roman" w:eastAsia="黑体" w:cs="Times New Roman"/>
          <w:color w:val="000000" w:themeColor="text1"/>
          <w:sz w:val="30"/>
          <w:szCs w:val="30"/>
          <w:highlight w:val="none"/>
          <w14:textFill>
            <w14:solidFill>
              <w14:schemeClr w14:val="tx1"/>
            </w14:solidFill>
          </w14:textFill>
        </w:rPr>
        <w:t>环境保护措施监督检查清单</w:t>
      </w:r>
      <w:bookmarkEnd w:id="23"/>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1741"/>
        <w:gridCol w:w="1266"/>
        <w:gridCol w:w="1968"/>
        <w:gridCol w:w="2651"/>
      </w:tblGrid>
      <w:tr w14:paraId="2AB83B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tcBorders>
              <w:tl2br w:val="single" w:color="auto" w:sz="4" w:space="0"/>
            </w:tcBorders>
          </w:tcPr>
          <w:p w14:paraId="780B3CC2">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内容</w:t>
            </w:r>
          </w:p>
          <w:p w14:paraId="5E7F5593">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要素</w:t>
            </w:r>
          </w:p>
        </w:tc>
        <w:tc>
          <w:tcPr>
            <w:tcW w:w="1741" w:type="dxa"/>
            <w:vAlign w:val="center"/>
          </w:tcPr>
          <w:p w14:paraId="58E1FFA1">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排放口（编号、</w:t>
            </w:r>
          </w:p>
          <w:p w14:paraId="68B11F11">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名称）/污染源</w:t>
            </w:r>
          </w:p>
        </w:tc>
        <w:tc>
          <w:tcPr>
            <w:tcW w:w="1266" w:type="dxa"/>
            <w:vAlign w:val="center"/>
          </w:tcPr>
          <w:p w14:paraId="45890DEF">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污染物</w:t>
            </w:r>
          </w:p>
        </w:tc>
        <w:tc>
          <w:tcPr>
            <w:tcW w:w="1968" w:type="dxa"/>
            <w:vAlign w:val="center"/>
          </w:tcPr>
          <w:p w14:paraId="37E8E7FA">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环境保护措施</w:t>
            </w:r>
          </w:p>
        </w:tc>
        <w:tc>
          <w:tcPr>
            <w:tcW w:w="2651" w:type="dxa"/>
            <w:vAlign w:val="center"/>
          </w:tcPr>
          <w:p w14:paraId="1DD6DBBE">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执行标准</w:t>
            </w:r>
          </w:p>
        </w:tc>
      </w:tr>
      <w:tr w14:paraId="3B8CD5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1177" w:type="dxa"/>
            <w:vMerge w:val="restart"/>
            <w:vAlign w:val="center"/>
          </w:tcPr>
          <w:p w14:paraId="0F98E74D">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大气环境</w:t>
            </w:r>
          </w:p>
        </w:tc>
        <w:tc>
          <w:tcPr>
            <w:tcW w:w="1741" w:type="dxa"/>
            <w:shd w:val="clear" w:color="auto" w:fill="auto"/>
            <w:vAlign w:val="center"/>
          </w:tcPr>
          <w:p w14:paraId="14B2CF4C">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运输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扬尘</w:t>
            </w:r>
          </w:p>
        </w:tc>
        <w:tc>
          <w:tcPr>
            <w:tcW w:w="1266" w:type="dxa"/>
            <w:shd w:val="clear" w:color="auto" w:fill="auto"/>
            <w:vAlign w:val="center"/>
          </w:tcPr>
          <w:p w14:paraId="3C2BC9E7">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颗粒物</w:t>
            </w:r>
          </w:p>
        </w:tc>
        <w:tc>
          <w:tcPr>
            <w:tcW w:w="1968" w:type="dxa"/>
            <w:shd w:val="clear" w:color="auto" w:fill="auto"/>
            <w:vAlign w:val="center"/>
          </w:tcPr>
          <w:p w14:paraId="5DCF2641">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路面采取洒水降尘，砂石料外运控制装卸量，采用洒水加湿后加盖篷布运输，控制车速</w:t>
            </w:r>
            <w:r>
              <w:rPr>
                <w:rFonts w:hint="default" w:ascii="Times New Roman" w:hAnsi="Times New Roman" w:cs="Times New Roman"/>
                <w:color w:val="000000" w:themeColor="text1"/>
                <w:sz w:val="24"/>
                <w:szCs w:val="24"/>
                <w:highlight w:val="none"/>
                <w:lang w:eastAsia="zh-CN"/>
                <w14:textFill>
                  <w14:solidFill>
                    <w14:schemeClr w14:val="tx1"/>
                  </w14:solidFill>
                </w14:textFill>
              </w:rPr>
              <w:t>。冬季（11月‑次年4月）停止露天洒水抑尘，采取正午错峰作业、强化密闭除尘、机械除冰，仅通行硬化点位限制性使用环保无氯融雪剂，严禁大面积撒布普通氯盐融雪剂。</w:t>
            </w:r>
          </w:p>
        </w:tc>
        <w:tc>
          <w:tcPr>
            <w:tcW w:w="2651" w:type="dxa"/>
            <w:vMerge w:val="restart"/>
            <w:vAlign w:val="center"/>
          </w:tcPr>
          <w:p w14:paraId="1663F2FD">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《大气污染物综合排放标准》（GB</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16297-1996）</w:t>
            </w:r>
          </w:p>
          <w:p w14:paraId="05799C86">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表2中排放浓度限值</w:t>
            </w:r>
          </w:p>
        </w:tc>
      </w:tr>
      <w:tr w14:paraId="6EC3D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177" w:type="dxa"/>
            <w:vMerge w:val="continue"/>
            <w:vAlign w:val="center"/>
          </w:tcPr>
          <w:p w14:paraId="2C5D5104">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shd w:val="clear" w:color="auto" w:fill="auto"/>
            <w:vAlign w:val="center"/>
          </w:tcPr>
          <w:p w14:paraId="3314B44E">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卸料粉尘</w:t>
            </w:r>
          </w:p>
        </w:tc>
        <w:tc>
          <w:tcPr>
            <w:tcW w:w="1266" w:type="dxa"/>
            <w:shd w:val="clear" w:color="auto" w:fill="auto"/>
            <w:vAlign w:val="center"/>
          </w:tcPr>
          <w:p w14:paraId="460C821A">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颗粒物</w:t>
            </w:r>
          </w:p>
        </w:tc>
        <w:tc>
          <w:tcPr>
            <w:tcW w:w="1968" w:type="dxa"/>
            <w:shd w:val="clear" w:color="auto" w:fill="auto"/>
            <w:vAlign w:val="center"/>
          </w:tcPr>
          <w:p w14:paraId="2FDF5EE0">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雾炮机</w:t>
            </w:r>
            <w:r>
              <w:rPr>
                <w:rFonts w:hint="default" w:ascii="Times New Roman" w:hAnsi="Times New Roman" w:cs="Times New Roman"/>
                <w:color w:val="000000" w:themeColor="text1"/>
                <w:sz w:val="24"/>
                <w:szCs w:val="24"/>
                <w:highlight w:val="none"/>
                <w14:textFill>
                  <w14:solidFill>
                    <w14:schemeClr w14:val="tx1"/>
                  </w14:solidFill>
                </w14:textFill>
              </w:rPr>
              <w:t>洒水降尘</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2651" w:type="dxa"/>
            <w:vMerge w:val="continue"/>
            <w:vAlign w:val="center"/>
          </w:tcPr>
          <w:p w14:paraId="6202FD16">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r>
      <w:tr w14:paraId="7204E2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177" w:type="dxa"/>
            <w:vMerge w:val="continue"/>
            <w:vAlign w:val="center"/>
          </w:tcPr>
          <w:p w14:paraId="5A9CC98D">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shd w:val="clear" w:color="auto" w:fill="auto"/>
            <w:vAlign w:val="center"/>
          </w:tcPr>
          <w:p w14:paraId="2D7737B9">
            <w:pPr>
              <w:pStyle w:val="16"/>
              <w:bidi w:val="0"/>
              <w:ind w:firstLine="0" w:firstLineChars="0"/>
              <w:rPr>
                <w:rFonts w:hint="default"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皮带运输粉尘</w:t>
            </w:r>
          </w:p>
        </w:tc>
        <w:tc>
          <w:tcPr>
            <w:tcW w:w="1266" w:type="dxa"/>
            <w:shd w:val="clear" w:color="auto" w:fill="auto"/>
            <w:vAlign w:val="center"/>
          </w:tcPr>
          <w:p w14:paraId="00B8F5F6">
            <w:pPr>
              <w:pStyle w:val="16"/>
              <w:bidi w:val="0"/>
              <w:ind w:firstLine="0" w:firstLineChars="0"/>
              <w:rPr>
                <w:rFonts w:hint="default" w:ascii="Times New Roman" w:hAnsi="Times New Roman" w:eastAsia="宋体" w:cs="Times New Roman"/>
                <w:snapToGrid/>
                <w:color w:val="000000" w:themeColor="text1"/>
                <w:kern w:val="2"/>
                <w:sz w:val="24"/>
                <w:szCs w:val="24"/>
                <w:highlight w:val="none"/>
                <w:lang w:val="en-US" w:eastAsia="zh-CN" w:bidi="ar-SA"/>
                <w14:textFill>
                  <w14:solidFill>
                    <w14:schemeClr w14:val="tx1"/>
                  </w14:solidFill>
                </w14:textFill>
                <w14:ligatures w14:val="standardContextual"/>
              </w:rPr>
            </w:pPr>
            <w:r>
              <w:rPr>
                <w:rFonts w:hint="default" w:ascii="Times New Roman" w:hAnsi="Times New Roman" w:cs="Times New Roman"/>
                <w:color w:val="000000" w:themeColor="text1"/>
                <w:sz w:val="24"/>
                <w:szCs w:val="24"/>
                <w:highlight w:val="none"/>
                <w14:textFill>
                  <w14:solidFill>
                    <w14:schemeClr w14:val="tx1"/>
                  </w14:solidFill>
                </w14:textFill>
              </w:rPr>
              <w:t>颗粒物</w:t>
            </w:r>
          </w:p>
        </w:tc>
        <w:tc>
          <w:tcPr>
            <w:tcW w:w="1968" w:type="dxa"/>
            <w:shd w:val="clear" w:color="auto" w:fill="auto"/>
            <w:vAlign w:val="center"/>
          </w:tcPr>
          <w:p w14:paraId="39678763">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输送带全封闭</w:t>
            </w:r>
          </w:p>
        </w:tc>
        <w:tc>
          <w:tcPr>
            <w:tcW w:w="2651" w:type="dxa"/>
            <w:vMerge w:val="continue"/>
            <w:vAlign w:val="center"/>
          </w:tcPr>
          <w:p w14:paraId="4CD1CFDB">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r>
      <w:tr w14:paraId="726C56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177" w:type="dxa"/>
            <w:vMerge w:val="continue"/>
            <w:vAlign w:val="center"/>
          </w:tcPr>
          <w:p w14:paraId="2D49FBD4">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shd w:val="clear" w:color="auto" w:fill="auto"/>
            <w:vAlign w:val="center"/>
          </w:tcPr>
          <w:p w14:paraId="6675BF52">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堆场扬尘</w:t>
            </w:r>
          </w:p>
        </w:tc>
        <w:tc>
          <w:tcPr>
            <w:tcW w:w="1266" w:type="dxa"/>
            <w:shd w:val="clear" w:color="auto" w:fill="auto"/>
            <w:vAlign w:val="center"/>
          </w:tcPr>
          <w:p w14:paraId="7D1AB505">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颗粒物</w:t>
            </w:r>
          </w:p>
        </w:tc>
        <w:tc>
          <w:tcPr>
            <w:tcW w:w="1968" w:type="dxa"/>
            <w:shd w:val="clear" w:color="auto" w:fill="auto"/>
            <w:vAlign w:val="center"/>
          </w:tcPr>
          <w:p w14:paraId="3519C7A4">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全封闭原料及成品堆场、雾炮机洒水降尘。</w:t>
            </w:r>
          </w:p>
        </w:tc>
        <w:tc>
          <w:tcPr>
            <w:tcW w:w="2651" w:type="dxa"/>
            <w:vMerge w:val="continue"/>
            <w:vAlign w:val="center"/>
          </w:tcPr>
          <w:p w14:paraId="714FACE0">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r>
      <w:tr w14:paraId="79C436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1177" w:type="dxa"/>
            <w:vMerge w:val="continue"/>
            <w:vAlign w:val="center"/>
          </w:tcPr>
          <w:p w14:paraId="68CE01EF">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shd w:val="clear" w:color="auto" w:fill="auto"/>
            <w:vAlign w:val="center"/>
          </w:tcPr>
          <w:p w14:paraId="0B3A4AA9">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上料粉尘</w:t>
            </w:r>
          </w:p>
        </w:tc>
        <w:tc>
          <w:tcPr>
            <w:tcW w:w="1266" w:type="dxa"/>
            <w:shd w:val="clear" w:color="auto" w:fill="auto"/>
            <w:vAlign w:val="center"/>
          </w:tcPr>
          <w:p w14:paraId="513F30F8">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颗粒物</w:t>
            </w:r>
          </w:p>
        </w:tc>
        <w:tc>
          <w:tcPr>
            <w:tcW w:w="1968" w:type="dxa"/>
            <w:vMerge w:val="restart"/>
            <w:shd w:val="clear" w:color="auto" w:fill="auto"/>
            <w:vAlign w:val="center"/>
          </w:tcPr>
          <w:p w14:paraId="127B844E">
            <w:pPr>
              <w:pStyle w:val="16"/>
              <w:bidi w:val="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生产车间全封闭，输送带全封闭，雾炮机洒水降尘。排污节点上方</w:t>
            </w:r>
            <w:r>
              <w:rPr>
                <w:rFonts w:hint="default" w:ascii="Times New Roman" w:hAnsi="Times New Roman" w:cs="Times New Roman"/>
                <w:color w:val="000000" w:themeColor="text1"/>
                <w:sz w:val="24"/>
                <w:szCs w:val="24"/>
                <w:highlight w:val="none"/>
                <w14:textFill>
                  <w14:solidFill>
                    <w14:schemeClr w14:val="tx1"/>
                  </w14:solidFill>
                </w14:textFill>
              </w:rPr>
              <w:t>安装集气装置，收集废气经脉冲式布袋除尘装置处理后经15m高排气筒</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DA001</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排放，</w:t>
            </w:r>
          </w:p>
        </w:tc>
        <w:tc>
          <w:tcPr>
            <w:tcW w:w="2651" w:type="dxa"/>
            <w:vMerge w:val="continue"/>
            <w:vAlign w:val="center"/>
          </w:tcPr>
          <w:p w14:paraId="699EEF22">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r>
      <w:tr w14:paraId="76DA5A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Merge w:val="continue"/>
            <w:vAlign w:val="center"/>
          </w:tcPr>
          <w:p w14:paraId="27203027">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vAlign w:val="center"/>
          </w:tcPr>
          <w:p w14:paraId="7F4E9DD8">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破碎、筛分粉尘</w:t>
            </w:r>
          </w:p>
        </w:tc>
        <w:tc>
          <w:tcPr>
            <w:tcW w:w="1266" w:type="dxa"/>
            <w:vAlign w:val="center"/>
          </w:tcPr>
          <w:p w14:paraId="66CD638B">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颗粒物</w:t>
            </w:r>
          </w:p>
        </w:tc>
        <w:tc>
          <w:tcPr>
            <w:tcW w:w="1968" w:type="dxa"/>
            <w:vMerge w:val="continue"/>
            <w:vAlign w:val="center"/>
          </w:tcPr>
          <w:p w14:paraId="354E891F">
            <w:pPr>
              <w:pStyle w:val="16"/>
              <w:bidi w:val="0"/>
              <w:rPr>
                <w:rFonts w:hint="default" w:ascii="Times New Roman" w:hAnsi="Times New Roman" w:cs="Times New Roman"/>
                <w:color w:val="000000" w:themeColor="text1"/>
                <w:sz w:val="24"/>
                <w:szCs w:val="24"/>
                <w:highlight w:val="none"/>
                <w:lang w:eastAsia="zh-CN"/>
                <w14:textFill>
                  <w14:solidFill>
                    <w14:schemeClr w14:val="tx1"/>
                  </w14:solidFill>
                </w14:textFill>
              </w:rPr>
            </w:pPr>
          </w:p>
        </w:tc>
        <w:tc>
          <w:tcPr>
            <w:tcW w:w="2651" w:type="dxa"/>
            <w:vMerge w:val="continue"/>
            <w:vAlign w:val="center"/>
          </w:tcPr>
          <w:p w14:paraId="5C8D63FE">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r>
      <w:tr w14:paraId="030D4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Merge w:val="continue"/>
            <w:vAlign w:val="center"/>
          </w:tcPr>
          <w:p w14:paraId="1868B932">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shd w:val="clear" w:color="auto" w:fill="auto"/>
            <w:vAlign w:val="center"/>
          </w:tcPr>
          <w:p w14:paraId="355944DD">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柴油发电机等机械设备燃油废气</w:t>
            </w:r>
          </w:p>
        </w:tc>
        <w:tc>
          <w:tcPr>
            <w:tcW w:w="1266" w:type="dxa"/>
            <w:shd w:val="clear" w:color="auto" w:fill="auto"/>
            <w:vAlign w:val="center"/>
          </w:tcPr>
          <w:p w14:paraId="1CEEE5A2">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CO</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THC</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NO</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x</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PM</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PM</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10</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SO</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2</w:t>
            </w:r>
          </w:p>
        </w:tc>
        <w:tc>
          <w:tcPr>
            <w:tcW w:w="1968" w:type="dxa"/>
            <w:shd w:val="clear" w:color="auto" w:fill="auto"/>
            <w:vAlign w:val="center"/>
          </w:tcPr>
          <w:p w14:paraId="4B521E21">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采用较好的燃油设备，充分燃烧，自然扩散。</w:t>
            </w:r>
          </w:p>
        </w:tc>
        <w:tc>
          <w:tcPr>
            <w:tcW w:w="2651" w:type="dxa"/>
            <w:vAlign w:val="center"/>
          </w:tcPr>
          <w:p w14:paraId="13129C01">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《非道路移动机械用柴油机排气污染物排放限值及测量方法（中国第三、四阶段）》（GB 20891-2014）及修改单中第四阶段排放限值要求</w:t>
            </w:r>
          </w:p>
        </w:tc>
      </w:tr>
      <w:tr w14:paraId="238E4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177" w:type="dxa"/>
            <w:vMerge w:val="restart"/>
            <w:vAlign w:val="center"/>
          </w:tcPr>
          <w:p w14:paraId="5B3C0723">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地表水环境</w:t>
            </w:r>
          </w:p>
        </w:tc>
        <w:tc>
          <w:tcPr>
            <w:tcW w:w="1741" w:type="dxa"/>
            <w:vAlign w:val="center"/>
          </w:tcPr>
          <w:p w14:paraId="32321D15">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洗车废水</w:t>
            </w:r>
          </w:p>
        </w:tc>
        <w:tc>
          <w:tcPr>
            <w:tcW w:w="1266" w:type="dxa"/>
            <w:vAlign w:val="center"/>
          </w:tcPr>
          <w:p w14:paraId="1ED796B9">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SS、石油类</w:t>
            </w:r>
          </w:p>
        </w:tc>
        <w:tc>
          <w:tcPr>
            <w:tcW w:w="1968" w:type="dxa"/>
            <w:vAlign w:val="center"/>
          </w:tcPr>
          <w:p w14:paraId="774FB0AE">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沉淀池收集，沉淀后循环使用不外排。</w:t>
            </w:r>
          </w:p>
        </w:tc>
        <w:tc>
          <w:tcPr>
            <w:tcW w:w="2651" w:type="dxa"/>
            <w:vMerge w:val="restart"/>
            <w:vAlign w:val="center"/>
          </w:tcPr>
          <w:p w14:paraId="71DA3566">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0B975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177" w:type="dxa"/>
            <w:vMerge w:val="continue"/>
            <w:vAlign w:val="center"/>
          </w:tcPr>
          <w:p w14:paraId="054A3F0B">
            <w:pPr>
              <w:pStyle w:val="16"/>
              <w:bidi w:val="0"/>
              <w:rPr>
                <w:rFonts w:hint="default" w:ascii="Times New Roman" w:hAnsi="Times New Roman" w:cs="Times New Roman"/>
                <w:color w:val="000000" w:themeColor="text1"/>
                <w:highlight w:val="none"/>
                <w14:textFill>
                  <w14:solidFill>
                    <w14:schemeClr w14:val="tx1"/>
                  </w14:solidFill>
                </w14:textFill>
              </w:rPr>
            </w:pPr>
          </w:p>
        </w:tc>
        <w:tc>
          <w:tcPr>
            <w:tcW w:w="1741" w:type="dxa"/>
            <w:vAlign w:val="center"/>
          </w:tcPr>
          <w:p w14:paraId="6E8C5017">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生活污水</w:t>
            </w:r>
          </w:p>
        </w:tc>
        <w:tc>
          <w:tcPr>
            <w:tcW w:w="1266" w:type="dxa"/>
            <w:vAlign w:val="center"/>
          </w:tcPr>
          <w:p w14:paraId="5E4F242C">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COD、BOD</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、SS、氨氮</w:t>
            </w:r>
          </w:p>
        </w:tc>
        <w:tc>
          <w:tcPr>
            <w:tcW w:w="1968" w:type="dxa"/>
            <w:vAlign w:val="center"/>
          </w:tcPr>
          <w:p w14:paraId="45B1FE5A">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工作人员居住在中铁隧道局新建伊阿铁路SⅩ标段项目部，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距离</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约1.9km，生活污水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由项目部化粪池收集后定期拉运至巴音布鲁克污水处理厂处理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c>
          <w:tcPr>
            <w:tcW w:w="2651" w:type="dxa"/>
            <w:vMerge w:val="continue"/>
            <w:vAlign w:val="center"/>
          </w:tcPr>
          <w:p w14:paraId="3966F902">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r>
      <w:tr w14:paraId="0E11CA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Align w:val="center"/>
          </w:tcPr>
          <w:p w14:paraId="7CA6B026">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声环境</w:t>
            </w:r>
          </w:p>
        </w:tc>
        <w:tc>
          <w:tcPr>
            <w:tcW w:w="1741" w:type="dxa"/>
            <w:vAlign w:val="center"/>
          </w:tcPr>
          <w:p w14:paraId="2243C937">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生产设备</w:t>
            </w:r>
          </w:p>
        </w:tc>
        <w:tc>
          <w:tcPr>
            <w:tcW w:w="1266" w:type="dxa"/>
            <w:vAlign w:val="center"/>
          </w:tcPr>
          <w:p w14:paraId="2E9EC2B0">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噪声</w:t>
            </w:r>
          </w:p>
        </w:tc>
        <w:tc>
          <w:tcPr>
            <w:tcW w:w="1968" w:type="dxa"/>
            <w:vAlign w:val="center"/>
          </w:tcPr>
          <w:p w14:paraId="182334F9">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选用低噪声设备，厂房隔声、减振</w:t>
            </w:r>
          </w:p>
        </w:tc>
        <w:tc>
          <w:tcPr>
            <w:tcW w:w="2651" w:type="dxa"/>
            <w:vAlign w:val="center"/>
          </w:tcPr>
          <w:p w14:paraId="38C19D14">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《工业企业厂界环境噪声排放标准》（GB</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12348-2008）中</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类标准</w:t>
            </w:r>
          </w:p>
        </w:tc>
      </w:tr>
      <w:tr w14:paraId="7987A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Align w:val="center"/>
          </w:tcPr>
          <w:p w14:paraId="6553ADCC">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电磁辐射</w:t>
            </w:r>
          </w:p>
        </w:tc>
        <w:tc>
          <w:tcPr>
            <w:tcW w:w="1741" w:type="dxa"/>
            <w:vAlign w:val="center"/>
          </w:tcPr>
          <w:p w14:paraId="6AAF98D5">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p>
        </w:tc>
        <w:tc>
          <w:tcPr>
            <w:tcW w:w="1266" w:type="dxa"/>
            <w:vAlign w:val="center"/>
          </w:tcPr>
          <w:p w14:paraId="5B665496">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p>
        </w:tc>
        <w:tc>
          <w:tcPr>
            <w:tcW w:w="1968" w:type="dxa"/>
            <w:vAlign w:val="center"/>
          </w:tcPr>
          <w:p w14:paraId="2A1D73C4">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p>
        </w:tc>
        <w:tc>
          <w:tcPr>
            <w:tcW w:w="2651" w:type="dxa"/>
            <w:vAlign w:val="center"/>
          </w:tcPr>
          <w:p w14:paraId="550C1AE6">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p>
        </w:tc>
      </w:tr>
      <w:tr w14:paraId="312675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Merge w:val="restart"/>
            <w:vAlign w:val="center"/>
          </w:tcPr>
          <w:p w14:paraId="47914940">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固体废物</w:t>
            </w:r>
          </w:p>
        </w:tc>
        <w:tc>
          <w:tcPr>
            <w:tcW w:w="1741" w:type="dxa"/>
            <w:vMerge w:val="restart"/>
            <w:vAlign w:val="center"/>
          </w:tcPr>
          <w:p w14:paraId="6F8A1ED1">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除尘器</w:t>
            </w:r>
          </w:p>
        </w:tc>
        <w:tc>
          <w:tcPr>
            <w:tcW w:w="1266" w:type="dxa"/>
            <w:vAlign w:val="center"/>
          </w:tcPr>
          <w:p w14:paraId="75D19290">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除尘灰</w:t>
            </w:r>
          </w:p>
        </w:tc>
        <w:tc>
          <w:tcPr>
            <w:tcW w:w="1968" w:type="dxa"/>
            <w:vAlign w:val="center"/>
          </w:tcPr>
          <w:p w14:paraId="6D386323">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集中收集暂存于弃渣场，</w:t>
            </w:r>
            <w:r>
              <w:rPr>
                <w:rFonts w:hint="default" w:ascii="Times New Roman" w:hAnsi="Times New Roman" w:cs="Times New Roman"/>
                <w:color w:val="000000" w:themeColor="text1"/>
                <w:highlight w:val="none"/>
                <w:lang w:val="en-US" w:eastAsia="zh-CN"/>
                <w14:textFill>
                  <w14:solidFill>
                    <w14:schemeClr w14:val="tx1"/>
                  </w14:solidFill>
                </w14:textFill>
              </w:rPr>
              <w:t>服务期满后场地平整</w:t>
            </w:r>
          </w:p>
        </w:tc>
        <w:tc>
          <w:tcPr>
            <w:tcW w:w="2651" w:type="dxa"/>
            <w:vMerge w:val="restart"/>
            <w:vAlign w:val="center"/>
          </w:tcPr>
          <w:p w14:paraId="1E8BD69F">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750E5F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Merge w:val="continue"/>
            <w:vAlign w:val="center"/>
          </w:tcPr>
          <w:p w14:paraId="4B742687">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vMerge w:val="continue"/>
            <w:vAlign w:val="center"/>
          </w:tcPr>
          <w:p w14:paraId="4725FA2E">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266" w:type="dxa"/>
            <w:vAlign w:val="center"/>
          </w:tcPr>
          <w:p w14:paraId="065C5DCA">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废旧除尘布袋</w:t>
            </w:r>
          </w:p>
        </w:tc>
        <w:tc>
          <w:tcPr>
            <w:tcW w:w="1968" w:type="dxa"/>
            <w:vAlign w:val="center"/>
          </w:tcPr>
          <w:p w14:paraId="674902A8">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除尘器厂家回收</w:t>
            </w:r>
          </w:p>
        </w:tc>
        <w:tc>
          <w:tcPr>
            <w:tcW w:w="2651" w:type="dxa"/>
            <w:vMerge w:val="continue"/>
            <w:vAlign w:val="center"/>
          </w:tcPr>
          <w:p w14:paraId="23D30529">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r>
      <w:tr w14:paraId="5A983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177" w:type="dxa"/>
            <w:vMerge w:val="continue"/>
            <w:vAlign w:val="center"/>
          </w:tcPr>
          <w:p w14:paraId="37B00FFA">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vAlign w:val="center"/>
          </w:tcPr>
          <w:p w14:paraId="4558D47E">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生产线</w:t>
            </w:r>
          </w:p>
        </w:tc>
        <w:tc>
          <w:tcPr>
            <w:tcW w:w="1266" w:type="dxa"/>
            <w:vAlign w:val="center"/>
          </w:tcPr>
          <w:p w14:paraId="27D700C0">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不合格产品</w:t>
            </w:r>
          </w:p>
        </w:tc>
        <w:tc>
          <w:tcPr>
            <w:tcW w:w="1968" w:type="dxa"/>
            <w:vAlign w:val="center"/>
          </w:tcPr>
          <w:p w14:paraId="2E39D965">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项目原料中含有泥土、风化层等杂质，属于不合格产品，集中收集暂存于弃渣场，待服务期满后用于场地平整</w:t>
            </w:r>
          </w:p>
        </w:tc>
        <w:tc>
          <w:tcPr>
            <w:tcW w:w="2651" w:type="dxa"/>
            <w:vAlign w:val="center"/>
          </w:tcPr>
          <w:p w14:paraId="0F744C67">
            <w:pPr>
              <w:pStyle w:val="16"/>
              <w:bidi w:val="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4E746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Merge w:val="continue"/>
            <w:vAlign w:val="center"/>
          </w:tcPr>
          <w:p w14:paraId="7A2AEFE7">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p>
        </w:tc>
        <w:tc>
          <w:tcPr>
            <w:tcW w:w="1741" w:type="dxa"/>
            <w:vAlign w:val="center"/>
          </w:tcPr>
          <w:p w14:paraId="3FE580B9">
            <w:pPr>
              <w:pStyle w:val="16"/>
              <w:bidi w:val="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危险废物贮存点</w:t>
            </w:r>
          </w:p>
        </w:tc>
        <w:tc>
          <w:tcPr>
            <w:tcW w:w="1266" w:type="dxa"/>
            <w:vAlign w:val="center"/>
          </w:tcPr>
          <w:p w14:paraId="7A25DC79">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废润滑油</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废油桶、废防渗膜</w:t>
            </w:r>
          </w:p>
        </w:tc>
        <w:tc>
          <w:tcPr>
            <w:tcW w:w="1968" w:type="dxa"/>
            <w:vAlign w:val="center"/>
          </w:tcPr>
          <w:p w14:paraId="02D9A7A8">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危险废物临时储存在危险废弃物暂存间内，委托有资质单位定期回收</w:t>
            </w:r>
          </w:p>
        </w:tc>
        <w:tc>
          <w:tcPr>
            <w:tcW w:w="2651" w:type="dxa"/>
            <w:vAlign w:val="center"/>
          </w:tcPr>
          <w:p w14:paraId="71CB2307">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《危险废弃物贮存污染控制标准》（GB</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18597-2023）</w:t>
            </w:r>
          </w:p>
        </w:tc>
      </w:tr>
      <w:tr w14:paraId="783AD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Align w:val="center"/>
          </w:tcPr>
          <w:p w14:paraId="2B2F823F">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土壤及地下水污染防治措施</w:t>
            </w:r>
          </w:p>
        </w:tc>
        <w:tc>
          <w:tcPr>
            <w:tcW w:w="7626" w:type="dxa"/>
            <w:gridSpan w:val="4"/>
            <w:vAlign w:val="center"/>
          </w:tcPr>
          <w:p w14:paraId="57B844C2">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分区防渗：</w:t>
            </w:r>
          </w:p>
          <w:p w14:paraId="6328EA83">
            <w:pPr>
              <w:pStyle w:val="16"/>
              <w:bidi w:val="0"/>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危险废物贮存点</w:t>
            </w:r>
            <w:r>
              <w:rPr>
                <w:rFonts w:hint="default" w:ascii="Times New Roman" w:hAnsi="Times New Roman" w:cs="Times New Roman"/>
                <w:color w:val="000000" w:themeColor="text1"/>
                <w:sz w:val="24"/>
                <w:szCs w:val="24"/>
                <w:highlight w:val="none"/>
                <w14:textFill>
                  <w14:solidFill>
                    <w14:schemeClr w14:val="tx1"/>
                  </w14:solidFill>
                </w14:textFill>
              </w:rPr>
              <w:t>为重点防渗区，防渗层为至少1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14:textFill>
                  <w14:solidFill>
                    <w14:schemeClr w14:val="tx1"/>
                  </w14:solidFill>
                </w14:textFill>
              </w:rPr>
              <w:t>厚</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黏土</w:t>
            </w:r>
            <w:r>
              <w:rPr>
                <w:rFonts w:hint="default" w:ascii="Times New Roman" w:hAnsi="Times New Roman" w:cs="Times New Roman"/>
                <w:color w:val="000000" w:themeColor="text1"/>
                <w:sz w:val="24"/>
                <w:szCs w:val="24"/>
                <w:highlight w:val="none"/>
                <w14:textFill>
                  <w14:solidFill>
                    <w14:schemeClr w14:val="tx1"/>
                  </w14:solidFill>
                </w14:textFill>
              </w:rPr>
              <w:t>层，或2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mm</w:t>
            </w:r>
            <w:r>
              <w:rPr>
                <w:rFonts w:hint="default" w:ascii="Times New Roman" w:hAnsi="Times New Roman" w:cs="Times New Roman"/>
                <w:color w:val="000000" w:themeColor="text1"/>
                <w:sz w:val="24"/>
                <w:szCs w:val="24"/>
                <w:highlight w:val="none"/>
                <w14:textFill>
                  <w14:solidFill>
                    <w14:schemeClr w14:val="tx1"/>
                  </w14:solidFill>
                </w14:textFill>
              </w:rPr>
              <w:t>聚乙烯，或</w:t>
            </w:r>
            <w:r>
              <w:rPr>
                <w:rFonts w:hint="default" w:ascii="Times New Roman" w:hAnsi="Times New Roman" w:cs="Times New Roman"/>
                <w:color w:val="000000" w:themeColor="text1"/>
                <w:sz w:val="24"/>
                <w:szCs w:val="24"/>
                <w:highlight w:val="none"/>
                <w:lang w:eastAsia="zh-CN"/>
                <w14:textFill>
                  <w14:solidFill>
                    <w14:schemeClr w14:val="tx1"/>
                  </w14:solidFill>
                </w14:textFill>
              </w:rPr>
              <w:t>其他人工</w:t>
            </w:r>
            <w:r>
              <w:rPr>
                <w:rFonts w:hint="default" w:ascii="Times New Roman" w:hAnsi="Times New Roman" w:cs="Times New Roman"/>
                <w:color w:val="000000" w:themeColor="text1"/>
                <w:sz w:val="24"/>
                <w:szCs w:val="24"/>
                <w:highlight w:val="none"/>
                <w14:textFill>
                  <w14:solidFill>
                    <w14:schemeClr w14:val="tx1"/>
                  </w14:solidFill>
                </w14:textFill>
              </w:rPr>
              <w:t>材料，渗透系数≤10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-10</w:t>
            </w:r>
            <w:r>
              <w:rPr>
                <w:rFonts w:hint="default" w:ascii="Times New Roman" w:hAnsi="Times New Roman" w:cs="Times New Roman"/>
                <w:color w:val="000000" w:themeColor="text1"/>
                <w:sz w:val="24"/>
                <w:szCs w:val="24"/>
                <w:highlight w:val="none"/>
                <w14:textFill>
                  <w14:solidFill>
                    <w14:schemeClr w14:val="tx1"/>
                  </w14:solidFill>
                </w14:textFill>
              </w:rPr>
              <w:t>cm/s；</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洗车平台、沉淀池</w:t>
            </w:r>
            <w:r>
              <w:rPr>
                <w:rFonts w:hint="default" w:ascii="Times New Roman" w:hAnsi="Times New Roman" w:cs="Times New Roman"/>
                <w:color w:val="000000" w:themeColor="text1"/>
                <w:sz w:val="24"/>
                <w:szCs w:val="24"/>
                <w:highlight w:val="none"/>
                <w14:textFill>
                  <w14:solidFill>
                    <w14:schemeClr w14:val="tx1"/>
                  </w14:solidFill>
                </w14:textFill>
              </w:rPr>
              <w:t>一般防渗区，采用天然或人工材料构筑防渗层，防渗层的厚度应相当于渗透系数1.0×10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cm/s和厚度1.5m的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黏土</w:t>
            </w:r>
            <w:r>
              <w:rPr>
                <w:rFonts w:hint="default" w:ascii="Times New Roman" w:hAnsi="Times New Roman" w:cs="Times New Roman"/>
                <w:color w:val="000000" w:themeColor="text1"/>
                <w:sz w:val="24"/>
                <w:szCs w:val="24"/>
                <w:highlight w:val="none"/>
                <w14:textFill>
                  <w14:solidFill>
                    <w14:schemeClr w14:val="tx1"/>
                  </w14:solidFill>
                </w14:textFill>
              </w:rPr>
              <w:t>层的防渗性能；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生产车间</w:t>
            </w:r>
            <w:r>
              <w:rPr>
                <w:rFonts w:hint="default" w:ascii="Times New Roman" w:hAnsi="Times New Roman" w:cs="Times New Roman"/>
                <w:color w:val="000000" w:themeColor="text1"/>
                <w:sz w:val="24"/>
                <w:szCs w:val="24"/>
                <w:highlight w:val="none"/>
                <w14:textFill>
                  <w14:solidFill>
                    <w14:schemeClr w14:val="tx1"/>
                  </w14:solidFill>
                </w14:textFill>
              </w:rPr>
              <w:t>为简单防渗区，采用混凝土硬化。</w:t>
            </w:r>
          </w:p>
        </w:tc>
      </w:tr>
      <w:tr w14:paraId="3E0C8A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Align w:val="center"/>
          </w:tcPr>
          <w:p w14:paraId="3BB424E9">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生态保护措施</w:t>
            </w:r>
          </w:p>
        </w:tc>
        <w:tc>
          <w:tcPr>
            <w:tcW w:w="7626" w:type="dxa"/>
            <w:gridSpan w:val="4"/>
            <w:vAlign w:val="center"/>
          </w:tcPr>
          <w:p w14:paraId="411F32A7">
            <w:pPr>
              <w:pStyle w:val="16"/>
              <w:bidi w:val="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建设单位在服务期满后，需对厂区生产设备进行拆除，对厂区进行覆土恢复原貌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同时对弃渣场进行占地恢复。</w:t>
            </w:r>
          </w:p>
        </w:tc>
      </w:tr>
      <w:tr w14:paraId="77FCDD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Align w:val="center"/>
          </w:tcPr>
          <w:p w14:paraId="504C449D">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环境风险防范措施</w:t>
            </w:r>
          </w:p>
        </w:tc>
        <w:tc>
          <w:tcPr>
            <w:tcW w:w="7626" w:type="dxa"/>
            <w:gridSpan w:val="4"/>
            <w:vAlign w:val="center"/>
          </w:tcPr>
          <w:p w14:paraId="032DE8D7">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一、柴油贮存区风险防范措施</w:t>
            </w:r>
          </w:p>
          <w:p w14:paraId="2FC48F2D">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柴油贮存区地面采用硬化处理并设置防渗层，防渗层选用至少2mm厚高密度聚乙烯膜或等效防渗材料，渗透系数≤10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-10</w:t>
            </w:r>
            <w:r>
              <w:rPr>
                <w:rFonts w:hint="default" w:ascii="Times New Roman" w:hAnsi="Times New Roman" w:cs="Times New Roman"/>
                <w:color w:val="000000" w:themeColor="text1"/>
                <w:sz w:val="24"/>
                <w:szCs w:val="24"/>
                <w:highlight w:val="none"/>
                <w14:textFill>
                  <w14:solidFill>
                    <w14:schemeClr w14:val="tx1"/>
                  </w14:solidFill>
                </w14:textFill>
              </w:rPr>
              <w:t>cm/s，防止渗漏污染土壤和地下水。</w:t>
            </w:r>
          </w:p>
          <w:p w14:paraId="23F883C2">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配备防爆型通风设备、照明设施及消防器材（如干粉灭火器、灭火沙、消防毯），严禁明火和静电产生，区域内设置明显的</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禁止烟火</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易燃危险</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警示标识。</w:t>
            </w:r>
          </w:p>
          <w:p w14:paraId="1E7E450B">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建立定期巡检制度，每日检查储罐、阀门、管道有无泄漏，每周检测防渗层完整性，每月对消防设施进行维护保养。</w:t>
            </w:r>
          </w:p>
          <w:p w14:paraId="47F0085A">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二、</w:t>
            </w:r>
            <w:r>
              <w:rPr>
                <w:rFonts w:hint="eastAsia" w:cs="Times New Roman"/>
                <w:color w:val="000000" w:themeColor="text1"/>
                <w:sz w:val="24"/>
                <w:szCs w:val="24"/>
                <w:highlight w:val="none"/>
                <w:lang w:eastAsia="zh-CN"/>
                <w14:textFill>
                  <w14:solidFill>
                    <w14:schemeClr w14:val="tx1"/>
                  </w14:solidFill>
                </w14:textFill>
              </w:rPr>
              <w:t>危险废物贮存点</w:t>
            </w:r>
            <w:r>
              <w:rPr>
                <w:rFonts w:hint="default" w:ascii="Times New Roman" w:hAnsi="Times New Roman" w:cs="Times New Roman"/>
                <w:color w:val="000000" w:themeColor="text1"/>
                <w:sz w:val="24"/>
                <w:szCs w:val="24"/>
                <w:highlight w:val="none"/>
                <w14:textFill>
                  <w14:solidFill>
                    <w14:schemeClr w14:val="tx1"/>
                  </w14:solidFill>
                </w14:textFill>
              </w:rPr>
              <w:t>风险防范措施</w:t>
            </w:r>
          </w:p>
          <w:p w14:paraId="18F52673">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危险废物贮存点</w:t>
            </w:r>
            <w:r>
              <w:rPr>
                <w:rFonts w:hint="default" w:ascii="Times New Roman" w:hAnsi="Times New Roman" w:cs="Times New Roman"/>
                <w:color w:val="000000" w:themeColor="text1"/>
                <w:sz w:val="24"/>
                <w:szCs w:val="24"/>
                <w:highlight w:val="none"/>
                <w14:textFill>
                  <w14:solidFill>
                    <w14:schemeClr w14:val="tx1"/>
                  </w14:solidFill>
                </w14:textFill>
              </w:rPr>
              <w:t>按《危险废物贮存污染控制标准》（GB</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18597-2023）建设，面积不小于5m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，设置独立的通风系统和防渗地面。</w:t>
            </w:r>
          </w:p>
          <w:p w14:paraId="3E2A0B65">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地面及裙</w:t>
            </w:r>
            <w:r>
              <w:rPr>
                <w:rFonts w:hint="eastAsia" w:cs="Times New Roman"/>
                <w:color w:val="000000" w:themeColor="text1"/>
                <w:sz w:val="24"/>
                <w:szCs w:val="24"/>
                <w:highlight w:val="none"/>
                <w:lang w:val="en-US" w:eastAsia="zh-CN"/>
                <w14:textFill>
                  <w14:solidFill>
                    <w14:schemeClr w14:val="tx1"/>
                  </w14:solidFill>
                </w14:textFill>
              </w:rPr>
              <w:t>脚</w:t>
            </w:r>
            <w:r>
              <w:rPr>
                <w:rFonts w:hint="default" w:ascii="Times New Roman" w:hAnsi="Times New Roman" w:cs="Times New Roman"/>
                <w:color w:val="000000" w:themeColor="text1"/>
                <w:sz w:val="24"/>
                <w:szCs w:val="24"/>
                <w:highlight w:val="none"/>
                <w14:textFill>
                  <w14:solidFill>
                    <w14:schemeClr w14:val="tx1"/>
                  </w14:solidFill>
                </w14:textFill>
              </w:rPr>
              <w:t>采用抗渗混凝土浇筑，基础防渗层为1m厚黏土层（渗透系数≤10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cm/s）或2mm厚高密度聚乙烯膜，确保无裂隙、无渗漏。</w:t>
            </w:r>
          </w:p>
          <w:p w14:paraId="268E4017">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按废物类别分区存放废润滑油、废防渗膜，设置隔离设施避免不相容废物接触，各类危险废物容器粘贴规范的危险废物标签，注明成分、危害、产生单位等信息。配备防风、防雨、防晒设施，配备通讯设备、应急防护服装（防化服、防护手套、护目镜）及泄漏应急处理工具（吸附棉、吸油毡、收集桶），设置报警装置。</w:t>
            </w:r>
          </w:p>
          <w:p w14:paraId="793DB035">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三、泄漏事故收集措施</w:t>
            </w:r>
          </w:p>
          <w:p w14:paraId="76D5B3DF">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（一）柴油泄漏收集</w:t>
            </w:r>
          </w:p>
          <w:p w14:paraId="4E513CE4">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少量泄漏（地面局部渗漏）：立即停止柴油装卸作业，关闭储罐阀门，使用吸附棉、吸油毡覆盖泄漏区域，吸附后装入专用密闭容器，作为危险废物委托有资质单位处置。</w:t>
            </w:r>
          </w:p>
          <w:p w14:paraId="7F495902">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大量泄漏（围堰内积聚）：启动应急响应，疏散周边人员，切断区域电源，使用防爆型抽油泵将泄漏柴油抽至备用储罐，残留油污用吸油毡彻底清理，清理后的废物按危险废物管理。</w:t>
            </w:r>
          </w:p>
          <w:p w14:paraId="33DD2E44">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（二）废润滑油泄漏收集</w:t>
            </w:r>
          </w:p>
          <w:p w14:paraId="15D122EA">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废润滑油泄漏：迅速用吸附棉、吸油毡覆盖泄漏点，防止流淌，用铲子将吸附后的废油及受污染土壤收集至专用耐腐蚀容器中，容器加盖密封并粘贴危险废物标签。</w:t>
            </w:r>
          </w:p>
          <w:p w14:paraId="680B25F6">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废防渗膜残留污染物泄漏：及时收集散落的废防渗膜碎片，用专用清洁剂清理受污染地面，清洗废水收集至密闭容器，作为危险废物一同处置，确保无残留污染物渗入地下。</w:t>
            </w:r>
          </w:p>
        </w:tc>
      </w:tr>
      <w:tr w14:paraId="4DADB5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vAlign w:val="center"/>
          </w:tcPr>
          <w:p w14:paraId="0B483175">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其他环境</w:t>
            </w:r>
          </w:p>
          <w:p w14:paraId="11771334">
            <w:pPr>
              <w:pStyle w:val="16"/>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管理要求</w:t>
            </w:r>
          </w:p>
        </w:tc>
        <w:tc>
          <w:tcPr>
            <w:tcW w:w="7626" w:type="dxa"/>
            <w:gridSpan w:val="4"/>
            <w:vAlign w:val="center"/>
          </w:tcPr>
          <w:p w14:paraId="533C9FFE">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一、环境管理机构和职责</w:t>
            </w:r>
          </w:p>
          <w:p w14:paraId="19EEC554">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根据国家有关环境保护法规的要求和本项目生产的实际需要，建议该企业配备</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兼</w:t>
            </w:r>
            <w:r>
              <w:rPr>
                <w:rFonts w:hint="default" w:ascii="Times New Roman" w:hAnsi="Times New Roman" w:cs="Times New Roman"/>
                <w:color w:val="000000" w:themeColor="text1"/>
                <w:sz w:val="24"/>
                <w:szCs w:val="24"/>
                <w:highlight w:val="none"/>
                <w14:textFill>
                  <w14:solidFill>
                    <w14:schemeClr w14:val="tx1"/>
                  </w14:solidFill>
                </w14:textFill>
              </w:rPr>
              <w:t>职环保管理人员。环保管理人员应由熟悉企业排污状况、具备一定清洁生产知识、责任心强和组织协调能力强的人员担任，以利于监督管理，负责全厂的环境保护管理工作，发现问题能及时解决并向上级环保主管部门报告。</w:t>
            </w:r>
          </w:p>
          <w:p w14:paraId="5367A38A">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二、环境管理内容</w:t>
            </w:r>
          </w:p>
          <w:p w14:paraId="40BF396D">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（1）设置环境保护职责管理条例、废气排放管理制度、固废的管理与处置制度等环境管理制度；</w:t>
            </w:r>
          </w:p>
          <w:p w14:paraId="55541D00">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（2）督促和协助企业建立健全环境管理体系和</w:t>
            </w:r>
            <w:r>
              <w:rPr>
                <w:rFonts w:hint="default" w:ascii="Times New Roman" w:hAnsi="Times New Roman" w:cs="Times New Roman"/>
                <w:color w:val="000000" w:themeColor="text1"/>
                <w:sz w:val="24"/>
                <w:szCs w:val="24"/>
                <w:highlight w:val="none"/>
                <w:lang w:eastAsia="zh-CN"/>
                <w14:textFill>
                  <w14:solidFill>
                    <w14:schemeClr w14:val="tx1"/>
                  </w14:solidFill>
                </w14:textFill>
              </w:rPr>
              <w:t>配备管</w:t>
            </w:r>
            <w:r>
              <w:rPr>
                <w:rFonts w:hint="default" w:ascii="Times New Roman" w:hAnsi="Times New Roman" w:cs="Times New Roman"/>
                <w:color w:val="000000" w:themeColor="text1"/>
                <w:sz w:val="24"/>
                <w:szCs w:val="24"/>
                <w:highlight w:val="none"/>
                <w14:textFill>
                  <w14:solidFill>
                    <w14:schemeClr w14:val="tx1"/>
                  </w14:solidFill>
                </w14:textFill>
              </w:rPr>
              <w:t>理人员；</w:t>
            </w:r>
          </w:p>
          <w:p w14:paraId="15EC72D6">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（3）宣传国家、自治区、自治州有关环境保护方面的</w:t>
            </w:r>
            <w:r>
              <w:rPr>
                <w:rFonts w:hint="default" w:ascii="Times New Roman" w:hAnsi="Times New Roman" w:cs="Times New Roman"/>
                <w:color w:val="000000" w:themeColor="text1"/>
                <w:sz w:val="24"/>
                <w:szCs w:val="24"/>
                <w:highlight w:val="none"/>
                <w:lang w:eastAsia="zh-CN"/>
                <w14:textFill>
                  <w14:solidFill>
                    <w14:schemeClr w14:val="tx1"/>
                  </w14:solidFill>
                </w14:textFill>
              </w:rPr>
              <w:t>法律法规</w:t>
            </w:r>
            <w:r>
              <w:rPr>
                <w:rFonts w:hint="default" w:ascii="Times New Roman" w:hAnsi="Times New Roman" w:cs="Times New Roman"/>
                <w:color w:val="000000" w:themeColor="text1"/>
                <w:sz w:val="24"/>
                <w:szCs w:val="24"/>
                <w:highlight w:val="none"/>
                <w14:textFill>
                  <w14:solidFill>
                    <w14:schemeClr w14:val="tx1"/>
                  </w14:solidFill>
                </w14:textFill>
              </w:rPr>
              <w:t>和政策；</w:t>
            </w:r>
          </w:p>
          <w:p w14:paraId="2CED1692">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（4）实施</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三同时</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验收和污染物达标排放的监督管理；</w:t>
            </w:r>
          </w:p>
          <w:p w14:paraId="42164629">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（5）检查环保设施的</w:t>
            </w:r>
            <w:r>
              <w:rPr>
                <w:rFonts w:hint="default" w:ascii="Times New Roman" w:hAnsi="Times New Roman" w:cs="Times New Roman"/>
                <w:color w:val="000000" w:themeColor="text1"/>
                <w:sz w:val="24"/>
                <w:szCs w:val="24"/>
                <w:highlight w:val="none"/>
                <w:lang w:eastAsia="zh-CN"/>
                <w14:textFill>
                  <w14:solidFill>
                    <w14:schemeClr w14:val="tx1"/>
                  </w14:solidFill>
                </w14:textFill>
              </w:rPr>
              <w:t>运行状况</w:t>
            </w:r>
            <w:r>
              <w:rPr>
                <w:rFonts w:hint="default" w:ascii="Times New Roman" w:hAnsi="Times New Roman" w:cs="Times New Roman"/>
                <w:color w:val="000000" w:themeColor="text1"/>
                <w:sz w:val="24"/>
                <w:szCs w:val="24"/>
                <w:highlight w:val="none"/>
                <w14:textFill>
                  <w14:solidFill>
                    <w14:schemeClr w14:val="tx1"/>
                  </w14:solidFill>
                </w14:textFill>
              </w:rPr>
              <w:t>是否达标排放。</w:t>
            </w:r>
          </w:p>
          <w:p w14:paraId="02A1EBEE">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三、排污口规范化</w:t>
            </w:r>
          </w:p>
          <w:p w14:paraId="1636C02F">
            <w:pPr>
              <w:pStyle w:val="16"/>
              <w:bidi w:val="0"/>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根据国家标准《环境保护图形标志——排放口（源）》</w:t>
            </w:r>
            <w:r>
              <w:rPr>
                <w:rFonts w:hint="eastAsia" w:cs="Times New Roman"/>
                <w:color w:val="000000" w:themeColor="text1"/>
                <w:sz w:val="24"/>
                <w:szCs w:val="24"/>
                <w:highlight w:val="none"/>
                <w:lang w:eastAsia="zh-CN"/>
                <w14:textFill>
                  <w14:solidFill>
                    <w14:schemeClr w14:val="tx1"/>
                  </w14:solidFill>
                </w14:textFill>
              </w:rPr>
              <w:t>（GB 15562．1一1995）</w:t>
            </w:r>
            <w:r>
              <w:rPr>
                <w:rFonts w:hint="default" w:ascii="Times New Roman" w:hAnsi="Times New Roman" w:cs="Times New Roman"/>
                <w:color w:val="000000" w:themeColor="text1"/>
                <w:sz w:val="24"/>
                <w:szCs w:val="24"/>
                <w:highlight w:val="none"/>
                <w14:textFill>
                  <w14:solidFill>
                    <w14:schemeClr w14:val="tx1"/>
                  </w14:solidFill>
                </w14:textFill>
              </w:rPr>
              <w:t>和国家环保总局《排污口规范化整治要求（试行）》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环监〔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1996</w:t>
            </w:r>
            <w:r>
              <w:rPr>
                <w:rFonts w:hint="default" w:ascii="Times New Roman" w:hAnsi="Times New Roman" w:eastAsia="宋体" w:cs="Times New Roman"/>
                <w:color w:val="000000" w:themeColor="text1"/>
                <w:sz w:val="24"/>
                <w:szCs w:val="24"/>
                <w14:textFill>
                  <w14:solidFill>
                    <w14:schemeClr w14:val="tx1"/>
                  </w14:solidFill>
                </w14:textFill>
              </w:rPr>
              <w:t>〕470号</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的技术要求，本项目所有排放口，包括水、气、声、固体废物，必须按照</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便于计量监测、便于日常现场监督检查</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的原则和规范化要求，设置与之相适应的环境保护图形标志牌。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环境保护图形符号见表5-1。</w:t>
            </w:r>
          </w:p>
          <w:p w14:paraId="333914F1">
            <w:pPr>
              <w:pStyle w:val="18"/>
              <w:bidi w:val="0"/>
              <w:rPr>
                <w:rFonts w:hint="default" w:ascii="Times New Roman" w:hAnsi="Times New Roman" w:cs="Times New Roman"/>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表5-1  环境保护图形符号一览表</w:t>
            </w:r>
          </w:p>
          <w:tbl>
            <w:tblPr>
              <w:tblStyle w:val="11"/>
              <w:tblW w:w="4997"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392"/>
              <w:gridCol w:w="1589"/>
              <w:gridCol w:w="1707"/>
              <w:gridCol w:w="1211"/>
              <w:gridCol w:w="2497"/>
            </w:tblGrid>
            <w:tr w14:paraId="7305182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65" w:type="pct"/>
                  <w:tcBorders>
                    <w:tl2br w:val="nil"/>
                    <w:tr2bl w:val="nil"/>
                  </w:tcBorders>
                  <w:noWrap w:val="0"/>
                  <w:vAlign w:val="center"/>
                </w:tcPr>
                <w:p w14:paraId="3D3010BF">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序号</w:t>
                  </w:r>
                </w:p>
              </w:tc>
              <w:tc>
                <w:tcPr>
                  <w:tcW w:w="1074" w:type="pct"/>
                  <w:tcBorders>
                    <w:tl2br w:val="nil"/>
                    <w:tr2bl w:val="nil"/>
                  </w:tcBorders>
                  <w:noWrap w:val="0"/>
                  <w:vAlign w:val="center"/>
                </w:tcPr>
                <w:p w14:paraId="32C6993D">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提示图形符号</w:t>
                  </w:r>
                </w:p>
              </w:tc>
              <w:tc>
                <w:tcPr>
                  <w:tcW w:w="1154" w:type="pct"/>
                  <w:tcBorders>
                    <w:tl2br w:val="nil"/>
                    <w:tr2bl w:val="nil"/>
                  </w:tcBorders>
                  <w:noWrap w:val="0"/>
                  <w:vAlign w:val="center"/>
                </w:tcPr>
                <w:p w14:paraId="0514C517">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警告图形符号</w:t>
                  </w:r>
                </w:p>
              </w:tc>
              <w:tc>
                <w:tcPr>
                  <w:tcW w:w="818" w:type="pct"/>
                  <w:tcBorders>
                    <w:tl2br w:val="nil"/>
                    <w:tr2bl w:val="nil"/>
                  </w:tcBorders>
                  <w:noWrap w:val="0"/>
                  <w:vAlign w:val="center"/>
                </w:tcPr>
                <w:p w14:paraId="4F2B1230">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名称</w:t>
                  </w:r>
                </w:p>
              </w:tc>
              <w:tc>
                <w:tcPr>
                  <w:tcW w:w="1688" w:type="pct"/>
                  <w:tcBorders>
                    <w:tl2br w:val="nil"/>
                    <w:tr2bl w:val="nil"/>
                  </w:tcBorders>
                  <w:noWrap w:val="0"/>
                  <w:vAlign w:val="center"/>
                </w:tcPr>
                <w:p w14:paraId="6C3FD15F">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功能</w:t>
                  </w:r>
                </w:p>
              </w:tc>
            </w:tr>
            <w:tr w14:paraId="75DAA6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590" w:hRule="atLeast"/>
                <w:jc w:val="center"/>
              </w:trPr>
              <w:tc>
                <w:tcPr>
                  <w:tcW w:w="265" w:type="pct"/>
                  <w:tcBorders>
                    <w:tl2br w:val="nil"/>
                    <w:tr2bl w:val="nil"/>
                  </w:tcBorders>
                  <w:noWrap w:val="0"/>
                  <w:vAlign w:val="center"/>
                </w:tcPr>
                <w:p w14:paraId="66A7A0FE">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w:t>
                  </w:r>
                </w:p>
              </w:tc>
              <w:tc>
                <w:tcPr>
                  <w:tcW w:w="1074" w:type="pct"/>
                  <w:tcBorders>
                    <w:tl2br w:val="nil"/>
                    <w:tr2bl w:val="nil"/>
                  </w:tcBorders>
                  <w:noWrap w:val="0"/>
                  <w:vAlign w:val="center"/>
                </w:tcPr>
                <w:p w14:paraId="0EC9D915">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1006475" cy="1005840"/>
                        <wp:effectExtent l="0" t="0" r="14605"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38"/>
                                <a:stretch>
                                  <a:fillRect/>
                                </a:stretch>
                              </pic:blipFill>
                              <pic:spPr>
                                <a:xfrm>
                                  <a:off x="0" y="0"/>
                                  <a:ext cx="1006475" cy="1005840"/>
                                </a:xfrm>
                                <a:prstGeom prst="rect">
                                  <a:avLst/>
                                </a:prstGeom>
                                <a:noFill/>
                                <a:ln>
                                  <a:noFill/>
                                </a:ln>
                              </pic:spPr>
                            </pic:pic>
                          </a:graphicData>
                        </a:graphic>
                      </wp:inline>
                    </w:drawing>
                  </w:r>
                </w:p>
              </w:tc>
              <w:tc>
                <w:tcPr>
                  <w:tcW w:w="1154" w:type="pct"/>
                  <w:tcBorders>
                    <w:tl2br w:val="nil"/>
                    <w:tr2bl w:val="nil"/>
                  </w:tcBorders>
                  <w:noWrap w:val="0"/>
                  <w:vAlign w:val="center"/>
                </w:tcPr>
                <w:p w14:paraId="2CFCB5A0">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1008380" cy="817880"/>
                        <wp:effectExtent l="0" t="0" r="12700" b="508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39"/>
                                <a:stretch>
                                  <a:fillRect/>
                                </a:stretch>
                              </pic:blipFill>
                              <pic:spPr>
                                <a:xfrm>
                                  <a:off x="0" y="0"/>
                                  <a:ext cx="1008380" cy="817880"/>
                                </a:xfrm>
                                <a:prstGeom prst="rect">
                                  <a:avLst/>
                                </a:prstGeom>
                                <a:noFill/>
                                <a:ln>
                                  <a:noFill/>
                                </a:ln>
                              </pic:spPr>
                            </pic:pic>
                          </a:graphicData>
                        </a:graphic>
                      </wp:inline>
                    </w:drawing>
                  </w:r>
                </w:p>
              </w:tc>
              <w:tc>
                <w:tcPr>
                  <w:tcW w:w="818" w:type="pct"/>
                  <w:tcBorders>
                    <w:tl2br w:val="nil"/>
                    <w:tr2bl w:val="nil"/>
                  </w:tcBorders>
                  <w:noWrap w:val="0"/>
                  <w:vAlign w:val="center"/>
                </w:tcPr>
                <w:p w14:paraId="48F8BCB4">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一般固体废物</w:t>
                  </w:r>
                </w:p>
              </w:tc>
              <w:tc>
                <w:tcPr>
                  <w:tcW w:w="1688" w:type="pct"/>
                  <w:tcBorders>
                    <w:tl2br w:val="nil"/>
                    <w:tr2bl w:val="nil"/>
                  </w:tcBorders>
                  <w:noWrap w:val="0"/>
                  <w:vAlign w:val="center"/>
                </w:tcPr>
                <w:p w14:paraId="3AAB293E">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表示一般固体废物贮存、处置场</w:t>
                  </w:r>
                </w:p>
              </w:tc>
            </w:tr>
            <w:tr w14:paraId="7D8BE4D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590" w:hRule="atLeast"/>
                <w:jc w:val="center"/>
              </w:trPr>
              <w:tc>
                <w:tcPr>
                  <w:tcW w:w="265" w:type="pct"/>
                  <w:tcBorders>
                    <w:tl2br w:val="nil"/>
                    <w:tr2bl w:val="nil"/>
                  </w:tcBorders>
                  <w:noWrap w:val="0"/>
                  <w:vAlign w:val="center"/>
                </w:tcPr>
                <w:p w14:paraId="16B3CB0D">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p>
              </w:tc>
              <w:tc>
                <w:tcPr>
                  <w:tcW w:w="2228" w:type="pct"/>
                  <w:gridSpan w:val="2"/>
                  <w:tcBorders>
                    <w:tl2br w:val="nil"/>
                    <w:tr2bl w:val="nil"/>
                  </w:tcBorders>
                  <w:noWrap w:val="0"/>
                  <w:vAlign w:val="center"/>
                </w:tcPr>
                <w:p w14:paraId="7392FFD6">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440690</wp:posOffset>
                        </wp:positionH>
                        <wp:positionV relativeFrom="paragraph">
                          <wp:posOffset>-22225</wp:posOffset>
                        </wp:positionV>
                        <wp:extent cx="1000760" cy="885825"/>
                        <wp:effectExtent l="0" t="0" r="5080" b="13335"/>
                        <wp:wrapSquare wrapText="bothSides"/>
                        <wp:docPr id="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0"/>
                                <pic:cNvPicPr>
                                  <a:picLocks noChangeAspect="1"/>
                                </pic:cNvPicPr>
                              </pic:nvPicPr>
                              <pic:blipFill>
                                <a:blip r:embed="rId40"/>
                                <a:stretch>
                                  <a:fillRect/>
                                </a:stretch>
                              </pic:blipFill>
                              <pic:spPr>
                                <a:xfrm>
                                  <a:off x="0" y="0"/>
                                  <a:ext cx="1000760" cy="885825"/>
                                </a:xfrm>
                                <a:prstGeom prst="rect">
                                  <a:avLst/>
                                </a:prstGeom>
                                <a:noFill/>
                                <a:ln>
                                  <a:noFill/>
                                </a:ln>
                              </pic:spPr>
                            </pic:pic>
                          </a:graphicData>
                        </a:graphic>
                      </wp:anchor>
                    </w:drawing>
                  </w:r>
                </w:p>
              </w:tc>
              <w:tc>
                <w:tcPr>
                  <w:tcW w:w="818" w:type="pct"/>
                  <w:tcBorders>
                    <w:tl2br w:val="nil"/>
                    <w:tr2bl w:val="nil"/>
                  </w:tcBorders>
                  <w:noWrap w:val="0"/>
                  <w:vAlign w:val="center"/>
                </w:tcPr>
                <w:p w14:paraId="67A4EE1E">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危险废物</w:t>
                  </w:r>
                </w:p>
              </w:tc>
              <w:tc>
                <w:tcPr>
                  <w:tcW w:w="1688" w:type="pct"/>
                  <w:tcBorders>
                    <w:tl2br w:val="nil"/>
                    <w:tr2bl w:val="nil"/>
                  </w:tcBorders>
                  <w:noWrap w:val="0"/>
                  <w:vAlign w:val="center"/>
                </w:tcPr>
                <w:p w14:paraId="4B16175D">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表示危险废物贮存、处置场警告图形符号</w:t>
                  </w:r>
                </w:p>
              </w:tc>
            </w:tr>
            <w:tr w14:paraId="091A41A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439" w:hRule="atLeast"/>
                <w:jc w:val="center"/>
              </w:trPr>
              <w:tc>
                <w:tcPr>
                  <w:tcW w:w="265" w:type="pct"/>
                  <w:tcBorders>
                    <w:tl2br w:val="nil"/>
                    <w:tr2bl w:val="nil"/>
                  </w:tcBorders>
                  <w:noWrap w:val="0"/>
                  <w:vAlign w:val="center"/>
                </w:tcPr>
                <w:p w14:paraId="76EA63BA">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w:t>
                  </w:r>
                </w:p>
              </w:tc>
              <w:tc>
                <w:tcPr>
                  <w:tcW w:w="1074" w:type="pct"/>
                  <w:tcBorders>
                    <w:tl2br w:val="nil"/>
                    <w:tr2bl w:val="nil"/>
                  </w:tcBorders>
                  <w:noWrap w:val="0"/>
                  <w:vAlign w:val="center"/>
                </w:tcPr>
                <w:p w14:paraId="60F0670D">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1005840" cy="914400"/>
                        <wp:effectExtent l="0" t="0" r="0"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41"/>
                                <a:stretch>
                                  <a:fillRect/>
                                </a:stretch>
                              </pic:blipFill>
                              <pic:spPr>
                                <a:xfrm>
                                  <a:off x="0" y="0"/>
                                  <a:ext cx="1005840" cy="914400"/>
                                </a:xfrm>
                                <a:prstGeom prst="rect">
                                  <a:avLst/>
                                </a:prstGeom>
                                <a:noFill/>
                                <a:ln>
                                  <a:noFill/>
                                </a:ln>
                              </pic:spPr>
                            </pic:pic>
                          </a:graphicData>
                        </a:graphic>
                      </wp:inline>
                    </w:drawing>
                  </w:r>
                </w:p>
              </w:tc>
              <w:tc>
                <w:tcPr>
                  <w:tcW w:w="1154" w:type="pct"/>
                  <w:tcBorders>
                    <w:tl2br w:val="nil"/>
                    <w:tr2bl w:val="nil"/>
                  </w:tcBorders>
                  <w:noWrap w:val="0"/>
                  <w:vAlign w:val="center"/>
                </w:tcPr>
                <w:p w14:paraId="3591612A">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1003935" cy="821690"/>
                        <wp:effectExtent l="0" t="0" r="1905"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2"/>
                                <a:stretch>
                                  <a:fillRect/>
                                </a:stretch>
                              </pic:blipFill>
                              <pic:spPr>
                                <a:xfrm>
                                  <a:off x="0" y="0"/>
                                  <a:ext cx="1003935" cy="821690"/>
                                </a:xfrm>
                                <a:prstGeom prst="rect">
                                  <a:avLst/>
                                </a:prstGeom>
                                <a:noFill/>
                                <a:ln>
                                  <a:noFill/>
                                </a:ln>
                              </pic:spPr>
                            </pic:pic>
                          </a:graphicData>
                        </a:graphic>
                      </wp:inline>
                    </w:drawing>
                  </w:r>
                </w:p>
              </w:tc>
              <w:tc>
                <w:tcPr>
                  <w:tcW w:w="818" w:type="pct"/>
                  <w:tcBorders>
                    <w:tl2br w:val="nil"/>
                    <w:tr2bl w:val="nil"/>
                  </w:tcBorders>
                  <w:noWrap w:val="0"/>
                  <w:vAlign w:val="center"/>
                </w:tcPr>
                <w:p w14:paraId="50691A2F">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噪声源</w:t>
                  </w:r>
                </w:p>
              </w:tc>
              <w:tc>
                <w:tcPr>
                  <w:tcW w:w="1688" w:type="pct"/>
                  <w:tcBorders>
                    <w:tl2br w:val="nil"/>
                    <w:tr2bl w:val="nil"/>
                  </w:tcBorders>
                  <w:noWrap w:val="0"/>
                  <w:vAlign w:val="center"/>
                </w:tcPr>
                <w:p w14:paraId="6941EB65">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表示噪声向外环境排放</w:t>
                  </w:r>
                </w:p>
              </w:tc>
            </w:tr>
            <w:tr w14:paraId="5FDFD7E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439" w:hRule="atLeast"/>
                <w:jc w:val="center"/>
              </w:trPr>
              <w:tc>
                <w:tcPr>
                  <w:tcW w:w="265" w:type="pct"/>
                  <w:tcBorders>
                    <w:tl2br w:val="nil"/>
                    <w:tr2bl w:val="nil"/>
                  </w:tcBorders>
                  <w:noWrap w:val="0"/>
                  <w:vAlign w:val="center"/>
                </w:tcPr>
                <w:p w14:paraId="748714F9">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w:t>
                  </w:r>
                </w:p>
              </w:tc>
              <w:tc>
                <w:tcPr>
                  <w:tcW w:w="1074" w:type="pct"/>
                  <w:tcBorders>
                    <w:tl2br w:val="nil"/>
                    <w:tr2bl w:val="nil"/>
                  </w:tcBorders>
                  <w:noWrap w:val="0"/>
                  <w:vAlign w:val="center"/>
                </w:tcPr>
                <w:p w14:paraId="538D9879">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962025" cy="1200150"/>
                        <wp:effectExtent l="0" t="0" r="13335" b="381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43"/>
                                <a:stretch>
                                  <a:fillRect/>
                                </a:stretch>
                              </pic:blipFill>
                              <pic:spPr>
                                <a:xfrm>
                                  <a:off x="0" y="0"/>
                                  <a:ext cx="962025" cy="1200150"/>
                                </a:xfrm>
                                <a:prstGeom prst="rect">
                                  <a:avLst/>
                                </a:prstGeom>
                                <a:noFill/>
                                <a:ln>
                                  <a:noFill/>
                                </a:ln>
                              </pic:spPr>
                            </pic:pic>
                          </a:graphicData>
                        </a:graphic>
                      </wp:inline>
                    </w:drawing>
                  </w:r>
                </w:p>
              </w:tc>
              <w:tc>
                <w:tcPr>
                  <w:tcW w:w="1154" w:type="pct"/>
                  <w:tcBorders>
                    <w:tl2br w:val="nil"/>
                    <w:tr2bl w:val="nil"/>
                  </w:tcBorders>
                  <w:noWrap w:val="0"/>
                  <w:vAlign w:val="center"/>
                </w:tcPr>
                <w:p w14:paraId="3240EB07">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1019175" cy="1171575"/>
                        <wp:effectExtent l="0" t="0" r="1905" b="190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44"/>
                                <a:stretch>
                                  <a:fillRect/>
                                </a:stretch>
                              </pic:blipFill>
                              <pic:spPr>
                                <a:xfrm>
                                  <a:off x="0" y="0"/>
                                  <a:ext cx="1019175" cy="1171575"/>
                                </a:xfrm>
                                <a:prstGeom prst="rect">
                                  <a:avLst/>
                                </a:prstGeom>
                                <a:noFill/>
                                <a:ln>
                                  <a:noFill/>
                                </a:ln>
                              </pic:spPr>
                            </pic:pic>
                          </a:graphicData>
                        </a:graphic>
                      </wp:inline>
                    </w:drawing>
                  </w:r>
                </w:p>
              </w:tc>
              <w:tc>
                <w:tcPr>
                  <w:tcW w:w="818" w:type="pct"/>
                  <w:tcBorders>
                    <w:tl2br w:val="nil"/>
                    <w:tr2bl w:val="nil"/>
                  </w:tcBorders>
                  <w:noWrap w:val="0"/>
                  <w:vAlign w:val="center"/>
                </w:tcPr>
                <w:p w14:paraId="7089C0DC">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废气排放口</w:t>
                  </w:r>
                </w:p>
              </w:tc>
              <w:tc>
                <w:tcPr>
                  <w:tcW w:w="1688" w:type="pct"/>
                  <w:tcBorders>
                    <w:tl2br w:val="nil"/>
                    <w:tr2bl w:val="nil"/>
                  </w:tcBorders>
                  <w:noWrap w:val="0"/>
                  <w:vAlign w:val="center"/>
                </w:tcPr>
                <w:p w14:paraId="237443E3">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表示废气向外环境排放</w:t>
                  </w:r>
                </w:p>
              </w:tc>
            </w:tr>
            <w:tr w14:paraId="626B0F1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439" w:hRule="atLeast"/>
                <w:jc w:val="center"/>
              </w:trPr>
              <w:tc>
                <w:tcPr>
                  <w:tcW w:w="265" w:type="pct"/>
                  <w:tcBorders>
                    <w:tl2br w:val="nil"/>
                    <w:tr2bl w:val="nil"/>
                  </w:tcBorders>
                  <w:noWrap w:val="0"/>
                  <w:vAlign w:val="center"/>
                </w:tcPr>
                <w:p w14:paraId="3FD45182">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5</w:t>
                  </w:r>
                </w:p>
              </w:tc>
              <w:tc>
                <w:tcPr>
                  <w:tcW w:w="2228" w:type="pct"/>
                  <w:gridSpan w:val="2"/>
                  <w:tcBorders>
                    <w:tl2br w:val="nil"/>
                    <w:tr2bl w:val="nil"/>
                  </w:tcBorders>
                  <w:noWrap w:val="0"/>
                  <w:vAlign w:val="center"/>
                </w:tcPr>
                <w:p w14:paraId="0A5BFD01">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1002665" cy="948055"/>
                        <wp:effectExtent l="0" t="0" r="6985" b="4445"/>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45"/>
                                <a:stretch>
                                  <a:fillRect/>
                                </a:stretch>
                              </pic:blipFill>
                              <pic:spPr>
                                <a:xfrm>
                                  <a:off x="0" y="0"/>
                                  <a:ext cx="1002665" cy="948055"/>
                                </a:xfrm>
                                <a:prstGeom prst="rect">
                                  <a:avLst/>
                                </a:prstGeom>
                                <a:noFill/>
                                <a:ln>
                                  <a:noFill/>
                                </a:ln>
                              </pic:spPr>
                            </pic:pic>
                          </a:graphicData>
                        </a:graphic>
                      </wp:inline>
                    </w:drawing>
                  </w:r>
                </w:p>
              </w:tc>
              <w:tc>
                <w:tcPr>
                  <w:tcW w:w="818" w:type="pct"/>
                  <w:tcBorders>
                    <w:tl2br w:val="nil"/>
                    <w:tr2bl w:val="nil"/>
                  </w:tcBorders>
                  <w:noWrap w:val="0"/>
                  <w:vAlign w:val="center"/>
                </w:tcPr>
                <w:p w14:paraId="78B82ED6">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废水排放口</w:t>
                  </w:r>
                </w:p>
              </w:tc>
              <w:tc>
                <w:tcPr>
                  <w:tcW w:w="1688" w:type="pct"/>
                  <w:tcBorders>
                    <w:tl2br w:val="nil"/>
                    <w:tr2bl w:val="nil"/>
                  </w:tcBorders>
                  <w:noWrap w:val="0"/>
                  <w:vAlign w:val="center"/>
                </w:tcPr>
                <w:p w14:paraId="749A11C9">
                  <w:pPr>
                    <w:pStyle w:val="16"/>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表示废</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向外环境排放</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（本项目无自有废水排放口）</w:t>
                  </w:r>
                </w:p>
              </w:tc>
            </w:tr>
          </w:tbl>
          <w:p w14:paraId="11BC3504">
            <w:pPr>
              <w:pStyle w:val="16"/>
              <w:bidi w:val="0"/>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四、</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排污许可</w:t>
            </w:r>
          </w:p>
          <w:p w14:paraId="7F7C5348">
            <w:pPr>
              <w:pStyle w:val="16"/>
              <w:bidi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排污许可管理办法（试行）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生态环境部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令 第48号</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《固定污染源排污许可分类管理名录</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2019年版</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》，本项目属于名录内</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二十五</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非金属矿物制品业</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64</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砖瓦、石材等建筑材料制造303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3039其他建筑材料制造</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，实行排污许可</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简化</w:t>
            </w:r>
            <w:r>
              <w:rPr>
                <w:rFonts w:hint="default" w:ascii="Times New Roman" w:hAnsi="Times New Roman" w:cs="Times New Roman"/>
                <w:color w:val="000000" w:themeColor="text1"/>
                <w:sz w:val="24"/>
                <w:szCs w:val="24"/>
                <w:highlight w:val="none"/>
                <w14:textFill>
                  <w14:solidFill>
                    <w14:schemeClr w14:val="tx1"/>
                  </w14:solidFill>
                </w14:textFill>
              </w:rPr>
              <w:t>管理，并要求投产前办理排污许可</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证</w:t>
            </w:r>
            <w:r>
              <w:rPr>
                <w:rFonts w:hint="default" w:ascii="Times New Roman" w:hAnsi="Times New Roman" w:cs="Times New Roman"/>
                <w:color w:val="000000" w:themeColor="text1"/>
                <w:sz w:val="24"/>
                <w:szCs w:val="24"/>
                <w:highlight w:val="none"/>
                <w14:textFill>
                  <w14:solidFill>
                    <w14:schemeClr w14:val="tx1"/>
                  </w14:solidFill>
                </w14:textFill>
              </w:rPr>
              <w:t>。</w:t>
            </w:r>
          </w:p>
        </w:tc>
      </w:tr>
    </w:tbl>
    <w:p w14:paraId="087519BD">
      <w:pPr>
        <w:jc w:val="center"/>
        <w:outlineLvl w:val="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br w:type="page"/>
      </w:r>
      <w:r>
        <w:rPr>
          <w:rFonts w:hint="default" w:ascii="Times New Roman" w:hAnsi="Times New Roman" w:eastAsia="黑体" w:cs="Times New Roman"/>
          <w:color w:val="000000" w:themeColor="text1"/>
          <w:sz w:val="30"/>
          <w:szCs w:val="30"/>
          <w:highlight w:val="none"/>
          <w14:textFill>
            <w14:solidFill>
              <w14:schemeClr w14:val="tx1"/>
            </w14:solidFill>
          </w14:textFill>
        </w:rPr>
        <w:t>六、结论</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C633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47F2B5F0">
            <w:pPr>
              <w:spacing w:line="360" w:lineRule="auto"/>
              <w:ind w:firstLine="482" w:firstLineChars="200"/>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14:textFill>
                  <w14:solidFill>
                    <w14:schemeClr w14:val="tx1"/>
                  </w14:solidFill>
                </w14:textFill>
              </w:rPr>
              <w:t>综合评价结论</w:t>
            </w:r>
          </w:p>
          <w:p w14:paraId="5D73C49B">
            <w:pPr>
              <w:spacing w:line="360" w:lineRule="auto"/>
              <w:ind w:firstLine="480" w:firstLineChars="20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项目建设符合国家产业政策，选址较为合理。项目符合当地经济结构的调整要求，在促进地区经济方面具有一定的作用。严格执行国家环保政策和各项规章管理制度，并切实落实本报告表中提出的各项环保措施</w:t>
            </w:r>
            <w:r>
              <w:rPr>
                <w:rFonts w:hint="default" w:ascii="Times New Roman" w:hAnsi="Times New Roman" w:cs="Times New Roman"/>
                <w:color w:val="000000" w:themeColor="text1"/>
                <w:highlight w:val="none"/>
                <w:lang w:eastAsia="zh-CN"/>
                <w14:textFill>
                  <w14:solidFill>
                    <w14:schemeClr w14:val="tx1"/>
                  </w14:solidFill>
                </w14:textFill>
              </w:rPr>
              <w:t>，在</w:t>
            </w:r>
            <w:r>
              <w:rPr>
                <w:rFonts w:hint="default" w:ascii="Times New Roman" w:hAnsi="Times New Roman" w:eastAsia="宋体" w:cs="Times New Roman"/>
                <w:color w:val="000000" w:themeColor="text1"/>
                <w:highlight w:val="none"/>
                <w14:textFill>
                  <w14:solidFill>
                    <w14:schemeClr w14:val="tx1"/>
                  </w14:solidFill>
                </w14:textFill>
              </w:rPr>
              <w:t>保证环保设施正常运转的条件下，从环境保护的角度分析是可行的。</w:t>
            </w:r>
            <w:r>
              <w:rPr>
                <w:rFonts w:ascii="宋体" w:hAnsi="宋体" w:eastAsia="宋体" w:cs="宋体"/>
                <w:color w:val="000000" w:themeColor="text1"/>
                <w:sz w:val="24"/>
                <w:szCs w:val="24"/>
                <w14:textFill>
                  <w14:solidFill>
                    <w14:schemeClr w14:val="tx1"/>
                  </w14:solidFill>
                </w14:textFill>
              </w:rPr>
              <w:t>本项目为临时性工程，仅服务伊阿铁路建设周期</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服务期满后必须全部拆除生产加工设备、建（构）筑物</w:t>
            </w:r>
            <w:r>
              <w:rPr>
                <w:rFonts w:hint="eastAsia" w:ascii="宋体" w:hAnsi="宋体" w:eastAsia="宋体" w:cs="宋体"/>
                <w:color w:val="000000" w:themeColor="text1"/>
                <w:sz w:val="24"/>
                <w:szCs w:val="24"/>
                <w:lang w:eastAsia="zh-CN"/>
                <w14:textFill>
                  <w14:solidFill>
                    <w14:schemeClr w14:val="tx1"/>
                  </w14:solidFill>
                </w14:textFill>
              </w:rPr>
              <w:t>。</w:t>
            </w:r>
          </w:p>
        </w:tc>
      </w:tr>
    </w:tbl>
    <w:p w14:paraId="093B3ED5">
      <w:pPr>
        <w:rPr>
          <w:rFonts w:hint="default" w:ascii="Times New Roman" w:hAnsi="Times New Roman" w:cs="Times New Roman"/>
          <w:color w:val="000000" w:themeColor="text1"/>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82F4A98">
      <w:pPr>
        <w:jc w:val="center"/>
        <w:outlineLvl w:val="0"/>
        <w:rPr>
          <w:rFonts w:hint="default" w:ascii="Times New Roman" w:hAnsi="Times New Roman" w:eastAsia="方正小标宋_GBK" w:cs="Times New Roman"/>
          <w:color w:val="000000" w:themeColor="text1"/>
          <w:sz w:val="38"/>
          <w:szCs w:val="38"/>
          <w:highlight w:val="none"/>
          <w14:textFill>
            <w14:solidFill>
              <w14:schemeClr w14:val="tx1"/>
            </w14:solidFill>
          </w14:textFill>
        </w:rPr>
      </w:pPr>
      <w:r>
        <w:rPr>
          <w:rFonts w:hint="default" w:ascii="Times New Roman" w:hAnsi="Times New Roman" w:eastAsia="方正小标宋_GBK" w:cs="Times New Roman"/>
          <w:color w:val="000000" w:themeColor="text1"/>
          <w:sz w:val="38"/>
          <w:szCs w:val="38"/>
          <w:highlight w:val="none"/>
          <w14:textFill>
            <w14:solidFill>
              <w14:schemeClr w14:val="tx1"/>
            </w14:solidFill>
          </w14:textFill>
        </w:rPr>
        <w:t>建设项目污染物排放量汇总表</w:t>
      </w:r>
    </w:p>
    <w:tbl>
      <w:tblPr>
        <w:tblStyle w:val="11"/>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1852"/>
        <w:gridCol w:w="1515"/>
        <w:gridCol w:w="1545"/>
        <w:gridCol w:w="1725"/>
        <w:gridCol w:w="1605"/>
        <w:gridCol w:w="1267"/>
        <w:gridCol w:w="1527"/>
        <w:gridCol w:w="1615"/>
      </w:tblGrid>
      <w:tr w14:paraId="4AB8F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37" w:type="dxa"/>
            <w:tcBorders>
              <w:tl2br w:val="single" w:color="auto" w:sz="4" w:space="0"/>
            </w:tcBorders>
            <w:tcMar>
              <w:left w:w="28" w:type="dxa"/>
              <w:right w:w="28" w:type="dxa"/>
            </w:tcMar>
            <w:vAlign w:val="center"/>
          </w:tcPr>
          <w:p w14:paraId="71179E6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right"/>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项目</w:t>
            </w:r>
          </w:p>
          <w:p w14:paraId="21717327">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分类</w:t>
            </w:r>
          </w:p>
        </w:tc>
        <w:tc>
          <w:tcPr>
            <w:tcW w:w="1852" w:type="dxa"/>
            <w:tcMar>
              <w:left w:w="28" w:type="dxa"/>
              <w:right w:w="28" w:type="dxa"/>
            </w:tcMar>
            <w:vAlign w:val="center"/>
          </w:tcPr>
          <w:p w14:paraId="2034692E">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污染物名称</w:t>
            </w:r>
          </w:p>
        </w:tc>
        <w:tc>
          <w:tcPr>
            <w:tcW w:w="1515" w:type="dxa"/>
            <w:tcMar>
              <w:left w:w="28" w:type="dxa"/>
              <w:right w:w="28" w:type="dxa"/>
            </w:tcMar>
            <w:vAlign w:val="center"/>
          </w:tcPr>
          <w:p w14:paraId="230DA1C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现有工程</w:t>
            </w:r>
          </w:p>
          <w:p w14:paraId="5D502514">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排放量（固体废物产生量）</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instrText xml:space="preserve"> = 1 \* GB3 \* MERGEFORMAT </w:instrTex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①</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end"/>
            </w:r>
          </w:p>
        </w:tc>
        <w:tc>
          <w:tcPr>
            <w:tcW w:w="1545" w:type="dxa"/>
            <w:tcMar>
              <w:left w:w="28" w:type="dxa"/>
              <w:right w:w="28" w:type="dxa"/>
            </w:tcMar>
            <w:vAlign w:val="center"/>
          </w:tcPr>
          <w:p w14:paraId="43BCDA3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现有工程</w:t>
            </w:r>
          </w:p>
          <w:p w14:paraId="5E15667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许可排放量</w:t>
            </w:r>
          </w:p>
          <w:p w14:paraId="2A1DFA9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instrText xml:space="preserve"> = 2 \* GB3 \* MERGEFORMAT </w:instrTex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②</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end"/>
            </w:r>
          </w:p>
        </w:tc>
        <w:tc>
          <w:tcPr>
            <w:tcW w:w="1725" w:type="dxa"/>
            <w:tcMar>
              <w:left w:w="28" w:type="dxa"/>
              <w:right w:w="28" w:type="dxa"/>
            </w:tcMar>
            <w:vAlign w:val="center"/>
          </w:tcPr>
          <w:p w14:paraId="47AAB401">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在建工程</w:t>
            </w:r>
          </w:p>
          <w:p w14:paraId="2B7EEA0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排放量（固体废物产生量）</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instrText xml:space="preserve"> = 3 \* GB3 \* MERGEFORMAT </w:instrTex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③</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end"/>
            </w:r>
          </w:p>
        </w:tc>
        <w:tc>
          <w:tcPr>
            <w:tcW w:w="1605" w:type="dxa"/>
            <w:tcMar>
              <w:left w:w="28" w:type="dxa"/>
              <w:right w:w="28" w:type="dxa"/>
            </w:tcMar>
            <w:vAlign w:val="center"/>
          </w:tcPr>
          <w:p w14:paraId="757CFA7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本项目</w:t>
            </w:r>
          </w:p>
          <w:p w14:paraId="01ACB7D0">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排放量（固体废物产生量）</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instrText xml:space="preserve"> = 4 \* GB3 \* MERGEFORMAT </w:instrTex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④</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end"/>
            </w:r>
          </w:p>
        </w:tc>
        <w:tc>
          <w:tcPr>
            <w:tcW w:w="1267" w:type="dxa"/>
            <w:tcMar>
              <w:left w:w="28" w:type="dxa"/>
              <w:right w:w="28" w:type="dxa"/>
            </w:tcMar>
            <w:vAlign w:val="center"/>
          </w:tcPr>
          <w:p w14:paraId="7932E300">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t>以新带老削减量</w:t>
            </w:r>
          </w:p>
          <w:p w14:paraId="2E52F88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t>（新建项目不填）</w:t>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instrText xml:space="preserve"> = 5 \* GB3 \* MERGEFORMAT </w:instrText>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⑤</w:t>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fldChar w:fldCharType="end"/>
            </w:r>
          </w:p>
        </w:tc>
        <w:tc>
          <w:tcPr>
            <w:tcW w:w="1527" w:type="dxa"/>
            <w:tcMar>
              <w:left w:w="28" w:type="dxa"/>
              <w:right w:w="28" w:type="dxa"/>
            </w:tcMar>
            <w:vAlign w:val="center"/>
          </w:tcPr>
          <w:p w14:paraId="7141CFEB">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t>本项目建成后</w:t>
            </w:r>
          </w:p>
          <w:p w14:paraId="323CA1C5">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t>全厂排放量（固体废物产生量）</w:t>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instrText xml:space="preserve"> = 6 \* GB3 \* MERGEFORMAT </w:instrText>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⑥</w:t>
            </w:r>
            <w:r>
              <w:rPr>
                <w:rFonts w:hint="default" w:ascii="Times New Roman" w:hAnsi="Times New Roman" w:eastAsia="宋体" w:cs="Times New Roman"/>
                <w:color w:val="000000" w:themeColor="text1"/>
                <w:spacing w:val="-16"/>
                <w:kern w:val="21"/>
                <w:sz w:val="21"/>
                <w:szCs w:val="21"/>
                <w:highlight w:val="none"/>
                <w14:textFill>
                  <w14:solidFill>
                    <w14:schemeClr w14:val="tx1"/>
                  </w14:solidFill>
                </w14:textFill>
              </w:rPr>
              <w:fldChar w:fldCharType="end"/>
            </w:r>
          </w:p>
        </w:tc>
        <w:tc>
          <w:tcPr>
            <w:tcW w:w="1615" w:type="dxa"/>
            <w:tcMar>
              <w:left w:w="28" w:type="dxa"/>
              <w:right w:w="28" w:type="dxa"/>
            </w:tcMar>
            <w:vAlign w:val="center"/>
          </w:tcPr>
          <w:p w14:paraId="6DBE812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t>变化量</w:t>
            </w:r>
          </w:p>
          <w:p w14:paraId="148FB57E">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instrText xml:space="preserve"> = 7 \* GB3 \* MERGEFORMAT </w:instrTex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⑦</w:t>
            </w:r>
            <w:r>
              <w:rPr>
                <w:rFonts w:hint="default" w:ascii="Times New Roman" w:hAnsi="Times New Roman" w:eastAsia="宋体" w:cs="Times New Roman"/>
                <w:color w:val="000000" w:themeColor="text1"/>
                <w:spacing w:val="-6"/>
                <w:kern w:val="21"/>
                <w:sz w:val="21"/>
                <w:szCs w:val="21"/>
                <w:highlight w:val="none"/>
                <w14:textFill>
                  <w14:solidFill>
                    <w14:schemeClr w14:val="tx1"/>
                  </w14:solidFill>
                </w14:textFill>
              </w:rPr>
              <w:fldChar w:fldCharType="end"/>
            </w:r>
          </w:p>
        </w:tc>
      </w:tr>
      <w:tr w14:paraId="296E4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restart"/>
            <w:vAlign w:val="center"/>
          </w:tcPr>
          <w:p w14:paraId="0EA9EB34">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废气</w:t>
            </w:r>
          </w:p>
        </w:tc>
        <w:tc>
          <w:tcPr>
            <w:tcW w:w="1852" w:type="dxa"/>
            <w:vAlign w:val="center"/>
          </w:tcPr>
          <w:p w14:paraId="72D3E12E">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无组织颗粒物</w:t>
            </w:r>
          </w:p>
        </w:tc>
        <w:tc>
          <w:tcPr>
            <w:tcW w:w="1515" w:type="dxa"/>
            <w:vAlign w:val="center"/>
          </w:tcPr>
          <w:p w14:paraId="1900348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6C40D71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044F7224">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shd w:val="clear" w:color="auto" w:fill="auto"/>
            <w:vAlign w:val="center"/>
          </w:tcPr>
          <w:p w14:paraId="19B5F16E">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i w:val="0"/>
                <w:iCs w:val="0"/>
                <w:snapToGrid w:val="0"/>
                <w:color w:val="000000" w:themeColor="text1"/>
                <w:kern w:val="0"/>
                <w:sz w:val="22"/>
                <w:szCs w:val="22"/>
                <w:highlight w:val="none"/>
                <w:u w:val="none"/>
                <w:lang w:val="en-US" w:eastAsia="zh-CN" w:bidi="ar-SA"/>
                <w14:textFill>
                  <w14:solidFill>
                    <w14:schemeClr w14:val="tx1"/>
                  </w14:solidFill>
                </w14:textFill>
                <w14:ligatures w14:val="none"/>
              </w:rPr>
            </w:pPr>
            <w:r>
              <w:rPr>
                <w:rFonts w:hint="eastAsia" w:cs="Times New Roman"/>
                <w:color w:val="000000" w:themeColor="text1"/>
                <w:sz w:val="21"/>
                <w:szCs w:val="21"/>
                <w:highlight w:val="none"/>
                <w:lang w:val="en-US" w:eastAsia="zh-CN"/>
                <w14:textFill>
                  <w14:solidFill>
                    <w14:schemeClr w14:val="tx1"/>
                  </w14:solidFill>
                </w14:textFill>
              </w:rPr>
              <w:t>4.19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c>
          <w:tcPr>
            <w:tcW w:w="1267" w:type="dxa"/>
            <w:vAlign w:val="center"/>
          </w:tcPr>
          <w:p w14:paraId="2EA97F6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26CB240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4.19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c>
          <w:tcPr>
            <w:tcW w:w="1615" w:type="dxa"/>
            <w:vAlign w:val="center"/>
          </w:tcPr>
          <w:p w14:paraId="08F448C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4.19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r>
      <w:tr w14:paraId="7E5284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continue"/>
            <w:vAlign w:val="center"/>
          </w:tcPr>
          <w:p w14:paraId="09D3B440">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p>
        </w:tc>
        <w:tc>
          <w:tcPr>
            <w:tcW w:w="1852" w:type="dxa"/>
            <w:vAlign w:val="center"/>
          </w:tcPr>
          <w:p w14:paraId="729754CB">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有</w:t>
            </w: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组织颗粒物</w:t>
            </w:r>
          </w:p>
        </w:tc>
        <w:tc>
          <w:tcPr>
            <w:tcW w:w="1515" w:type="dxa"/>
            <w:vAlign w:val="center"/>
          </w:tcPr>
          <w:p w14:paraId="1BBA2E13">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w:t>
            </w:r>
          </w:p>
        </w:tc>
        <w:tc>
          <w:tcPr>
            <w:tcW w:w="1545" w:type="dxa"/>
            <w:vAlign w:val="center"/>
          </w:tcPr>
          <w:p w14:paraId="62445D40">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w:t>
            </w:r>
          </w:p>
        </w:tc>
        <w:tc>
          <w:tcPr>
            <w:tcW w:w="1725" w:type="dxa"/>
            <w:vAlign w:val="center"/>
          </w:tcPr>
          <w:p w14:paraId="1CE606D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w:t>
            </w:r>
          </w:p>
        </w:tc>
        <w:tc>
          <w:tcPr>
            <w:tcW w:w="1605" w:type="dxa"/>
            <w:vAlign w:val="center"/>
          </w:tcPr>
          <w:p w14:paraId="6B031C8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c>
          <w:tcPr>
            <w:tcW w:w="1267" w:type="dxa"/>
            <w:vAlign w:val="center"/>
          </w:tcPr>
          <w:p w14:paraId="3B409E4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w:t>
            </w:r>
          </w:p>
        </w:tc>
        <w:tc>
          <w:tcPr>
            <w:tcW w:w="1527" w:type="dxa"/>
            <w:vAlign w:val="center"/>
          </w:tcPr>
          <w:p w14:paraId="7C9F398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c>
          <w:tcPr>
            <w:tcW w:w="1615" w:type="dxa"/>
            <w:vAlign w:val="center"/>
          </w:tcPr>
          <w:p w14:paraId="50E2777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3.7</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r>
      <w:tr w14:paraId="3BD7B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restart"/>
            <w:vAlign w:val="center"/>
          </w:tcPr>
          <w:p w14:paraId="0BAB9F6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废水</w:t>
            </w:r>
          </w:p>
        </w:tc>
        <w:tc>
          <w:tcPr>
            <w:tcW w:w="1852" w:type="dxa"/>
            <w:vAlign w:val="center"/>
          </w:tcPr>
          <w:p w14:paraId="7D9B82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w:t>
            </w:r>
          </w:p>
        </w:tc>
        <w:tc>
          <w:tcPr>
            <w:tcW w:w="1515" w:type="dxa"/>
            <w:vAlign w:val="center"/>
          </w:tcPr>
          <w:p w14:paraId="06FE51F7">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129FAE8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1069A32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60E289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0.07</w:t>
            </w:r>
            <w:r>
              <w:rPr>
                <w:rFonts w:hint="eastAsia" w:cs="Times New Roman"/>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p>
        </w:tc>
        <w:tc>
          <w:tcPr>
            <w:tcW w:w="1267" w:type="dxa"/>
            <w:vAlign w:val="center"/>
          </w:tcPr>
          <w:p w14:paraId="7287846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7FBD86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0.07</w:t>
            </w:r>
            <w:r>
              <w:rPr>
                <w:rFonts w:hint="eastAsia" w:cs="Times New Roman"/>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p>
        </w:tc>
        <w:tc>
          <w:tcPr>
            <w:tcW w:w="1615" w:type="dxa"/>
            <w:vAlign w:val="center"/>
          </w:tcPr>
          <w:p w14:paraId="484267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+0.07</w:t>
            </w:r>
            <w:r>
              <w:rPr>
                <w:rFonts w:hint="eastAsia" w:cs="Times New Roman"/>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p>
        </w:tc>
      </w:tr>
      <w:tr w14:paraId="488BA3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continue"/>
            <w:vAlign w:val="center"/>
          </w:tcPr>
          <w:p w14:paraId="089E11C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p>
        </w:tc>
        <w:tc>
          <w:tcPr>
            <w:tcW w:w="1852" w:type="dxa"/>
            <w:vAlign w:val="center"/>
          </w:tcPr>
          <w:p w14:paraId="3F2553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BOD</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5</w:t>
            </w:r>
          </w:p>
        </w:tc>
        <w:tc>
          <w:tcPr>
            <w:tcW w:w="1515" w:type="dxa"/>
            <w:vAlign w:val="center"/>
          </w:tcPr>
          <w:p w14:paraId="25A7ACD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67670A51">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79B20433">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1597BE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0.05</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602A6B08">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54E90F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0.05</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70375A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+0.05</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4263B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continue"/>
            <w:vAlign w:val="center"/>
          </w:tcPr>
          <w:p w14:paraId="78FC8E3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p>
        </w:tc>
        <w:tc>
          <w:tcPr>
            <w:tcW w:w="1852" w:type="dxa"/>
            <w:vAlign w:val="center"/>
          </w:tcPr>
          <w:p w14:paraId="065EB7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SS</w:t>
            </w:r>
          </w:p>
        </w:tc>
        <w:tc>
          <w:tcPr>
            <w:tcW w:w="1515" w:type="dxa"/>
            <w:vAlign w:val="center"/>
          </w:tcPr>
          <w:p w14:paraId="0785B54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22C157F4">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76B9F56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3E8D8B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0745747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023E3E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5418D8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2ACD5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continue"/>
            <w:vAlign w:val="center"/>
          </w:tcPr>
          <w:p w14:paraId="139424E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p>
        </w:tc>
        <w:tc>
          <w:tcPr>
            <w:tcW w:w="1852" w:type="dxa"/>
            <w:vAlign w:val="center"/>
          </w:tcPr>
          <w:p w14:paraId="640654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-N</w:t>
            </w:r>
          </w:p>
        </w:tc>
        <w:tc>
          <w:tcPr>
            <w:tcW w:w="1515" w:type="dxa"/>
            <w:vAlign w:val="center"/>
          </w:tcPr>
          <w:p w14:paraId="5B3176A4">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2EC2AE2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357968B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5B0A3F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0.01</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1980135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129964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0.01</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1B1EA5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+0.01</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335DB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restart"/>
            <w:vAlign w:val="center"/>
          </w:tcPr>
          <w:p w14:paraId="069A1C7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一般工业</w:t>
            </w:r>
          </w:p>
          <w:p w14:paraId="69A542E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固体废物</w:t>
            </w:r>
          </w:p>
        </w:tc>
        <w:tc>
          <w:tcPr>
            <w:tcW w:w="1852" w:type="dxa"/>
            <w:vAlign w:val="center"/>
          </w:tcPr>
          <w:p w14:paraId="3A800CA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收集粉尘</w:t>
            </w:r>
          </w:p>
        </w:tc>
        <w:tc>
          <w:tcPr>
            <w:tcW w:w="1515" w:type="dxa"/>
            <w:vAlign w:val="center"/>
          </w:tcPr>
          <w:p w14:paraId="074CB2EB">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5697555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0A80012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2D51C9F3">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409.76</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5624CBB3">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5B041B1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409.76</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43F44FC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w:t>
            </w:r>
            <w:r>
              <w:rPr>
                <w:rFonts w:hint="eastAsia" w:cs="Times New Roman"/>
                <w:color w:val="000000" w:themeColor="text1"/>
                <w:kern w:val="21"/>
                <w:sz w:val="21"/>
                <w:szCs w:val="21"/>
                <w:highlight w:val="none"/>
                <w:lang w:val="en-US" w:eastAsia="zh-CN"/>
                <w14:textFill>
                  <w14:solidFill>
                    <w14:schemeClr w14:val="tx1"/>
                  </w14:solidFill>
                </w14:textFill>
              </w:rPr>
              <w:t>409.76</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5F2A41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continue"/>
            <w:vAlign w:val="center"/>
          </w:tcPr>
          <w:p w14:paraId="50EB8EC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p>
        </w:tc>
        <w:tc>
          <w:tcPr>
            <w:tcW w:w="1852" w:type="dxa"/>
            <w:vAlign w:val="center"/>
          </w:tcPr>
          <w:p w14:paraId="02439EF0">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不合格产品</w:t>
            </w:r>
          </w:p>
        </w:tc>
        <w:tc>
          <w:tcPr>
            <w:tcW w:w="1515" w:type="dxa"/>
            <w:vAlign w:val="center"/>
          </w:tcPr>
          <w:p w14:paraId="516A2791">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0</w:t>
            </w:r>
          </w:p>
        </w:tc>
        <w:tc>
          <w:tcPr>
            <w:tcW w:w="1545" w:type="dxa"/>
            <w:vAlign w:val="center"/>
          </w:tcPr>
          <w:p w14:paraId="73AAB63A">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0</w:t>
            </w:r>
          </w:p>
        </w:tc>
        <w:tc>
          <w:tcPr>
            <w:tcW w:w="1725" w:type="dxa"/>
            <w:vAlign w:val="center"/>
          </w:tcPr>
          <w:p w14:paraId="553418B2">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0</w:t>
            </w:r>
          </w:p>
        </w:tc>
        <w:tc>
          <w:tcPr>
            <w:tcW w:w="1605" w:type="dxa"/>
            <w:vAlign w:val="center"/>
          </w:tcPr>
          <w:p w14:paraId="5FB7D7B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19290.24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63A9E507">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w:t>
            </w:r>
          </w:p>
        </w:tc>
        <w:tc>
          <w:tcPr>
            <w:tcW w:w="1527" w:type="dxa"/>
            <w:vAlign w:val="center"/>
          </w:tcPr>
          <w:p w14:paraId="0797B8F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eastAsia"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19290.24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75CEB534">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+19290.24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45017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37" w:type="dxa"/>
            <w:vMerge w:val="continue"/>
            <w:vAlign w:val="center"/>
          </w:tcPr>
          <w:p w14:paraId="399D4C38">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p>
        </w:tc>
        <w:tc>
          <w:tcPr>
            <w:tcW w:w="1852" w:type="dxa"/>
            <w:vAlign w:val="center"/>
          </w:tcPr>
          <w:p w14:paraId="36486E79">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生活垃圾</w:t>
            </w:r>
          </w:p>
        </w:tc>
        <w:tc>
          <w:tcPr>
            <w:tcW w:w="1515" w:type="dxa"/>
            <w:vAlign w:val="center"/>
          </w:tcPr>
          <w:p w14:paraId="6983F99F">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7C2FE5E3">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6CD334EB">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3CCCFE2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0.84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525A454E">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1CB47E6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0.84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7562A3E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+0.84</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25A1C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137" w:type="dxa"/>
            <w:vAlign w:val="center"/>
          </w:tcPr>
          <w:p w14:paraId="3B14C67B">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危险废物</w:t>
            </w:r>
          </w:p>
        </w:tc>
        <w:tc>
          <w:tcPr>
            <w:tcW w:w="1852" w:type="dxa"/>
            <w:vAlign w:val="center"/>
          </w:tcPr>
          <w:p w14:paraId="71E86FF7">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eastAsia="zh-CN"/>
                <w14:textFill>
                  <w14:solidFill>
                    <w14:schemeClr w14:val="tx1"/>
                  </w14:solidFill>
                </w14:textFill>
              </w:rPr>
              <w:t>废润滑油</w:t>
            </w: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废油桶、废防渗膜</w:t>
            </w:r>
          </w:p>
        </w:tc>
        <w:tc>
          <w:tcPr>
            <w:tcW w:w="1515" w:type="dxa"/>
            <w:vAlign w:val="center"/>
          </w:tcPr>
          <w:p w14:paraId="534B703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545" w:type="dxa"/>
            <w:vAlign w:val="center"/>
          </w:tcPr>
          <w:p w14:paraId="6C971C38">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725" w:type="dxa"/>
            <w:vAlign w:val="center"/>
          </w:tcPr>
          <w:p w14:paraId="20EC680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0</w:t>
            </w:r>
          </w:p>
        </w:tc>
        <w:tc>
          <w:tcPr>
            <w:tcW w:w="1605" w:type="dxa"/>
            <w:vAlign w:val="center"/>
          </w:tcPr>
          <w:p w14:paraId="3EDB35FC">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0.21</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267" w:type="dxa"/>
            <w:vAlign w:val="center"/>
          </w:tcPr>
          <w:p w14:paraId="7CA932F3">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w:t>
            </w:r>
          </w:p>
        </w:tc>
        <w:tc>
          <w:tcPr>
            <w:tcW w:w="1527" w:type="dxa"/>
            <w:vAlign w:val="center"/>
          </w:tcPr>
          <w:p w14:paraId="00127476">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0.21</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1615" w:type="dxa"/>
            <w:vAlign w:val="center"/>
          </w:tcPr>
          <w:p w14:paraId="70C8A12D">
            <w:pPr>
              <w:pStyle w:val="1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+0.21</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bl>
    <w:p w14:paraId="5C8F39B8">
      <w:pPr>
        <w:pStyle w:val="16"/>
        <w:spacing w:beforeLines="0" w:afterLines="0"/>
        <w:jc w:val="left"/>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kern w:val="21"/>
          <w:szCs w:val="21"/>
          <w:highlight w:val="none"/>
          <w14:textFill>
            <w14:solidFill>
              <w14:schemeClr w14:val="tx1"/>
            </w14:solidFill>
          </w14:textFill>
        </w:rPr>
        <w:t>注：</w: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16"/>
          <w:kern w:val="21"/>
          <w:szCs w:val="21"/>
          <w:highlight w:val="none"/>
          <w14:textFill>
            <w14:solidFill>
              <w14:schemeClr w14:val="tx1"/>
            </w14:solidFill>
          </w14:textFill>
        </w:rPr>
        <w:t>=</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6"/>
          <w:kern w:val="21"/>
          <w:szCs w:val="21"/>
          <w:highlight w:val="none"/>
          <w14:textFill>
            <w14:solidFill>
              <w14:schemeClr w14:val="tx1"/>
            </w14:solidFill>
          </w14:textFill>
        </w:rPr>
        <w:t>+</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6"/>
          <w:kern w:val="21"/>
          <w:szCs w:val="21"/>
          <w:highlight w:val="none"/>
          <w14:textFill>
            <w14:solidFill>
              <w14:schemeClr w14:val="tx1"/>
            </w14:solidFill>
          </w14:textFill>
        </w:rPr>
        <w:t>+</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④</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6"/>
          <w:kern w:val="21"/>
          <w:szCs w:val="21"/>
          <w:highlight w:val="none"/>
          <w14:textFill>
            <w14:solidFill>
              <w14:schemeClr w14:val="tx1"/>
            </w14:solidFill>
          </w14:textFill>
        </w:rPr>
        <w:t>-</w: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⑤</w: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16"/>
          <w:kern w:val="21"/>
          <w:szCs w:val="21"/>
          <w:highlight w:val="none"/>
          <w14:textFill>
            <w14:solidFill>
              <w14:schemeClr w14:val="tx1"/>
            </w14:solidFill>
          </w14:textFill>
        </w:rPr>
        <w:t>；</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⑦</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6"/>
          <w:kern w:val="21"/>
          <w:szCs w:val="21"/>
          <w:highlight w:val="none"/>
          <w14:textFill>
            <w14:solidFill>
              <w14:schemeClr w14:val="tx1"/>
            </w14:solidFill>
          </w14:textFill>
        </w:rPr>
        <w:t>=</w: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color w:val="000000" w:themeColor="text1"/>
          <w:spacing w:val="-16"/>
          <w:kern w:val="21"/>
          <w:szCs w:val="21"/>
          <w:highlight w:val="none"/>
          <w14:textFill>
            <w14:solidFill>
              <w14:schemeClr w14:val="tx1"/>
            </w14:solidFill>
          </w14:textFill>
        </w:rPr>
        <w:t>-</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color w:val="000000" w:themeColor="text1"/>
          <w:spacing w:val="-6"/>
          <w:kern w:val="21"/>
          <w:szCs w:val="21"/>
          <w:highlight w:val="none"/>
          <w14:textFill>
            <w14:solidFill>
              <w14:schemeClr w14:val="tx1"/>
            </w14:solidFill>
          </w14:textFill>
        </w:rPr>
        <w:fldChar w:fldCharType="end"/>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70D37">
    <w:pPr>
      <w:tabs>
        <w:tab w:val="center" w:pos="4153"/>
        <w:tab w:val="right" w:pos="8306"/>
      </w:tabs>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55281">
    <w:pPr>
      <w:framePr w:wrap="around" w:vAnchor="text" w:hAnchor="margin" w:xAlign="center" w:y="1"/>
      <w:tabs>
        <w:tab w:val="center" w:pos="4153"/>
        <w:tab w:val="right" w:pos="8306"/>
      </w:tabs>
    </w:pPr>
    <w:r>
      <w:fldChar w:fldCharType="begin"/>
    </w:r>
    <w:r>
      <w:instrText xml:space="preserve">PAGE  </w:instrText>
    </w:r>
    <w:r>
      <w:fldChar w:fldCharType="end"/>
    </w:r>
  </w:p>
  <w:p w14:paraId="137D7ED9">
    <w:pPr>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43714">
    <w:pPr>
      <w:tabs>
        <w:tab w:val="center" w:pos="4153"/>
        <w:tab w:val="right" w:pos="8306"/>
      </w:tabs>
      <w:jc w:val="center"/>
    </w:pPr>
    <w:r>
      <w:fldChar w:fldCharType="begin"/>
    </w:r>
    <w:r>
      <w:instrText xml:space="preserve">PAGE   \* MERGEFORMAT</w:instrText>
    </w:r>
    <w:r>
      <w:fldChar w:fldCharType="separate"/>
    </w:r>
    <w:r>
      <w:rPr>
        <w:lang w:val="zh-CN"/>
      </w:rPr>
      <w:t>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C91DC">
    <w:pPr>
      <w:tabs>
        <w:tab w:val="center" w:pos="4153"/>
        <w:tab w:val="right" w:pos="8306"/>
      </w:tabs>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DC24B">
    <w:pPr>
      <w:tabs>
        <w:tab w:val="center" w:pos="4153"/>
        <w:tab w:val="right" w:pos="8306"/>
      </w:tabs>
      <w:jc w:val="center"/>
    </w:pPr>
    <w:r>
      <w:fldChar w:fldCharType="begin"/>
    </w:r>
    <w:r>
      <w:instrText xml:space="preserve">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37993">
    <w:pP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C899DF"/>
    <w:multiLevelType w:val="singleLevel"/>
    <w:tmpl w:val="C5C899DF"/>
    <w:lvl w:ilvl="0" w:tentative="0">
      <w:start w:val="1"/>
      <w:numFmt w:val="decimal"/>
      <w:suff w:val="nothing"/>
      <w:lvlText w:val="%1"/>
      <w:lvlJc w:val="left"/>
      <w:pPr>
        <w:tabs>
          <w:tab w:val="left" w:pos="0"/>
        </w:tabs>
        <w:ind w:left="425" w:hanging="425"/>
      </w:pPr>
      <w:rPr>
        <w:rFonts w:hint="default"/>
      </w:rPr>
    </w:lvl>
  </w:abstractNum>
  <w:abstractNum w:abstractNumId="1">
    <w:nsid w:val="53A41D3C"/>
    <w:multiLevelType w:val="singleLevel"/>
    <w:tmpl w:val="53A41D3C"/>
    <w:lvl w:ilvl="0" w:tentative="0">
      <w:start w:val="13"/>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890F2C"/>
    <w:rsid w:val="000B0568"/>
    <w:rsid w:val="000C1690"/>
    <w:rsid w:val="001A7C69"/>
    <w:rsid w:val="001C0E60"/>
    <w:rsid w:val="00371C72"/>
    <w:rsid w:val="0041551E"/>
    <w:rsid w:val="004D714B"/>
    <w:rsid w:val="004F1E3F"/>
    <w:rsid w:val="00500950"/>
    <w:rsid w:val="00535E7A"/>
    <w:rsid w:val="005515F2"/>
    <w:rsid w:val="00681D0D"/>
    <w:rsid w:val="00813B32"/>
    <w:rsid w:val="00890F2C"/>
    <w:rsid w:val="008930D5"/>
    <w:rsid w:val="00C76BA4"/>
    <w:rsid w:val="00E05FE3"/>
    <w:rsid w:val="00ED2F5C"/>
    <w:rsid w:val="011526E4"/>
    <w:rsid w:val="01341807"/>
    <w:rsid w:val="01B464A4"/>
    <w:rsid w:val="020C0B8A"/>
    <w:rsid w:val="027D02FE"/>
    <w:rsid w:val="02FC34C3"/>
    <w:rsid w:val="03073477"/>
    <w:rsid w:val="03404493"/>
    <w:rsid w:val="0356161D"/>
    <w:rsid w:val="035B1C63"/>
    <w:rsid w:val="04041965"/>
    <w:rsid w:val="040A684F"/>
    <w:rsid w:val="04B1359A"/>
    <w:rsid w:val="04B86163"/>
    <w:rsid w:val="04E55251"/>
    <w:rsid w:val="05313CA5"/>
    <w:rsid w:val="056050F8"/>
    <w:rsid w:val="0582764B"/>
    <w:rsid w:val="05A04C5A"/>
    <w:rsid w:val="05B12C95"/>
    <w:rsid w:val="05B30F86"/>
    <w:rsid w:val="05FB6F31"/>
    <w:rsid w:val="061A5470"/>
    <w:rsid w:val="062903D7"/>
    <w:rsid w:val="06293DA5"/>
    <w:rsid w:val="066F0D8B"/>
    <w:rsid w:val="06936FD0"/>
    <w:rsid w:val="06CD24E2"/>
    <w:rsid w:val="06F1735E"/>
    <w:rsid w:val="075014F5"/>
    <w:rsid w:val="079F62E2"/>
    <w:rsid w:val="07A843F9"/>
    <w:rsid w:val="07B13B57"/>
    <w:rsid w:val="07BC2556"/>
    <w:rsid w:val="086F533E"/>
    <w:rsid w:val="087827F5"/>
    <w:rsid w:val="08852948"/>
    <w:rsid w:val="08C01BD2"/>
    <w:rsid w:val="096C0438"/>
    <w:rsid w:val="09797E6E"/>
    <w:rsid w:val="0A9C11A5"/>
    <w:rsid w:val="0ABF65E6"/>
    <w:rsid w:val="0B210216"/>
    <w:rsid w:val="0B2B77D7"/>
    <w:rsid w:val="0B45008E"/>
    <w:rsid w:val="0BE56CB4"/>
    <w:rsid w:val="0C021824"/>
    <w:rsid w:val="0CA737D5"/>
    <w:rsid w:val="0CA769A4"/>
    <w:rsid w:val="0CB2041D"/>
    <w:rsid w:val="0CD62A3A"/>
    <w:rsid w:val="0D572FAD"/>
    <w:rsid w:val="0D760E3E"/>
    <w:rsid w:val="0E707BF7"/>
    <w:rsid w:val="0E8735C4"/>
    <w:rsid w:val="0E94690E"/>
    <w:rsid w:val="0EAF35B4"/>
    <w:rsid w:val="0F003C56"/>
    <w:rsid w:val="0F557518"/>
    <w:rsid w:val="0F6B6D3C"/>
    <w:rsid w:val="0F904ADF"/>
    <w:rsid w:val="0FAD6BDD"/>
    <w:rsid w:val="114F09E2"/>
    <w:rsid w:val="11610223"/>
    <w:rsid w:val="11643A43"/>
    <w:rsid w:val="11A879CB"/>
    <w:rsid w:val="11E1462E"/>
    <w:rsid w:val="125A3098"/>
    <w:rsid w:val="127855B5"/>
    <w:rsid w:val="129014CA"/>
    <w:rsid w:val="13C63D50"/>
    <w:rsid w:val="141334FE"/>
    <w:rsid w:val="142D33D5"/>
    <w:rsid w:val="14432035"/>
    <w:rsid w:val="14893B61"/>
    <w:rsid w:val="14FC66CB"/>
    <w:rsid w:val="15AF63D8"/>
    <w:rsid w:val="15C75962"/>
    <w:rsid w:val="16247C45"/>
    <w:rsid w:val="167D744E"/>
    <w:rsid w:val="16A6101D"/>
    <w:rsid w:val="16ED307D"/>
    <w:rsid w:val="173C1341"/>
    <w:rsid w:val="175B4D0D"/>
    <w:rsid w:val="17A548C7"/>
    <w:rsid w:val="18474AFD"/>
    <w:rsid w:val="18673679"/>
    <w:rsid w:val="189317E1"/>
    <w:rsid w:val="18C234D2"/>
    <w:rsid w:val="18FC2770"/>
    <w:rsid w:val="190366AF"/>
    <w:rsid w:val="19307E98"/>
    <w:rsid w:val="199C51C6"/>
    <w:rsid w:val="19C62AAD"/>
    <w:rsid w:val="19E34404"/>
    <w:rsid w:val="1A3D43DF"/>
    <w:rsid w:val="1A653F08"/>
    <w:rsid w:val="1A71487B"/>
    <w:rsid w:val="1AE756D3"/>
    <w:rsid w:val="1AEB16B7"/>
    <w:rsid w:val="1AF6675C"/>
    <w:rsid w:val="1BB37F6A"/>
    <w:rsid w:val="1BC2050B"/>
    <w:rsid w:val="1BF956CF"/>
    <w:rsid w:val="1C033E16"/>
    <w:rsid w:val="1C1465F2"/>
    <w:rsid w:val="1CA12D03"/>
    <w:rsid w:val="1D1264FC"/>
    <w:rsid w:val="1D5B2A4B"/>
    <w:rsid w:val="1DD76EC5"/>
    <w:rsid w:val="200B698E"/>
    <w:rsid w:val="207F12CE"/>
    <w:rsid w:val="2175668D"/>
    <w:rsid w:val="220F19E5"/>
    <w:rsid w:val="223B4C2A"/>
    <w:rsid w:val="22511521"/>
    <w:rsid w:val="22A05227"/>
    <w:rsid w:val="22E42126"/>
    <w:rsid w:val="22F4099F"/>
    <w:rsid w:val="2316763D"/>
    <w:rsid w:val="23235DFC"/>
    <w:rsid w:val="235C73C7"/>
    <w:rsid w:val="236B6EE6"/>
    <w:rsid w:val="23E01C7E"/>
    <w:rsid w:val="23F54E4F"/>
    <w:rsid w:val="24037122"/>
    <w:rsid w:val="24350297"/>
    <w:rsid w:val="2437197F"/>
    <w:rsid w:val="24461335"/>
    <w:rsid w:val="251458E0"/>
    <w:rsid w:val="259721E1"/>
    <w:rsid w:val="25F435D2"/>
    <w:rsid w:val="263F48D6"/>
    <w:rsid w:val="26623FE6"/>
    <w:rsid w:val="26715CFB"/>
    <w:rsid w:val="26D40F89"/>
    <w:rsid w:val="272C44C5"/>
    <w:rsid w:val="274E255F"/>
    <w:rsid w:val="27661AFD"/>
    <w:rsid w:val="2769772F"/>
    <w:rsid w:val="27995C12"/>
    <w:rsid w:val="28385A80"/>
    <w:rsid w:val="283D06F2"/>
    <w:rsid w:val="28697739"/>
    <w:rsid w:val="28887BBF"/>
    <w:rsid w:val="289E0F14"/>
    <w:rsid w:val="28AD1821"/>
    <w:rsid w:val="28C04968"/>
    <w:rsid w:val="28E71A18"/>
    <w:rsid w:val="28F116AC"/>
    <w:rsid w:val="29503D2C"/>
    <w:rsid w:val="298365D8"/>
    <w:rsid w:val="29B37AEF"/>
    <w:rsid w:val="29E452C9"/>
    <w:rsid w:val="2A1B323C"/>
    <w:rsid w:val="2B5C1C33"/>
    <w:rsid w:val="2B6A0343"/>
    <w:rsid w:val="2B7E52A9"/>
    <w:rsid w:val="2C5C1ACB"/>
    <w:rsid w:val="2C791270"/>
    <w:rsid w:val="2C7A7EFA"/>
    <w:rsid w:val="2C817C2E"/>
    <w:rsid w:val="2C9A6113"/>
    <w:rsid w:val="2D035A86"/>
    <w:rsid w:val="2D357AAA"/>
    <w:rsid w:val="2D7B158E"/>
    <w:rsid w:val="2D811081"/>
    <w:rsid w:val="2DFF3243"/>
    <w:rsid w:val="2E3D052D"/>
    <w:rsid w:val="2E89566F"/>
    <w:rsid w:val="2EA3213B"/>
    <w:rsid w:val="2EF738BB"/>
    <w:rsid w:val="2EFD761D"/>
    <w:rsid w:val="2F2F2702"/>
    <w:rsid w:val="2F3C5BA7"/>
    <w:rsid w:val="2F5A25F8"/>
    <w:rsid w:val="2F6C75E3"/>
    <w:rsid w:val="2FAC44C0"/>
    <w:rsid w:val="2FF65D56"/>
    <w:rsid w:val="305F62AA"/>
    <w:rsid w:val="309641D1"/>
    <w:rsid w:val="30AE6631"/>
    <w:rsid w:val="30C04A87"/>
    <w:rsid w:val="30C4138B"/>
    <w:rsid w:val="31F97FD7"/>
    <w:rsid w:val="32134E86"/>
    <w:rsid w:val="32562628"/>
    <w:rsid w:val="328533C1"/>
    <w:rsid w:val="3287755E"/>
    <w:rsid w:val="32AF055D"/>
    <w:rsid w:val="32C7709C"/>
    <w:rsid w:val="32ED6E25"/>
    <w:rsid w:val="33106133"/>
    <w:rsid w:val="33132824"/>
    <w:rsid w:val="33305F41"/>
    <w:rsid w:val="33EF3397"/>
    <w:rsid w:val="33F71BCC"/>
    <w:rsid w:val="343C7FF9"/>
    <w:rsid w:val="34A128E0"/>
    <w:rsid w:val="34CF784C"/>
    <w:rsid w:val="34EE524E"/>
    <w:rsid w:val="35A46254"/>
    <w:rsid w:val="35E143D0"/>
    <w:rsid w:val="35FA531F"/>
    <w:rsid w:val="361D6B92"/>
    <w:rsid w:val="370A1360"/>
    <w:rsid w:val="37734130"/>
    <w:rsid w:val="37925BDC"/>
    <w:rsid w:val="37C60704"/>
    <w:rsid w:val="387D5FC2"/>
    <w:rsid w:val="389025D9"/>
    <w:rsid w:val="3900504A"/>
    <w:rsid w:val="392A565E"/>
    <w:rsid w:val="399E5B5F"/>
    <w:rsid w:val="39F9314B"/>
    <w:rsid w:val="3AA12E7A"/>
    <w:rsid w:val="3AD75F7E"/>
    <w:rsid w:val="3B067D27"/>
    <w:rsid w:val="3B533320"/>
    <w:rsid w:val="3B5F2A7A"/>
    <w:rsid w:val="3BA72DA7"/>
    <w:rsid w:val="3C067321"/>
    <w:rsid w:val="3C3672E9"/>
    <w:rsid w:val="3C67540A"/>
    <w:rsid w:val="3CD53CA6"/>
    <w:rsid w:val="3D0C417F"/>
    <w:rsid w:val="3DCA0BE3"/>
    <w:rsid w:val="3DD5193E"/>
    <w:rsid w:val="3DD547AB"/>
    <w:rsid w:val="3DDF6D54"/>
    <w:rsid w:val="3E0F30CE"/>
    <w:rsid w:val="3EE30629"/>
    <w:rsid w:val="3F12422F"/>
    <w:rsid w:val="3F591C70"/>
    <w:rsid w:val="3F6C7DE3"/>
    <w:rsid w:val="3F9026F1"/>
    <w:rsid w:val="3FCE7900"/>
    <w:rsid w:val="3FFA3C81"/>
    <w:rsid w:val="402E32EA"/>
    <w:rsid w:val="40563895"/>
    <w:rsid w:val="40592ECB"/>
    <w:rsid w:val="406E0B68"/>
    <w:rsid w:val="40926292"/>
    <w:rsid w:val="40AA0BC3"/>
    <w:rsid w:val="40BB37FF"/>
    <w:rsid w:val="40D91F8A"/>
    <w:rsid w:val="417413FC"/>
    <w:rsid w:val="41BE1D71"/>
    <w:rsid w:val="41ED5368"/>
    <w:rsid w:val="42195B60"/>
    <w:rsid w:val="426052B1"/>
    <w:rsid w:val="42A81FDA"/>
    <w:rsid w:val="434D1CD9"/>
    <w:rsid w:val="437454B8"/>
    <w:rsid w:val="43C875B2"/>
    <w:rsid w:val="441E5B35"/>
    <w:rsid w:val="452F29DA"/>
    <w:rsid w:val="45B44292"/>
    <w:rsid w:val="45B85B30"/>
    <w:rsid w:val="45BC6DF9"/>
    <w:rsid w:val="461116EF"/>
    <w:rsid w:val="463D62C9"/>
    <w:rsid w:val="465E1311"/>
    <w:rsid w:val="46CC1F51"/>
    <w:rsid w:val="46DB13AA"/>
    <w:rsid w:val="46DF0E9A"/>
    <w:rsid w:val="475B07F9"/>
    <w:rsid w:val="47A93D24"/>
    <w:rsid w:val="47AE4623"/>
    <w:rsid w:val="47FD0B4D"/>
    <w:rsid w:val="481E1E96"/>
    <w:rsid w:val="48262E36"/>
    <w:rsid w:val="485F4779"/>
    <w:rsid w:val="486378A9"/>
    <w:rsid w:val="49594EB0"/>
    <w:rsid w:val="49A65B34"/>
    <w:rsid w:val="49A9147D"/>
    <w:rsid w:val="49D24CE6"/>
    <w:rsid w:val="49D4639E"/>
    <w:rsid w:val="4A5406D9"/>
    <w:rsid w:val="4A935209"/>
    <w:rsid w:val="4A9F6969"/>
    <w:rsid w:val="4AA45B57"/>
    <w:rsid w:val="4B191E41"/>
    <w:rsid w:val="4B536EDA"/>
    <w:rsid w:val="4B6127C6"/>
    <w:rsid w:val="4BB17E82"/>
    <w:rsid w:val="4BC3086E"/>
    <w:rsid w:val="4C856040"/>
    <w:rsid w:val="4C980912"/>
    <w:rsid w:val="4CA517A6"/>
    <w:rsid w:val="4CAE1A3B"/>
    <w:rsid w:val="4CAF130F"/>
    <w:rsid w:val="4CD3324F"/>
    <w:rsid w:val="4D1C3C25"/>
    <w:rsid w:val="4D942E5A"/>
    <w:rsid w:val="4D9549A9"/>
    <w:rsid w:val="4D994499"/>
    <w:rsid w:val="4DC37D35"/>
    <w:rsid w:val="4E9F2CBE"/>
    <w:rsid w:val="4ECF7A46"/>
    <w:rsid w:val="4EF253F0"/>
    <w:rsid w:val="4F2A1121"/>
    <w:rsid w:val="4F732AC8"/>
    <w:rsid w:val="4F8A6DFE"/>
    <w:rsid w:val="50D11CD4"/>
    <w:rsid w:val="519B30D9"/>
    <w:rsid w:val="51A96962"/>
    <w:rsid w:val="51C9028F"/>
    <w:rsid w:val="523F3331"/>
    <w:rsid w:val="526238F8"/>
    <w:rsid w:val="52833022"/>
    <w:rsid w:val="528454A3"/>
    <w:rsid w:val="529754ED"/>
    <w:rsid w:val="52A17693"/>
    <w:rsid w:val="53A00470"/>
    <w:rsid w:val="53AA4208"/>
    <w:rsid w:val="542B06BE"/>
    <w:rsid w:val="54362463"/>
    <w:rsid w:val="547A0454"/>
    <w:rsid w:val="55137BA0"/>
    <w:rsid w:val="5538022B"/>
    <w:rsid w:val="555869E7"/>
    <w:rsid w:val="55743852"/>
    <w:rsid w:val="55CF657E"/>
    <w:rsid w:val="56086840"/>
    <w:rsid w:val="56320613"/>
    <w:rsid w:val="56E85B49"/>
    <w:rsid w:val="571C50DC"/>
    <w:rsid w:val="57AE3ADC"/>
    <w:rsid w:val="58472D43"/>
    <w:rsid w:val="586D2F30"/>
    <w:rsid w:val="58B32187"/>
    <w:rsid w:val="58BC103B"/>
    <w:rsid w:val="58CF3F50"/>
    <w:rsid w:val="58D77C23"/>
    <w:rsid w:val="58DD3F37"/>
    <w:rsid w:val="59375778"/>
    <w:rsid w:val="59617E35"/>
    <w:rsid w:val="5963595B"/>
    <w:rsid w:val="5A1C2636"/>
    <w:rsid w:val="5A7F39A2"/>
    <w:rsid w:val="5AA75D1B"/>
    <w:rsid w:val="5AEC7879"/>
    <w:rsid w:val="5B1573A3"/>
    <w:rsid w:val="5B795C4F"/>
    <w:rsid w:val="5B7976B8"/>
    <w:rsid w:val="5BB57FC4"/>
    <w:rsid w:val="5BB82731"/>
    <w:rsid w:val="5C47587E"/>
    <w:rsid w:val="5C6739B4"/>
    <w:rsid w:val="5CA8382E"/>
    <w:rsid w:val="5CE1197E"/>
    <w:rsid w:val="5CFE4BFC"/>
    <w:rsid w:val="5D13264E"/>
    <w:rsid w:val="5E1F3BF3"/>
    <w:rsid w:val="5E52281E"/>
    <w:rsid w:val="5E947B96"/>
    <w:rsid w:val="5EE96902"/>
    <w:rsid w:val="5F603FDD"/>
    <w:rsid w:val="5F893C41"/>
    <w:rsid w:val="5FC66C44"/>
    <w:rsid w:val="5FD96977"/>
    <w:rsid w:val="600C444D"/>
    <w:rsid w:val="60634492"/>
    <w:rsid w:val="60CA62C0"/>
    <w:rsid w:val="60D37DB0"/>
    <w:rsid w:val="6104031C"/>
    <w:rsid w:val="61120392"/>
    <w:rsid w:val="612260FC"/>
    <w:rsid w:val="61595B0C"/>
    <w:rsid w:val="615E35D8"/>
    <w:rsid w:val="61D2404F"/>
    <w:rsid w:val="621418F0"/>
    <w:rsid w:val="621A73FB"/>
    <w:rsid w:val="62616A37"/>
    <w:rsid w:val="62DD7020"/>
    <w:rsid w:val="6372517F"/>
    <w:rsid w:val="639B6212"/>
    <w:rsid w:val="63B616A1"/>
    <w:rsid w:val="643A5692"/>
    <w:rsid w:val="64656A2B"/>
    <w:rsid w:val="64BF7E40"/>
    <w:rsid w:val="65096D76"/>
    <w:rsid w:val="655B1BDC"/>
    <w:rsid w:val="65C634AC"/>
    <w:rsid w:val="65FD206B"/>
    <w:rsid w:val="678C1E42"/>
    <w:rsid w:val="67AF2133"/>
    <w:rsid w:val="67E5002E"/>
    <w:rsid w:val="69B82B6A"/>
    <w:rsid w:val="69D1246D"/>
    <w:rsid w:val="69F543AD"/>
    <w:rsid w:val="6A072332"/>
    <w:rsid w:val="6A477E92"/>
    <w:rsid w:val="6A691F91"/>
    <w:rsid w:val="6A8A218E"/>
    <w:rsid w:val="6AAF6C52"/>
    <w:rsid w:val="6ADF0BB9"/>
    <w:rsid w:val="6B0E42E7"/>
    <w:rsid w:val="6B633325"/>
    <w:rsid w:val="6B7B5A09"/>
    <w:rsid w:val="6BBF7D44"/>
    <w:rsid w:val="6C904861"/>
    <w:rsid w:val="6D9B526C"/>
    <w:rsid w:val="6E0252EB"/>
    <w:rsid w:val="6E1E2CAF"/>
    <w:rsid w:val="6E38332C"/>
    <w:rsid w:val="6E8478BE"/>
    <w:rsid w:val="6E941B32"/>
    <w:rsid w:val="6F365B35"/>
    <w:rsid w:val="6F751AEC"/>
    <w:rsid w:val="6FAF71D0"/>
    <w:rsid w:val="6FCC795E"/>
    <w:rsid w:val="6FD84D27"/>
    <w:rsid w:val="703379DD"/>
    <w:rsid w:val="709D5112"/>
    <w:rsid w:val="70EB2F0E"/>
    <w:rsid w:val="711014F5"/>
    <w:rsid w:val="717464FF"/>
    <w:rsid w:val="71B5124F"/>
    <w:rsid w:val="71F77ED6"/>
    <w:rsid w:val="72032534"/>
    <w:rsid w:val="727663C2"/>
    <w:rsid w:val="72921D50"/>
    <w:rsid w:val="72982558"/>
    <w:rsid w:val="72C2512D"/>
    <w:rsid w:val="72CE3606"/>
    <w:rsid w:val="73BE1CB4"/>
    <w:rsid w:val="746C52BA"/>
    <w:rsid w:val="74D0484D"/>
    <w:rsid w:val="75050C71"/>
    <w:rsid w:val="751C55A7"/>
    <w:rsid w:val="753E1B95"/>
    <w:rsid w:val="75F677E5"/>
    <w:rsid w:val="761C3752"/>
    <w:rsid w:val="76587718"/>
    <w:rsid w:val="76614CFF"/>
    <w:rsid w:val="76C27D0D"/>
    <w:rsid w:val="77831FC1"/>
    <w:rsid w:val="77DA786F"/>
    <w:rsid w:val="780600CD"/>
    <w:rsid w:val="78603FDA"/>
    <w:rsid w:val="78ED0487"/>
    <w:rsid w:val="795D5ACB"/>
    <w:rsid w:val="7A1A0173"/>
    <w:rsid w:val="7A1D0296"/>
    <w:rsid w:val="7A223D2E"/>
    <w:rsid w:val="7A6E0921"/>
    <w:rsid w:val="7AF5475C"/>
    <w:rsid w:val="7B4B6523"/>
    <w:rsid w:val="7BF66C8B"/>
    <w:rsid w:val="7C8C7E8B"/>
    <w:rsid w:val="7D956A54"/>
    <w:rsid w:val="7DB14637"/>
    <w:rsid w:val="7E7324E8"/>
    <w:rsid w:val="7EAA1F19"/>
    <w:rsid w:val="7ECC6C2A"/>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qFormat="1"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nhideWhenUsed="0" w:uiPriority="0" w:semiHidden="0" w:name="List 2"/>
    <w:lsdException w:uiPriority="99" w:name="List 3"/>
    <w:lsdException w:uiPriority="99" w:name="List 4"/>
    <w:lsdException w:uiPriority="99" w:name="List 5"/>
    <w:lsdException w:unhideWhenUsed="0" w:uiPriority="0" w:semiHidden="0" w:name="List Bullet 2"/>
    <w:lsdException w:uiPriority="99" w:name="List Bullet 3"/>
    <w:lsdException w:uiPriority="99" w:name="List Bullet 4"/>
    <w:lsdException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nhideWhenUsed="0" w:uiPriority="0" w:semiHidden="0" w:name="Body Text First Indent"/>
    <w:lsdException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00" w:lineRule="exact"/>
      <w:ind w:firstLine="720" w:firstLineChars="200"/>
    </w:pPr>
    <w:rPr>
      <w:rFonts w:ascii="Times New Roman" w:hAnsi="Times New Roman" w:eastAsia="宋体" w:cs="Times New Roman"/>
      <w:snapToGrid w:val="0"/>
      <w:kern w:val="0"/>
      <w:sz w:val="24"/>
      <w:szCs w:val="24"/>
      <w:lang w:val="en-US" w:eastAsia="zh-CN" w:bidi="ar-SA"/>
      <w14:ligatures w14:val="none"/>
    </w:rPr>
  </w:style>
  <w:style w:type="paragraph" w:styleId="3">
    <w:name w:val="heading 1"/>
    <w:basedOn w:val="1"/>
    <w:next w:val="1"/>
    <w:link w:val="21"/>
    <w:qFormat/>
    <w:uiPriority w:val="99"/>
    <w:pPr>
      <w:keepNext/>
      <w:overflowPunct w:val="0"/>
      <w:autoSpaceDE w:val="0"/>
      <w:autoSpaceDN w:val="0"/>
      <w:spacing w:line="500" w:lineRule="exact"/>
      <w:ind w:firstLine="0" w:firstLineChars="0"/>
      <w:outlineLvl w:val="0"/>
    </w:pPr>
    <w:rPr>
      <w:rFonts w:ascii="Times New Roman" w:hAnsi="Times New Roman" w:eastAsia="宋体"/>
      <w:b/>
      <w:bCs/>
      <w:color w:val="000000"/>
      <w:kern w:val="44"/>
      <w:szCs w:val="30"/>
    </w:rPr>
  </w:style>
  <w:style w:type="paragraph" w:styleId="4">
    <w:name w:val="heading 2"/>
    <w:basedOn w:val="1"/>
    <w:next w:val="1"/>
    <w:link w:val="22"/>
    <w:qFormat/>
    <w:uiPriority w:val="0"/>
    <w:pPr>
      <w:keepNext/>
      <w:keepLines/>
      <w:ind w:firstLine="720" w:firstLineChars="200"/>
      <w:outlineLvl w:val="1"/>
    </w:pPr>
    <w:rPr>
      <w:b/>
      <w:bCs/>
      <w:szCs w:val="32"/>
    </w:rPr>
  </w:style>
  <w:style w:type="paragraph" w:styleId="5">
    <w:name w:val="heading 3"/>
    <w:basedOn w:val="1"/>
    <w:next w:val="1"/>
    <w:link w:val="20"/>
    <w:qFormat/>
    <w:uiPriority w:val="0"/>
    <w:pPr>
      <w:keepNext/>
      <w:keepLines/>
      <w:spacing w:before="260" w:after="260" w:line="416" w:lineRule="auto"/>
      <w:outlineLvl w:val="2"/>
    </w:pPr>
    <w:rPr>
      <w:b/>
      <w:bCs/>
      <w:sz w:val="32"/>
      <w:szCs w:val="32"/>
    </w:rPr>
  </w:style>
  <w:style w:type="paragraph" w:styleId="6">
    <w:name w:val="heading 4"/>
    <w:basedOn w:val="1"/>
    <w:next w:val="1"/>
    <w:link w:val="23"/>
    <w:qFormat/>
    <w:uiPriority w:val="0"/>
    <w:pPr>
      <w:keepNext/>
      <w:keepLines/>
      <w:spacing w:before="280" w:after="290" w:line="376" w:lineRule="auto"/>
      <w:outlineLvl w:val="3"/>
    </w:pPr>
    <w:rPr>
      <w:rFonts w:ascii="Cambria" w:hAnsi="Cambria" w:cs="黑体"/>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表格内"/>
    <w:basedOn w:val="1"/>
    <w:autoRedefine/>
    <w:qFormat/>
    <w:uiPriority w:val="0"/>
    <w:pPr>
      <w:spacing w:line="240" w:lineRule="auto"/>
      <w:ind w:firstLine="0" w:firstLineChars="0"/>
      <w:jc w:val="center"/>
    </w:pPr>
    <w:rPr>
      <w:rFonts w:ascii="Times New Roman" w:hAnsi="Times New Roman" w:eastAsia="仿宋"/>
      <w:sz w:val="21"/>
    </w:rPr>
  </w:style>
  <w:style w:type="paragraph" w:styleId="7">
    <w:name w:val="annotation text"/>
    <w:basedOn w:val="1"/>
    <w:qFormat/>
    <w:uiPriority w:val="0"/>
    <w:pPr>
      <w:jc w:val="left"/>
    </w:pPr>
  </w:style>
  <w:style w:type="paragraph" w:styleId="8">
    <w:name w:val="Body Text"/>
    <w:basedOn w:val="1"/>
    <w:qFormat/>
    <w:uiPriority w:val="0"/>
    <w:pPr>
      <w:widowControl/>
      <w:spacing w:after="120"/>
      <w:jc w:val="left"/>
    </w:pPr>
    <w:rPr>
      <w:rFonts w:ascii="Calibri" w:hAnsi="Calibri" w:eastAsia="宋体" w:cs="Times New Roman"/>
      <w:szCs w:val="24"/>
      <w:lang w:eastAsia="en-US"/>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link w:val="19"/>
    <w:qFormat/>
    <w:uiPriority w:val="10"/>
    <w:pPr>
      <w:spacing w:before="240" w:after="120"/>
      <w:ind w:firstLine="200" w:firstLineChars="200"/>
      <w:jc w:val="center"/>
      <w:textAlignment w:val="center"/>
      <w:outlineLvl w:val="2"/>
    </w:pPr>
    <w:rPr>
      <w:b/>
      <w:bCs/>
      <w:szCs w:val="32"/>
    </w:rPr>
  </w:style>
  <w:style w:type="table" w:styleId="12">
    <w:name w:val="Table Grid"/>
    <w:basedOn w:val="11"/>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semiHidden/>
    <w:unhideWhenUsed/>
    <w:qFormat/>
    <w:uiPriority w:val="99"/>
    <w:rPr>
      <w:color w:val="0000FF"/>
      <w:u w:val="single"/>
    </w:rPr>
  </w:style>
  <w:style w:type="paragraph" w:customStyle="1" w:styleId="16">
    <w:name w:val="表格"/>
    <w:basedOn w:val="1"/>
    <w:link w:val="17"/>
    <w:qFormat/>
    <w:uiPriority w:val="0"/>
    <w:pPr>
      <w:autoSpaceDE w:val="0"/>
      <w:autoSpaceDN w:val="0"/>
      <w:spacing w:line="240" w:lineRule="auto"/>
      <w:ind w:firstLine="0" w:firstLineChars="0"/>
      <w:jc w:val="center"/>
    </w:pPr>
    <w:rPr>
      <w:rFonts w:cstheme="minorBidi"/>
      <w:snapToGrid/>
      <w:kern w:val="2"/>
      <w:sz w:val="21"/>
      <w:szCs w:val="21"/>
      <w14:ligatures w14:val="standardContextual"/>
    </w:rPr>
  </w:style>
  <w:style w:type="character" w:customStyle="1" w:styleId="17">
    <w:name w:val="表格 Char"/>
    <w:link w:val="16"/>
    <w:qFormat/>
    <w:locked/>
    <w:uiPriority w:val="0"/>
    <w:rPr>
      <w:rFonts w:ascii="Times New Roman" w:hAnsi="Times New Roman" w:eastAsia="宋体"/>
      <w:sz w:val="21"/>
      <w:szCs w:val="21"/>
    </w:rPr>
  </w:style>
  <w:style w:type="paragraph" w:customStyle="1" w:styleId="18">
    <w:name w:val="表头"/>
    <w:basedOn w:val="1"/>
    <w:link w:val="25"/>
    <w:qFormat/>
    <w:uiPriority w:val="0"/>
    <w:pPr>
      <w:autoSpaceDE w:val="0"/>
      <w:autoSpaceDN w:val="0"/>
      <w:adjustRightInd w:val="0"/>
      <w:spacing w:line="240" w:lineRule="auto"/>
      <w:jc w:val="center"/>
      <w:textAlignment w:val="baseline"/>
    </w:pPr>
    <w:rPr>
      <w:rFonts w:ascii="Times New Roman" w:hAnsi="Times New Roman" w:eastAsia="宋体"/>
      <w:b/>
      <w:sz w:val="21"/>
      <w:szCs w:val="21"/>
    </w:rPr>
  </w:style>
  <w:style w:type="character" w:customStyle="1" w:styleId="19">
    <w:name w:val="标题 字符"/>
    <w:basedOn w:val="13"/>
    <w:link w:val="10"/>
    <w:qFormat/>
    <w:uiPriority w:val="10"/>
    <w:rPr>
      <w:rFonts w:ascii="Times New Roman" w:hAnsi="Times New Roman" w:eastAsia="宋体" w:cs="Times New Roman"/>
      <w:b/>
      <w:bCs/>
      <w:snapToGrid w:val="0"/>
      <w:kern w:val="0"/>
      <w:sz w:val="24"/>
      <w:szCs w:val="32"/>
      <w14:ligatures w14:val="none"/>
    </w:rPr>
  </w:style>
  <w:style w:type="character" w:customStyle="1" w:styleId="20">
    <w:name w:val="标题 3 字符"/>
    <w:basedOn w:val="13"/>
    <w:link w:val="5"/>
    <w:qFormat/>
    <w:uiPriority w:val="0"/>
    <w:rPr>
      <w:rFonts w:ascii="Times New Roman" w:hAnsi="Times New Roman" w:eastAsia="宋体" w:cs="Times New Roman"/>
      <w:b/>
      <w:bCs/>
      <w:snapToGrid w:val="0"/>
      <w:kern w:val="0"/>
      <w:sz w:val="32"/>
      <w:szCs w:val="32"/>
      <w14:ligatures w14:val="none"/>
    </w:rPr>
  </w:style>
  <w:style w:type="character" w:customStyle="1" w:styleId="21">
    <w:name w:val="标题 1 字符"/>
    <w:basedOn w:val="13"/>
    <w:link w:val="3"/>
    <w:qFormat/>
    <w:uiPriority w:val="99"/>
    <w:rPr>
      <w:rFonts w:ascii="Times New Roman" w:hAnsi="Times New Roman" w:eastAsia="宋体" w:cs="Times New Roman"/>
      <w:b/>
      <w:bCs/>
      <w:snapToGrid w:val="0"/>
      <w:color w:val="000000"/>
      <w:kern w:val="44"/>
      <w:sz w:val="24"/>
      <w:szCs w:val="30"/>
      <w14:ligatures w14:val="none"/>
    </w:rPr>
  </w:style>
  <w:style w:type="character" w:customStyle="1" w:styleId="22">
    <w:name w:val="标题 2 字符"/>
    <w:basedOn w:val="13"/>
    <w:link w:val="4"/>
    <w:qFormat/>
    <w:uiPriority w:val="0"/>
    <w:rPr>
      <w:rFonts w:ascii="Times New Roman" w:hAnsi="Times New Roman" w:eastAsia="宋体" w:cs="Times New Roman"/>
      <w:b/>
      <w:bCs/>
      <w:snapToGrid w:val="0"/>
      <w:kern w:val="0"/>
      <w:sz w:val="24"/>
      <w:szCs w:val="32"/>
      <w14:ligatures w14:val="none"/>
    </w:rPr>
  </w:style>
  <w:style w:type="character" w:customStyle="1" w:styleId="23">
    <w:name w:val="标题 4 字符"/>
    <w:basedOn w:val="13"/>
    <w:link w:val="6"/>
    <w:qFormat/>
    <w:uiPriority w:val="0"/>
    <w:rPr>
      <w:rFonts w:ascii="Cambria" w:hAnsi="Cambria" w:eastAsia="宋体" w:cs="黑体"/>
      <w:b/>
      <w:bCs/>
      <w:snapToGrid w:val="0"/>
      <w:kern w:val="0"/>
      <w:sz w:val="28"/>
      <w:szCs w:val="28"/>
      <w14:ligatures w14:val="none"/>
    </w:rPr>
  </w:style>
  <w:style w:type="table" w:customStyle="1" w:styleId="24">
    <w:name w:val="Table Normal"/>
    <w:unhideWhenUsed/>
    <w:qFormat/>
    <w:uiPriority w:val="0"/>
    <w:tblPr>
      <w:tblCellMar>
        <w:top w:w="0" w:type="dxa"/>
        <w:left w:w="0" w:type="dxa"/>
        <w:bottom w:w="0" w:type="dxa"/>
        <w:right w:w="0" w:type="dxa"/>
      </w:tblCellMar>
    </w:tblPr>
  </w:style>
  <w:style w:type="character" w:customStyle="1" w:styleId="25">
    <w:name w:val="表头 Char"/>
    <w:link w:val="18"/>
    <w:qFormat/>
    <w:uiPriority w:val="0"/>
    <w:rPr>
      <w:rFonts w:ascii="Times New Roman" w:hAnsi="Times New Roman" w:eastAsia="宋体"/>
      <w:b/>
      <w:sz w:val="21"/>
      <w:szCs w:val="21"/>
    </w:rPr>
  </w:style>
  <w:style w:type="paragraph" w:customStyle="1" w:styleId="26">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numbering" Target="numbering.xml"/><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jpeg"/><Relationship Id="rId41" Type="http://schemas.openxmlformats.org/officeDocument/2006/relationships/image" Target="media/image24.jpeg"/><Relationship Id="rId40" Type="http://schemas.openxmlformats.org/officeDocument/2006/relationships/image" Target="media/image23.png"/><Relationship Id="rId4" Type="http://schemas.openxmlformats.org/officeDocument/2006/relationships/endnotes" Target="endnotes.xml"/><Relationship Id="rId39" Type="http://schemas.openxmlformats.org/officeDocument/2006/relationships/image" Target="media/image22.jpeg"/><Relationship Id="rId38" Type="http://schemas.openxmlformats.org/officeDocument/2006/relationships/image" Target="media/image21.jpeg"/><Relationship Id="rId37" Type="http://schemas.openxmlformats.org/officeDocument/2006/relationships/image" Target="media/image20.emf"/><Relationship Id="rId36" Type="http://schemas.openxmlformats.org/officeDocument/2006/relationships/oleObject" Target="embeddings/oleObject6.bin"/><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emf"/><Relationship Id="rId3" Type="http://schemas.openxmlformats.org/officeDocument/2006/relationships/footnotes" Target="footnotes.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image" Target="media/image13.wmf"/><Relationship Id="rId26" Type="http://schemas.openxmlformats.org/officeDocument/2006/relationships/oleObject" Target="embeddings/oleObject3.bin"/><Relationship Id="rId25" Type="http://schemas.openxmlformats.org/officeDocument/2006/relationships/image" Target="media/image12.jpeg"/><Relationship Id="rId24" Type="http://schemas.openxmlformats.org/officeDocument/2006/relationships/image" Target="media/image11.pn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emf"/><Relationship Id="rId15" Type="http://schemas.openxmlformats.org/officeDocument/2006/relationships/oleObject" Target="embeddings/oleObject2.bin"/><Relationship Id="rId14" Type="http://schemas.openxmlformats.org/officeDocument/2006/relationships/image" Target="media/image2.png"/><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bffd47ed-143e-4579-b1c9-90f42c99d5e3</errorID>
      <errorWord>"</errorWord>
      <group>L1_Format</group>
      <groupName>格式问题</groupName>
      <ability>L2_HalfPunc_CN</ability>
      <abilityName>全半角问题</abilityName>
      <candidateList/>
      <explain>文本全半角错误。</explain>
      <paraID>45228C71</paraID>
      <start>14</start>
      <end>15</end>
      <status>unmodified</status>
      <modifiedWord/>
      <trackRevisions>false</trackRevisions>
    </reviewItem>
    <reviewItem>
      <errorID>fcdb721f-aeee-4027-8997-424cc6c6f8f4</errorID>
      <errorWord>-</errorWord>
      <group>L1_Format</group>
      <groupName>格式问题</groupName>
      <ability>L2_HalfPunc_CN</ability>
      <abilityName>全半角问题</abilityName>
      <candidateList>
        <item>－</item>
      </candidateList>
      <explain>文本全半角错误。</explain>
      <paraID> 964C00B</paraID>
      <start>49</start>
      <end>50</end>
      <status>unmodified</status>
      <modifiedWord/>
      <trackRevisions>false</trackRevisions>
    </reviewItem>
    <reviewItem>
      <errorID>f4188d60-5f96-4064-9cdb-d9c2985222e4</errorID>
      <errorWord>拌合站</errorWord>
      <group>L1_Word</group>
      <groupName>字词问题</groupName>
      <ability>L2_Typo</ability>
      <abilityName>字词错误</abilityName>
      <candidateList>
        <item>拌和站</item>
      </candidateList>
      <explain>存在发音相同字词的误用。</explain>
      <paraID>6DE84F43</paraID>
      <start>41</start>
      <end>44</end>
      <status>unmodified</status>
      <modifiedWord/>
      <trackRevisions>false</trackRevisions>
    </reviewItem>
    <reviewItem>
      <errorID>82671eff-c39e-4581-bf51-3e7ce877e416</errorID>
      <errorWord>-</errorWord>
      <group>L1_Format</group>
      <groupName>格式问题</groupName>
      <ability>L2_HalfPunc_CN</ability>
      <abilityName>全半角问题</abilityName>
      <candidateList>
        <item>－</item>
      </candidateList>
      <explain>文本全半角错误。</explain>
      <paraID>2EB830F1</paraID>
      <start>61</start>
      <end>62</end>
      <status>unmodified</status>
      <modifiedWord/>
      <trackRevisions>false</trackRevisions>
    </reviewItem>
    <reviewItem>
      <errorID>af7e8a52-c928-4e1a-a7f8-936e8e5510a3</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3B1259C2</paraID>
      <start>121</start>
      <end>129</end>
      <status>unmodified</status>
      <modifiedWord/>
      <trackRevisions>false</trackRevisions>
    </reviewItem>
    <reviewItem>
      <errorID>e3c7cb74-0b8c-4db4-a406-c496594f3ba0</errorID>
      <errorWord>&lt;</errorWord>
      <group>L1_Format</group>
      <groupName>格式问题</groupName>
      <ability>L2_HalfPunc_CN</ability>
      <abilityName>全半角问题</abilityName>
      <candidateList>
        <item>〈</item>
      </candidateList>
      <explain>文本全半角错误。</explain>
      <paraID> 4D5D54A</paraID>
      <start>30</start>
      <end>31</end>
      <status>unmodified</status>
      <modifiedWord/>
      <trackRevisions>false</trackRevisions>
    </reviewItem>
    <reviewItem>
      <errorID>9bb7b043-cbf4-4089-af6a-c43f527e5b81</errorID>
      <errorWord>地下水协同防治</errorWord>
      <group>L1_Political</group>
      <groupName>政治性问题</groupName>
      <ability>L2_Keyword</ability>
      <abilityName>固定表述</abilityName>
      <candidateList>
        <item>地下水污染防治</item>
      </candidateList>
      <explain>词汇“地下水污染防治”在特定场景下为固定表述形式，请确认此处的“地下水协同防治”是否存在不当。</explain>
      <paraID>5AE5DB3B</paraID>
      <start>14</start>
      <end>21</end>
      <status>unmodified</status>
      <modifiedWord/>
      <trackRevisions>false</trackRevisions>
    </reviewItem>
    <reviewItem>
      <errorID>23c511b2-8906-4230-a8e4-f3a4cc330236</errorID>
      <errorWord>拌合站</errorWord>
      <group>L1_Word</group>
      <groupName>字词问题</groupName>
      <ability>L2_Typo</ability>
      <abilityName>字词错误</abilityName>
      <candidateList>
        <item>拌和站</item>
      </candidateList>
      <explain>存在发音相同字词的误用。</explain>
      <paraID>5EF6DDFC</paraID>
      <start>31</start>
      <end>34</end>
      <status>unmodified</status>
      <modifiedWord/>
      <trackRevisions>false</trackRevisions>
    </reviewItem>
    <reviewItem>
      <errorID>2a0761fe-8464-449c-9c57-925c2fe6b0b1</errorID>
      <errorWord>上线</errorWord>
      <group>L1_Word</group>
      <groupName>字词问题</groupName>
      <ability>L2_Typo</ability>
      <abilityName>字词错误</abilityName>
      <candidateList>
        <item>上限</item>
      </candidateList>
      <explain/>
      <paraID> DFFB58D</paraID>
      <start>12</start>
      <end>14</end>
      <status>unmodified</status>
      <modifiedWord/>
      <trackRevisions>false</trackRevisions>
    </reviewItem>
    <reviewItem>
      <errorID>d6d27a83-fab9-43b1-ad8b-3b3f2071240e</errorID>
      <errorWord>;</errorWord>
      <group>L1_Format</group>
      <groupName>格式问题</groupName>
      <ability>L2_HalfPunc_CN</ability>
      <abilityName>全半角问题</abilityName>
      <candidateList>
        <item>；</item>
      </candidateList>
      <explain>文本全半角错误。</explain>
      <paraID>4D82102F</paraID>
      <start>114</start>
      <end>115</end>
      <status>unmodified</status>
      <modifiedWord/>
      <trackRevisions>false</trackRevisions>
    </reviewItem>
    <reviewItem>
      <errorID>15f83e9b-181e-45a1-9fab-1d50c209731d</errorID>
      <errorWord>开放</errorWord>
      <group>L1_Word</group>
      <groupName>字词问题</groupName>
      <ability>L2_Typo</ability>
      <abilityName>字词错误</abilityName>
      <candidateList>
        <item>开发</item>
      </candidateList>
      <explain/>
      <paraID>519E66DD</paraID>
      <start>62</start>
      <end>64</end>
      <status>unmodified</status>
      <modifiedWord/>
      <trackRevisions>false</trackRevisions>
    </reviewItem>
    <reviewItem>
      <errorID>e84080c7-22d4-4ab7-92e5-00d0dfe3dd4b</errorID>
      <errorWord>，</errorWord>
      <group>L1_Word</group>
      <groupName>字词问题</groupName>
      <ability>L2_Typo</ability>
      <abilityName>字词错误</abilityName>
      <candidateList>
        <item>，在</item>
      </candidateList>
      <explain/>
      <paraID>61580F08</paraID>
      <start>32</start>
      <end>34</end>
      <status>modified</status>
      <modifiedWord>，在</modifiedWord>
      <trackRevisions>false</trackRevisions>
    </reviewItem>
    <reviewItem>
      <errorID>50c23902-0495-4f70-97e6-a32a3e7402e1</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597E79C2</paraID>
      <start>5</start>
      <end>12</end>
      <status>unmodified</status>
      <modifiedWord/>
      <trackRevisions>false</trackRevisions>
    </reviewItem>
    <reviewItem>
      <errorID>5b446d6e-dfb9-4181-b9b4-7b5188ae5772</errorID>
      <errorWord>回覆</errorWord>
      <group>L1_Word</group>
      <groupName>字词问题</groupName>
      <ability>L2_Fanti</ability>
      <abilityName>繁转简</abilityName>
      <candidateList>
        <item>回复</item>
      </candidateList>
      <explain/>
      <paraID>2FFA153C</paraID>
      <start>119</start>
      <end>121</end>
      <status>unmodified</status>
      <modifiedWord/>
      <trackRevisions>false</trackRevisions>
    </reviewItem>
    <reviewItem>
      <errorID>8d848f6c-643d-4be3-9e39-1865812a9f48</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C0510C1</paraID>
      <start>68</start>
      <end>75</end>
      <status>unmodified</status>
      <modifiedWord/>
      <trackRevisions>false</trackRevisions>
    </reviewItem>
    <reviewItem>
      <errorID>1d0576e5-f88e-4dfa-b5de-fd376d79137c</errorID>
      <errorWord>;</errorWord>
      <group>L1_Format</group>
      <groupName>格式问题</groupName>
      <ability>L2_HalfPunc_CN</ability>
      <abilityName>全半角问题</abilityName>
      <candidateList>
        <item>；</item>
      </candidateList>
      <explain>文本全半角错误。</explain>
      <paraID>22BBED9F</paraID>
      <start>163</start>
      <end>164</end>
      <status>unmodified</status>
      <modifiedWord/>
      <trackRevisions>false</trackRevisions>
    </reviewItem>
    <reviewItem>
      <errorID>03312810-1b1d-4129-930b-4fb3f8dd4f35</errorID>
      <errorWord>(</errorWord>
      <group>L1_Format</group>
      <groupName>格式问题</groupName>
      <ability>L2_HalfPunc_CN</ability>
      <abilityName>全半角问题</abilityName>
      <candidateList>
        <item>（</item>
      </candidateList>
      <explain>文本全半角错误。</explain>
      <paraID>22BBED9F</paraID>
      <start>262</start>
      <end>263</end>
      <status>unmodified</status>
      <modifiedWord/>
      <trackRevisions>false</trackRevisions>
    </reviewItem>
    <reviewItem>
      <errorID>2e91b1bc-7aca-48c9-8b2c-fd3539afab46</errorID>
      <errorWord>)</errorWord>
      <group>L1_Format</group>
      <groupName>格式问题</groupName>
      <ability>L2_HalfPunc_CN</ability>
      <abilityName>全半角问题</abilityName>
      <candidateList>
        <item>）</item>
      </candidateList>
      <explain>文本全半角错误。</explain>
      <paraID>22BBED9F</paraID>
      <start>266</start>
      <end>267</end>
      <status>unmodified</status>
      <modifiedWord/>
      <trackRevisions>false</trackRevisions>
    </reviewItem>
    <reviewItem>
      <errorID>2f05f722-c4a5-4685-990e-1f499bc7b24a</errorID>
      <errorWord>，</errorWord>
      <group>L1_Word</group>
      <groupName>字词问题</groupName>
      <ability>L2_Typo</ability>
      <abilityName>字词错误</abilityName>
      <candidateList>
        <item>，对</item>
      </candidateList>
      <explain/>
      <paraID>75963220</paraID>
      <start>56</start>
      <end>57</end>
      <status>unmodified</status>
      <modifiedWord/>
      <trackRevisions>false</trackRevisions>
    </reviewItem>
    <reviewItem>
      <errorID>8357cb0e-da82-4a9d-b1a3-4b98d6365ce1</errorID>
      <errorWord>月1日实施</errorWord>
      <group>L1_Word</group>
      <groupName>字词问题</groupName>
      <ability>L2_Typo</ability>
      <abilityName>字词错误</abilityName>
      <candidateList>
        <item>月1日起实施</item>
      </candidateList>
      <explain/>
      <paraID>2F6D4D11</paraID>
      <start>25</start>
      <end>30</end>
      <status>unmodified</status>
      <modifiedWord/>
      <trackRevisions>false</trackRevisions>
    </reviewItem>
    <reviewItem>
      <errorID>a131b63f-f71d-4460-bb7d-4d0ea68d30bf</errorID>
      <errorWord>减量化、资源化和无害化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词汇“减量化、资源化、无害化”在特定场景下为固定表述形式，请确认此处的“减量化、资源化和无害化”是否存在不当。</explain>
      <paraID>42F1F795</paraID>
      <start>18</start>
      <end>29</end>
      <status>unmodified</status>
      <modifiedWord/>
      <trackRevisions>false</trackRevisions>
    </reviewItem>
    <reviewItem>
      <errorID>143e53d7-e982-4645-97c4-162e268e7358</errorID>
      <errorWord>.</errorWord>
      <group>L1_Format</group>
      <groupName>格式问题</groupName>
      <ability>L2_HalfPunc_CN</ability>
      <abilityName>全半角问题</abilityName>
      <candidateList>
        <item>。</item>
      </candidateList>
      <explain>文本全半角错误。</explain>
      <paraID>7CA72FD8</paraID>
      <start>97</start>
      <end>98</end>
      <status>unmodified</status>
      <modifiedWord/>
      <trackRevisions>false</trackRevisions>
    </reviewItem>
    <reviewItem>
      <errorID>dbd6842e-fe60-4405-8248-8268cdd7411e</errorID>
      <errorWord>大</errorWord>
      <group>L1_Word</group>
      <groupName>字词问题</groupName>
      <ability>L2_Typo</ability>
      <abilityName>字词错误</abilityName>
      <candidateList>
        <item>待</item>
      </candidateList>
      <explain>存在发音相近字词的误用。</explain>
      <paraID>341A795D</paraID>
      <start>49</start>
      <end>50</end>
      <status>modified</status>
      <modifiedWord>待</modifiedWord>
      <trackRevisions>false</trackRevisions>
    </reviewItem>
    <reviewItem>
      <errorID>f1635d56-89d9-4089-abb1-c0962c9395df</errorID>
      <errorWord>因地制宜、综合施策</errorWord>
      <group>L1_Political</group>
      <groupName>政治性问题</groupName>
      <ability>L2_Keyword</ability>
      <abilityName>固定表述</abilityName>
      <candidateList>
        <item>因地制宜、分类施策</item>
      </candidateList>
      <explain>词汇“因地制宜、分类施策”在特定场景下为固定表述形式，请确认此处的“因地制宜、综合施策”是否存在不当。</explain>
      <paraID>783B176C</paraID>
      <start>33</start>
      <end>42</end>
      <status>unmodified</status>
      <modifiedWord/>
      <trackRevisions>false</trackRevisions>
    </reviewItem>
    <reviewItem>
      <errorID>2fdf6ba6-5be3-4267-ab25-836d64fe0783</errorID>
      <errorWord>拌合站</errorWord>
      <group>L1_Word</group>
      <groupName>字词问题</groupName>
      <ability>L2_Typo</ability>
      <abilityName>字词错误</abilityName>
      <candidateList>
        <item>拌和站</item>
      </candidateList>
      <explain>存在发音相同字词的误用。</explain>
      <paraID>7DAE89D6</paraID>
      <start>96</start>
      <end>99</end>
      <status>unmodified</status>
      <modifiedWord/>
      <trackRevisions>false</trackRevisions>
    </reviewItem>
    <reviewItem>
      <errorID>d7ed4d41-04c7-451b-93ed-f0eaf2e5bc91</errorID>
      <errorWord>项</errorWord>
      <group>L1_Word</group>
      <groupName>字词问题</groupName>
      <ability>L2_Typo</ability>
      <abilityName>字词错误</abilityName>
      <candidateList>
        <item>项目</item>
      </candidateList>
      <explain/>
      <paraID> 9862069</paraID>
      <start>16</start>
      <end>18</end>
      <status>modified</status>
      <modifiedWord>项目</modifiedWord>
      <trackRevisions>false</trackRevisions>
    </reviewItem>
    <reviewItem>
      <errorID>c44187cc-cb5b-411b-995b-59f493f0a7a4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62F7FD2F</paraID>
      <start>0</start>
      <end>3</end>
      <status>modified</status>
      <modifiedWord>（一）</modifiedWord>
      <trackRevisions>false</trackRevisions>
    </reviewItem>
    <reviewItem>
      <errorID>8e9ec3b5-31da-4dd5-9fa6-56118b2f2138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2C6350B3</paraID>
      <start>0</start>
      <end>3</end>
      <status>modified</status>
      <modifiedWord>（二）</modifiedWord>
      <trackRevisions>false</trackRevisions>
    </reviewItem>
    <reviewItem>
      <errorID>3793ac62-e822-43fd-86d2-76fa19035288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1ADA61DF</paraID>
      <start>0</start>
      <end>3</end>
      <status>modified</status>
      <modifiedWord>（三）</modifiedWord>
      <trackRevisions>false</trackRevisions>
    </reviewItem>
    <reviewItem>
      <errorID>31d21605-3584-4188-941a-13e445bb6f2b</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9362485</paraID>
      <start>0</start>
      <end>3</end>
      <status>modified</status>
      <modifiedWord>（四）</modifiedWord>
      <trackRevisions>false</trackRevisions>
    </reviewItem>
    <reviewItem>
      <errorID>dbabdf27-ab70-4ca1-9da5-f6b54f946092</errorID>
      <errorWord>〔2017〕第682号</errorWord>
      <group>L1_Knowledge</group>
      <groupName>知识性问题</groupName>
      <ability>L2_Knowledge</ability>
      <abilityName>其他知识</abilityName>
      <candidateList>
        <item>〔2017〕682号</item>
      </candidateList>
      <explain>发文字号格式错误。</explain>
      <paraID>6F5F8B89</paraID>
      <start>21</start>
      <end>32</end>
      <status>unmodified</status>
      <modifiedWord/>
      <trackRevisions>false</trackRevisions>
    </reviewItem>
    <reviewItem>
      <errorID>59a0139e-387d-4c2c-a75d-7b4c64ffed93</errorID>
      <errorWord>拌合站</errorWord>
      <group>L1_Word</group>
      <groupName>字词问题</groupName>
      <ability>L2_Typo</ability>
      <abilityName>字词错误</abilityName>
      <candidateList>
        <item>拌和站</item>
      </candidateList>
      <explain>存在发音相同字词的误用。</explain>
      <paraID>238EEF7E</paraID>
      <start>17</start>
      <end>20</end>
      <status>unmodified</status>
      <modifiedWord/>
      <trackRevisions>false</trackRevisions>
    </reviewItem>
    <reviewItem>
      <errorID>6a250e03-ef49-494b-a223-17e644f4916a</errorID>
      <errorWord>粗破</errorWord>
      <group>L1_Word</group>
      <groupName>字词问题</groupName>
      <ability>L2_Typo</ability>
      <abilityName>字词错误</abilityName>
      <candidateList>
        <item>突破</item>
      </candidateList>
      <explain/>
      <paraID>113C5F47</paraID>
      <start>2</start>
      <end>4</end>
      <status>unmodified</status>
      <modifiedWord/>
      <trackRevisions>false</trackRevisions>
    </reviewItem>
    <reviewItem>
      <errorID>d311c86c-4873-4d46-a15f-9d3521f60d06</errorID>
      <errorWord>~</errorWord>
      <group>L1_Format</group>
      <groupName>格式问题</groupName>
      <ability>L2_HalfPunc_CN</ability>
      <abilityName>全半角问题</abilityName>
      <candidateList>
        <item>～</item>
      </candidateList>
      <explain>文本全半角错误。</explain>
      <paraID> A6E7203</paraID>
      <start>3</start>
      <end>4</end>
      <status>unmodified</status>
      <modifiedWord/>
      <trackRevisions>false</trackRevisions>
    </reviewItem>
    <reviewItem>
      <errorID>a7c4843d-754d-4761-b426-8118d0bd0c3d</errorID>
      <errorWord>万</errorWord>
      <group>L1_Word</group>
      <groupName>字词问题</groupName>
      <ability>L2_Typo</ability>
      <abilityName>字词错误</abilityName>
      <candidateList>
        <item>万元</item>
      </candidateList>
      <explain/>
      <paraID>4F2D7671</paraID>
      <start>4</start>
      <end>5</end>
      <status>unmodified</status>
      <modifiedWord/>
      <trackRevisions>false</trackRevisions>
    </reviewItem>
    <reviewItem>
      <errorID>2983b304-5ed9-46bb-ab20-c7e1e5612173</errorID>
      <errorWord>以</errorWord>
      <group>L1_Word</group>
      <groupName>字词问题</groupName>
      <ability>L2_Typo</ability>
      <abilityName>字词错误</abilityName>
      <candidateList>
        <item>已</item>
      </candidateList>
      <explain/>
      <paraID>3F4DDA86</paraID>
      <start>113</start>
      <end>114</end>
      <status>modified</status>
      <modifiedWord>已</modifiedWord>
      <trackRevisions>false</trackRevisions>
    </reviewItem>
    <reviewItem>
      <errorID>a5d15bbf-aedc-4bf0-aaf6-997607b945ac</errorID>
      <errorWord>见</errorWord>
      <group>L1_Word</group>
      <groupName>字词问题</groupName>
      <ability>L2_Typo</ability>
      <abilityName>字词错误</abilityName>
      <candidateList>
        <item>见下</item>
      </candidateList>
      <explain/>
      <paraID>15D26519</paraID>
      <start>11</start>
      <end>12</end>
      <status>unmodified</status>
      <modifiedWord/>
      <trackRevisions>false</trackRevisions>
    </reviewItem>
    <reviewItem>
      <errorID>b03be68e-fae6-42ac-a1a9-4d053726c70d</errorID>
      <errorWord>粗破</errorWord>
      <group>L1_Word</group>
      <groupName>字词问题</groupName>
      <ability>L2_Typo</ability>
      <abilityName>字词错误</abilityName>
      <candidateList>
        <item>突破</item>
      </candidateList>
      <explain/>
      <paraID>3FD7C64A</paraID>
      <start>2</start>
      <end>4</end>
      <status>unmodified</status>
      <modifiedWord/>
      <trackRevisions>false</trackRevisions>
    </reviewItem>
    <reviewItem>
      <errorID>95e82f6b-d1a4-4e03-93ae-ca3fe7cd8e94</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42636C92</paraID>
      <start>5</start>
      <end>12</end>
      <status>unmodified</status>
      <modifiedWord/>
      <trackRevisions>false</trackRevisions>
    </reviewItem>
    <reviewItem>
      <errorID>2c384b9c-745d-4dcf-8125-9df332450f2a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19E35944</paraID>
      <start>106</start>
      <end>107</end>
      <status>unmodified</status>
      <modifiedWord/>
      <trackRevisions>false</trackRevisions>
    </reviewItem>
    <reviewItem>
      <errorID>ea599d69-2820-43dc-9985-f3a302d361a7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765FA8BB</paraID>
      <start>106</start>
      <end>107</end>
      <status>unmodified</status>
      <modifiedWord/>
      <trackRevisions>false</trackRevisions>
    </reviewItem>
    <reviewItem>
      <errorID>c0cd5ee6-1a35-484a-bec5-41f8e48f5206</errorID>
      <errorWord>Ehrhart</errorWord>
      <group>L1_English</group>
      <groupName>英文问题</groupName>
      <ability>L2_Other_Grammar</ability>
      <abilityName>其他语法问题</abilityName>
      <candidateList>
        <item>Ehrh.</item>
      </candidateList>
      <explain>疑似单词/词组使用不当, 建议将Ehrhart修改为Ehrh.</explain>
      <paraID>6607892B</paraID>
      <start>22</start>
      <end>29</end>
      <status>unmodified</status>
      <modifiedWord/>
      <trackRevisions>false</trackRevisions>
    </reviewItem>
    <reviewItem>
      <errorID>100628c3-85a3-4f7f-997f-31325fea7ac3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1B405ABD</paraID>
      <start>18</start>
      <end>19</end>
      <status>unmodified</status>
      <modifiedWord/>
      <trackRevisions>false</trackRevisions>
    </reviewItem>
    <reviewItem>
      <errorID>419e3ddb-4128-4164-893f-cbebb1169bba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1B405ABD</paraID>
      <start>67</start>
      <end>68</end>
      <status>unmodified</status>
      <modifiedWord/>
      <trackRevisions>false</trackRevisions>
    </reviewItem>
    <reviewItem>
      <errorID>6f70dc14-eaea-47d6-afa9-b0c462d2d141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1B405ABD</paraID>
      <start>89</start>
      <end>90</end>
      <status>unmodified</status>
      <modifiedWord/>
      <trackRevisions>false</trackRevisions>
    </reviewItem>
    <reviewItem>
      <errorID>fa83def8-2edb-488b-8d8b-934f27ed7971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1B405ABD</paraID>
      <start>96</start>
      <end>97</end>
      <status>unmodified</status>
      <modifiedWord/>
      <trackRevisions>false</trackRevisions>
    </reviewItem>
    <reviewItem>
      <errorID>ab5cd3bd-acd4-4699-8ae2-ed30989ef962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1B405ABD</paraID>
      <start>116</start>
      <end>117</end>
      <status>unmodified</status>
      <modifiedWord/>
      <trackRevisions>false</trackRevisions>
    </reviewItem>
    <reviewItem>
      <errorID>25b4ba0e-1ff8-40bc-b12e-26787581fa2a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1B405ABD</paraID>
      <start>185</start>
      <end>186</end>
      <status>unmodified</status>
      <modifiedWord/>
      <trackRevisions>false</trackRevisions>
    </reviewItem>
    <reviewItem>
      <errorID>74ff780d-9841-4bf7-8ad5-f66bc01d74c1</errorID>
      <errorWord>海拔高度</errorWord>
      <group>L1_Word</group>
      <groupName>字词问题</groupName>
      <ability>L2_Typo</ability>
      <abilityName>字词错误</abilityName>
      <candidateList>
        <item>海拔</item>
      </candidateList>
      <explain/>
      <paraID>7858783C</paraID>
      <start>0</start>
      <end>4</end>
      <status>unmodified</status>
      <modifiedWord/>
      <trackRevisions>false</trackRevisions>
    </reviewItem>
    <reviewItem>
      <errorID>f905c5c3-6673-4467-9194-f9120495313a</errorID>
      <errorWord>区区</errorWord>
      <group>L1_Word</group>
      <groupName>字词问题</groupName>
      <ability>L2_Typo</ability>
      <abilityName>字词错误</abilityName>
      <candidateList>
        <item>区</item>
      </candidateList>
      <explain/>
      <paraID>29BCB84F</paraID>
      <start>133</start>
      <end>134</end>
      <status>modified</status>
      <modifiedWord>区</modifiedWord>
      <trackRevisions>false</trackRevisions>
    </reviewItem>
    <reviewItem>
      <errorID>7a2dd7f6-6d80-4610-9bd7-96a1b66a4d43</errorID>
      <errorWord>Hemiechines</errorWord>
      <group>L1_English</group>
      <groupName>英文问题</groupName>
      <ability>L2_Spell</ability>
      <abilityName>拼写问题</abilityName>
      <candidateList>
        <item>Hemichnus</item>
      </candidateList>
      <explain>疑似单词拼写有误，建议将Hemiechines修改为Hemichnus</explain>
      <paraID>1F7CD366</paraID>
      <start>4</start>
      <end>15</end>
      <status>unmodified</status>
      <modifiedWord/>
      <trackRevisions>false</trackRevisions>
    </reviewItem>
    <reviewItem>
      <errorID>8b76bb75-bce9-4f9b-9d95-83260d31ab44</errorID>
      <errorWord>anse</errorWord>
      <group>L1_English</group>
      <groupName>英文问题</groupName>
      <ability>L2_Spell</ability>
      <abilityName>拼写问题</abilityName>
      <candidateList>
        <item>anser</item>
      </candidateList>
      <explain>疑似单词拼写有误，建议将anse修改为anser</explain>
      <paraID> 8D6C48E</paraID>
      <start>9</start>
      <end>13</end>
      <status>unmodified</status>
      <modifiedWord/>
      <trackRevisions>false</trackRevisions>
    </reviewItem>
    <reviewItem>
      <errorID>d37d6adc-30c0-48ae-8214-038028a148fc</errorID>
      <errorWord>（</errorWord>
      <group>L1_Format</group>
      <groupName>格式问题</groupName>
      <ability>L2_HalfPunc_CN</ability>
      <abilityName>全半角问题</abilityName>
      <candidateList>
        <item>(</item>
      </candidateList>
      <explain>文本全半角错误。</explain>
      <paraID>61BBCBBA</paraID>
      <start>2</start>
      <end>3</end>
      <status>unmodified</status>
      <modifiedWord/>
      <trackRevisions>false</trackRevisions>
    </reviewItem>
    <reviewItem>
      <errorID>bcc438a2-f57a-465b-ab91-f07800057931</errorID>
      <errorWord>）</errorWord>
      <group>L1_Format</group>
      <groupName>格式问题</groupName>
      <ability>L2_HalfPunc_CN</ability>
      <abilityName>全半角问题</abilityName>
      <candidateList>
        <item>)</item>
      </candidateList>
      <explain>文本全半角错误。</explain>
      <paraID>61BBCBBA</paraID>
      <start>8</start>
      <end>9</end>
      <status>unmodified</status>
      <modifiedWord/>
      <trackRevisions>false</trackRevisions>
    </reviewItem>
    <reviewItem>
      <errorID>c5b28407-2a91-475a-8ba0-1eb5e8bc5357</errorID>
      <errorWord>（</errorWord>
      <group>L1_Punc</group>
      <groupName>标点问题</groupName>
      <ability>L2_Punc_CN</ability>
      <abilityName>标点符号问题</abilityName>
      <candidateList/>
      <explain>同一形式括号套用。</explain>
      <paraID>3CBED40E</paraID>
      <start>87</start>
      <end>88</end>
      <status>unmodified</status>
      <modifiedWord/>
      <trackRevisions>false</trackRevisions>
    </reviewItem>
    <reviewItem>
      <errorID>123c3fd5-328c-472b-8301-5702110e7ef5</errorID>
      <errorWord>）</errorWord>
      <group>L1_Punc</group>
      <groupName>标点问题</groupName>
      <ability>L2_Punc_CN</ability>
      <abilityName>标点符号问题</abilityName>
      <candidateList/>
      <explain>同一形式括号套用。</explain>
      <paraID>3CBED40E</paraID>
      <start>99</start>
      <end>100</end>
      <status>unmodified</status>
      <modifiedWord/>
      <trackRevisions>false</trackRevisions>
    </reviewItem>
    <reviewItem>
      <errorID>0e8c0cd8-856a-4a98-9ca0-eed62df9cfaf</errorID>
      <errorWord>)</errorWord>
      <group>L1_Format</group>
      <groupName>格式问题</groupName>
      <ability>L2_HalfPunc_CN</ability>
      <abilityName>全半角问题</abilityName>
      <candidateList>
        <item>）</item>
      </candidateList>
      <explain>文本全半角错误。</explain>
      <paraID>21389F04</paraID>
      <start>50</start>
      <end>51</end>
      <status>unmodified</status>
      <modifiedWord/>
      <trackRevisions>false</trackRevisions>
    </reviewItem>
    <reviewItem>
      <errorID>ecd12277-f04d-4417-a9f2-76f5632ff29f</errorID>
      <errorWord>)</errorWord>
      <group>L1_Format</group>
      <groupName>格式问题</groupName>
      <ability>L2_HalfPunc_CN</ability>
      <abilityName>全半角问题</abilityName>
      <candidateList>
        <item>）</item>
      </candidateList>
      <explain>文本全半角错误。</explain>
      <paraID>21389F04</paraID>
      <start>61</start>
      <end>62</end>
      <status>unmodified</status>
      <modifiedWord/>
      <trackRevisions>false</trackRevisions>
    </reviewItem>
    <reviewItem>
      <errorID>d0e03841-cd0c-45fa-b29c-acace8a38e27</errorID>
      <errorWord>)</errorWord>
      <group>L1_Format</group>
      <groupName>格式问题</groupName>
      <ability>L2_HalfPunc_CN</ability>
      <abilityName>全半角问题</abilityName>
      <candidateList>
        <item>）</item>
      </candidateList>
      <explain>文本全半角错误。</explain>
      <paraID>1536E4E2</paraID>
      <start>54</start>
      <end>55</end>
      <status>unmodified</status>
      <modifiedWord/>
      <trackRevisions>false</trackRevisions>
    </reviewItem>
    <reviewItem>
      <errorID>d35167ab-b691-4377-8c3d-4ef24f0b093d</errorID>
      <errorWord>)</errorWord>
      <group>L1_Format</group>
      <groupName>格式问题</groupName>
      <ability>L2_HalfPunc_CN</ability>
      <abilityName>全半角问题</abilityName>
      <candidateList>
        <item>）</item>
      </candidateList>
      <explain>文本全半角错误。</explain>
      <paraID>1536E4E2</paraID>
      <start>65</start>
      <end>66</end>
      <status>unmodified</status>
      <modifiedWord/>
      <trackRevisions>false</trackRevisions>
    </reviewItem>
    <reviewItem>
      <errorID>517bd7b3-39f3-4c3b-9ffe-c0bd3027c0e2</errorID>
      <errorWord>回覆</errorWord>
      <group>L1_Word</group>
      <groupName>字词问题</groupName>
      <ability>L2_Fanti</ability>
      <abilityName>繁转简</abilityName>
      <candidateList>
        <item>回复</item>
      </candidateList>
      <explain/>
      <paraID> C022497</paraID>
      <start>8</start>
      <end>10</end>
      <status>unmodified</status>
      <modifiedWord/>
      <trackRevisions>false</trackRevisions>
    </reviewItem>
    <reviewItem>
      <errorID>5106a788-c83e-454a-b3ec-84896a19878f</errorID>
      <errorWord>运20</errorWord>
      <group>L1_Punc</group>
      <groupName>标点问题</groupName>
      <ability>L2_Punc_CN</ability>
      <abilityName>标点符号问题</abilityName>
      <candidateList>
        <item>运-20</item>
      </candidateList>
      <explain/>
      <paraID>4061AD81</paraID>
      <start>32</start>
      <end>35</end>
      <status>unmodified</status>
      <modifiedWord/>
      <trackRevisions>false</trackRevisions>
    </reviewItem>
    <reviewItem>
      <errorID>1da02384-299d-4dbe-aebc-d3ccb864e183</errorID>
      <errorWord>）</errorWord>
      <group>L1_Format</group>
      <groupName>格式问题</groupName>
      <ability>L2_HalfPunc_CN</ability>
      <abilityName>全半角问题</abilityName>
      <candidateList>
        <item>)</item>
      </candidateList>
      <explain>文本全半角错误。</explain>
      <paraID>59ABE495</paraID>
      <start>38</start>
      <end>39</end>
      <status>unmodified</status>
      <modifiedWord/>
      <trackRevisions>false</trackRevisions>
    </reviewItem>
    <reviewItem>
      <errorID>3adfa3d0-6375-424c-a73e-ed995bb38877</errorID>
      <errorWord>）</errorWord>
      <group>L1_Format</group>
      <groupName>格式问题</groupName>
      <ability>L2_HalfPunc_CN</ability>
      <abilityName>全半角问题</abilityName>
      <candidateList>
        <item>)</item>
      </candidateList>
      <explain>文本全半角错误。</explain>
      <paraID>74274186</paraID>
      <start>38</start>
      <end>39</end>
      <status>unmodified</status>
      <modifiedWord/>
      <trackRevisions>false</trackRevisions>
    </reviewItem>
    <reviewItem>
      <errorID>2eab8e4b-ec79-4bcd-bdd8-b4c4c5ceafbb</errorID>
      <errorWord>（</errorWord>
      <group>L1_Format</group>
      <groupName>格式问题</groupName>
      <ability>L2_HalfPunc_CN</ability>
      <abilityName>全半角问题</abilityName>
      <candidateList>
        <item>(</item>
      </candidateList>
      <explain>文本全半角错误。</explain>
      <paraID> 61BCF36</paraID>
      <start>16</start>
      <end>17</end>
      <status>unmodified</status>
      <modifiedWord/>
      <trackRevisions>false</trackRevisions>
    </reviewItem>
    <reviewItem>
      <errorID>6cde2b10-800e-461e-82a9-455c70009922</errorID>
      <errorWord>）</errorWord>
      <group>L1_Format</group>
      <groupName>格式问题</groupName>
      <ability>L2_HalfPunc_CN</ability>
      <abilityName>全半角问题</abilityName>
      <candidateList>
        <item>)</item>
      </candidateList>
      <explain>文本全半角错误。</explain>
      <paraID> 61BCF36</paraID>
      <start>20</start>
      <end>21</end>
      <status>unmodified</status>
      <modifiedWord/>
      <trackRevisions>false</trackRevisions>
    </reviewItem>
    <reviewItem>
      <errorID>76fd1696-a14b-44fd-81a4-2ccd351f3f5b</errorID>
      <errorWord>，</errorWord>
      <group>L1_Punc</group>
      <groupName>标点问题</groupName>
      <ability>L2_Punc_CN</ability>
      <abilityName>标点符号问题</abilityName>
      <candidateList>
        <item/>
      </candidateList>
      <explain>括号内行文末尾一般不加标点。</explain>
      <paraID>2CA70B70</paraID>
      <start>38</start>
      <end>39</end>
      <status>unmodified</status>
      <modifiedWord/>
      <trackRevisions>false</trackRevisions>
    </reviewItem>
    <reviewItem>
      <errorID>75e11594-fde2-4962-abc8-67523e39c332</errorID>
      <errorWord>（</errorWord>
      <group>L1_Format</group>
      <groupName>格式问题</groupName>
      <ability>L2_HalfPunc_CN</ability>
      <abilityName>全半角问题</abilityName>
      <candidateList>
        <item>(</item>
      </candidateList>
      <explain>文本全半角错误。</explain>
      <paraID>25608C7E</paraID>
      <start>2</start>
      <end>3</end>
      <status>unmodified</status>
      <modifiedWord/>
      <trackRevisions>false</trackRevisions>
    </reviewItem>
    <reviewItem>
      <errorID>8c5c2f43-259c-4c72-a157-37f3b9fcf308</errorID>
      <errorWord>。</errorWord>
      <group>L1_Format</group>
      <groupName>格式问题</groupName>
      <ability>L2_HalfPunc_CN</ability>
      <abilityName>全半角问题</abilityName>
      <candidateList>
        <item>.</item>
      </candidateList>
      <explain>文本全半角错误。</explain>
      <paraID>791884BC</paraID>
      <start>30</start>
      <end>31</end>
      <status>unmodified</status>
      <modifiedWord/>
      <trackRevisions>false</trackRevisions>
    </reviewItem>
    <reviewItem>
      <errorID>27cd3581-3451-4b4e-8e1d-4ea829ea3e4f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68529C46</paraID>
      <start>60</start>
      <end>61</end>
      <status>unmodified</status>
      <modifiedWord/>
      <trackRevisions>false</trackRevisions>
    </reviewItem>
    <reviewItem>
      <errorID>e1701478-e034-4be0-9cc2-351cfe55c4ed</errorID>
      <errorWord>（</errorWord>
      <group>L1_Punc</group>
      <groupName>标点问题</groupName>
      <ability>L2_Punc_CN</ability>
      <abilityName>标点符号问题</abilityName>
      <candidateList/>
      <explain>同一形式括号套用。</explain>
      <paraID>331FC554</paraID>
      <start>38</start>
      <end>39</end>
      <status>unmodified</status>
      <modifiedWord/>
      <trackRevisions>false</trackRevisions>
    </reviewItem>
    <reviewItem>
      <errorID>bef7915d-6a8a-40ab-bccf-3bf11ef6cba2</errorID>
      <errorWord>）</errorWord>
      <group>L1_Punc</group>
      <groupName>标点问题</groupName>
      <ability>L2_Punc_CN</ability>
      <abilityName>标点符号问题</abilityName>
      <candidateList/>
      <explain>同一形式括号套用。</explain>
      <paraID>331FC554</paraID>
      <start>44</start>
      <end>45</end>
      <status>unmodified</status>
      <modifiedWord/>
      <trackRevisions>false</trackRevisions>
    </reviewItem>
    <reviewItem>
      <errorID>94ddd485-4da1-4069-889d-f341581c4da3</errorID>
      <errorWord>，</errorWord>
      <group>L1_Format</group>
      <groupName>格式问题</groupName>
      <ability>L2_HalfPunc_CN</ability>
      <abilityName>全半角问题</abilityName>
      <candidateList>
        <item>, </item>
      </candidateList>
      <explain>文本全半角错误。</explain>
      <paraID>55071E63</paraID>
      <start>14</start>
      <end>15</end>
      <status>unmodified</status>
      <modifiedWord/>
      <trackRevisions>false</trackRevisions>
    </reviewItem>
    <reviewItem>
      <errorID>d65b104d-82e7-4f47-b87b-9f91910b6a07</errorID>
      <errorWord>外逸</errorWord>
      <group>L1_Word</group>
      <groupName>字词问题</groupName>
      <ability>L2_Typo</ability>
      <abilityName>字词错误</abilityName>
      <candidateList>
        <item>外溢</item>
      </candidateList>
      <explain/>
      <paraID>274A1897</paraID>
      <start>58</start>
      <end>60</end>
      <status>unmodified</status>
      <modifiedWord/>
      <trackRevisions>false</trackRevisions>
    </reviewItem>
    <reviewItem>
      <errorID>108cd807-072f-459a-a9ba-91d6763f15a8</errorID>
      <errorWord>(</errorWord>
      <group>L1_Format</group>
      <groupName>格式问题</groupName>
      <ability>L2_HalfPunc_CN</ability>
      <abilityName>全半角问题</abilityName>
      <candidateList>
        <item>（</item>
      </candidateList>
      <explain>文本全半角错误。</explain>
      <paraID>21C978B1</paraID>
      <start>210</start>
      <end>211</end>
      <status>unmodified</status>
      <modifiedWord/>
      <trackRevisions>false</trackRevisions>
    </reviewItem>
    <reviewItem>
      <errorID>17226970-7914-4fab-8521-d0aebe2bd151</errorID>
      <errorWord>)</errorWord>
      <group>L1_Format</group>
      <groupName>格式问题</groupName>
      <ability>L2_HalfPunc_CN</ability>
      <abilityName>全半角问题</abilityName>
      <candidateList>
        <item>）</item>
      </candidateList>
      <explain>文本全半角错误。</explain>
      <paraID>21C978B1</paraID>
      <start>224</start>
      <end>225</end>
      <status>unmodified</status>
      <modifiedWord/>
      <trackRevisions>false</trackRevisions>
    </reviewItem>
    <reviewItem>
      <errorID>c6684619-be3a-4c65-87cf-04be80f29f53</errorID>
      <errorWord>(</errorWord>
      <group>L1_Punc</group>
      <groupName>标点问题</groupName>
      <ability>L2_Punc_CN</ability>
      <abilityName>标点符号问题</abilityName>
      <candidateList/>
      <explain>同一形式括号套用。</explain>
      <paraID>6A4EDC14</paraID>
      <start>12</start>
      <end>13</end>
      <status>unmodified</status>
      <modifiedWord/>
      <trackRevisions>false</trackRevisions>
    </reviewItem>
    <reviewItem>
      <errorID>505ffd00-049a-4874-a246-d6148e7d71a0</errorID>
      <errorWord>（</errorWord>
      <group>L1_Punc</group>
      <groupName>标点问题</groupName>
      <ability>L2_Punc_CN</ability>
      <abilityName>标点符号问题</abilityName>
      <candidateList/>
      <explain>同一形式括号套用。</explain>
      <paraID>6A4EDC14</paraID>
      <start>15</start>
      <end>16</end>
      <status>unmodified</status>
      <modifiedWord/>
      <trackRevisions>false</trackRevisions>
    </reviewItem>
    <reviewItem>
      <errorID>ce14e2ed-6a29-4c28-9c6f-900415e7fa9d</errorID>
      <errorWord>）</errorWord>
      <group>L1_Punc</group>
      <groupName>标点问题</groupName>
      <ability>L2_Punc_CN</ability>
      <abilityName>标点符号问题</abilityName>
      <candidateList/>
      <explain>同一形式括号套用。</explain>
      <paraID>6A4EDC14</paraID>
      <start>17</start>
      <end>18</end>
      <status>unmodified</status>
      <modifiedWord/>
      <trackRevisions>false</trackRevisions>
    </reviewItem>
    <reviewItem>
      <errorID>e1358383-7b78-4fdf-b9e4-70cb135fbaf6</errorID>
      <errorWord>)</errorWord>
      <group>L1_Punc</group>
      <groupName>标点问题</groupName>
      <ability>L2_Punc_CN</ability>
      <abilityName>标点符号问题</abilityName>
      <candidateList/>
      <explain>同一形式括号套用。</explain>
      <paraID>6A4EDC14</paraID>
      <start>20</start>
      <end>21</end>
      <status>unmodified</status>
      <modifiedWord/>
      <trackRevisions>false</trackRevisions>
    </reviewItem>
    <reviewItem>
      <errorID>7117f0ea-5cd9-4971-a581-b11c8c632154</errorID>
      <errorWord>鄂</errorWord>
      <group>L1_Word</group>
      <groupName>字词问题</groupName>
      <ability>L2_Typo</ability>
      <abilityName>字词错误</abilityName>
      <candidateList>
        <item>颚</item>
      </candidateList>
      <explain/>
      <paraID>6BAB9676</paraID>
      <start>0</start>
      <end>1</end>
      <status>unmodified</status>
      <modifiedWord/>
      <trackRevisions>false</trackRevisions>
    </reviewItem>
    <reviewItem>
      <errorID>1cfa03ff-159c-4687-af2e-5f7b6b061206</errorID>
      <errorWord>)</errorWord>
      <group>L1_Format</group>
      <groupName>格式问题</groupName>
      <ability>L2_HalfPunc_CN</ability>
      <abilityName>全半角问题</abilityName>
      <candidateList>
        <item>）</item>
      </candidateList>
      <explain>文本全半角错误。</explain>
      <paraID>5AD0AD9E</paraID>
      <start>29</start>
      <end>30</end>
      <status>unmodified</status>
      <modifiedWord/>
      <trackRevisions>false</trackRevisions>
    </reviewItem>
    <reviewItem>
      <errorID>698d3608-279c-40d4-8725-d14339462590</errorID>
      <errorWord>)</errorWord>
      <group>L1_Format</group>
      <groupName>格式问题</groupName>
      <ability>L2_HalfPunc_CN</ability>
      <abilityName>全半角问题</abilityName>
      <candidateList>
        <item>）</item>
      </candidateList>
      <explain>文本全半角错误。</explain>
      <paraID> 3CC3381</paraID>
      <start>20</start>
      <end>21</end>
      <status>unmodified</status>
      <modifiedWord/>
      <trackRevisions>false</trackRevisions>
    </reviewItem>
    <reviewItem>
      <errorID>e552e66a-f9b7-4ab6-8dce-12e9ab74839f</errorID>
      <errorWord>(</errorWord>
      <group>L1_Format</group>
      <groupName>格式问题</groupName>
      <ability>L2_HalfPunc_CN</ability>
      <abilityName>全半角问题</abilityName>
      <candidateList>
        <item>（</item>
      </candidateList>
      <explain>文本全半角错误。</explain>
      <paraID>150E9190</paraID>
      <start>3</start>
      <end>4</end>
      <status>unmodified</status>
      <modifiedWord/>
      <trackRevisions>false</trackRevisions>
    </reviewItem>
    <reviewItem>
      <errorID>2f22ce05-3372-430e-9afd-9f9e28283e55</errorID>
      <errorWord>)</errorWord>
      <group>L1_Format</group>
      <groupName>格式问题</groupName>
      <ability>L2_HalfPunc_CN</ability>
      <abilityName>全半角问题</abilityName>
      <candidateList>
        <item>）</item>
      </candidateList>
      <explain>文本全半角错误。</explain>
      <paraID>150E9190</paraID>
      <start>7</start>
      <end>8</end>
      <status>unmodified</status>
      <modifiedWord/>
      <trackRevisions>false</trackRevisions>
    </reviewItem>
    <reviewItem>
      <errorID>ece13ea3-5468-453f-84dc-d7c96719fd58</errorID>
      <errorWord>(</errorWord>
      <group>L1_Format</group>
      <groupName>格式问题</groupName>
      <ability>L2_HalfPunc_CN</ability>
      <abilityName>全半角问题</abilityName>
      <candidateList>
        <item>（</item>
      </candidateList>
      <explain>文本全半角错误。</explain>
      <paraID>6091CA2D</paraID>
      <start>6</start>
      <end>7</end>
      <status>unmodified</status>
      <modifiedWord/>
      <trackRevisions>false</trackRevisions>
    </reviewItem>
    <reviewItem>
      <errorID>f280da4b-3168-4750-b6ad-ca074197abb2</errorID>
      <errorWord>)</errorWord>
      <group>L1_Format</group>
      <groupName>格式问题</groupName>
      <ability>L2_HalfPunc_CN</ability>
      <abilityName>全半角问题</abilityName>
      <candidateList>
        <item>）</item>
      </candidateList>
      <explain>文本全半角错误。</explain>
      <paraID>6091CA2D</paraID>
      <start>10</start>
      <end>11</end>
      <status>unmodified</status>
      <modifiedWord/>
      <trackRevisions>false</trackRevisions>
    </reviewItem>
    <reviewItem>
      <errorID>5230b043-ce3d-46f6-ab9c-0badb3cdecdf</errorID>
      <errorWord>，</errorWord>
      <group>L1_Format</group>
      <groupName>格式问题</groupName>
      <ability>L2_HalfPunc_CN</ability>
      <abilityName>全半角问题</abilityName>
      <candidateList>
        <item>, </item>
      </candidateList>
      <explain>文本全半角错误。</explain>
      <paraID>3D246786</paraID>
      <start>1</start>
      <end>2</end>
      <status>unmodified</status>
      <modifiedWord/>
      <trackRevisions>false</trackRevisions>
    </reviewItem>
    <reviewItem>
      <errorID>7401af07-d625-4fee-a38e-9ccfc6896150</errorID>
      <errorWord>，</errorWord>
      <group>L1_Format</group>
      <groupName>格式问题</groupName>
      <ability>L2_HalfPunc_CN</ability>
      <abilityName>全半角问题</abilityName>
      <candidateList>
        <item>, </item>
      </candidateList>
      <explain>文本全半角错误。</explain>
      <paraID>3ADDA0F7</paraID>
      <start>1</start>
      <end>2</end>
      <status>unmodified</status>
      <modifiedWord/>
      <trackRevisions>false</trackRevisions>
    </reviewItem>
    <reviewItem>
      <errorID>0c25b073-adff-4624-b110-be44f1224f66</errorID>
      <errorWord>，</errorWord>
      <group>L1_Format</group>
      <groupName>格式问题</groupName>
      <ability>L2_HalfPunc_CN</ability>
      <abilityName>全半角问题</abilityName>
      <candidateList>
        <item>, </item>
      </candidateList>
      <explain>文本全半角错误。</explain>
      <paraID>3271FAF8</paraID>
      <start>1</start>
      <end>2</end>
      <status>unmodified</status>
      <modifiedWord/>
      <trackRevisions>false</trackRevisions>
    </reviewItem>
    <reviewItem>
      <errorID>8aa96668-a4c5-4b31-8285-3fae15c77cea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278BEA79</paraID>
      <start>125</start>
      <end>126</end>
      <status>unmodified</status>
      <modifiedWord/>
      <trackRevisions>false</trackRevisions>
    </reviewItem>
    <reviewItem>
      <errorID>29c2853d-239a-4f48-b481-c007baf1f5b1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278BEA79</paraID>
      <start>164</start>
      <end>165</end>
      <status>unmodified</status>
      <modifiedWord/>
      <trackRevisions>false</trackRevisions>
    </reviewItem>
    <reviewItem>
      <errorID>4850bbd8-f4e3-4276-908e-39e1efbc08c6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70DAF74</paraID>
      <start>20</start>
      <end>21</end>
      <status>unmodified</status>
      <modifiedWord/>
      <trackRevisions>false</trackRevisions>
    </reviewItem>
    <reviewItem>
      <errorID>408ebcf7-0c1d-46ed-9adb-2fb94f997aaa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70ED529B</paraID>
      <start>76</start>
      <end>77</end>
      <status>unmodified</status>
      <modifiedWord/>
      <trackRevisions>false</trackRevisions>
    </reviewItem>
    <reviewItem>
      <errorID>fb9b45d7-256a-4a71-9a0f-e8e8a55df5b2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A723E40</paraID>
      <start>20</start>
      <end>21</end>
      <status>unmodified</status>
      <modifiedWord/>
      <trackRevisions>false</trackRevisions>
    </reviewItem>
    <reviewItem>
      <errorID>7b5077a1-7d5b-4730-b696-75cf7b50f124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3924EDF</paraID>
      <start>53</start>
      <end>54</end>
      <status>unmodified</status>
      <modifiedWord/>
      <trackRevisions>false</trackRevisions>
    </reviewItem>
    <reviewItem>
      <errorID>587cb553-b570-49b7-97f2-7149723b4597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50FBD58A</paraID>
      <start>35</start>
      <end>36</end>
      <status>unmodified</status>
      <modifiedWord/>
      <trackRevisions>false</trackRevisions>
    </reviewItem>
    <reviewItem>
      <errorID>1e434608-3e33-441b-9800-c6eecf428881</errorID>
      <errorWord>应急物资配备</errorWord>
      <group>L1_Political</group>
      <groupName>政治性问题</groupName>
      <ability>L2_Keyword</ability>
      <abilityName>固定表述</abilityName>
      <candidateList>
        <item>应急物资储备</item>
      </candidateList>
      <explain>词汇“应急物资储备”在特定场景下为固定表述形式，请确认此处的“应急物资配备”是否存在不当。</explain>
      <paraID>5606CCC1</paraID>
      <start>2</start>
      <end>8</end>
      <status>unmodified</status>
      <modifiedWord/>
      <trackRevisions>false</trackRevisions>
    </reviewItem>
    <reviewItem>
      <errorID>bad2c9f8-4512-4535-9d4c-4b2cc4cc90a7</errorID>
      <errorWord>，</errorWord>
      <group>L1_Word</group>
      <groupName>字词问题</groupName>
      <ability>L2_Typo</ability>
      <abilityName>字词错误</abilityName>
      <candidateList>
        <item>，对</item>
      </candidateList>
      <explain/>
      <paraID>1DACDB89</paraID>
      <start>39</start>
      <end>40</end>
      <status>unmodified</status>
      <modifiedWord/>
      <trackRevisions>false</trackRevisions>
    </reviewItem>
    <reviewItem>
      <errorID>a943c33b-b5eb-4bdc-9e07-bd1badbed26b</errorID>
      <errorWord>回覆</errorWord>
      <group>L1_Word</group>
      <groupName>字词问题</groupName>
      <ability>L2_Fanti</ability>
      <abilityName>繁转简</abilityName>
      <candidateList>
        <item>回复</item>
      </candidateList>
      <explain/>
      <paraID>25D04622</paraID>
      <start>18</start>
      <end>20</end>
      <status>unmodified</status>
      <modifiedWord/>
      <trackRevisions>false</trackRevisions>
    </reviewItem>
    <reviewItem>
      <errorID>66c38359-8a69-4dc6-81e9-ad83c82c682f</errorID>
      <errorWord>回覆</errorWord>
      <group>L1_Word</group>
      <groupName>字词问题</groupName>
      <ability>L2_Fanti</ability>
      <abilityName>繁转简</abilityName>
      <candidateList>
        <item>回复</item>
      </candidateList>
      <explain/>
      <paraID>60DB036A</paraID>
      <start>2</start>
      <end>4</end>
      <status>unmodified</status>
      <modifiedWord/>
      <trackRevisions>false</trackRevisions>
    </reviewItem>
    <reviewItem>
      <errorID>922079d7-9dee-479e-b9de-e16f9a7128fa</errorID>
      <errorWord>选</errorWord>
      <group>L1_Word</group>
      <groupName>字词问题</groupName>
      <ability>L2_Typo</ability>
      <abilityName>字词错误</abilityName>
      <candidateList>
        <item>选择</item>
      </candidateList>
      <explain/>
      <paraID>34B0A849</paraID>
      <start>7</start>
      <end>8</end>
      <status>unmodified</status>
      <modifiedWord/>
      <trackRevisions>false</trackRevisions>
    </reviewItem>
    <reviewItem>
      <errorID>1e0fa67f-2839-4d3e-927c-a49fe86f33c5</errorID>
      <errorWord>生态保护与恢复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词汇“生态保护修复”在特定场景下为固定表述形式，请确认此处的“生态保护与恢复”是否存在不当。</explain>
      <paraID>7D4FD0B4</paraID>
      <start>0</start>
      <end>7</end>
      <status>unmodified</status>
      <modifiedWord/>
      <trackRevisions>false</trackRevisions>
    </reviewItem>
    <reviewItem>
      <errorID>e8d9687e-8700-4f37-b990-7a350812dd8e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6328EA83</paraID>
      <start>50</start>
      <end>51</end>
      <status>unmodified</status>
      <modifiedWord/>
      <trackRevisions>false</trackRevisions>
    </reviewItem>
    <reviewItem>
      <errorID>e112e8ae-1f62-459c-bc60-2b132941a859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6328EA83</paraID>
      <start>107</start>
      <end>108</end>
      <status>unmodified</status>
      <modifiedWord/>
      <trackRevisions>false</trackRevisions>
    </reviewItem>
    <reviewItem>
      <errorID>9b038175-bafa-4589-b068-d39b1b42b756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2FC48F2D</paraID>
      <start>53</start>
      <end>54</end>
      <status>unmodified</status>
      <modifiedWord/>
      <trackRevisions>false</trackRevisions>
    </reviewItem>
    <reviewItem>
      <errorID>075ebb0d-45ee-4df9-95a0-037771d48091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3E2A0B65</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f453e289-ea53-4b0e-9e2d-ed9921f5e108}">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14941</Words>
  <Characters>15547</Characters>
  <Lines>329</Lines>
  <Paragraphs>92</Paragraphs>
  <TotalTime>124</TotalTime>
  <ScaleCrop>false</ScaleCrop>
  <LinksUpToDate>false</LinksUpToDate>
  <CharactersWithSpaces>15671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2023-05-13T02:57:00Z</dcterms:created>
  <dc:creator>437654827@qq.com</dc:creator>
  <cp:lastModifiedBy>Lucky girl</cp:lastModifiedBy>
  <cp:lastPrinted>2026-08-12T05:31:00Z</cp:lastPrinted>
  <dcterms:modified xsi:type="dcterms:W3CDTF">2026-09-20T04:58:28Z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99C56A6752A04771BD5353A82C6C4A52_13</vt:lpwstr>
  </property>
  <property fmtid="{D5CDD505-2E9C-101B-9397-08002B2CF9AE}" pid="4" name="KSOTemplateDocerSaveRecord">
    <vt:lpwstr>eyJoZGlkIjoiYjFkZWFmNTA0YThlYmIzMjcyNmM2MTIyYmFkNDEyMGIiLCJ1c2VySWQiOiI2MDYzMjUzNDYifQ==</vt:lpwstr>
  </property>
</Properties>
</file>