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F6CAEC">
      <w:pPr>
        <w:jc w:val="center"/>
        <w:rPr>
          <w:rFonts w:hint="default" w:ascii="Times New Roman" w:hAnsi="Times New Roman" w:eastAsia="华文中宋" w:cs="Times New Roman"/>
          <w:b/>
          <w:bCs/>
          <w:spacing w:val="20"/>
          <w:sz w:val="64"/>
          <w:szCs w:val="25"/>
        </w:rPr>
      </w:pPr>
      <w:bookmarkStart w:id="0" w:name="_Toc77521248"/>
      <w:bookmarkStart w:id="1" w:name="_Toc85556548"/>
      <w:bookmarkStart w:id="2" w:name="_Hlk57883707"/>
    </w:p>
    <w:p w14:paraId="7AE4BE3E">
      <w:pPr>
        <w:adjustRightInd w:val="0"/>
        <w:snapToGrid w:val="0"/>
        <w:jc w:val="center"/>
        <w:rPr>
          <w:rFonts w:hint="default" w:ascii="Times New Roman" w:hAnsi="Times New Roman" w:eastAsia="方正小标宋_GBK" w:cs="Times New Roman"/>
          <w:bCs/>
          <w:sz w:val="72"/>
          <w:szCs w:val="72"/>
        </w:rPr>
      </w:pPr>
      <w:bookmarkStart w:id="3" w:name="_Toc31589"/>
      <w:r>
        <w:rPr>
          <w:rFonts w:hint="default" w:ascii="Times New Roman" w:hAnsi="Times New Roman" w:eastAsia="方正小标宋_GBK" w:cs="Times New Roman"/>
          <w:bCs/>
          <w:sz w:val="72"/>
          <w:szCs w:val="72"/>
        </w:rPr>
        <w:t>建设项目</w:t>
      </w:r>
      <w:r>
        <w:rPr>
          <w:rFonts w:hint="default" w:ascii="Times New Roman" w:hAnsi="Times New Roman" w:eastAsia="方正小标宋_GBK" w:cs="Times New Roman"/>
          <w:bCs/>
          <w:sz w:val="72"/>
          <w:szCs w:val="72"/>
          <w:lang w:val="en-US" w:eastAsia="zh-CN"/>
        </w:rPr>
        <w:t>生态</w:t>
      </w:r>
      <w:r>
        <w:rPr>
          <w:rFonts w:hint="default" w:ascii="Times New Roman" w:hAnsi="Times New Roman" w:eastAsia="方正小标宋_GBK" w:cs="Times New Roman"/>
          <w:bCs/>
          <w:sz w:val="72"/>
          <w:szCs w:val="72"/>
        </w:rPr>
        <w:t>环境影响</w:t>
      </w:r>
    </w:p>
    <w:p w14:paraId="4D6F0097">
      <w:pPr>
        <w:adjustRightInd w:val="0"/>
        <w:snapToGrid w:val="0"/>
        <w:jc w:val="center"/>
        <w:rPr>
          <w:rFonts w:hint="default" w:ascii="Times New Roman" w:hAnsi="Times New Roman" w:eastAsia="方正小标宋_GBK" w:cs="Times New Roman"/>
          <w:bCs/>
          <w:sz w:val="72"/>
          <w:szCs w:val="72"/>
        </w:rPr>
      </w:pPr>
      <w:r>
        <w:rPr>
          <w:rFonts w:hint="default" w:ascii="Times New Roman" w:hAnsi="Times New Roman" w:eastAsia="方正小标宋_GBK" w:cs="Times New Roman"/>
          <w:bCs/>
          <w:sz w:val="72"/>
          <w:szCs w:val="72"/>
        </w:rPr>
        <w:t>报告表</w:t>
      </w:r>
      <w:bookmarkEnd w:id="3"/>
    </w:p>
    <w:p w14:paraId="367676A6">
      <w:pPr>
        <w:adjustRightInd w:val="0"/>
        <w:snapToGrid w:val="0"/>
        <w:spacing w:before="192" w:beforeLines="80"/>
        <w:jc w:val="center"/>
        <w:rPr>
          <w:rFonts w:hint="default" w:ascii="Times New Roman" w:hAnsi="Times New Roman" w:eastAsia="楷体_GB2312" w:cs="Times New Roman"/>
          <w:bCs/>
          <w:sz w:val="48"/>
          <w:szCs w:val="48"/>
        </w:rPr>
      </w:pPr>
      <w:r>
        <w:rPr>
          <w:rFonts w:hint="default" w:ascii="Times New Roman" w:hAnsi="Times New Roman" w:eastAsia="楷体_GB2312" w:cs="Times New Roman"/>
          <w:bCs/>
          <w:sz w:val="48"/>
          <w:szCs w:val="48"/>
        </w:rPr>
        <w:t>（</w:t>
      </w:r>
      <w:bookmarkStart w:id="4" w:name="_Hlk203491416"/>
      <w:r>
        <w:rPr>
          <w:rFonts w:hint="default" w:ascii="Times New Roman" w:hAnsi="Times New Roman" w:eastAsia="楷体_GB2312" w:cs="Times New Roman"/>
          <w:bCs/>
          <w:sz w:val="48"/>
          <w:szCs w:val="48"/>
        </w:rPr>
        <w:t>生态影响类</w:t>
      </w:r>
      <w:bookmarkEnd w:id="4"/>
      <w:r>
        <w:rPr>
          <w:rFonts w:hint="default" w:ascii="Times New Roman" w:hAnsi="Times New Roman" w:eastAsia="楷体_GB2312" w:cs="Times New Roman"/>
          <w:bCs/>
          <w:sz w:val="48"/>
          <w:szCs w:val="48"/>
        </w:rPr>
        <w:t>）</w:t>
      </w:r>
    </w:p>
    <w:p w14:paraId="79B29751">
      <w:pPr>
        <w:adjustRightInd w:val="0"/>
        <w:snapToGrid w:val="0"/>
        <w:spacing w:before="192" w:beforeLines="80"/>
        <w:jc w:val="center"/>
        <w:rPr>
          <w:rFonts w:hint="default" w:ascii="Times New Roman" w:hAnsi="Times New Roman" w:cs="Times New Roman"/>
        </w:rPr>
      </w:pPr>
      <w:r>
        <w:rPr>
          <w:rFonts w:hint="default" w:ascii="Times New Roman" w:hAnsi="Times New Roman" w:eastAsia="楷体_GB2312" w:cs="Times New Roman"/>
          <w:bCs/>
          <w:sz w:val="36"/>
          <w:szCs w:val="48"/>
        </w:rPr>
        <w:t>（</w:t>
      </w:r>
      <w:r>
        <w:rPr>
          <w:rFonts w:hint="eastAsia" w:eastAsia="楷体_GB2312" w:cs="Times New Roman"/>
          <w:bCs/>
          <w:sz w:val="36"/>
          <w:szCs w:val="48"/>
          <w:lang w:val="en-US" w:eastAsia="zh-CN"/>
        </w:rPr>
        <w:t>报批</w:t>
      </w:r>
      <w:r>
        <w:rPr>
          <w:rFonts w:hint="default" w:ascii="Times New Roman" w:hAnsi="Times New Roman" w:eastAsia="楷体_GB2312" w:cs="Times New Roman"/>
          <w:bCs/>
          <w:sz w:val="36"/>
          <w:szCs w:val="48"/>
        </w:rPr>
        <w:t>稿）</w:t>
      </w:r>
    </w:p>
    <w:p w14:paraId="5363F689">
      <w:pPr>
        <w:adjustRightInd w:val="0"/>
        <w:snapToGrid w:val="0"/>
        <w:spacing w:line="288" w:lineRule="auto"/>
        <w:jc w:val="center"/>
        <w:rPr>
          <w:rFonts w:hint="default" w:ascii="Times New Roman" w:hAnsi="Times New Roman" w:eastAsia="华文仿宋" w:cs="Times New Roman"/>
          <w:kern w:val="44"/>
          <w:sz w:val="44"/>
          <w:szCs w:val="44"/>
        </w:rPr>
      </w:pPr>
    </w:p>
    <w:p w14:paraId="3CF5C634">
      <w:pPr>
        <w:jc w:val="center"/>
        <w:rPr>
          <w:rFonts w:hint="default" w:ascii="Times New Roman" w:hAnsi="Times New Roman" w:eastAsia="仿宋" w:cs="Times New Roman"/>
          <w:sz w:val="52"/>
          <w:szCs w:val="52"/>
        </w:rPr>
      </w:pPr>
    </w:p>
    <w:p w14:paraId="1D8D038D">
      <w:pPr>
        <w:pStyle w:val="17"/>
        <w:rPr>
          <w:rFonts w:hint="default" w:ascii="Times New Roman" w:hAnsi="Times New Roman" w:cs="Times New Roman"/>
        </w:rPr>
      </w:pPr>
    </w:p>
    <w:p w14:paraId="0C9ACCDE">
      <w:pPr>
        <w:pStyle w:val="18"/>
        <w:ind w:firstLine="252"/>
        <w:rPr>
          <w:rFonts w:hint="default" w:ascii="Times New Roman" w:hAnsi="Times New Roman" w:cs="Times New Roman"/>
        </w:rPr>
      </w:pPr>
    </w:p>
    <w:p w14:paraId="7E4F16B3">
      <w:pPr>
        <w:adjustRightInd w:val="0"/>
        <w:snapToGrid w:val="0"/>
        <w:spacing w:line="360" w:lineRule="auto"/>
        <w:ind w:firstLine="680"/>
        <w:rPr>
          <w:rFonts w:hint="default" w:ascii="Times New Roman" w:hAnsi="Times New Roman" w:eastAsia="仿宋_GB2312" w:cs="Times New Roman"/>
          <w:sz w:val="36"/>
          <w:szCs w:val="36"/>
          <w:u w:val="single"/>
        </w:rPr>
      </w:pPr>
      <w:r>
        <w:rPr>
          <w:rFonts w:hint="default" w:ascii="Times New Roman" w:hAnsi="Times New Roman" w:eastAsia="仿宋_GB2312" w:cs="Times New Roman"/>
          <w:sz w:val="36"/>
          <w:szCs w:val="36"/>
        </w:rPr>
        <w:t>项目名称：</w:t>
      </w:r>
      <w:r>
        <w:rPr>
          <w:rFonts w:hint="default" w:ascii="Times New Roman" w:hAnsi="Times New Roman" w:eastAsia="仿宋_GB2312" w:cs="Times New Roman"/>
          <w:sz w:val="36"/>
          <w:szCs w:val="36"/>
          <w:u w:val="single"/>
        </w:rPr>
        <w:t>新疆鸿泰鼎新材料科技有限公司鸿泰鼎绿色新材料纺织产业园（一期）建设项目110kV变电站工程</w:t>
      </w:r>
    </w:p>
    <w:p w14:paraId="647B6B7D">
      <w:pPr>
        <w:adjustRightInd w:val="0"/>
        <w:snapToGrid w:val="0"/>
        <w:spacing w:line="360" w:lineRule="auto"/>
        <w:ind w:firstLine="680"/>
        <w:rPr>
          <w:rFonts w:hint="default" w:ascii="Times New Roman" w:hAnsi="Times New Roman" w:eastAsia="仿宋_GB2312" w:cs="Times New Roman"/>
          <w:sz w:val="36"/>
          <w:szCs w:val="36"/>
          <w:u w:val="single"/>
          <w:lang w:val="en-US" w:eastAsia="zh-CN"/>
        </w:rPr>
      </w:pPr>
      <w:r>
        <w:rPr>
          <w:rFonts w:hint="default" w:ascii="Times New Roman" w:hAnsi="Times New Roman" w:eastAsia="仿宋_GB2312" w:cs="Times New Roman"/>
          <w:sz w:val="36"/>
          <w:szCs w:val="36"/>
        </w:rPr>
        <w:t>建设单位（盖章）：</w:t>
      </w:r>
      <w:r>
        <w:rPr>
          <w:rFonts w:hint="default" w:ascii="Times New Roman" w:hAnsi="Times New Roman" w:eastAsia="仿宋_GB2312" w:cs="Times New Roman"/>
          <w:sz w:val="36"/>
          <w:szCs w:val="36"/>
          <w:u w:val="single"/>
        </w:rPr>
        <w:t>新疆鸿泰鼎新材料科技有限公司</w:t>
      </w:r>
      <w:r>
        <w:rPr>
          <w:rFonts w:hint="default" w:ascii="Times New Roman" w:hAnsi="Times New Roman" w:eastAsia="仿宋_GB2312" w:cs="Times New Roman"/>
          <w:sz w:val="36"/>
          <w:szCs w:val="36"/>
          <w:u w:val="single"/>
          <w:lang w:val="en-US" w:eastAsia="zh-CN"/>
        </w:rPr>
        <w:t xml:space="preserve">   </w:t>
      </w:r>
    </w:p>
    <w:p w14:paraId="6DD78987">
      <w:pPr>
        <w:adjustRightInd w:val="0"/>
        <w:snapToGrid w:val="0"/>
        <w:spacing w:line="360" w:lineRule="auto"/>
        <w:ind w:firstLine="680"/>
        <w:rPr>
          <w:rFonts w:hint="default" w:ascii="Times New Roman" w:hAnsi="Times New Roman" w:eastAsia="仿宋_GB2312" w:cs="Times New Roman"/>
          <w:sz w:val="36"/>
          <w:szCs w:val="36"/>
          <w:u w:val="single"/>
          <w:lang w:val="en-US" w:eastAsia="zh-CN"/>
        </w:rPr>
      </w:pPr>
      <w:r>
        <w:rPr>
          <w:rFonts w:hint="default" w:ascii="Times New Roman" w:hAnsi="Times New Roman" w:eastAsia="仿宋_GB2312" w:cs="Times New Roman"/>
          <w:sz w:val="36"/>
          <w:szCs w:val="36"/>
        </w:rPr>
        <w:t>编制日期：</w:t>
      </w:r>
      <w:r>
        <w:rPr>
          <w:rFonts w:hint="default" w:ascii="Times New Roman" w:hAnsi="Times New Roman" w:eastAsia="仿宋_GB2312" w:cs="Times New Roman"/>
          <w:sz w:val="36"/>
          <w:szCs w:val="36"/>
          <w:u w:val="single"/>
        </w:rPr>
        <w:t>2026年</w:t>
      </w:r>
      <w:r>
        <w:rPr>
          <w:rFonts w:hint="eastAsia" w:eastAsia="仿宋_GB2312" w:cs="Times New Roman"/>
          <w:sz w:val="36"/>
          <w:szCs w:val="36"/>
          <w:u w:val="single"/>
          <w:lang w:val="en-US" w:eastAsia="zh-CN"/>
        </w:rPr>
        <w:t xml:space="preserve">10月                        </w:t>
      </w:r>
    </w:p>
    <w:p w14:paraId="00C3E833">
      <w:pPr>
        <w:adjustRightInd w:val="0"/>
        <w:snapToGrid w:val="0"/>
        <w:spacing w:line="288" w:lineRule="auto"/>
        <w:ind w:firstLine="1040"/>
        <w:rPr>
          <w:rFonts w:hint="default" w:ascii="Times New Roman" w:hAnsi="Times New Roman" w:eastAsia="仿宋_GB2312" w:cs="Times New Roman"/>
          <w:sz w:val="36"/>
          <w:szCs w:val="36"/>
        </w:rPr>
      </w:pPr>
      <w:bookmarkStart w:id="5" w:name="_Hlk57884087"/>
    </w:p>
    <w:p w14:paraId="5BFBC310">
      <w:pPr>
        <w:adjustRightInd w:val="0"/>
        <w:snapToGrid w:val="0"/>
        <w:spacing w:line="288" w:lineRule="auto"/>
        <w:ind w:firstLine="1040"/>
        <w:rPr>
          <w:rFonts w:hint="default" w:ascii="Times New Roman" w:hAnsi="Times New Roman" w:eastAsia="仿宋_GB2312" w:cs="Times New Roman"/>
          <w:sz w:val="36"/>
          <w:szCs w:val="36"/>
        </w:rPr>
      </w:pPr>
    </w:p>
    <w:p w14:paraId="64771A2C">
      <w:pPr>
        <w:pStyle w:val="17"/>
        <w:rPr>
          <w:rFonts w:hint="default" w:ascii="Times New Roman" w:hAnsi="Times New Roman" w:cs="Times New Roman"/>
        </w:rPr>
      </w:pPr>
    </w:p>
    <w:bookmarkEnd w:id="5"/>
    <w:p w14:paraId="4833F043">
      <w:pPr>
        <w:adjustRightInd w:val="0"/>
        <w:snapToGrid w:val="0"/>
        <w:spacing w:line="288" w:lineRule="auto"/>
        <w:jc w:val="center"/>
        <w:rPr>
          <w:rFonts w:hint="default" w:ascii="Times New Roman" w:hAnsi="Times New Roman" w:eastAsia="楷体_GB2312" w:cs="Times New Roman"/>
          <w:sz w:val="36"/>
          <w:szCs w:val="36"/>
        </w:rPr>
        <w:sectPr>
          <w:footerReference r:id="rId3" w:type="default"/>
          <w:pgSz w:w="11906" w:h="16838"/>
          <w:pgMar w:top="1440" w:right="1797" w:bottom="1440" w:left="1797" w:header="851" w:footer="1077" w:gutter="0"/>
          <w:pgBorders>
            <w:top w:val="none" w:sz="0" w:space="0"/>
            <w:left w:val="none" w:sz="0" w:space="0"/>
            <w:bottom w:val="none" w:sz="0" w:space="0"/>
            <w:right w:val="none" w:sz="0" w:space="0"/>
          </w:pgBorders>
          <w:pgNumType w:start="1"/>
          <w:cols w:space="720" w:num="1"/>
          <w:docGrid w:linePitch="312" w:charSpace="0"/>
        </w:sectPr>
      </w:pPr>
      <w:r>
        <w:rPr>
          <w:rFonts w:hint="default" w:ascii="Times New Roman" w:hAnsi="Times New Roman" w:eastAsia="楷体_GB2312" w:cs="Times New Roman"/>
          <w:sz w:val="36"/>
          <w:szCs w:val="36"/>
        </w:rPr>
        <w:t>中华人民共和国生态环境部</w:t>
      </w:r>
    </w:p>
    <w:tbl>
      <w:tblPr>
        <w:tblStyle w:val="43"/>
        <w:tblW w:w="5000" w:type="pct"/>
        <w:jc w:val="center"/>
        <w:tblLayout w:type="fixed"/>
        <w:tblCellMar>
          <w:top w:w="0" w:type="dxa"/>
          <w:left w:w="108" w:type="dxa"/>
          <w:bottom w:w="0" w:type="dxa"/>
          <w:right w:w="108" w:type="dxa"/>
        </w:tblCellMar>
      </w:tblPr>
      <w:tblGrid>
        <w:gridCol w:w="4217"/>
        <w:gridCol w:w="4311"/>
      </w:tblGrid>
      <w:tr w14:paraId="462621D0">
        <w:tblPrEx>
          <w:tblCellMar>
            <w:top w:w="0" w:type="dxa"/>
            <w:left w:w="108" w:type="dxa"/>
            <w:bottom w:w="0" w:type="dxa"/>
            <w:right w:w="108" w:type="dxa"/>
          </w:tblCellMar>
        </w:tblPrEx>
        <w:trPr>
          <w:trHeight w:val="397" w:hRule="atLeast"/>
          <w:jc w:val="center"/>
        </w:trPr>
        <w:tc>
          <w:tcPr>
            <w:tcW w:w="2472" w:type="pct"/>
            <w:vAlign w:val="center"/>
          </w:tcPr>
          <w:p w14:paraId="0DDABADD">
            <w:pPr>
              <w:pStyle w:val="151"/>
              <w:keepNext w:val="0"/>
              <w:keepLines w:val="0"/>
              <w:pageBreakBefore w:val="0"/>
              <w:widowControl/>
              <w:kinsoku/>
              <w:wordWrap/>
              <w:overflowPunct/>
              <w:topLinePunct w:val="0"/>
              <w:autoSpaceDE/>
              <w:autoSpaceDN/>
              <w:bidi w:val="0"/>
              <w:adjustRightInd w:val="0"/>
              <w:snapToGrid w:val="0"/>
              <w:spacing w:before="0" w:beforeLines="50" w:after="0" w:afterLines="50" w:line="240" w:lineRule="auto"/>
              <w:ind w:firstLine="0"/>
              <w:jc w:val="center"/>
              <w:textAlignment w:val="auto"/>
              <w:rPr>
                <w:rFonts w:hint="default" w:ascii="Times New Roman" w:hAnsi="Times New Roman" w:eastAsia="宋体" w:cs="Times New Roman"/>
                <w:color w:val="auto"/>
                <w:szCs w:val="24"/>
                <w:highlight w:val="none"/>
                <w:lang w:eastAsia="zh-CN"/>
              </w:rPr>
            </w:pPr>
          </w:p>
        </w:tc>
        <w:tc>
          <w:tcPr>
            <w:tcW w:w="2527" w:type="pct"/>
            <w:vAlign w:val="center"/>
          </w:tcPr>
          <w:p w14:paraId="6886331F">
            <w:pPr>
              <w:pStyle w:val="151"/>
              <w:keepNext w:val="0"/>
              <w:keepLines w:val="0"/>
              <w:pageBreakBefore w:val="0"/>
              <w:widowControl/>
              <w:kinsoku/>
              <w:wordWrap/>
              <w:overflowPunct/>
              <w:topLinePunct w:val="0"/>
              <w:autoSpaceDE/>
              <w:autoSpaceDN/>
              <w:bidi w:val="0"/>
              <w:adjustRightInd w:val="0"/>
              <w:snapToGrid w:val="0"/>
              <w:spacing w:before="0" w:beforeLines="50" w:after="0" w:afterLines="50" w:line="240" w:lineRule="auto"/>
              <w:ind w:firstLine="0"/>
              <w:jc w:val="center"/>
              <w:textAlignment w:val="auto"/>
              <w:rPr>
                <w:rFonts w:hint="default" w:ascii="Times New Roman" w:hAnsi="Times New Roman" w:eastAsia="宋体" w:cs="Times New Roman"/>
                <w:color w:val="auto"/>
                <w:highlight w:val="none"/>
                <w:lang w:eastAsia="zh-CN"/>
              </w:rPr>
            </w:pPr>
          </w:p>
        </w:tc>
      </w:tr>
      <w:tr w14:paraId="1D8B59E4">
        <w:tblPrEx>
          <w:tblCellMar>
            <w:top w:w="0" w:type="dxa"/>
            <w:left w:w="108" w:type="dxa"/>
            <w:bottom w:w="0" w:type="dxa"/>
            <w:right w:w="108" w:type="dxa"/>
          </w:tblCellMar>
        </w:tblPrEx>
        <w:trPr>
          <w:trHeight w:val="397" w:hRule="atLeast"/>
          <w:jc w:val="center"/>
        </w:trPr>
        <w:tc>
          <w:tcPr>
            <w:tcW w:w="2472" w:type="pct"/>
            <w:vAlign w:val="center"/>
          </w:tcPr>
          <w:p w14:paraId="3185B160">
            <w:pPr>
              <w:pStyle w:val="151"/>
              <w:keepNext w:val="0"/>
              <w:keepLines w:val="0"/>
              <w:pageBreakBefore w:val="0"/>
              <w:widowControl/>
              <w:kinsoku w:val="0"/>
              <w:wordWrap/>
              <w:overflowPunct w:val="0"/>
              <w:topLinePunct w:val="0"/>
              <w:autoSpaceDE w:val="0"/>
              <w:autoSpaceDN w:val="0"/>
              <w:bidi w:val="0"/>
              <w:adjustRightInd w:val="0"/>
              <w:snapToGrid w:val="0"/>
              <w:spacing w:before="0" w:beforeLines="50" w:after="0" w:afterLines="50" w:line="240" w:lineRule="auto"/>
              <w:ind w:firstLine="0"/>
              <w:jc w:val="center"/>
              <w:textAlignment w:val="baseline"/>
              <w:rPr>
                <w:rFonts w:hint="default" w:ascii="Times New Roman" w:hAnsi="Times New Roman" w:eastAsia="宋体" w:cs="Times New Roman"/>
                <w:color w:val="auto"/>
                <w:szCs w:val="24"/>
                <w:highlight w:val="none"/>
                <w:lang w:eastAsia="zh-CN"/>
              </w:rPr>
            </w:pPr>
          </w:p>
        </w:tc>
        <w:tc>
          <w:tcPr>
            <w:tcW w:w="2527" w:type="pct"/>
            <w:shd w:val="clear" w:color="auto" w:fill="auto"/>
            <w:vAlign w:val="center"/>
          </w:tcPr>
          <w:p w14:paraId="72BDB321">
            <w:pPr>
              <w:pStyle w:val="151"/>
              <w:keepNext w:val="0"/>
              <w:keepLines w:val="0"/>
              <w:pageBreakBefore w:val="0"/>
              <w:widowControl/>
              <w:kinsoku w:val="0"/>
              <w:wordWrap/>
              <w:overflowPunct w:val="0"/>
              <w:topLinePunct w:val="0"/>
              <w:autoSpaceDE w:val="0"/>
              <w:autoSpaceDN w:val="0"/>
              <w:bidi w:val="0"/>
              <w:adjustRightInd w:val="0"/>
              <w:snapToGrid w:val="0"/>
              <w:spacing w:before="0" w:beforeLines="50" w:after="0" w:afterLines="50" w:line="240" w:lineRule="auto"/>
              <w:ind w:firstLine="0"/>
              <w:jc w:val="center"/>
              <w:textAlignment w:val="baseline"/>
              <w:rPr>
                <w:rFonts w:hint="default" w:ascii="Times New Roman" w:hAnsi="Times New Roman" w:eastAsia="宋体" w:cs="Times New Roman"/>
                <w:color w:val="auto"/>
                <w:szCs w:val="24"/>
                <w:highlight w:val="none"/>
                <w:lang w:eastAsia="zh-CN"/>
              </w:rPr>
            </w:pPr>
          </w:p>
        </w:tc>
      </w:tr>
      <w:tr w14:paraId="7F09D50C">
        <w:tblPrEx>
          <w:tblCellMar>
            <w:top w:w="0" w:type="dxa"/>
            <w:left w:w="108" w:type="dxa"/>
            <w:bottom w:w="0" w:type="dxa"/>
            <w:right w:w="108" w:type="dxa"/>
          </w:tblCellMar>
        </w:tblPrEx>
        <w:trPr>
          <w:trHeight w:val="397" w:hRule="atLeast"/>
          <w:jc w:val="center"/>
        </w:trPr>
        <w:tc>
          <w:tcPr>
            <w:tcW w:w="2472" w:type="pct"/>
            <w:vAlign w:val="center"/>
          </w:tcPr>
          <w:p w14:paraId="3100C837">
            <w:pPr>
              <w:pStyle w:val="151"/>
              <w:keepNext w:val="0"/>
              <w:keepLines w:val="0"/>
              <w:pageBreakBefore w:val="0"/>
              <w:widowControl/>
              <w:kinsoku w:val="0"/>
              <w:wordWrap/>
              <w:overflowPunct w:val="0"/>
              <w:topLinePunct w:val="0"/>
              <w:autoSpaceDE w:val="0"/>
              <w:autoSpaceDN w:val="0"/>
              <w:bidi w:val="0"/>
              <w:adjustRightInd w:val="0"/>
              <w:snapToGrid w:val="0"/>
              <w:spacing w:before="0" w:beforeLines="50" w:after="0" w:afterLines="50" w:line="240" w:lineRule="auto"/>
              <w:ind w:firstLine="0"/>
              <w:jc w:val="center"/>
              <w:textAlignment w:val="baseline"/>
              <w:rPr>
                <w:rFonts w:hint="default" w:ascii="Times New Roman" w:hAnsi="Times New Roman" w:cs="Times New Roman"/>
                <w:color w:val="auto"/>
                <w:highlight w:val="none"/>
                <w:lang w:val="en-US" w:eastAsia="zh-CN"/>
              </w:rPr>
            </w:pPr>
          </w:p>
        </w:tc>
        <w:tc>
          <w:tcPr>
            <w:tcW w:w="2527" w:type="pct"/>
            <w:vAlign w:val="center"/>
          </w:tcPr>
          <w:p w14:paraId="15EA7F32">
            <w:pPr>
              <w:pStyle w:val="151"/>
              <w:keepNext w:val="0"/>
              <w:keepLines w:val="0"/>
              <w:pageBreakBefore w:val="0"/>
              <w:widowControl/>
              <w:kinsoku w:val="0"/>
              <w:wordWrap/>
              <w:overflowPunct w:val="0"/>
              <w:topLinePunct w:val="0"/>
              <w:autoSpaceDE w:val="0"/>
              <w:autoSpaceDN w:val="0"/>
              <w:bidi w:val="0"/>
              <w:adjustRightInd w:val="0"/>
              <w:snapToGrid w:val="0"/>
              <w:spacing w:before="0" w:beforeLines="50" w:after="0" w:afterLines="50" w:line="240" w:lineRule="auto"/>
              <w:ind w:firstLine="0"/>
              <w:jc w:val="center"/>
              <w:textAlignment w:val="baseline"/>
              <w:rPr>
                <w:rFonts w:hint="default" w:ascii="Times New Roman" w:hAnsi="Times New Roman" w:cs="Times New Roman"/>
                <w:color w:val="auto"/>
                <w:highlight w:val="none"/>
                <w:lang w:val="en-US" w:eastAsia="zh-CN"/>
              </w:rPr>
            </w:pPr>
          </w:p>
        </w:tc>
      </w:tr>
      <w:tr w14:paraId="009673A3">
        <w:tblPrEx>
          <w:tblCellMar>
            <w:top w:w="0" w:type="dxa"/>
            <w:left w:w="108" w:type="dxa"/>
            <w:bottom w:w="0" w:type="dxa"/>
            <w:right w:w="108" w:type="dxa"/>
          </w:tblCellMar>
        </w:tblPrEx>
        <w:trPr>
          <w:trHeight w:val="397" w:hRule="atLeast"/>
          <w:jc w:val="center"/>
        </w:trPr>
        <w:tc>
          <w:tcPr>
            <w:tcW w:w="5000" w:type="pct"/>
            <w:gridSpan w:val="2"/>
            <w:vAlign w:val="center"/>
          </w:tcPr>
          <w:p w14:paraId="253991D6">
            <w:pPr>
              <w:pStyle w:val="151"/>
              <w:keepNext w:val="0"/>
              <w:keepLines w:val="0"/>
              <w:pageBreakBefore w:val="0"/>
              <w:widowControl/>
              <w:wordWrap/>
              <w:topLinePunct w:val="0"/>
              <w:bidi w:val="0"/>
              <w:adjustRightInd w:val="0"/>
              <w:snapToGrid w:val="0"/>
              <w:spacing w:before="0" w:after="0" w:line="240" w:lineRule="auto"/>
              <w:ind w:firstLine="0"/>
              <w:jc w:val="center"/>
              <w:rPr>
                <w:rFonts w:hint="default" w:ascii="Times New Roman" w:hAnsi="Times New Roman" w:cs="Times New Roman"/>
                <w:color w:val="auto"/>
                <w:highlight w:val="none"/>
                <w:lang w:val="en-US" w:eastAsia="zh-CN"/>
              </w:rPr>
            </w:pPr>
            <w:r>
              <w:rPr>
                <w:rFonts w:hint="default" w:ascii="Times New Roman" w:hAnsi="Times New Roman" w:eastAsia="黑体" w:cs="Times New Roman"/>
                <w:b/>
                <w:bCs/>
                <w:color w:val="auto"/>
                <w:sz w:val="30"/>
                <w:szCs w:val="30"/>
                <w:highlight w:val="none"/>
                <w:lang w:val="en-US" w:eastAsia="zh-CN"/>
              </w:rPr>
              <w:t>现 场 踏 勘 图</w:t>
            </w:r>
          </w:p>
        </w:tc>
      </w:tr>
    </w:tbl>
    <w:p w14:paraId="1593AECD">
      <w:pPr>
        <w:spacing w:line="360" w:lineRule="auto"/>
        <w:rPr>
          <w:rFonts w:hint="default" w:ascii="Times New Roman" w:hAnsi="Times New Roman" w:eastAsia="黑体" w:cs="Times New Roman"/>
        </w:rPr>
      </w:pPr>
    </w:p>
    <w:p w14:paraId="54D5D411">
      <w:pPr>
        <w:rPr>
          <w:rFonts w:hint="default" w:ascii="Times New Roman" w:hAnsi="Times New Roman" w:cs="Times New Roman"/>
        </w:rPr>
      </w:pPr>
      <w:r>
        <w:rPr>
          <w:rFonts w:hint="default" w:ascii="Times New Roman" w:hAnsi="Times New Roman" w:cs="Times New Roman"/>
        </w:rPr>
        <w:br w:type="page"/>
      </w:r>
    </w:p>
    <w:bookmarkEnd w:id="0"/>
    <w:bookmarkEnd w:id="1"/>
    <w:p w14:paraId="164D9916">
      <w:pPr>
        <w:jc w:val="center"/>
        <w:rPr>
          <w:rFonts w:hint="default" w:ascii="Times New Roman" w:hAnsi="Times New Roman" w:cs="Times New Roman"/>
        </w:rPr>
      </w:pPr>
      <w:r>
        <w:rPr>
          <w:rFonts w:hint="default" w:ascii="Times New Roman" w:hAnsi="Times New Roman" w:eastAsia="黑体" w:cs="Times New Roman"/>
          <w:bCs/>
          <w:sz w:val="32"/>
          <w:szCs w:val="32"/>
        </w:rPr>
        <w:t>目 录</w:t>
      </w:r>
    </w:p>
    <w:p w14:paraId="3EA10620">
      <w:pPr>
        <w:pStyle w:val="29"/>
        <w:tabs>
          <w:tab w:val="right" w:leader="dot" w:pos="8312"/>
        </w:tabs>
        <w:rPr>
          <w:rFonts w:hint="default" w:ascii="Times New Roman" w:hAnsi="Times New Roman" w:eastAsia="宋体" w:cs="Times New Roman"/>
          <w:sz w:val="24"/>
          <w:szCs w:val="24"/>
        </w:rPr>
      </w:pPr>
      <w:r>
        <w:rPr>
          <w:rFonts w:hint="default" w:ascii="Times New Roman" w:hAnsi="Times New Roman" w:eastAsia="宋体" w:cs="Times New Roman"/>
          <w:sz w:val="24"/>
        </w:rPr>
        <w:fldChar w:fldCharType="begin"/>
      </w:r>
      <w:r>
        <w:rPr>
          <w:rFonts w:hint="default" w:ascii="Times New Roman" w:hAnsi="Times New Roman" w:eastAsia="宋体" w:cs="Times New Roman"/>
          <w:sz w:val="24"/>
        </w:rPr>
        <w:instrText xml:space="preserve">TOC \o "1-1" \h \z \u </w:instrText>
      </w:r>
      <w:r>
        <w:rPr>
          <w:rFonts w:hint="default" w:ascii="Times New Roman" w:hAnsi="Times New Roman" w:eastAsia="宋体" w:cs="Times New Roman"/>
          <w:sz w:val="24"/>
        </w:rPr>
        <w:fldChar w:fldCharType="separate"/>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HYPERLINK \l _Toc6788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一、建设项目基本情况</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_Toc6788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1</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sz w:val="24"/>
          <w:szCs w:val="24"/>
        </w:rPr>
        <w:fldChar w:fldCharType="end"/>
      </w:r>
    </w:p>
    <w:p w14:paraId="25ED4428">
      <w:pPr>
        <w:pStyle w:val="29"/>
        <w:tabs>
          <w:tab w:val="right" w:leader="dot" w:pos="8312"/>
        </w:tabs>
        <w:rPr>
          <w:rFonts w:hint="default" w:ascii="Times New Roman" w:hAnsi="Times New Roman" w:eastAsia="宋体" w:cs="Times New Roman"/>
          <w:sz w:val="24"/>
          <w:szCs w:val="24"/>
        </w:rPr>
      </w:pP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HYPERLINK \l _Toc14985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二、建设内容</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_Toc14985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19</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sz w:val="24"/>
          <w:szCs w:val="24"/>
        </w:rPr>
        <w:fldChar w:fldCharType="end"/>
      </w:r>
    </w:p>
    <w:p w14:paraId="5C1B8235">
      <w:pPr>
        <w:pStyle w:val="29"/>
        <w:tabs>
          <w:tab w:val="right" w:leader="dot" w:pos="8312"/>
        </w:tabs>
        <w:rPr>
          <w:rFonts w:hint="default" w:ascii="Times New Roman" w:hAnsi="Times New Roman" w:eastAsia="宋体" w:cs="Times New Roman"/>
          <w:sz w:val="24"/>
          <w:szCs w:val="24"/>
        </w:rPr>
      </w:pP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HYPERLINK \l _Toc5057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三、生态环境现状、保护目标及评价标准</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_Toc5057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33</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sz w:val="24"/>
          <w:szCs w:val="24"/>
        </w:rPr>
        <w:fldChar w:fldCharType="end"/>
      </w:r>
    </w:p>
    <w:p w14:paraId="69C4EFE8">
      <w:pPr>
        <w:pStyle w:val="29"/>
        <w:tabs>
          <w:tab w:val="right" w:leader="dot" w:pos="8312"/>
        </w:tabs>
        <w:rPr>
          <w:rFonts w:hint="default" w:ascii="Times New Roman" w:hAnsi="Times New Roman" w:eastAsia="宋体" w:cs="Times New Roman"/>
          <w:sz w:val="24"/>
          <w:szCs w:val="24"/>
        </w:rPr>
      </w:pP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HYPERLINK \l _Toc31793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四、生态环境影响分析</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_Toc31793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45</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sz w:val="24"/>
          <w:szCs w:val="24"/>
        </w:rPr>
        <w:fldChar w:fldCharType="end"/>
      </w:r>
    </w:p>
    <w:p w14:paraId="16ACEB32">
      <w:pPr>
        <w:pStyle w:val="29"/>
        <w:tabs>
          <w:tab w:val="right" w:leader="dot" w:pos="8312"/>
        </w:tabs>
        <w:rPr>
          <w:rFonts w:hint="default" w:ascii="Times New Roman" w:hAnsi="Times New Roman" w:eastAsia="宋体" w:cs="Times New Roman"/>
          <w:sz w:val="24"/>
          <w:szCs w:val="24"/>
        </w:rPr>
      </w:pP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HYPERLINK \l _Toc18115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lang w:val="en-US" w:eastAsia="zh-CN"/>
        </w:rPr>
        <w:t>五、</w:t>
      </w:r>
      <w:r>
        <w:rPr>
          <w:rFonts w:hint="default" w:ascii="Times New Roman" w:hAnsi="Times New Roman" w:eastAsia="宋体" w:cs="Times New Roman"/>
          <w:sz w:val="24"/>
          <w:szCs w:val="24"/>
        </w:rPr>
        <w:t>主要生态环境保护措施</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_Toc18115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69</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sz w:val="24"/>
          <w:szCs w:val="24"/>
        </w:rPr>
        <w:fldChar w:fldCharType="end"/>
      </w:r>
    </w:p>
    <w:p w14:paraId="400F0BF7">
      <w:pPr>
        <w:pStyle w:val="29"/>
        <w:tabs>
          <w:tab w:val="right" w:leader="dot" w:pos="8312"/>
        </w:tabs>
        <w:rPr>
          <w:rFonts w:hint="default" w:ascii="Times New Roman" w:hAnsi="Times New Roman" w:eastAsia="宋体" w:cs="Times New Roman"/>
          <w:sz w:val="24"/>
          <w:szCs w:val="24"/>
        </w:rPr>
      </w:pP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HYPERLINK \l _Toc31451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lang w:val="en-US" w:eastAsia="zh-CN"/>
        </w:rPr>
        <w:t>六、</w:t>
      </w:r>
      <w:r>
        <w:rPr>
          <w:rFonts w:hint="default" w:ascii="Times New Roman" w:hAnsi="Times New Roman" w:eastAsia="宋体" w:cs="Times New Roman"/>
          <w:sz w:val="24"/>
          <w:szCs w:val="24"/>
        </w:rPr>
        <w:t>生态环境保护措施监督检查清单</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_Toc31451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84</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sz w:val="24"/>
          <w:szCs w:val="24"/>
        </w:rPr>
        <w:fldChar w:fldCharType="end"/>
      </w:r>
    </w:p>
    <w:p w14:paraId="02C31C10">
      <w:pPr>
        <w:pStyle w:val="29"/>
        <w:tabs>
          <w:tab w:val="right" w:leader="dot" w:pos="8312"/>
        </w:tabs>
        <w:rPr>
          <w:rFonts w:hint="default" w:ascii="Times New Roman" w:hAnsi="Times New Roman" w:eastAsia="宋体" w:cs="Times New Roman"/>
          <w:sz w:val="24"/>
          <w:szCs w:val="24"/>
        </w:rPr>
      </w:pP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HYPERLINK \l _Toc1243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lang w:val="en-US" w:eastAsia="zh-CN"/>
        </w:rPr>
        <w:t>七、</w:t>
      </w:r>
      <w:r>
        <w:rPr>
          <w:rFonts w:hint="default" w:ascii="Times New Roman" w:hAnsi="Times New Roman" w:eastAsia="宋体" w:cs="Times New Roman"/>
          <w:sz w:val="24"/>
          <w:szCs w:val="24"/>
        </w:rPr>
        <w:t>结论</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_Toc1243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87</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sz w:val="24"/>
          <w:szCs w:val="24"/>
        </w:rPr>
        <w:fldChar w:fldCharType="end"/>
      </w:r>
    </w:p>
    <w:p w14:paraId="61FFB5FC">
      <w:pPr>
        <w:pStyle w:val="29"/>
        <w:tabs>
          <w:tab w:val="right" w:leader="dot" w:pos="8312"/>
        </w:tabs>
        <w:rPr>
          <w:rFonts w:hint="default" w:ascii="Times New Roman" w:hAnsi="Times New Roman" w:eastAsia="宋体" w:cs="Times New Roman"/>
          <w:sz w:val="24"/>
          <w:szCs w:val="24"/>
        </w:rPr>
      </w:pP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HYPERLINK \l _Toc3822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lang w:eastAsia="zh-CN"/>
        </w:rPr>
        <w:t>新疆鸿泰鼎新材料科技有限公司鸿泰鼎绿色新材料纺织产业园（一期）建设项目110kV变电站工程</w:t>
      </w:r>
      <w:r>
        <w:rPr>
          <w:rFonts w:hint="default" w:ascii="Times New Roman" w:hAnsi="Times New Roman" w:eastAsia="宋体" w:cs="Times New Roman"/>
          <w:sz w:val="24"/>
          <w:szCs w:val="24"/>
        </w:rPr>
        <w:t>电磁环境影响专题评价</w:t>
      </w:r>
      <w:r>
        <w:rPr>
          <w:rFonts w:hint="default" w:ascii="Times New Roman" w:hAnsi="Times New Roman" w:eastAsia="宋体" w:cs="Times New Roman"/>
          <w:sz w:val="24"/>
          <w:szCs w:val="24"/>
        </w:rPr>
        <w:fldChar w:fldCharType="end"/>
      </w:r>
    </w:p>
    <w:p w14:paraId="5840EBB4">
      <w:pPr>
        <w:pStyle w:val="29"/>
        <w:tabs>
          <w:tab w:val="right" w:leader="dot" w:pos="8312"/>
        </w:tabs>
        <w:rPr>
          <w:rFonts w:hint="default" w:ascii="Times New Roman" w:hAnsi="Times New Roman" w:eastAsia="宋体" w:cs="Times New Roman"/>
          <w:sz w:val="24"/>
          <w:szCs w:val="24"/>
        </w:rPr>
      </w:pP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HYPERLINK \l _Toc26544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1.总则</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_Toc26544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1</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sz w:val="24"/>
          <w:szCs w:val="24"/>
        </w:rPr>
        <w:fldChar w:fldCharType="end"/>
      </w:r>
    </w:p>
    <w:p w14:paraId="0D7FDEB8">
      <w:pPr>
        <w:pStyle w:val="29"/>
        <w:tabs>
          <w:tab w:val="right" w:leader="dot" w:pos="8312"/>
        </w:tabs>
        <w:rPr>
          <w:rFonts w:hint="default" w:ascii="Times New Roman" w:hAnsi="Times New Roman" w:eastAsia="宋体" w:cs="Times New Roman"/>
          <w:sz w:val="24"/>
          <w:szCs w:val="24"/>
        </w:rPr>
      </w:pP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HYPERLINK \l _Toc27370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2.电磁环境现状监测与评价</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_Toc27370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4</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sz w:val="24"/>
          <w:szCs w:val="24"/>
        </w:rPr>
        <w:fldChar w:fldCharType="end"/>
      </w:r>
    </w:p>
    <w:p w14:paraId="690C4152">
      <w:pPr>
        <w:pStyle w:val="29"/>
        <w:tabs>
          <w:tab w:val="right" w:leader="dot" w:pos="8312"/>
        </w:tabs>
        <w:rPr>
          <w:rFonts w:hint="default" w:ascii="Times New Roman" w:hAnsi="Times New Roman" w:eastAsia="宋体" w:cs="Times New Roman"/>
          <w:sz w:val="24"/>
          <w:szCs w:val="24"/>
        </w:rPr>
      </w:pP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HYPERLINK \l _Toc8549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14:ligatures w14:val="standardContextual"/>
        </w:rPr>
        <w:t>3.电磁环境影响预测分析</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_Toc8549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5</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sz w:val="24"/>
          <w:szCs w:val="24"/>
        </w:rPr>
        <w:fldChar w:fldCharType="end"/>
      </w:r>
    </w:p>
    <w:p w14:paraId="3E801E6A">
      <w:pPr>
        <w:pStyle w:val="29"/>
        <w:tabs>
          <w:tab w:val="right" w:leader="dot" w:pos="8312"/>
        </w:tabs>
        <w:rPr>
          <w:rFonts w:hint="default" w:ascii="Times New Roman" w:hAnsi="Times New Roman" w:eastAsia="宋体" w:cs="Times New Roman"/>
          <w:sz w:val="24"/>
          <w:szCs w:val="24"/>
        </w:rPr>
      </w:pP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HYPERLINK \l _Toc17259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14:ligatures w14:val="standardContextual"/>
        </w:rPr>
        <w:t>4.电磁环境保护措施</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_Toc17259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8</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sz w:val="24"/>
          <w:szCs w:val="24"/>
        </w:rPr>
        <w:fldChar w:fldCharType="end"/>
      </w:r>
    </w:p>
    <w:p w14:paraId="006DBE45">
      <w:pPr>
        <w:pStyle w:val="29"/>
        <w:tabs>
          <w:tab w:val="right" w:leader="dot" w:pos="8312"/>
        </w:tabs>
      </w:pP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HYPERLINK \l _Toc15142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14:ligatures w14:val="standardContextual"/>
        </w:rPr>
        <w:t>5.电磁环境影响评价结论</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_Toc15142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11</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sz w:val="24"/>
          <w:szCs w:val="24"/>
        </w:rPr>
        <w:fldChar w:fldCharType="end"/>
      </w:r>
    </w:p>
    <w:p w14:paraId="047CFCC8">
      <w:pPr>
        <w:spacing w:line="480" w:lineRule="exact"/>
        <w:ind w:firstLine="522"/>
        <w:rPr>
          <w:rFonts w:hint="default" w:ascii="Times New Roman" w:hAnsi="Times New Roman" w:cs="Times New Roman" w:eastAsiaTheme="minorEastAsia"/>
          <w:sz w:val="24"/>
        </w:rPr>
        <w:sectPr>
          <w:pgSz w:w="11906" w:h="16838"/>
          <w:pgMar w:top="1440" w:right="1797" w:bottom="1440" w:left="1797" w:header="851" w:footer="1077" w:gutter="0"/>
          <w:pgBorders>
            <w:top w:val="none" w:sz="0" w:space="0"/>
            <w:left w:val="none" w:sz="0" w:space="0"/>
            <w:bottom w:val="none" w:sz="0" w:space="0"/>
            <w:right w:val="none" w:sz="0" w:space="0"/>
          </w:pgBorders>
          <w:pgNumType w:start="1"/>
          <w:cols w:space="720" w:num="1"/>
          <w:docGrid w:linePitch="312" w:charSpace="0"/>
        </w:sectPr>
      </w:pPr>
      <w:r>
        <w:rPr>
          <w:rFonts w:hint="default" w:ascii="Times New Roman" w:hAnsi="Times New Roman" w:cs="Times New Roman"/>
        </w:rPr>
        <w:fldChar w:fldCharType="end"/>
      </w:r>
    </w:p>
    <w:bookmarkEnd w:id="2"/>
    <w:p w14:paraId="49FA2639">
      <w:pPr>
        <w:pStyle w:val="3"/>
        <w:rPr>
          <w:rFonts w:hint="default" w:ascii="Times New Roman" w:hAnsi="Times New Roman" w:cs="Times New Roman"/>
        </w:rPr>
      </w:pPr>
      <w:bookmarkStart w:id="6" w:name="_Toc6788"/>
      <w:r>
        <w:rPr>
          <w:rFonts w:hint="default" w:ascii="Times New Roman" w:hAnsi="Times New Roman" w:cs="Times New Roman"/>
        </w:rPr>
        <w:t>建设项目基本情况</w:t>
      </w:r>
      <w:bookmarkEnd w:id="6"/>
    </w:p>
    <w:tbl>
      <w:tblPr>
        <w:tblStyle w:val="43"/>
        <w:tblW w:w="4974"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946"/>
        <w:gridCol w:w="1856"/>
        <w:gridCol w:w="2384"/>
        <w:gridCol w:w="3110"/>
      </w:tblGrid>
      <w:tr w14:paraId="0BB203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2" w:hRule="atLeast"/>
        </w:trPr>
        <w:tc>
          <w:tcPr>
            <w:tcW w:w="1000" w:type="pct"/>
            <w:tcMar>
              <w:top w:w="16" w:type="dxa"/>
              <w:left w:w="16" w:type="dxa"/>
              <w:right w:w="16" w:type="dxa"/>
            </w:tcMar>
            <w:vAlign w:val="center"/>
          </w:tcPr>
          <w:p w14:paraId="1C9940EF">
            <w:pPr>
              <w:adjustRightInd w:val="0"/>
              <w:snapToGrid w:val="0"/>
              <w:jc w:val="center"/>
              <w:rPr>
                <w:rFonts w:hint="default" w:ascii="Times New Roman" w:hAnsi="Times New Roman" w:cs="Times New Roman" w:eastAsiaTheme="minorEastAsia"/>
                <w:b/>
                <w:bCs/>
                <w:sz w:val="24"/>
              </w:rPr>
            </w:pPr>
            <w:r>
              <w:rPr>
                <w:rFonts w:hint="default" w:ascii="Times New Roman" w:hAnsi="Times New Roman" w:cs="Times New Roman" w:eastAsiaTheme="minorEastAsia"/>
                <w:sz w:val="24"/>
              </w:rPr>
              <w:t>建设项目名称</w:t>
            </w:r>
          </w:p>
        </w:tc>
        <w:tc>
          <w:tcPr>
            <w:tcW w:w="3999" w:type="pct"/>
            <w:gridSpan w:val="3"/>
            <w:vAlign w:val="center"/>
          </w:tcPr>
          <w:p w14:paraId="3E5CDDB3">
            <w:pPr>
              <w:adjustRightInd w:val="0"/>
              <w:snapToGrid w:val="0"/>
              <w:jc w:val="center"/>
              <w:rPr>
                <w:rFonts w:hint="default" w:ascii="Times New Roman" w:hAnsi="Times New Roman" w:cs="Times New Roman" w:eastAsiaTheme="minorEastAsia"/>
                <w:sz w:val="24"/>
                <w:lang w:eastAsia="zh-CN"/>
              </w:rPr>
            </w:pPr>
            <w:bookmarkStart w:id="136" w:name="_GoBack"/>
            <w:bookmarkEnd w:id="136"/>
          </w:p>
        </w:tc>
      </w:tr>
      <w:tr w14:paraId="0C28BEA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55" w:hRule="atLeast"/>
        </w:trPr>
        <w:tc>
          <w:tcPr>
            <w:tcW w:w="1000" w:type="pct"/>
            <w:tcMar>
              <w:top w:w="16" w:type="dxa"/>
              <w:left w:w="16" w:type="dxa"/>
              <w:right w:w="16" w:type="dxa"/>
            </w:tcMar>
            <w:vAlign w:val="center"/>
          </w:tcPr>
          <w:p w14:paraId="4748BF44">
            <w:pPr>
              <w:adjustRightInd w:val="0"/>
              <w:snapToGrid w:val="0"/>
              <w:jc w:val="center"/>
              <w:rPr>
                <w:rFonts w:hint="default" w:ascii="Times New Roman" w:hAnsi="Times New Roman" w:cs="Times New Roman" w:eastAsiaTheme="minorEastAsia"/>
                <w:sz w:val="24"/>
              </w:rPr>
            </w:pPr>
            <w:r>
              <w:rPr>
                <w:rFonts w:hint="default" w:ascii="Times New Roman" w:hAnsi="Times New Roman" w:cs="Times New Roman" w:eastAsiaTheme="minorEastAsia"/>
                <w:sz w:val="24"/>
              </w:rPr>
              <w:t>项目代码</w:t>
            </w:r>
          </w:p>
        </w:tc>
        <w:tc>
          <w:tcPr>
            <w:tcW w:w="3999" w:type="pct"/>
            <w:gridSpan w:val="3"/>
            <w:vAlign w:val="center"/>
          </w:tcPr>
          <w:p w14:paraId="4CDE6DD7">
            <w:pPr>
              <w:adjustRightInd w:val="0"/>
              <w:snapToGrid w:val="0"/>
              <w:jc w:val="center"/>
              <w:rPr>
                <w:rFonts w:hint="default" w:ascii="Times New Roman" w:hAnsi="Times New Roman" w:cs="Times New Roman" w:eastAsiaTheme="minorEastAsia"/>
                <w:sz w:val="24"/>
                <w:lang w:eastAsia="zh-CN"/>
              </w:rPr>
            </w:pPr>
          </w:p>
        </w:tc>
      </w:tr>
      <w:tr w14:paraId="00198B6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2" w:hRule="atLeast"/>
        </w:trPr>
        <w:tc>
          <w:tcPr>
            <w:tcW w:w="1000" w:type="pct"/>
            <w:tcMar>
              <w:top w:w="16" w:type="dxa"/>
              <w:left w:w="16" w:type="dxa"/>
              <w:right w:w="16" w:type="dxa"/>
            </w:tcMar>
            <w:vAlign w:val="center"/>
          </w:tcPr>
          <w:p w14:paraId="1226D594">
            <w:pPr>
              <w:adjustRightInd w:val="0"/>
              <w:snapToGrid w:val="0"/>
              <w:jc w:val="center"/>
              <w:rPr>
                <w:rFonts w:hint="default" w:ascii="Times New Roman" w:hAnsi="Times New Roman" w:cs="Times New Roman" w:eastAsiaTheme="minorEastAsia"/>
                <w:sz w:val="24"/>
              </w:rPr>
            </w:pPr>
            <w:r>
              <w:rPr>
                <w:rFonts w:hint="default" w:ascii="Times New Roman" w:hAnsi="Times New Roman" w:cs="Times New Roman" w:eastAsiaTheme="minorEastAsia"/>
                <w:sz w:val="24"/>
              </w:rPr>
              <w:t>建设单位联系人</w:t>
            </w:r>
          </w:p>
        </w:tc>
        <w:tc>
          <w:tcPr>
            <w:tcW w:w="1010" w:type="pct"/>
            <w:vAlign w:val="center"/>
          </w:tcPr>
          <w:p w14:paraId="76DC381F">
            <w:pPr>
              <w:adjustRightInd w:val="0"/>
              <w:snapToGrid w:val="0"/>
              <w:jc w:val="center"/>
              <w:rPr>
                <w:rFonts w:hint="default" w:ascii="Times New Roman" w:hAnsi="Times New Roman" w:cs="Times New Roman" w:eastAsiaTheme="minorEastAsia"/>
                <w:sz w:val="24"/>
                <w:lang w:val="en-US" w:eastAsia="zh-CN"/>
              </w:rPr>
            </w:pPr>
          </w:p>
        </w:tc>
        <w:tc>
          <w:tcPr>
            <w:tcW w:w="1297" w:type="pct"/>
            <w:vAlign w:val="center"/>
          </w:tcPr>
          <w:p w14:paraId="796207A7">
            <w:pPr>
              <w:adjustRightInd w:val="0"/>
              <w:snapToGrid w:val="0"/>
              <w:jc w:val="center"/>
              <w:rPr>
                <w:rFonts w:hint="default" w:ascii="Times New Roman" w:hAnsi="Times New Roman" w:cs="Times New Roman" w:eastAsiaTheme="minorEastAsia"/>
                <w:sz w:val="24"/>
              </w:rPr>
            </w:pPr>
          </w:p>
        </w:tc>
        <w:tc>
          <w:tcPr>
            <w:tcW w:w="1691" w:type="pct"/>
            <w:vAlign w:val="center"/>
          </w:tcPr>
          <w:p w14:paraId="40CC7E64">
            <w:pPr>
              <w:adjustRightInd w:val="0"/>
              <w:snapToGrid w:val="0"/>
              <w:jc w:val="center"/>
              <w:rPr>
                <w:rFonts w:hint="default" w:ascii="Times New Roman" w:hAnsi="Times New Roman" w:cs="Times New Roman" w:eastAsiaTheme="minorEastAsia"/>
                <w:sz w:val="24"/>
              </w:rPr>
            </w:pPr>
          </w:p>
        </w:tc>
      </w:tr>
      <w:tr w14:paraId="3159C0B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2" w:hRule="atLeast"/>
        </w:trPr>
        <w:tc>
          <w:tcPr>
            <w:tcW w:w="1000" w:type="pct"/>
            <w:tcMar>
              <w:top w:w="16" w:type="dxa"/>
              <w:left w:w="16" w:type="dxa"/>
              <w:right w:w="16" w:type="dxa"/>
            </w:tcMar>
            <w:vAlign w:val="center"/>
          </w:tcPr>
          <w:p w14:paraId="6F050C42">
            <w:pPr>
              <w:adjustRightInd w:val="0"/>
              <w:snapToGrid w:val="0"/>
              <w:jc w:val="center"/>
              <w:rPr>
                <w:rFonts w:hint="default" w:ascii="Times New Roman" w:hAnsi="Times New Roman" w:cs="Times New Roman" w:eastAsiaTheme="minorEastAsia"/>
                <w:sz w:val="24"/>
              </w:rPr>
            </w:pPr>
            <w:r>
              <w:rPr>
                <w:rFonts w:hint="default" w:ascii="Times New Roman" w:hAnsi="Times New Roman" w:cs="Times New Roman" w:eastAsiaTheme="minorEastAsia"/>
                <w:sz w:val="24"/>
              </w:rPr>
              <w:t>建设地点</w:t>
            </w:r>
          </w:p>
        </w:tc>
        <w:tc>
          <w:tcPr>
            <w:tcW w:w="3999" w:type="pct"/>
            <w:gridSpan w:val="3"/>
            <w:vAlign w:val="center"/>
          </w:tcPr>
          <w:p w14:paraId="2FB44221">
            <w:pPr>
              <w:adjustRightInd w:val="0"/>
              <w:snapToGrid w:val="0"/>
              <w:jc w:val="both"/>
              <w:rPr>
                <w:rFonts w:hint="default" w:ascii="Times New Roman" w:hAnsi="Times New Roman" w:cs="Times New Roman" w:eastAsiaTheme="minorEastAsia"/>
                <w:sz w:val="24"/>
              </w:rPr>
            </w:pPr>
          </w:p>
        </w:tc>
      </w:tr>
      <w:tr w14:paraId="4AFDE7A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55" w:hRule="atLeast"/>
        </w:trPr>
        <w:tc>
          <w:tcPr>
            <w:tcW w:w="1000" w:type="pct"/>
            <w:tcMar>
              <w:top w:w="16" w:type="dxa"/>
              <w:left w:w="16" w:type="dxa"/>
              <w:right w:w="16" w:type="dxa"/>
            </w:tcMar>
            <w:vAlign w:val="center"/>
          </w:tcPr>
          <w:p w14:paraId="5B43B07B">
            <w:pPr>
              <w:adjustRightInd w:val="0"/>
              <w:snapToGrid w:val="0"/>
              <w:jc w:val="center"/>
              <w:rPr>
                <w:rFonts w:hint="default" w:ascii="Times New Roman" w:hAnsi="Times New Roman" w:cs="Times New Roman" w:eastAsiaTheme="minorEastAsia"/>
                <w:sz w:val="24"/>
              </w:rPr>
            </w:pPr>
            <w:r>
              <w:rPr>
                <w:rFonts w:hint="default" w:ascii="Times New Roman" w:hAnsi="Times New Roman" w:cs="Times New Roman" w:eastAsiaTheme="minorEastAsia"/>
                <w:sz w:val="24"/>
              </w:rPr>
              <w:t>地理坐标</w:t>
            </w:r>
          </w:p>
        </w:tc>
        <w:tc>
          <w:tcPr>
            <w:tcW w:w="3999" w:type="pct"/>
            <w:gridSpan w:val="3"/>
            <w:vAlign w:val="center"/>
          </w:tcPr>
          <w:p w14:paraId="0CF26AF5">
            <w:pPr>
              <w:jc w:val="center"/>
              <w:rPr>
                <w:rFonts w:hint="eastAsia" w:ascii="Times New Roman" w:hAnsi="Times New Roman" w:eastAsia="宋体" w:cs="Times New Roman"/>
                <w:sz w:val="24"/>
                <w:lang w:eastAsia="zh-CN"/>
              </w:rPr>
            </w:pPr>
          </w:p>
        </w:tc>
      </w:tr>
      <w:tr w14:paraId="0219B65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15" w:hRule="atLeast"/>
        </w:trPr>
        <w:tc>
          <w:tcPr>
            <w:tcW w:w="1000" w:type="pct"/>
            <w:tcMar>
              <w:top w:w="16" w:type="dxa"/>
              <w:left w:w="16" w:type="dxa"/>
              <w:right w:w="16" w:type="dxa"/>
            </w:tcMar>
            <w:vAlign w:val="center"/>
          </w:tcPr>
          <w:p w14:paraId="09AE04A3">
            <w:pPr>
              <w:adjustRightInd w:val="0"/>
              <w:snapToGrid w:val="0"/>
              <w:jc w:val="center"/>
              <w:rPr>
                <w:rFonts w:hint="default" w:ascii="Times New Roman" w:hAnsi="Times New Roman" w:cs="Times New Roman" w:eastAsiaTheme="minorEastAsia"/>
                <w:sz w:val="24"/>
              </w:rPr>
            </w:pPr>
            <w:r>
              <w:rPr>
                <w:rFonts w:hint="default" w:ascii="Times New Roman" w:hAnsi="Times New Roman" w:cs="Times New Roman" w:eastAsiaTheme="minorEastAsia"/>
                <w:sz w:val="24"/>
              </w:rPr>
              <w:t>建设项目</w:t>
            </w:r>
          </w:p>
          <w:p w14:paraId="73F48F71">
            <w:pPr>
              <w:adjustRightInd w:val="0"/>
              <w:snapToGrid w:val="0"/>
              <w:jc w:val="center"/>
              <w:rPr>
                <w:rFonts w:hint="default" w:ascii="Times New Roman" w:hAnsi="Times New Roman" w:cs="Times New Roman" w:eastAsiaTheme="minorEastAsia"/>
                <w:sz w:val="24"/>
              </w:rPr>
            </w:pPr>
            <w:r>
              <w:rPr>
                <w:rFonts w:hint="default" w:ascii="Times New Roman" w:hAnsi="Times New Roman" w:cs="Times New Roman" w:eastAsiaTheme="minorEastAsia"/>
                <w:sz w:val="24"/>
              </w:rPr>
              <w:t>行业类别</w:t>
            </w:r>
          </w:p>
        </w:tc>
        <w:tc>
          <w:tcPr>
            <w:tcW w:w="1010" w:type="pct"/>
            <w:vAlign w:val="center"/>
          </w:tcPr>
          <w:p w14:paraId="30720480">
            <w:pPr>
              <w:adjustRightInd w:val="0"/>
              <w:snapToGrid w:val="0"/>
              <w:jc w:val="center"/>
              <w:rPr>
                <w:rFonts w:hint="default" w:ascii="Times New Roman" w:hAnsi="Times New Roman" w:cs="Times New Roman" w:eastAsiaTheme="minorEastAsia"/>
                <w:sz w:val="24"/>
              </w:rPr>
            </w:pPr>
            <w:r>
              <w:rPr>
                <w:rFonts w:hint="default" w:ascii="Times New Roman" w:hAnsi="Times New Roman" w:cs="Times New Roman" w:eastAsiaTheme="minorEastAsia"/>
                <w:sz w:val="24"/>
              </w:rPr>
              <w:t>五十五、核与辐射-161、输变电工程-其他（100千伏以下除外）</w:t>
            </w:r>
          </w:p>
        </w:tc>
        <w:tc>
          <w:tcPr>
            <w:tcW w:w="1297" w:type="pct"/>
            <w:vAlign w:val="center"/>
          </w:tcPr>
          <w:p w14:paraId="21237CDE">
            <w:pPr>
              <w:adjustRightInd w:val="0"/>
              <w:snapToGrid w:val="0"/>
              <w:jc w:val="center"/>
              <w:rPr>
                <w:rFonts w:hint="default" w:ascii="Times New Roman" w:hAnsi="Times New Roman" w:cs="Times New Roman" w:eastAsiaTheme="minorEastAsia"/>
                <w:sz w:val="24"/>
              </w:rPr>
            </w:pPr>
            <w:r>
              <w:rPr>
                <w:rFonts w:hint="default" w:ascii="Times New Roman" w:hAnsi="Times New Roman" w:cs="Times New Roman" w:eastAsiaTheme="minorEastAsia"/>
                <w:sz w:val="24"/>
              </w:rPr>
              <w:t>用地（用海）面积</w:t>
            </w:r>
          </w:p>
          <w:p w14:paraId="697A065F">
            <w:pPr>
              <w:adjustRightInd w:val="0"/>
              <w:snapToGrid w:val="0"/>
              <w:jc w:val="center"/>
              <w:rPr>
                <w:rFonts w:hint="default" w:ascii="Times New Roman" w:hAnsi="Times New Roman" w:cs="Times New Roman" w:eastAsiaTheme="minorEastAsia"/>
                <w:sz w:val="24"/>
              </w:rPr>
            </w:pPr>
            <w:r>
              <w:rPr>
                <w:rFonts w:hint="default" w:ascii="Times New Roman" w:hAnsi="Times New Roman" w:cs="Times New Roman" w:eastAsiaTheme="minorEastAsia"/>
                <w:sz w:val="24"/>
              </w:rPr>
              <w:t>（m</w:t>
            </w:r>
            <w:r>
              <w:rPr>
                <w:rFonts w:hint="default" w:ascii="Times New Roman" w:hAnsi="Times New Roman" w:cs="Times New Roman" w:eastAsiaTheme="minorEastAsia"/>
                <w:sz w:val="24"/>
                <w:vertAlign w:val="superscript"/>
              </w:rPr>
              <w:t>2</w:t>
            </w:r>
            <w:r>
              <w:rPr>
                <w:rFonts w:hint="default" w:ascii="Times New Roman" w:hAnsi="Times New Roman" w:cs="Times New Roman" w:eastAsiaTheme="minorEastAsia"/>
                <w:sz w:val="24"/>
              </w:rPr>
              <w:t>）/长度（km）</w:t>
            </w:r>
          </w:p>
        </w:tc>
        <w:tc>
          <w:tcPr>
            <w:tcW w:w="1691" w:type="pct"/>
            <w:vAlign w:val="center"/>
          </w:tcPr>
          <w:p w14:paraId="253C5A23">
            <w:pPr>
              <w:adjustRightInd w:val="0"/>
              <w:snapToGrid w:val="0"/>
              <w:jc w:val="left"/>
              <w:rPr>
                <w:rFonts w:hint="default" w:ascii="Times New Roman" w:hAnsi="Times New Roman" w:cs="Times New Roman" w:eastAsiaTheme="minorEastAsia"/>
                <w:sz w:val="24"/>
              </w:rPr>
            </w:pPr>
            <w:r>
              <w:rPr>
                <w:rFonts w:hint="default" w:ascii="Times New Roman" w:hAnsi="Times New Roman" w:cs="Times New Roman" w:eastAsiaTheme="minorEastAsia"/>
                <w:sz w:val="24"/>
              </w:rPr>
              <w:t>用地面积：</w:t>
            </w:r>
            <w:r>
              <w:rPr>
                <w:rFonts w:hint="default" w:ascii="Times New Roman" w:hAnsi="Times New Roman" w:cs="Times New Roman" w:eastAsiaTheme="minorEastAsia"/>
                <w:sz w:val="24"/>
                <w:lang w:val="en-US" w:eastAsia="zh-CN"/>
              </w:rPr>
              <w:t>9422</w:t>
            </w:r>
            <w:r>
              <w:rPr>
                <w:rFonts w:hint="default" w:ascii="Times New Roman" w:hAnsi="Times New Roman" w:cs="Times New Roman" w:eastAsiaTheme="minorEastAsia"/>
                <w:sz w:val="24"/>
              </w:rPr>
              <w:t>m</w:t>
            </w:r>
            <w:r>
              <w:rPr>
                <w:rFonts w:hint="default" w:ascii="Times New Roman" w:hAnsi="Times New Roman" w:cs="Times New Roman" w:eastAsiaTheme="minorEastAsia"/>
                <w:sz w:val="24"/>
                <w:vertAlign w:val="superscript"/>
              </w:rPr>
              <w:t>2</w:t>
            </w:r>
          </w:p>
          <w:p w14:paraId="0E247DE1">
            <w:pPr>
              <w:adjustRightInd w:val="0"/>
              <w:snapToGrid w:val="0"/>
              <w:jc w:val="left"/>
              <w:rPr>
                <w:rFonts w:hint="default" w:ascii="Times New Roman" w:hAnsi="Times New Roman" w:cs="Times New Roman" w:eastAsiaTheme="minorEastAsia"/>
                <w:sz w:val="24"/>
              </w:rPr>
            </w:pPr>
            <w:r>
              <w:rPr>
                <w:rFonts w:hint="default" w:ascii="Times New Roman" w:hAnsi="Times New Roman" w:cs="Times New Roman" w:eastAsiaTheme="minorEastAsia"/>
                <w:sz w:val="24"/>
              </w:rPr>
              <w:t>永久占地：9422m</w:t>
            </w:r>
            <w:r>
              <w:rPr>
                <w:rFonts w:hint="default" w:ascii="Times New Roman" w:hAnsi="Times New Roman" w:cs="Times New Roman" w:eastAsiaTheme="minorEastAsia"/>
                <w:sz w:val="24"/>
                <w:vertAlign w:val="superscript"/>
              </w:rPr>
              <w:t>2</w:t>
            </w:r>
            <w:r>
              <w:rPr>
                <w:rFonts w:hint="default" w:ascii="Times New Roman" w:hAnsi="Times New Roman" w:cs="Times New Roman" w:eastAsiaTheme="minorEastAsia"/>
                <w:sz w:val="24"/>
              </w:rPr>
              <w:t>（</w:t>
            </w:r>
            <w:r>
              <w:rPr>
                <w:rFonts w:hint="eastAsia" w:cs="Times New Roman" w:eastAsiaTheme="minorEastAsia"/>
                <w:sz w:val="24"/>
                <w:lang w:eastAsia="zh-CN"/>
              </w:rPr>
              <w:t>其他灌木林地</w:t>
            </w:r>
            <w:r>
              <w:rPr>
                <w:rFonts w:hint="default" w:ascii="Times New Roman" w:hAnsi="Times New Roman" w:cs="Times New Roman" w:eastAsiaTheme="minorEastAsia"/>
                <w:sz w:val="24"/>
              </w:rPr>
              <w:t>）</w:t>
            </w:r>
          </w:p>
          <w:p w14:paraId="23DA3098">
            <w:pPr>
              <w:adjustRightInd w:val="0"/>
              <w:snapToGrid w:val="0"/>
              <w:jc w:val="left"/>
              <w:rPr>
                <w:rFonts w:hint="default" w:ascii="Times New Roman" w:hAnsi="Times New Roman" w:cs="Times New Roman" w:eastAsiaTheme="minorEastAsia"/>
                <w:sz w:val="24"/>
              </w:rPr>
            </w:pPr>
            <w:r>
              <w:rPr>
                <w:rFonts w:hint="default" w:ascii="Times New Roman" w:hAnsi="Times New Roman" w:cs="Times New Roman" w:eastAsiaTheme="minorEastAsia"/>
                <w:sz w:val="24"/>
              </w:rPr>
              <w:t>临时占地：无</w:t>
            </w:r>
          </w:p>
        </w:tc>
      </w:tr>
      <w:tr w14:paraId="51844FB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04" w:hRule="atLeast"/>
        </w:trPr>
        <w:tc>
          <w:tcPr>
            <w:tcW w:w="1000" w:type="pct"/>
            <w:tcMar>
              <w:top w:w="16" w:type="dxa"/>
              <w:left w:w="16" w:type="dxa"/>
              <w:right w:w="16" w:type="dxa"/>
            </w:tcMar>
            <w:vAlign w:val="center"/>
          </w:tcPr>
          <w:p w14:paraId="2F73C9E5">
            <w:pPr>
              <w:adjustRightInd w:val="0"/>
              <w:snapToGrid w:val="0"/>
              <w:jc w:val="center"/>
              <w:rPr>
                <w:rFonts w:hint="default" w:ascii="Times New Roman" w:hAnsi="Times New Roman" w:cs="Times New Roman" w:eastAsiaTheme="minorEastAsia"/>
                <w:sz w:val="24"/>
              </w:rPr>
            </w:pPr>
            <w:r>
              <w:rPr>
                <w:rFonts w:hint="default" w:ascii="Times New Roman" w:hAnsi="Times New Roman" w:cs="Times New Roman" w:eastAsiaTheme="minorEastAsia"/>
                <w:sz w:val="24"/>
              </w:rPr>
              <w:t>建设性质</w:t>
            </w:r>
          </w:p>
        </w:tc>
        <w:tc>
          <w:tcPr>
            <w:tcW w:w="1010" w:type="pct"/>
            <w:vAlign w:val="center"/>
          </w:tcPr>
          <w:p w14:paraId="08151DD4">
            <w:pPr>
              <w:adjustRightInd w:val="0"/>
              <w:snapToGrid w:val="0"/>
              <w:jc w:val="both"/>
              <w:rPr>
                <w:rFonts w:hint="default" w:ascii="Times New Roman" w:hAnsi="Times New Roman" w:cs="Times New Roman" w:eastAsiaTheme="minorEastAsia"/>
                <w:sz w:val="24"/>
              </w:rPr>
            </w:pPr>
            <w:r>
              <w:rPr>
                <w:rFonts w:hint="default" w:ascii="Times New Roman" w:hAnsi="Times New Roman" w:cs="Times New Roman" w:eastAsiaTheme="minorEastAsia"/>
                <w:sz w:val="24"/>
              </w:rPr>
              <w:t>☑新建（迁建）</w:t>
            </w:r>
          </w:p>
          <w:p w14:paraId="2D260B02">
            <w:pPr>
              <w:adjustRightInd w:val="0"/>
              <w:snapToGrid w:val="0"/>
              <w:jc w:val="both"/>
              <w:rPr>
                <w:rFonts w:hint="default" w:ascii="Times New Roman" w:hAnsi="Times New Roman" w:cs="Times New Roman" w:eastAsiaTheme="minorEastAsia"/>
                <w:sz w:val="24"/>
              </w:rPr>
            </w:pPr>
            <w:r>
              <w:rPr>
                <w:rFonts w:hint="default" w:ascii="Times New Roman" w:hAnsi="Times New Roman" w:cs="Times New Roman" w:eastAsiaTheme="minorEastAsia"/>
                <w:sz w:val="24"/>
              </w:rPr>
              <w:t>□改建</w:t>
            </w:r>
          </w:p>
          <w:p w14:paraId="27812006">
            <w:pPr>
              <w:adjustRightInd w:val="0"/>
              <w:snapToGrid w:val="0"/>
              <w:jc w:val="both"/>
              <w:rPr>
                <w:rFonts w:hint="default" w:ascii="Times New Roman" w:hAnsi="Times New Roman" w:cs="Times New Roman" w:eastAsiaTheme="minorEastAsia"/>
                <w:sz w:val="24"/>
              </w:rPr>
            </w:pPr>
            <w:r>
              <w:rPr>
                <w:rFonts w:hint="default" w:ascii="Times New Roman" w:hAnsi="Times New Roman" w:cs="Times New Roman" w:eastAsiaTheme="minorEastAsia"/>
                <w:sz w:val="24"/>
              </w:rPr>
              <w:t>□扩建</w:t>
            </w:r>
          </w:p>
          <w:p w14:paraId="1FB646EC">
            <w:pPr>
              <w:adjustRightInd w:val="0"/>
              <w:snapToGrid w:val="0"/>
              <w:jc w:val="both"/>
              <w:rPr>
                <w:rFonts w:hint="default" w:ascii="Times New Roman" w:hAnsi="Times New Roman" w:cs="Times New Roman" w:eastAsiaTheme="minorEastAsia"/>
                <w:sz w:val="24"/>
              </w:rPr>
            </w:pPr>
            <w:r>
              <w:rPr>
                <w:rFonts w:hint="default" w:ascii="Times New Roman" w:hAnsi="Times New Roman" w:cs="Times New Roman" w:eastAsiaTheme="minorEastAsia"/>
                <w:sz w:val="24"/>
              </w:rPr>
              <w:t>□技术改造</w:t>
            </w:r>
          </w:p>
        </w:tc>
        <w:tc>
          <w:tcPr>
            <w:tcW w:w="1297" w:type="pct"/>
            <w:vAlign w:val="center"/>
          </w:tcPr>
          <w:p w14:paraId="2ECB7CD0">
            <w:pPr>
              <w:adjustRightInd w:val="0"/>
              <w:snapToGrid w:val="0"/>
              <w:jc w:val="center"/>
              <w:rPr>
                <w:rFonts w:hint="default" w:ascii="Times New Roman" w:hAnsi="Times New Roman" w:cs="Times New Roman" w:eastAsiaTheme="minorEastAsia"/>
                <w:sz w:val="24"/>
              </w:rPr>
            </w:pPr>
            <w:r>
              <w:rPr>
                <w:rFonts w:hint="default" w:ascii="Times New Roman" w:hAnsi="Times New Roman" w:cs="Times New Roman" w:eastAsiaTheme="minorEastAsia"/>
                <w:sz w:val="24"/>
              </w:rPr>
              <w:t>建设项目</w:t>
            </w:r>
          </w:p>
          <w:p w14:paraId="4F80106D">
            <w:pPr>
              <w:adjustRightInd w:val="0"/>
              <w:snapToGrid w:val="0"/>
              <w:jc w:val="center"/>
              <w:rPr>
                <w:rFonts w:hint="default" w:ascii="Times New Roman" w:hAnsi="Times New Roman" w:cs="Times New Roman" w:eastAsiaTheme="minorEastAsia"/>
                <w:sz w:val="24"/>
              </w:rPr>
            </w:pPr>
            <w:r>
              <w:rPr>
                <w:rFonts w:hint="default" w:ascii="Times New Roman" w:hAnsi="Times New Roman" w:cs="Times New Roman" w:eastAsiaTheme="minorEastAsia"/>
                <w:sz w:val="24"/>
              </w:rPr>
              <w:t>申报情形</w:t>
            </w:r>
          </w:p>
        </w:tc>
        <w:tc>
          <w:tcPr>
            <w:tcW w:w="1691" w:type="pct"/>
            <w:vAlign w:val="center"/>
          </w:tcPr>
          <w:p w14:paraId="7F030FC4">
            <w:pPr>
              <w:adjustRightInd w:val="0"/>
              <w:snapToGrid w:val="0"/>
              <w:jc w:val="both"/>
              <w:rPr>
                <w:rFonts w:hint="default" w:ascii="Times New Roman" w:hAnsi="Times New Roman" w:cs="Times New Roman" w:eastAsiaTheme="minorEastAsia"/>
                <w:sz w:val="24"/>
              </w:rPr>
            </w:pPr>
            <w:r>
              <w:rPr>
                <w:rFonts w:hint="default" w:ascii="Times New Roman" w:hAnsi="Times New Roman" w:cs="Times New Roman" w:eastAsiaTheme="minorEastAsia"/>
                <w:sz w:val="24"/>
              </w:rPr>
              <w:t>☑首次申报项目</w:t>
            </w:r>
          </w:p>
          <w:p w14:paraId="3380E12B">
            <w:pPr>
              <w:adjustRightInd w:val="0"/>
              <w:snapToGrid w:val="0"/>
              <w:jc w:val="both"/>
              <w:rPr>
                <w:rFonts w:hint="default" w:ascii="Times New Roman" w:hAnsi="Times New Roman" w:cs="Times New Roman" w:eastAsiaTheme="minorEastAsia"/>
                <w:sz w:val="24"/>
              </w:rPr>
            </w:pPr>
            <w:r>
              <w:rPr>
                <w:rFonts w:hint="default" w:ascii="Times New Roman" w:hAnsi="Times New Roman" w:cs="Times New Roman" w:eastAsiaTheme="minorEastAsia"/>
                <w:sz w:val="24"/>
              </w:rPr>
              <w:t>□不予批准后再次申报项目</w:t>
            </w:r>
          </w:p>
          <w:p w14:paraId="724AF7F9">
            <w:pPr>
              <w:adjustRightInd w:val="0"/>
              <w:snapToGrid w:val="0"/>
              <w:jc w:val="both"/>
              <w:rPr>
                <w:rFonts w:hint="default" w:ascii="Times New Roman" w:hAnsi="Times New Roman" w:cs="Times New Roman" w:eastAsiaTheme="minorEastAsia"/>
                <w:sz w:val="24"/>
              </w:rPr>
            </w:pPr>
            <w:r>
              <w:rPr>
                <w:rFonts w:hint="default" w:ascii="Times New Roman" w:hAnsi="Times New Roman" w:cs="Times New Roman" w:eastAsiaTheme="minorEastAsia"/>
                <w:sz w:val="24"/>
              </w:rPr>
              <w:t>□超五年重新审核项目</w:t>
            </w:r>
          </w:p>
          <w:p w14:paraId="411804FE">
            <w:pPr>
              <w:adjustRightInd w:val="0"/>
              <w:snapToGrid w:val="0"/>
              <w:jc w:val="both"/>
              <w:rPr>
                <w:rFonts w:hint="default" w:ascii="Times New Roman" w:hAnsi="Times New Roman" w:cs="Times New Roman" w:eastAsiaTheme="minorEastAsia"/>
                <w:sz w:val="24"/>
              </w:rPr>
            </w:pPr>
            <w:r>
              <w:rPr>
                <w:rFonts w:hint="default" w:ascii="Times New Roman" w:hAnsi="Times New Roman" w:cs="Times New Roman" w:eastAsiaTheme="minorEastAsia"/>
                <w:sz w:val="24"/>
              </w:rPr>
              <w:t>□重大变动重新报批项目</w:t>
            </w:r>
          </w:p>
        </w:tc>
      </w:tr>
      <w:tr w14:paraId="120833D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62" w:hRule="atLeast"/>
        </w:trPr>
        <w:tc>
          <w:tcPr>
            <w:tcW w:w="1000" w:type="pct"/>
            <w:tcMar>
              <w:top w:w="16" w:type="dxa"/>
              <w:left w:w="16" w:type="dxa"/>
              <w:right w:w="16" w:type="dxa"/>
            </w:tcMar>
            <w:vAlign w:val="center"/>
          </w:tcPr>
          <w:p w14:paraId="5BF36909">
            <w:pPr>
              <w:adjustRightInd w:val="0"/>
              <w:snapToGrid w:val="0"/>
              <w:jc w:val="center"/>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项目审批（备案）部门</w:t>
            </w:r>
          </w:p>
        </w:tc>
        <w:tc>
          <w:tcPr>
            <w:tcW w:w="1010" w:type="pct"/>
            <w:vAlign w:val="center"/>
          </w:tcPr>
          <w:p w14:paraId="24116FA3">
            <w:pPr>
              <w:adjustRightInd w:val="0"/>
              <w:snapToGrid w:val="0"/>
              <w:jc w:val="center"/>
              <w:rPr>
                <w:rFonts w:hint="default" w:ascii="Times New Roman" w:hAnsi="Times New Roman" w:cs="Times New Roman" w:eastAsiaTheme="minorEastAsia"/>
                <w:color w:val="auto"/>
                <w:sz w:val="24"/>
                <w:lang w:val="en-US" w:eastAsia="zh-CN"/>
              </w:rPr>
            </w:pPr>
            <w:r>
              <w:rPr>
                <w:rFonts w:hint="default" w:ascii="Times New Roman" w:hAnsi="Times New Roman" w:cs="Times New Roman" w:eastAsiaTheme="minorEastAsia"/>
                <w:color w:val="auto"/>
                <w:sz w:val="24"/>
                <w:lang w:val="en-US" w:eastAsia="zh-CN"/>
              </w:rPr>
              <w:t>/</w:t>
            </w:r>
          </w:p>
        </w:tc>
        <w:tc>
          <w:tcPr>
            <w:tcW w:w="1297" w:type="pct"/>
            <w:vAlign w:val="center"/>
          </w:tcPr>
          <w:p w14:paraId="4BF4933C">
            <w:pPr>
              <w:adjustRightInd w:val="0"/>
              <w:snapToGrid w:val="0"/>
              <w:jc w:val="center"/>
              <w:rPr>
                <w:rFonts w:hint="default" w:ascii="Times New Roman" w:hAnsi="Times New Roman" w:cs="Times New Roman" w:eastAsiaTheme="minorEastAsia"/>
                <w:color w:val="auto"/>
                <w:sz w:val="24"/>
              </w:rPr>
            </w:pPr>
            <w:r>
              <w:rPr>
                <w:rFonts w:hint="default" w:ascii="Times New Roman" w:hAnsi="Times New Roman" w:cs="Times New Roman" w:eastAsiaTheme="minorEastAsia"/>
                <w:color w:val="auto"/>
                <w:sz w:val="24"/>
              </w:rPr>
              <w:t>项目审批（备案）文号（选填）</w:t>
            </w:r>
          </w:p>
        </w:tc>
        <w:tc>
          <w:tcPr>
            <w:tcW w:w="1691" w:type="pct"/>
            <w:vAlign w:val="center"/>
          </w:tcPr>
          <w:p w14:paraId="00C14888">
            <w:pPr>
              <w:adjustRightInd w:val="0"/>
              <w:snapToGrid w:val="0"/>
              <w:jc w:val="center"/>
              <w:rPr>
                <w:rFonts w:hint="default" w:ascii="Times New Roman" w:hAnsi="Times New Roman" w:cs="Times New Roman" w:eastAsiaTheme="minorEastAsia"/>
                <w:color w:val="auto"/>
                <w:sz w:val="24"/>
                <w:lang w:val="en-US" w:eastAsia="zh-CN"/>
              </w:rPr>
            </w:pPr>
            <w:r>
              <w:rPr>
                <w:rFonts w:hint="default" w:ascii="Times New Roman" w:hAnsi="Times New Roman" w:cs="Times New Roman" w:eastAsiaTheme="minorEastAsia"/>
                <w:color w:val="auto"/>
                <w:sz w:val="24"/>
                <w:lang w:val="en-US" w:eastAsia="zh-CN"/>
              </w:rPr>
              <w:t>/</w:t>
            </w:r>
          </w:p>
        </w:tc>
      </w:tr>
      <w:tr w14:paraId="2A178CB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47" w:hRule="atLeast"/>
        </w:trPr>
        <w:tc>
          <w:tcPr>
            <w:tcW w:w="1000" w:type="pct"/>
            <w:tcMar>
              <w:top w:w="16" w:type="dxa"/>
              <w:left w:w="16" w:type="dxa"/>
              <w:right w:w="16" w:type="dxa"/>
            </w:tcMar>
            <w:vAlign w:val="center"/>
          </w:tcPr>
          <w:p w14:paraId="5FB8AB6C">
            <w:pPr>
              <w:adjustRightInd w:val="0"/>
              <w:snapToGrid w:val="0"/>
              <w:jc w:val="center"/>
              <w:rPr>
                <w:rFonts w:hint="default" w:ascii="Times New Roman" w:hAnsi="Times New Roman" w:cs="Times New Roman" w:eastAsiaTheme="minorEastAsia"/>
                <w:sz w:val="24"/>
              </w:rPr>
            </w:pPr>
            <w:r>
              <w:rPr>
                <w:rFonts w:hint="default" w:ascii="Times New Roman" w:hAnsi="Times New Roman" w:cs="Times New Roman" w:eastAsiaTheme="minorEastAsia"/>
                <w:sz w:val="24"/>
              </w:rPr>
              <w:t>总投资（万元）</w:t>
            </w:r>
          </w:p>
        </w:tc>
        <w:tc>
          <w:tcPr>
            <w:tcW w:w="1010" w:type="pct"/>
            <w:vAlign w:val="center"/>
          </w:tcPr>
          <w:p w14:paraId="4A95330D">
            <w:pPr>
              <w:adjustRightInd w:val="0"/>
              <w:snapToGrid w:val="0"/>
              <w:jc w:val="center"/>
              <w:rPr>
                <w:rFonts w:hint="default" w:ascii="Times New Roman" w:hAnsi="Times New Roman" w:cs="Times New Roman" w:eastAsiaTheme="minorEastAsia"/>
                <w:sz w:val="24"/>
                <w:lang w:eastAsia="zh-CN"/>
              </w:rPr>
            </w:pPr>
            <w:r>
              <w:rPr>
                <w:rFonts w:hint="default" w:ascii="Times New Roman" w:hAnsi="Times New Roman" w:cs="Times New Roman" w:eastAsiaTheme="minorEastAsia"/>
                <w:kern w:val="0"/>
                <w:sz w:val="24"/>
                <w:lang w:eastAsia="zh-CN"/>
              </w:rPr>
              <w:t>4106</w:t>
            </w:r>
          </w:p>
        </w:tc>
        <w:tc>
          <w:tcPr>
            <w:tcW w:w="1297" w:type="pct"/>
            <w:tcMar>
              <w:top w:w="16" w:type="dxa"/>
              <w:left w:w="16" w:type="dxa"/>
              <w:right w:w="16" w:type="dxa"/>
            </w:tcMar>
            <w:vAlign w:val="center"/>
          </w:tcPr>
          <w:p w14:paraId="58D44F97">
            <w:pPr>
              <w:adjustRightInd w:val="0"/>
              <w:snapToGrid w:val="0"/>
              <w:jc w:val="center"/>
              <w:rPr>
                <w:rFonts w:hint="default" w:ascii="Times New Roman" w:hAnsi="Times New Roman" w:cs="Times New Roman" w:eastAsiaTheme="minorEastAsia"/>
                <w:sz w:val="24"/>
              </w:rPr>
            </w:pPr>
            <w:r>
              <w:rPr>
                <w:rFonts w:hint="default" w:ascii="Times New Roman" w:hAnsi="Times New Roman" w:cs="Times New Roman" w:eastAsiaTheme="minorEastAsia"/>
                <w:sz w:val="24"/>
              </w:rPr>
              <w:t>环保投资（万元）</w:t>
            </w:r>
          </w:p>
        </w:tc>
        <w:tc>
          <w:tcPr>
            <w:tcW w:w="1691" w:type="pct"/>
            <w:vAlign w:val="center"/>
          </w:tcPr>
          <w:p w14:paraId="63FE33D6">
            <w:pPr>
              <w:adjustRightInd w:val="0"/>
              <w:snapToGrid w:val="0"/>
              <w:jc w:val="center"/>
              <w:rPr>
                <w:rFonts w:hint="default" w:ascii="Times New Roman" w:hAnsi="Times New Roman" w:cs="Times New Roman" w:eastAsiaTheme="minorEastAsia"/>
                <w:sz w:val="24"/>
                <w:lang w:eastAsia="zh-CN"/>
              </w:rPr>
            </w:pPr>
            <w:r>
              <w:rPr>
                <w:rFonts w:hint="default" w:ascii="Times New Roman" w:hAnsi="Times New Roman" w:cs="Times New Roman" w:eastAsiaTheme="minorEastAsia"/>
                <w:sz w:val="24"/>
                <w:lang w:eastAsia="zh-CN"/>
              </w:rPr>
              <w:t>80</w:t>
            </w:r>
          </w:p>
        </w:tc>
      </w:tr>
      <w:tr w14:paraId="76E88B2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81" w:hRule="atLeast"/>
        </w:trPr>
        <w:tc>
          <w:tcPr>
            <w:tcW w:w="1000" w:type="pct"/>
            <w:tcMar>
              <w:top w:w="16" w:type="dxa"/>
              <w:left w:w="16" w:type="dxa"/>
              <w:right w:w="16" w:type="dxa"/>
            </w:tcMar>
            <w:vAlign w:val="center"/>
          </w:tcPr>
          <w:p w14:paraId="647EC2AA">
            <w:pPr>
              <w:adjustRightInd w:val="0"/>
              <w:snapToGrid w:val="0"/>
              <w:jc w:val="center"/>
              <w:rPr>
                <w:rFonts w:hint="default" w:ascii="Times New Roman" w:hAnsi="Times New Roman" w:cs="Times New Roman" w:eastAsiaTheme="minorEastAsia"/>
                <w:sz w:val="24"/>
              </w:rPr>
            </w:pPr>
            <w:r>
              <w:rPr>
                <w:rFonts w:hint="default" w:ascii="Times New Roman" w:hAnsi="Times New Roman" w:cs="Times New Roman" w:eastAsiaTheme="minorEastAsia"/>
                <w:sz w:val="24"/>
              </w:rPr>
              <w:t>环保投资占比（％）</w:t>
            </w:r>
          </w:p>
        </w:tc>
        <w:tc>
          <w:tcPr>
            <w:tcW w:w="1010" w:type="pct"/>
            <w:vAlign w:val="center"/>
          </w:tcPr>
          <w:p w14:paraId="6DFEE0B3">
            <w:pPr>
              <w:adjustRightInd w:val="0"/>
              <w:snapToGrid w:val="0"/>
              <w:jc w:val="center"/>
              <w:rPr>
                <w:rFonts w:hint="default" w:ascii="Times New Roman" w:hAnsi="Times New Roman" w:cs="Times New Roman" w:eastAsiaTheme="minorEastAsia"/>
                <w:sz w:val="24"/>
                <w:lang w:eastAsia="zh-CN"/>
              </w:rPr>
            </w:pPr>
            <w:r>
              <w:rPr>
                <w:rFonts w:hint="default" w:ascii="Times New Roman" w:hAnsi="Times New Roman" w:cs="Times New Roman" w:eastAsiaTheme="minorEastAsia"/>
                <w:sz w:val="24"/>
                <w:lang w:eastAsia="zh-CN"/>
              </w:rPr>
              <w:t>1.95</w:t>
            </w:r>
          </w:p>
        </w:tc>
        <w:tc>
          <w:tcPr>
            <w:tcW w:w="1297" w:type="pct"/>
            <w:tcMar>
              <w:top w:w="16" w:type="dxa"/>
              <w:left w:w="16" w:type="dxa"/>
              <w:right w:w="16" w:type="dxa"/>
            </w:tcMar>
            <w:vAlign w:val="center"/>
          </w:tcPr>
          <w:p w14:paraId="65FF3746">
            <w:pPr>
              <w:adjustRightInd w:val="0"/>
              <w:snapToGrid w:val="0"/>
              <w:jc w:val="center"/>
              <w:rPr>
                <w:rFonts w:hint="default" w:ascii="Times New Roman" w:hAnsi="Times New Roman" w:cs="Times New Roman" w:eastAsiaTheme="minorEastAsia"/>
                <w:sz w:val="24"/>
              </w:rPr>
            </w:pPr>
            <w:r>
              <w:rPr>
                <w:rFonts w:hint="default" w:ascii="Times New Roman" w:hAnsi="Times New Roman" w:cs="Times New Roman" w:eastAsiaTheme="minorEastAsia"/>
                <w:sz w:val="24"/>
              </w:rPr>
              <w:t>施工工期</w:t>
            </w:r>
          </w:p>
        </w:tc>
        <w:tc>
          <w:tcPr>
            <w:tcW w:w="1691" w:type="pct"/>
            <w:vAlign w:val="center"/>
          </w:tcPr>
          <w:p w14:paraId="0AF86933">
            <w:pPr>
              <w:adjustRightInd w:val="0"/>
              <w:snapToGrid w:val="0"/>
              <w:jc w:val="center"/>
              <w:rPr>
                <w:rFonts w:hint="default" w:ascii="Times New Roman" w:hAnsi="Times New Roman" w:cs="Times New Roman" w:eastAsiaTheme="minorEastAsia"/>
                <w:sz w:val="24"/>
              </w:rPr>
            </w:pPr>
            <w:r>
              <w:rPr>
                <w:rFonts w:hint="default" w:ascii="Times New Roman" w:hAnsi="Times New Roman" w:cs="Times New Roman" w:eastAsiaTheme="minorEastAsia"/>
                <w:sz w:val="24"/>
              </w:rPr>
              <w:t>12个月</w:t>
            </w:r>
          </w:p>
        </w:tc>
      </w:tr>
      <w:tr w14:paraId="4A132E2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63" w:hRule="atLeast"/>
        </w:trPr>
        <w:tc>
          <w:tcPr>
            <w:tcW w:w="1000" w:type="pct"/>
            <w:tcMar>
              <w:top w:w="16" w:type="dxa"/>
              <w:left w:w="16" w:type="dxa"/>
              <w:right w:w="16" w:type="dxa"/>
            </w:tcMar>
            <w:vAlign w:val="center"/>
          </w:tcPr>
          <w:p w14:paraId="522FA897">
            <w:pPr>
              <w:adjustRightInd w:val="0"/>
              <w:snapToGrid w:val="0"/>
              <w:jc w:val="center"/>
              <w:rPr>
                <w:rFonts w:hint="default" w:ascii="Times New Roman" w:hAnsi="Times New Roman" w:cs="Times New Roman" w:eastAsiaTheme="minorEastAsia"/>
                <w:sz w:val="24"/>
              </w:rPr>
            </w:pPr>
            <w:r>
              <w:rPr>
                <w:rFonts w:hint="default" w:ascii="Times New Roman" w:hAnsi="Times New Roman" w:cs="Times New Roman" w:eastAsiaTheme="minorEastAsia"/>
                <w:sz w:val="24"/>
              </w:rPr>
              <w:t>是否开工建设</w:t>
            </w:r>
          </w:p>
        </w:tc>
        <w:tc>
          <w:tcPr>
            <w:tcW w:w="3999" w:type="pct"/>
            <w:gridSpan w:val="3"/>
            <w:vAlign w:val="center"/>
          </w:tcPr>
          <w:p w14:paraId="09639D13">
            <w:pPr>
              <w:adjustRightInd w:val="0"/>
              <w:snapToGrid w:val="0"/>
              <w:ind w:firstLine="105"/>
              <w:jc w:val="left"/>
              <w:rPr>
                <w:rFonts w:hint="default" w:ascii="Times New Roman" w:hAnsi="Times New Roman" w:cs="Times New Roman" w:eastAsiaTheme="minorEastAsia"/>
                <w:sz w:val="24"/>
              </w:rPr>
            </w:pPr>
            <w:r>
              <w:rPr>
                <w:rFonts w:hint="default" w:ascii="Times New Roman" w:hAnsi="Times New Roman" w:cs="Times New Roman" w:eastAsiaTheme="minorEastAsia"/>
                <w:sz w:val="24"/>
              </w:rPr>
              <w:t>☑否</w:t>
            </w:r>
          </w:p>
          <w:p w14:paraId="4D8D8AD0">
            <w:pPr>
              <w:adjustRightInd w:val="0"/>
              <w:snapToGrid w:val="0"/>
              <w:ind w:firstLine="92"/>
              <w:jc w:val="left"/>
              <w:rPr>
                <w:rFonts w:hint="default" w:ascii="Times New Roman" w:hAnsi="Times New Roman" w:cs="Times New Roman" w:eastAsiaTheme="minorEastAsia"/>
                <w:sz w:val="24"/>
                <w:u w:val="single"/>
              </w:rPr>
            </w:pPr>
            <w:r>
              <w:rPr>
                <w:rFonts w:hint="default" w:ascii="Times New Roman" w:hAnsi="Times New Roman" w:cs="Times New Roman" w:eastAsiaTheme="minorEastAsia"/>
                <w:sz w:val="24"/>
              </w:rPr>
              <w:t>☐是：</w:t>
            </w:r>
          </w:p>
        </w:tc>
      </w:tr>
      <w:tr w14:paraId="360EAA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07" w:hRule="atLeast"/>
        </w:trPr>
        <w:tc>
          <w:tcPr>
            <w:tcW w:w="1000" w:type="pct"/>
            <w:tcMar>
              <w:top w:w="16" w:type="dxa"/>
              <w:left w:w="16" w:type="dxa"/>
              <w:right w:w="16" w:type="dxa"/>
            </w:tcMar>
            <w:vAlign w:val="center"/>
          </w:tcPr>
          <w:p w14:paraId="5CDE2073">
            <w:pPr>
              <w:autoSpaceDE w:val="0"/>
              <w:autoSpaceDN w:val="0"/>
              <w:adjustRightInd w:val="0"/>
              <w:snapToGrid w:val="0"/>
              <w:jc w:val="center"/>
              <w:rPr>
                <w:rFonts w:hint="default" w:ascii="Times New Roman" w:hAnsi="Times New Roman" w:cs="Times New Roman" w:eastAsiaTheme="minorEastAsia"/>
                <w:kern w:val="0"/>
                <w:sz w:val="24"/>
              </w:rPr>
            </w:pPr>
            <w:r>
              <w:rPr>
                <w:rFonts w:hint="default" w:ascii="Times New Roman" w:hAnsi="Times New Roman" w:cs="Times New Roman" w:eastAsiaTheme="minorEastAsia"/>
                <w:kern w:val="0"/>
                <w:sz w:val="24"/>
              </w:rPr>
              <w:t>专项评价设置情况</w:t>
            </w:r>
          </w:p>
        </w:tc>
        <w:tc>
          <w:tcPr>
            <w:tcW w:w="3999" w:type="pct"/>
            <w:gridSpan w:val="3"/>
            <w:tcMar>
              <w:top w:w="16" w:type="dxa"/>
              <w:left w:w="16" w:type="dxa"/>
              <w:right w:w="16" w:type="dxa"/>
            </w:tcMar>
            <w:vAlign w:val="center"/>
          </w:tcPr>
          <w:p w14:paraId="508FC1E7">
            <w:pPr>
              <w:keepNext w:val="0"/>
              <w:keepLines w:val="0"/>
              <w:pageBreakBefore w:val="0"/>
              <w:widowControl w:val="0"/>
              <w:kinsoku/>
              <w:wordWrap/>
              <w:overflowPunct/>
              <w:topLinePunct w:val="0"/>
              <w:autoSpaceDE/>
              <w:autoSpaceDN/>
              <w:bidi w:val="0"/>
              <w:adjustRightInd/>
              <w:snapToGrid/>
              <w:spacing w:line="480" w:lineRule="exact"/>
              <w:ind w:firstLine="0"/>
              <w:jc w:val="center"/>
              <w:textAlignment w:val="auto"/>
              <w:rPr>
                <w:rFonts w:hint="default" w:ascii="Times New Roman" w:hAnsi="Times New Roman" w:cs="Times New Roman" w:eastAsiaTheme="minorEastAsia"/>
                <w:kern w:val="0"/>
                <w:sz w:val="24"/>
              </w:rPr>
            </w:pPr>
            <w:r>
              <w:rPr>
                <w:rFonts w:hint="default" w:ascii="Times New Roman" w:hAnsi="Times New Roman" w:cs="Times New Roman"/>
                <w:kern w:val="0"/>
                <w:sz w:val="24"/>
              </w:rPr>
              <w:t>按《环境影响评价技术导则</w:t>
            </w:r>
            <w:r>
              <w:rPr>
                <w:rFonts w:hint="default" w:ascii="Times New Roman" w:hAnsi="Times New Roman" w:cs="Times New Roman"/>
                <w:kern w:val="0"/>
                <w:sz w:val="24"/>
                <w:lang w:val="en-US" w:eastAsia="zh-CN"/>
              </w:rPr>
              <w:t xml:space="preserve"> </w:t>
            </w:r>
            <w:r>
              <w:rPr>
                <w:rFonts w:hint="default" w:ascii="Times New Roman" w:hAnsi="Times New Roman" w:cs="Times New Roman"/>
                <w:kern w:val="0"/>
                <w:sz w:val="24"/>
              </w:rPr>
              <w:t>输变电》（HJ24-2020）“附录B”要求设置电磁环境影响专题评价</w:t>
            </w:r>
          </w:p>
        </w:tc>
      </w:tr>
      <w:tr w14:paraId="49841F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43" w:hRule="atLeast"/>
        </w:trPr>
        <w:tc>
          <w:tcPr>
            <w:tcW w:w="1000" w:type="pct"/>
            <w:tcMar>
              <w:top w:w="16" w:type="dxa"/>
              <w:left w:w="16" w:type="dxa"/>
              <w:right w:w="16" w:type="dxa"/>
            </w:tcMar>
            <w:vAlign w:val="center"/>
          </w:tcPr>
          <w:p w14:paraId="6BBDA1FF">
            <w:pPr>
              <w:autoSpaceDE w:val="0"/>
              <w:autoSpaceDN w:val="0"/>
              <w:adjustRightInd w:val="0"/>
              <w:snapToGrid w:val="0"/>
              <w:jc w:val="center"/>
              <w:rPr>
                <w:rFonts w:hint="default" w:ascii="Times New Roman" w:hAnsi="Times New Roman" w:cs="Times New Roman" w:eastAsiaTheme="minorEastAsia"/>
                <w:kern w:val="0"/>
                <w:sz w:val="24"/>
              </w:rPr>
            </w:pPr>
            <w:r>
              <w:rPr>
                <w:rFonts w:hint="default" w:ascii="Times New Roman" w:hAnsi="Times New Roman" w:cs="Times New Roman" w:eastAsiaTheme="minorEastAsia"/>
                <w:sz w:val="24"/>
              </w:rPr>
              <w:t>规划情况</w:t>
            </w:r>
          </w:p>
        </w:tc>
        <w:tc>
          <w:tcPr>
            <w:tcW w:w="3999" w:type="pct"/>
            <w:gridSpan w:val="3"/>
            <w:tcMar>
              <w:top w:w="16" w:type="dxa"/>
              <w:left w:w="16" w:type="dxa"/>
              <w:right w:w="16" w:type="dxa"/>
            </w:tcMar>
            <w:vAlign w:val="center"/>
          </w:tcPr>
          <w:p w14:paraId="64FC98F0">
            <w:pPr>
              <w:spacing w:line="480" w:lineRule="exact"/>
              <w:ind w:firstLine="522"/>
              <w:jc w:val="center"/>
              <w:rPr>
                <w:rFonts w:hint="default" w:ascii="Times New Roman" w:hAnsi="Times New Roman" w:cs="Times New Roman"/>
                <w:kern w:val="0"/>
                <w:sz w:val="24"/>
              </w:rPr>
            </w:pPr>
            <w:r>
              <w:rPr>
                <w:rFonts w:hint="default" w:ascii="Times New Roman" w:hAnsi="Times New Roman" w:cs="Times New Roman"/>
                <w:sz w:val="24"/>
              </w:rPr>
              <w:t>无</w:t>
            </w:r>
          </w:p>
        </w:tc>
      </w:tr>
      <w:tr w14:paraId="01D09CD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677" w:hRule="atLeast"/>
        </w:trPr>
        <w:tc>
          <w:tcPr>
            <w:tcW w:w="1000" w:type="pct"/>
            <w:tcMar>
              <w:top w:w="16" w:type="dxa"/>
              <w:left w:w="16" w:type="dxa"/>
              <w:right w:w="16" w:type="dxa"/>
            </w:tcMar>
            <w:vAlign w:val="center"/>
          </w:tcPr>
          <w:p w14:paraId="6CADFCEF">
            <w:pPr>
              <w:autoSpaceDE w:val="0"/>
              <w:autoSpaceDN w:val="0"/>
              <w:adjustRightInd w:val="0"/>
              <w:snapToGrid w:val="0"/>
              <w:jc w:val="center"/>
              <w:rPr>
                <w:rFonts w:hint="default" w:ascii="Times New Roman" w:hAnsi="Times New Roman" w:cs="Times New Roman" w:eastAsiaTheme="minorEastAsia"/>
                <w:kern w:val="0"/>
                <w:sz w:val="24"/>
              </w:rPr>
            </w:pPr>
            <w:r>
              <w:rPr>
                <w:rFonts w:hint="default" w:ascii="Times New Roman" w:hAnsi="Times New Roman" w:cs="Times New Roman" w:eastAsiaTheme="minorEastAsia"/>
                <w:sz w:val="24"/>
              </w:rPr>
              <w:t>规划环境影响评价情况</w:t>
            </w:r>
          </w:p>
        </w:tc>
        <w:tc>
          <w:tcPr>
            <w:tcW w:w="3999" w:type="pct"/>
            <w:gridSpan w:val="3"/>
            <w:tcMar>
              <w:top w:w="16" w:type="dxa"/>
              <w:left w:w="16" w:type="dxa"/>
              <w:right w:w="16" w:type="dxa"/>
            </w:tcMar>
            <w:vAlign w:val="center"/>
          </w:tcPr>
          <w:p w14:paraId="69CD3E01">
            <w:pPr>
              <w:adjustRightInd w:val="0"/>
              <w:snapToGrid w:val="0"/>
              <w:jc w:val="center"/>
              <w:rPr>
                <w:rFonts w:hint="default" w:ascii="Times New Roman" w:hAnsi="Times New Roman" w:cs="Times New Roman" w:eastAsiaTheme="minorEastAsia"/>
                <w:kern w:val="0"/>
                <w:sz w:val="24"/>
              </w:rPr>
            </w:pPr>
            <w:r>
              <w:rPr>
                <w:rFonts w:hint="default" w:ascii="Times New Roman" w:hAnsi="Times New Roman" w:cs="Times New Roman" w:eastAsiaTheme="minorEastAsia"/>
                <w:kern w:val="0"/>
                <w:sz w:val="24"/>
              </w:rPr>
              <w:t>无</w:t>
            </w:r>
          </w:p>
        </w:tc>
      </w:tr>
      <w:tr w14:paraId="174154F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548" w:hRule="atLeast"/>
        </w:trPr>
        <w:tc>
          <w:tcPr>
            <w:tcW w:w="1000" w:type="pct"/>
            <w:tcMar>
              <w:top w:w="16" w:type="dxa"/>
              <w:left w:w="16" w:type="dxa"/>
              <w:right w:w="16" w:type="dxa"/>
            </w:tcMar>
            <w:vAlign w:val="center"/>
          </w:tcPr>
          <w:p w14:paraId="3B1D6382">
            <w:pPr>
              <w:autoSpaceDE w:val="0"/>
              <w:autoSpaceDN w:val="0"/>
              <w:adjustRightInd w:val="0"/>
              <w:snapToGrid w:val="0"/>
              <w:jc w:val="center"/>
              <w:rPr>
                <w:rFonts w:hint="default" w:ascii="Times New Roman" w:hAnsi="Times New Roman" w:cs="Times New Roman" w:eastAsiaTheme="minorEastAsia"/>
                <w:kern w:val="0"/>
                <w:sz w:val="24"/>
              </w:rPr>
            </w:pPr>
            <w:r>
              <w:rPr>
                <w:rFonts w:hint="default" w:ascii="Times New Roman" w:hAnsi="Times New Roman" w:cs="Times New Roman" w:eastAsiaTheme="minorEastAsia"/>
                <w:kern w:val="0"/>
                <w:sz w:val="24"/>
              </w:rPr>
              <w:t>规划及</w:t>
            </w:r>
            <w:r>
              <w:rPr>
                <w:rFonts w:hint="default" w:ascii="Times New Roman" w:hAnsi="Times New Roman" w:cs="Times New Roman" w:eastAsiaTheme="minorEastAsia"/>
                <w:sz w:val="24"/>
              </w:rPr>
              <w:t>规划环境影响评价</w:t>
            </w:r>
            <w:r>
              <w:rPr>
                <w:rFonts w:hint="default" w:ascii="Times New Roman" w:hAnsi="Times New Roman" w:cs="Times New Roman" w:eastAsiaTheme="minorEastAsia"/>
                <w:kern w:val="0"/>
                <w:sz w:val="24"/>
              </w:rPr>
              <w:t>符合性分析</w:t>
            </w:r>
          </w:p>
        </w:tc>
        <w:tc>
          <w:tcPr>
            <w:tcW w:w="3999" w:type="pct"/>
            <w:gridSpan w:val="3"/>
            <w:tcMar>
              <w:top w:w="16" w:type="dxa"/>
              <w:left w:w="16" w:type="dxa"/>
              <w:right w:w="16" w:type="dxa"/>
            </w:tcMar>
            <w:vAlign w:val="center"/>
          </w:tcPr>
          <w:p w14:paraId="2B238E5D">
            <w:pPr>
              <w:spacing w:line="480" w:lineRule="exact"/>
              <w:ind w:firstLine="480" w:firstLineChars="200"/>
              <w:rPr>
                <w:rFonts w:hint="default" w:ascii="Times New Roman" w:hAnsi="Times New Roman" w:cs="Times New Roman"/>
                <w:sz w:val="24"/>
              </w:rPr>
            </w:pPr>
            <w:bookmarkStart w:id="7" w:name="_Hlk85978695"/>
            <w:r>
              <w:rPr>
                <w:rFonts w:hint="default" w:ascii="Times New Roman" w:hAnsi="Times New Roman" w:cs="Times New Roman"/>
                <w:sz w:val="24"/>
              </w:rPr>
              <w:t>《</w:t>
            </w:r>
            <w:r>
              <w:rPr>
                <w:rFonts w:hint="default" w:ascii="Times New Roman" w:hAnsi="Times New Roman" w:cs="Times New Roman"/>
                <w:sz w:val="24"/>
                <w:lang w:val="en-US" w:eastAsia="zh-CN"/>
              </w:rPr>
              <w:t>尉犁县国土空间总体规划（2021-2035年）</w:t>
            </w:r>
            <w:r>
              <w:rPr>
                <w:rFonts w:hint="default" w:ascii="Times New Roman" w:hAnsi="Times New Roman" w:eastAsia="宋体" w:cs="Times New Roman"/>
                <w:color w:val="auto"/>
                <w:spacing w:val="-1"/>
                <w:sz w:val="24"/>
                <w:szCs w:val="24"/>
                <w:highlight w:val="none"/>
                <w:lang w:val="en-US" w:eastAsia="zh-CN"/>
              </w:rPr>
              <w:t>》</w:t>
            </w:r>
            <w:r>
              <w:rPr>
                <w:rFonts w:hint="default" w:ascii="Times New Roman" w:hAnsi="Times New Roman" w:cs="Times New Roman"/>
                <w:color w:val="auto"/>
                <w:spacing w:val="-1"/>
                <w:sz w:val="24"/>
                <w:szCs w:val="24"/>
                <w:highlight w:val="none"/>
                <w:lang w:val="en-US" w:eastAsia="zh-CN"/>
              </w:rPr>
              <w:t>第108条</w:t>
            </w:r>
            <w:r>
              <w:rPr>
                <w:rFonts w:hint="default" w:ascii="Times New Roman" w:hAnsi="Times New Roman" w:cs="Times New Roman"/>
                <w:sz w:val="24"/>
              </w:rPr>
              <w:t>指出：</w:t>
            </w:r>
            <w:r>
              <w:rPr>
                <w:rFonts w:hint="default" w:ascii="Times New Roman" w:hAnsi="Times New Roman" w:cs="Times New Roman"/>
                <w:sz w:val="24"/>
                <w:lang w:eastAsia="zh-CN"/>
              </w:rPr>
              <w:t>“</w:t>
            </w:r>
            <w:r>
              <w:rPr>
                <w:rFonts w:hint="default" w:ascii="Times New Roman" w:hAnsi="Times New Roman" w:cs="Times New Roman"/>
                <w:sz w:val="24"/>
              </w:rPr>
              <w:t>尉犁供电区共计规划新建220kV变电站3座，规划新建110kV变电站3座，规划建设35kV变电站3座。</w:t>
            </w:r>
            <w:r>
              <w:rPr>
                <w:rFonts w:hint="default" w:ascii="Times New Roman" w:hAnsi="Times New Roman" w:cs="Times New Roman"/>
                <w:sz w:val="24"/>
                <w:lang w:eastAsia="zh-CN"/>
              </w:rPr>
              <w:t>”</w:t>
            </w:r>
          </w:p>
          <w:p w14:paraId="38FB2EDB">
            <w:pPr>
              <w:spacing w:line="480" w:lineRule="exact"/>
              <w:ind w:firstLine="480" w:firstLineChars="200"/>
              <w:rPr>
                <w:rFonts w:hint="default" w:ascii="Times New Roman" w:hAnsi="Times New Roman" w:cs="Times New Roman"/>
                <w:sz w:val="24"/>
              </w:rPr>
            </w:pPr>
            <w:r>
              <w:rPr>
                <w:rFonts w:hint="default" w:ascii="Times New Roman" w:hAnsi="Times New Roman" w:cs="Times New Roman"/>
                <w:sz w:val="24"/>
              </w:rPr>
              <w:t>本工程新建110kV变电站1座，为已批复建设的新疆鸿泰鼎新材料科技有限公司鸿泰鼎绿色新材料纺织产业园（一期）建设项目</w:t>
            </w:r>
            <w:r>
              <w:rPr>
                <w:rFonts w:hint="default" w:ascii="Times New Roman" w:hAnsi="Times New Roman" w:cs="Times New Roman"/>
                <w:sz w:val="24"/>
                <w:highlight w:val="none"/>
              </w:rPr>
              <w:t>（批复文件见附件</w:t>
            </w:r>
            <w:r>
              <w:rPr>
                <w:rFonts w:hint="default" w:ascii="Times New Roman" w:hAnsi="Times New Roman" w:cs="Times New Roman"/>
                <w:sz w:val="24"/>
                <w:highlight w:val="none"/>
                <w:lang w:val="en-US" w:eastAsia="zh-CN"/>
              </w:rPr>
              <w:t>2</w:t>
            </w:r>
            <w:r>
              <w:rPr>
                <w:rFonts w:hint="default" w:ascii="Times New Roman" w:hAnsi="Times New Roman" w:cs="Times New Roman"/>
                <w:sz w:val="24"/>
                <w:highlight w:val="none"/>
              </w:rPr>
              <w:t>）的</w:t>
            </w:r>
            <w:r>
              <w:rPr>
                <w:rFonts w:hint="default" w:ascii="Times New Roman" w:hAnsi="Times New Roman" w:cs="Times New Roman"/>
                <w:sz w:val="24"/>
              </w:rPr>
              <w:t>配套工程，</w:t>
            </w:r>
            <w:r>
              <w:rPr>
                <w:rFonts w:hint="default" w:ascii="Times New Roman" w:hAnsi="Times New Roman" w:cs="Times New Roman"/>
                <w:sz w:val="24"/>
                <w:lang w:val="en-US" w:eastAsia="zh-CN"/>
              </w:rPr>
              <w:t>属于</w:t>
            </w:r>
            <w:r>
              <w:rPr>
                <w:rFonts w:hint="default" w:ascii="Times New Roman" w:hAnsi="Times New Roman" w:cs="Times New Roman"/>
                <w:sz w:val="24"/>
              </w:rPr>
              <w:t>《规划》确定的110kV变电站建设布局范畴，其电源引自园区既有110kV电网（破口接入110kV尉针二线），与《规划》明确的供电设施体系一致，可满足工业园区新增负荷的供电需求，符合《</w:t>
            </w:r>
            <w:r>
              <w:rPr>
                <w:rFonts w:hint="default" w:ascii="Times New Roman" w:hAnsi="Times New Roman" w:cs="Times New Roman"/>
                <w:sz w:val="24"/>
                <w:lang w:val="en-US" w:eastAsia="zh-CN"/>
              </w:rPr>
              <w:t>尉犁县国土空间总体规划（2021-2035年）</w:t>
            </w:r>
            <w:r>
              <w:rPr>
                <w:rFonts w:hint="default" w:ascii="Times New Roman" w:hAnsi="Times New Roman" w:cs="Times New Roman"/>
                <w:sz w:val="24"/>
              </w:rPr>
              <w:t>》。</w:t>
            </w:r>
            <w:bookmarkEnd w:id="7"/>
          </w:p>
        </w:tc>
      </w:tr>
      <w:tr w14:paraId="1EF134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431" w:hRule="atLeast"/>
        </w:trPr>
        <w:tc>
          <w:tcPr>
            <w:tcW w:w="1000" w:type="pct"/>
            <w:tcMar>
              <w:top w:w="16" w:type="dxa"/>
              <w:left w:w="16" w:type="dxa"/>
              <w:right w:w="16" w:type="dxa"/>
            </w:tcMar>
            <w:vAlign w:val="center"/>
          </w:tcPr>
          <w:p w14:paraId="40652D32">
            <w:pPr>
              <w:autoSpaceDE w:val="0"/>
              <w:autoSpaceDN w:val="0"/>
              <w:adjustRightInd w:val="0"/>
              <w:snapToGrid w:val="0"/>
              <w:jc w:val="center"/>
              <w:rPr>
                <w:rFonts w:hint="default" w:ascii="Times New Roman" w:hAnsi="Times New Roman" w:cs="Times New Roman" w:eastAsiaTheme="minorEastAsia"/>
                <w:kern w:val="0"/>
                <w:sz w:val="24"/>
              </w:rPr>
            </w:pPr>
            <w:r>
              <w:rPr>
                <w:rFonts w:hint="default" w:ascii="Times New Roman" w:hAnsi="Times New Roman" w:cs="Times New Roman" w:eastAsiaTheme="minorEastAsia"/>
                <w:kern w:val="0"/>
                <w:sz w:val="24"/>
              </w:rPr>
              <w:t>其他符合性分析</w:t>
            </w:r>
          </w:p>
        </w:tc>
        <w:tc>
          <w:tcPr>
            <w:tcW w:w="3999" w:type="pct"/>
            <w:gridSpan w:val="3"/>
            <w:tcMar>
              <w:top w:w="16" w:type="dxa"/>
              <w:left w:w="16" w:type="dxa"/>
              <w:right w:w="16" w:type="dxa"/>
            </w:tcMar>
            <w:vAlign w:val="center"/>
          </w:tcPr>
          <w:p w14:paraId="0483AA1D">
            <w:pPr>
              <w:pStyle w:val="67"/>
              <w:numPr>
                <w:ilvl w:val="0"/>
                <w:numId w:val="5"/>
              </w:numPr>
              <w:spacing w:line="480" w:lineRule="exact"/>
              <w:ind w:firstLineChars="0"/>
              <w:rPr>
                <w:rFonts w:hint="default" w:ascii="Times New Roman" w:hAnsi="Times New Roman" w:eastAsia="黑体" w:cs="Times New Roman"/>
                <w:sz w:val="24"/>
              </w:rPr>
            </w:pPr>
            <w:r>
              <w:rPr>
                <w:rFonts w:hint="default" w:ascii="Times New Roman" w:hAnsi="Times New Roman" w:eastAsia="黑体" w:cs="Times New Roman"/>
                <w:sz w:val="24"/>
              </w:rPr>
              <w:t>产业政策符合性分析</w:t>
            </w:r>
          </w:p>
          <w:p w14:paraId="4A21D0EF">
            <w:pPr>
              <w:spacing w:line="480" w:lineRule="exact"/>
              <w:ind w:firstLine="480" w:firstLineChars="200"/>
              <w:rPr>
                <w:rFonts w:hint="default" w:ascii="Times New Roman" w:hAnsi="Times New Roman" w:cs="Times New Roman"/>
                <w:sz w:val="24"/>
              </w:rPr>
            </w:pPr>
            <w:r>
              <w:rPr>
                <w:rFonts w:hint="default" w:ascii="Times New Roman" w:hAnsi="Times New Roman" w:cs="Times New Roman"/>
                <w:sz w:val="24"/>
              </w:rPr>
              <w:t>本工程属于输变电工程，为已批复建设的新疆鸿泰鼎新材料科技有限公司鸿泰鼎绿色新材料纺织产业园（一期）建设项目</w:t>
            </w:r>
            <w:r>
              <w:rPr>
                <w:rFonts w:hint="default" w:ascii="Times New Roman" w:hAnsi="Times New Roman" w:cs="Times New Roman"/>
                <w:sz w:val="24"/>
                <w:highlight w:val="none"/>
              </w:rPr>
              <w:t>（批复文件见附件</w:t>
            </w:r>
            <w:r>
              <w:rPr>
                <w:rFonts w:hint="default" w:ascii="Times New Roman" w:hAnsi="Times New Roman" w:cs="Times New Roman"/>
                <w:sz w:val="24"/>
                <w:highlight w:val="none"/>
                <w:lang w:val="en-US" w:eastAsia="zh-CN"/>
              </w:rPr>
              <w:t>2</w:t>
            </w:r>
            <w:r>
              <w:rPr>
                <w:rFonts w:hint="default" w:ascii="Times New Roman" w:hAnsi="Times New Roman" w:cs="Times New Roman"/>
                <w:sz w:val="24"/>
                <w:highlight w:val="none"/>
              </w:rPr>
              <w:t>）</w:t>
            </w:r>
            <w:r>
              <w:rPr>
                <w:rFonts w:hint="default" w:ascii="Times New Roman" w:hAnsi="Times New Roman" w:cs="Times New Roman"/>
                <w:sz w:val="24"/>
              </w:rPr>
              <w:t>的配套工程，属于《国民经济行业分类（GB/T4754-2017）》及国家统计局关于《执行国民经济行业分类第1号修改单的通知（国统字〔2019〕66号）文》中“44电力、热力生产和供应业4420电力供应”项目，项目建设属于《产业结构调整指导目录（2024年本）》中的“第一类鼓励类”中的“电网改造与建设，增量配电网建设”项目，符合国家产业政策。</w:t>
            </w:r>
          </w:p>
          <w:p w14:paraId="0E5935B9">
            <w:pPr>
              <w:pStyle w:val="20"/>
              <w:spacing w:after="0" w:line="480" w:lineRule="exact"/>
              <w:ind w:left="0" w:leftChars="0" w:firstLine="480" w:firstLineChars="200"/>
              <w:rPr>
                <w:rFonts w:hint="default" w:ascii="Times New Roman" w:hAnsi="Times New Roman" w:cs="Times New Roman"/>
                <w:sz w:val="24"/>
              </w:rPr>
            </w:pPr>
            <w:r>
              <w:rPr>
                <w:rFonts w:hint="default" w:ascii="Times New Roman" w:hAnsi="Times New Roman" w:cs="Times New Roman"/>
                <w:sz w:val="24"/>
              </w:rPr>
              <w:t>本项目属于《西部地区鼓励类产业目录（2025年本）》鼓励类：（十）新疆维吾尔自治区（含新疆生产建设兵团）中30.高压输变电、新能源输变电及控制系统设备研发及制造。</w:t>
            </w:r>
          </w:p>
          <w:p w14:paraId="0F6EA5F8">
            <w:pPr>
              <w:spacing w:line="480" w:lineRule="exact"/>
              <w:ind w:firstLine="480" w:firstLineChars="200"/>
              <w:rPr>
                <w:rFonts w:hint="default" w:ascii="Times New Roman" w:hAnsi="Times New Roman" w:cs="Times New Roman"/>
                <w:sz w:val="24"/>
              </w:rPr>
            </w:pPr>
            <w:r>
              <w:rPr>
                <w:rFonts w:hint="default" w:ascii="Times New Roman" w:hAnsi="Times New Roman" w:cs="Times New Roman"/>
                <w:sz w:val="24"/>
              </w:rPr>
              <w:t>因此，本项目建设符合当前国家产业政策。</w:t>
            </w:r>
          </w:p>
          <w:p w14:paraId="6D0A08E5">
            <w:pPr>
              <w:pStyle w:val="67"/>
              <w:numPr>
                <w:ilvl w:val="0"/>
                <w:numId w:val="5"/>
              </w:numPr>
              <w:spacing w:line="480" w:lineRule="exact"/>
              <w:ind w:firstLineChars="0"/>
              <w:rPr>
                <w:rFonts w:hint="default" w:ascii="Times New Roman" w:hAnsi="Times New Roman" w:cs="Times New Roman"/>
              </w:rPr>
            </w:pPr>
            <w:r>
              <w:rPr>
                <w:rFonts w:hint="default" w:ascii="Times New Roman" w:hAnsi="Times New Roman" w:eastAsia="黑体" w:cs="Times New Roman"/>
                <w:sz w:val="24"/>
              </w:rPr>
              <w:t>与《新疆维吾尔自治区“十四五”电力发展规划》符合性分析</w:t>
            </w:r>
          </w:p>
          <w:p w14:paraId="092C9A9D">
            <w:pPr>
              <w:spacing w:line="480" w:lineRule="exact"/>
              <w:ind w:firstLine="480" w:firstLineChars="200"/>
              <w:rPr>
                <w:rFonts w:hint="default" w:ascii="Times New Roman" w:hAnsi="Times New Roman" w:cs="Times New Roman"/>
                <w:snapToGrid w:val="0"/>
                <w:kern w:val="0"/>
                <w:sz w:val="24"/>
                <w:szCs w:val="20"/>
              </w:rPr>
            </w:pPr>
            <w:r>
              <w:rPr>
                <w:rFonts w:hint="default" w:ascii="Times New Roman" w:hAnsi="Times New Roman" w:cs="Times New Roman"/>
                <w:snapToGrid w:val="0"/>
                <w:kern w:val="0"/>
                <w:sz w:val="24"/>
                <w:szCs w:val="20"/>
              </w:rPr>
              <w:t>根据《新疆维吾尔自治区“十四五”电力发展规划》在电网建设方面提出：“十四五”期间，加快构建可靠性高、互动友好、经济高效的现代化配电网，推进配电网智能化升级改造……促进配电网建设与改造相协调、配电网发展与用户接入相协调，提升电网投资和运行效率；“十四五”期间，以750千伏主网架为依托，进一步加强220千伏电网建设。围绕自治区产业发展，适时在负荷中心区、工业园区布点，满足负荷发展需求。</w:t>
            </w:r>
          </w:p>
          <w:p w14:paraId="77128EBF">
            <w:pPr>
              <w:spacing w:line="480" w:lineRule="exact"/>
              <w:ind w:firstLine="480" w:firstLineChars="200"/>
              <w:rPr>
                <w:rFonts w:hint="default" w:ascii="Times New Roman" w:hAnsi="Times New Roman" w:cs="Times New Roman"/>
              </w:rPr>
            </w:pPr>
            <w:r>
              <w:rPr>
                <w:rFonts w:hint="default" w:ascii="Times New Roman" w:hAnsi="Times New Roman" w:cs="Times New Roman"/>
                <w:snapToGrid w:val="0"/>
                <w:kern w:val="0"/>
                <w:sz w:val="24"/>
                <w:szCs w:val="20"/>
              </w:rPr>
              <w:t>本工程新建110kV变电站1座，为已批复建设的新疆鸿泰鼎新材料科技有限公司鸿泰鼎绿色新材料纺织产业园（一期）建设项目（批复文件见附件2）的配套供电工程，站址位于尉犁县工业园区内产业园规划用地范围。《新疆维吾尔自治区“十四五”电力发展规划》提出，围绕自治区产业发展，适时在负荷中心区、工业园区布点，满足负荷发展需求，并促进配电网建设与改造相协调、配电网发展与用户接入相协调。本工程属典型的工业园区负荷中心布点，建设规模为2×63MVA主变压器，按产业园一期68.125MW用电负荷配置并留有余度，所供负荷全部为园区已批复项目的生产用电；工程为用户专用变电站，通过2回110kV线路破口接入110kV尉针二线（该线路由区域主供电源尉犁220kV变电站引出）取得电源，就近利用园区既有110kV电网资源，不新增公网变电站布点、不改变区域主干网架结构，建成后由用户自行运维，不改变公网资产和供电营业区；接入系统方案已取得国网巴州供电公司供电方案答复，符合规划关于以220千伏为依托、110千伏延伸布点及用户接入相协调的要求。综上，本工程建设与《新疆维吾尔自治区“十四五”电力发展规划》相符。</w:t>
            </w:r>
          </w:p>
          <w:p w14:paraId="68156E63">
            <w:pPr>
              <w:pStyle w:val="67"/>
              <w:numPr>
                <w:ilvl w:val="0"/>
                <w:numId w:val="5"/>
              </w:numPr>
              <w:spacing w:line="480" w:lineRule="exact"/>
              <w:ind w:firstLineChars="0"/>
              <w:rPr>
                <w:rFonts w:hint="default" w:ascii="Times New Roman" w:hAnsi="Times New Roman" w:eastAsia="宋体&quot; '仿宋_GB2312，宋体" w:cs="Times New Roman"/>
                <w:b/>
                <w:bCs/>
                <w:kern w:val="0"/>
                <w:sz w:val="24"/>
              </w:rPr>
            </w:pPr>
            <w:r>
              <w:rPr>
                <w:rFonts w:hint="default" w:ascii="Times New Roman" w:hAnsi="Times New Roman" w:eastAsia="黑体" w:cs="Times New Roman"/>
                <w:sz w:val="24"/>
              </w:rPr>
              <w:t>本工程建设与</w:t>
            </w:r>
            <w:bookmarkStart w:id="8" w:name="OLE_LINK34"/>
            <w:r>
              <w:rPr>
                <w:rFonts w:hint="default" w:ascii="Times New Roman" w:hAnsi="Times New Roman" w:eastAsia="黑体" w:cs="Times New Roman"/>
                <w:sz w:val="24"/>
              </w:rPr>
              <w:t>生态环境分区管控</w:t>
            </w:r>
            <w:bookmarkEnd w:id="8"/>
            <w:r>
              <w:rPr>
                <w:rFonts w:hint="default" w:ascii="Times New Roman" w:hAnsi="Times New Roman" w:eastAsia="黑体" w:cs="Times New Roman"/>
                <w:sz w:val="24"/>
              </w:rPr>
              <w:t>相符性分析</w:t>
            </w:r>
          </w:p>
          <w:p w14:paraId="1938CC3F">
            <w:pPr>
              <w:widowControl/>
              <w:spacing w:line="480" w:lineRule="exact"/>
              <w:ind w:firstLine="480" w:firstLineChars="200"/>
              <w:rPr>
                <w:rFonts w:hint="default" w:ascii="Times New Roman" w:hAnsi="Times New Roman" w:cs="Times New Roman"/>
                <w:sz w:val="24"/>
              </w:rPr>
            </w:pPr>
            <w:r>
              <w:rPr>
                <w:rFonts w:hint="default" w:ascii="Times New Roman" w:hAnsi="Times New Roman" w:cs="Times New Roman"/>
                <w:sz w:val="24"/>
              </w:rPr>
              <w:t>（1）与《</w:t>
            </w:r>
            <w:bookmarkStart w:id="9" w:name="OLE_LINK270"/>
            <w:bookmarkStart w:id="10" w:name="OLE_LINK271"/>
            <w:r>
              <w:rPr>
                <w:rFonts w:hint="default" w:ascii="Times New Roman" w:hAnsi="Times New Roman" w:cs="Times New Roman"/>
                <w:sz w:val="24"/>
              </w:rPr>
              <w:t>新疆维吾尔自治区生态环境分区管控</w:t>
            </w:r>
            <w:bookmarkEnd w:id="9"/>
            <w:r>
              <w:rPr>
                <w:rFonts w:hint="default" w:ascii="Times New Roman" w:hAnsi="Times New Roman" w:cs="Times New Roman"/>
                <w:sz w:val="24"/>
              </w:rPr>
              <w:t>动态更新成果</w:t>
            </w:r>
            <w:bookmarkEnd w:id="10"/>
            <w:r>
              <w:rPr>
                <w:rFonts w:hint="default" w:ascii="Times New Roman" w:hAnsi="Times New Roman" w:cs="Times New Roman"/>
                <w:sz w:val="24"/>
              </w:rPr>
              <w:t>》的符合性分析</w:t>
            </w:r>
          </w:p>
          <w:p w14:paraId="33003F2A">
            <w:pPr>
              <w:widowControl/>
              <w:spacing w:line="480" w:lineRule="exact"/>
              <w:ind w:firstLine="480" w:firstLineChars="200"/>
              <w:rPr>
                <w:rFonts w:hint="default" w:ascii="Times New Roman" w:hAnsi="Times New Roman" w:cs="Times New Roman"/>
                <w:sz w:val="24"/>
                <w:highlight w:val="none"/>
              </w:rPr>
            </w:pPr>
            <w:bookmarkStart w:id="11" w:name="OLE_LINK23"/>
            <w:r>
              <w:rPr>
                <w:rFonts w:hint="default" w:ascii="Times New Roman" w:hAnsi="Times New Roman" w:cs="Times New Roman"/>
                <w:sz w:val="24"/>
              </w:rPr>
              <w:t>本工程与</w:t>
            </w:r>
            <w:bookmarkStart w:id="12" w:name="OLE_LINK274"/>
            <w:r>
              <w:rPr>
                <w:rFonts w:hint="default" w:ascii="Times New Roman" w:hAnsi="Times New Roman" w:cs="Times New Roman"/>
                <w:sz w:val="24"/>
              </w:rPr>
              <w:t>《关于印发〈</w:t>
            </w:r>
            <w:bookmarkStart w:id="13" w:name="OLE_LINK273"/>
            <w:r>
              <w:rPr>
                <w:rFonts w:hint="default" w:ascii="Times New Roman" w:hAnsi="Times New Roman" w:cs="Times New Roman"/>
                <w:sz w:val="24"/>
              </w:rPr>
              <w:t>新疆维吾尔自治区生态环境分区管控动态更新成果</w:t>
            </w:r>
            <w:bookmarkEnd w:id="13"/>
            <w:r>
              <w:rPr>
                <w:rFonts w:hint="default" w:ascii="Times New Roman" w:hAnsi="Times New Roman" w:cs="Times New Roman"/>
                <w:sz w:val="24"/>
              </w:rPr>
              <w:t>〉的通知》（</w:t>
            </w:r>
            <w:bookmarkStart w:id="14" w:name="OLE_LINK272"/>
            <w:r>
              <w:rPr>
                <w:rFonts w:hint="default" w:ascii="Times New Roman" w:hAnsi="Times New Roman" w:cs="Times New Roman"/>
                <w:sz w:val="24"/>
              </w:rPr>
              <w:t>新环环评发〔2024〕157号</w:t>
            </w:r>
            <w:bookmarkEnd w:id="14"/>
            <w:r>
              <w:rPr>
                <w:rFonts w:hint="default" w:ascii="Times New Roman" w:hAnsi="Times New Roman" w:cs="Times New Roman"/>
                <w:sz w:val="24"/>
              </w:rPr>
              <w:t>）</w:t>
            </w:r>
            <w:bookmarkEnd w:id="11"/>
            <w:bookmarkEnd w:id="12"/>
            <w:r>
              <w:rPr>
                <w:rFonts w:hint="default" w:ascii="Times New Roman" w:hAnsi="Times New Roman" w:cs="Times New Roman"/>
                <w:sz w:val="24"/>
              </w:rPr>
              <w:t>的符合性分析，见表1-1。</w:t>
            </w:r>
            <w:bookmarkStart w:id="15" w:name="OLE_LINK27"/>
            <w:bookmarkStart w:id="16" w:name="OLE_LINK26"/>
            <w:r>
              <w:rPr>
                <w:rFonts w:hint="default" w:ascii="Times New Roman" w:hAnsi="Times New Roman" w:cs="Times New Roman"/>
                <w:sz w:val="24"/>
              </w:rPr>
              <w:t>本工程</w:t>
            </w:r>
            <w:bookmarkEnd w:id="15"/>
            <w:r>
              <w:rPr>
                <w:rFonts w:hint="default" w:ascii="Times New Roman" w:hAnsi="Times New Roman" w:cs="Times New Roman"/>
                <w:sz w:val="24"/>
              </w:rPr>
              <w:t>与</w:t>
            </w:r>
            <w:bookmarkEnd w:id="16"/>
            <w:r>
              <w:rPr>
                <w:rFonts w:hint="default" w:ascii="Times New Roman" w:hAnsi="Times New Roman" w:cs="Times New Roman"/>
                <w:sz w:val="24"/>
              </w:rPr>
              <w:t>生态保护红线的位置关系</w:t>
            </w:r>
            <w:r>
              <w:rPr>
                <w:rFonts w:hint="default" w:ascii="Times New Roman" w:hAnsi="Times New Roman" w:cs="Times New Roman"/>
                <w:sz w:val="24"/>
                <w:highlight w:val="none"/>
              </w:rPr>
              <w:t>见附图1-1。</w:t>
            </w:r>
            <w:bookmarkStart w:id="17" w:name="OLE_LINK28"/>
            <w:r>
              <w:rPr>
                <w:rFonts w:hint="default" w:ascii="Times New Roman" w:hAnsi="Times New Roman" w:cs="Times New Roman"/>
                <w:sz w:val="24"/>
              </w:rPr>
              <w:t>本工程与生态环境分区管控分区情况</w:t>
            </w:r>
            <w:r>
              <w:rPr>
                <w:rFonts w:hint="default" w:ascii="Times New Roman" w:hAnsi="Times New Roman" w:cs="Times New Roman"/>
                <w:sz w:val="24"/>
                <w:highlight w:val="none"/>
              </w:rPr>
              <w:t>见附图1-2</w:t>
            </w:r>
            <w:bookmarkEnd w:id="17"/>
            <w:r>
              <w:rPr>
                <w:rFonts w:hint="default" w:ascii="Times New Roman" w:hAnsi="Times New Roman" w:cs="Times New Roman"/>
                <w:sz w:val="24"/>
                <w:highlight w:val="none"/>
              </w:rPr>
              <w:t>。</w:t>
            </w:r>
          </w:p>
          <w:p w14:paraId="2B840387">
            <w:pPr>
              <w:pStyle w:val="209"/>
              <w:keepNext w:val="0"/>
              <w:keepLines w:val="0"/>
              <w:pageBreakBefore w:val="0"/>
              <w:widowControl w:val="0"/>
              <w:kinsoku/>
              <w:wordWrap/>
              <w:overflowPunct/>
              <w:topLinePunct w:val="0"/>
              <w:autoSpaceDE/>
              <w:autoSpaceDN/>
              <w:bidi w:val="0"/>
              <w:adjustRightInd/>
              <w:snapToGrid/>
              <w:spacing w:beforeLines="0" w:line="240" w:lineRule="auto"/>
              <w:textAlignment w:val="auto"/>
              <w:rPr>
                <w:rFonts w:hint="default" w:ascii="Times New Roman" w:hAnsi="Times New Roman" w:eastAsia="黑体" w:cs="Times New Roman"/>
                <w:smallCaps w:val="0"/>
                <w:snapToGrid w:val="0"/>
                <w:color w:val="auto"/>
                <w:spacing w:val="0"/>
                <w:w w:val="100"/>
                <w:kern w:val="0"/>
                <w:position w:val="0"/>
                <w:sz w:val="21"/>
                <w:szCs w:val="21"/>
                <w:highlight w:val="none"/>
                <w:lang w:val="en-US" w:eastAsia="zh-CN"/>
              </w:rPr>
            </w:pPr>
            <w:bookmarkStart w:id="18" w:name="OLE_LINK279"/>
            <w:bookmarkStart w:id="19" w:name="OLE_LINK280"/>
            <w:bookmarkStart w:id="20" w:name="OLE_LINK362"/>
            <w:r>
              <w:rPr>
                <w:rFonts w:hint="default" w:ascii="Times New Roman" w:hAnsi="Times New Roman" w:eastAsia="黑体" w:cs="Times New Roman"/>
                <w:smallCaps w:val="0"/>
                <w:snapToGrid w:val="0"/>
                <w:color w:val="auto"/>
                <w:spacing w:val="0"/>
                <w:w w:val="100"/>
                <w:kern w:val="0"/>
                <w:position w:val="0"/>
                <w:sz w:val="21"/>
                <w:szCs w:val="21"/>
                <w:highlight w:val="none"/>
                <w:lang w:val="en-US" w:eastAsia="zh-CN"/>
              </w:rPr>
              <w:t>表1-1</w:t>
            </w:r>
            <w:r>
              <w:rPr>
                <w:rFonts w:hint="default" w:ascii="Times New Roman" w:hAnsi="Times New Roman" w:cs="Times New Roman"/>
                <w:smallCaps w:val="0"/>
                <w:snapToGrid w:val="0"/>
                <w:color w:val="auto"/>
                <w:spacing w:val="0"/>
                <w:w w:val="100"/>
                <w:kern w:val="0"/>
                <w:position w:val="0"/>
                <w:sz w:val="21"/>
                <w:szCs w:val="21"/>
                <w:highlight w:val="none"/>
                <w:lang w:val="en-US" w:eastAsia="zh-CN"/>
              </w:rPr>
              <w:t xml:space="preserve"> </w:t>
            </w:r>
            <w:r>
              <w:rPr>
                <w:rFonts w:hint="default" w:ascii="Times New Roman" w:hAnsi="Times New Roman" w:eastAsia="黑体" w:cs="Times New Roman"/>
                <w:smallCaps w:val="0"/>
                <w:snapToGrid w:val="0"/>
                <w:color w:val="auto"/>
                <w:spacing w:val="0"/>
                <w:w w:val="100"/>
                <w:kern w:val="0"/>
                <w:position w:val="0"/>
                <w:sz w:val="21"/>
                <w:szCs w:val="21"/>
                <w:highlight w:val="none"/>
                <w:lang w:val="en-US" w:eastAsia="zh-CN"/>
              </w:rPr>
              <w:t>本工程与《</w:t>
            </w:r>
            <w:bookmarkStart w:id="21" w:name="OLE_LINK120"/>
            <w:r>
              <w:rPr>
                <w:rFonts w:hint="default" w:ascii="Times New Roman" w:hAnsi="Times New Roman" w:eastAsia="黑体" w:cs="Times New Roman"/>
                <w:smallCaps w:val="0"/>
                <w:snapToGrid w:val="0"/>
                <w:color w:val="auto"/>
                <w:spacing w:val="0"/>
                <w:w w:val="100"/>
                <w:kern w:val="0"/>
                <w:position w:val="0"/>
                <w:sz w:val="21"/>
                <w:szCs w:val="21"/>
                <w:highlight w:val="none"/>
                <w:lang w:val="en-US" w:eastAsia="zh-CN"/>
              </w:rPr>
              <w:t>新疆维吾尔自治区生态环境分区管控动态更新成果</w:t>
            </w:r>
            <w:bookmarkEnd w:id="21"/>
            <w:r>
              <w:rPr>
                <w:rFonts w:hint="default" w:ascii="Times New Roman" w:hAnsi="Times New Roman" w:eastAsia="黑体" w:cs="Times New Roman"/>
                <w:smallCaps w:val="0"/>
                <w:snapToGrid w:val="0"/>
                <w:color w:val="auto"/>
                <w:spacing w:val="0"/>
                <w:w w:val="100"/>
                <w:kern w:val="0"/>
                <w:position w:val="0"/>
                <w:sz w:val="21"/>
                <w:szCs w:val="21"/>
                <w:highlight w:val="none"/>
                <w:lang w:val="en-US" w:eastAsia="zh-CN"/>
              </w:rPr>
              <w:t>》符合性分析一览表</w:t>
            </w:r>
          </w:p>
          <w:bookmarkEnd w:id="18"/>
          <w:tbl>
            <w:tblPr>
              <w:tblStyle w:val="4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0" w:type="dxa"/>
                <w:bottom w:w="57" w:type="dxa"/>
                <w:right w:w="0" w:type="dxa"/>
              </w:tblCellMar>
            </w:tblPr>
            <w:tblGrid>
              <w:gridCol w:w="966"/>
              <w:gridCol w:w="315"/>
              <w:gridCol w:w="3090"/>
              <w:gridCol w:w="2207"/>
              <w:gridCol w:w="730"/>
            </w:tblGrid>
            <w:tr w14:paraId="399C5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rPr>
                <w:jc w:val="center"/>
              </w:trPr>
              <w:tc>
                <w:tcPr>
                  <w:tcW w:w="919" w:type="dxa"/>
                  <w:vAlign w:val="center"/>
                </w:tcPr>
                <w:p w14:paraId="028820A6">
                  <w:pPr>
                    <w:jc w:val="center"/>
                    <w:rPr>
                      <w:rFonts w:hint="default" w:ascii="Times New Roman" w:hAnsi="Times New Roman" w:cs="Times New Roman"/>
                      <w:szCs w:val="21"/>
                    </w:rPr>
                  </w:pPr>
                  <w:r>
                    <w:rPr>
                      <w:rFonts w:hint="default" w:ascii="Times New Roman" w:hAnsi="Times New Roman" w:cs="Times New Roman"/>
                      <w:szCs w:val="21"/>
                    </w:rPr>
                    <w:t>文件名称</w:t>
                  </w:r>
                </w:p>
              </w:tc>
              <w:tc>
                <w:tcPr>
                  <w:tcW w:w="3240" w:type="dxa"/>
                  <w:gridSpan w:val="2"/>
                  <w:vAlign w:val="center"/>
                </w:tcPr>
                <w:p w14:paraId="3B59222C">
                  <w:pPr>
                    <w:jc w:val="center"/>
                    <w:rPr>
                      <w:rFonts w:hint="default" w:ascii="Times New Roman" w:hAnsi="Times New Roman" w:cs="Times New Roman"/>
                      <w:szCs w:val="21"/>
                    </w:rPr>
                  </w:pPr>
                  <w:r>
                    <w:rPr>
                      <w:rFonts w:hint="default" w:ascii="Times New Roman" w:hAnsi="Times New Roman" w:cs="Times New Roman"/>
                      <w:szCs w:val="21"/>
                    </w:rPr>
                    <w:t>文件要求</w:t>
                  </w:r>
                </w:p>
              </w:tc>
              <w:tc>
                <w:tcPr>
                  <w:tcW w:w="2100" w:type="dxa"/>
                  <w:vAlign w:val="center"/>
                </w:tcPr>
                <w:p w14:paraId="6580CFB8">
                  <w:pPr>
                    <w:jc w:val="center"/>
                    <w:rPr>
                      <w:rFonts w:hint="default" w:ascii="Times New Roman" w:hAnsi="Times New Roman" w:cs="Times New Roman"/>
                      <w:szCs w:val="21"/>
                    </w:rPr>
                  </w:pPr>
                  <w:r>
                    <w:rPr>
                      <w:rFonts w:hint="default" w:ascii="Times New Roman" w:hAnsi="Times New Roman" w:cs="Times New Roman"/>
                      <w:szCs w:val="21"/>
                    </w:rPr>
                    <w:t>本工程情况</w:t>
                  </w:r>
                </w:p>
              </w:tc>
              <w:tc>
                <w:tcPr>
                  <w:tcW w:w="694" w:type="dxa"/>
                  <w:vAlign w:val="center"/>
                </w:tcPr>
                <w:p w14:paraId="19ADBF9B">
                  <w:pPr>
                    <w:jc w:val="center"/>
                    <w:rPr>
                      <w:rFonts w:hint="default" w:ascii="Times New Roman" w:hAnsi="Times New Roman" w:cs="Times New Roman"/>
                      <w:szCs w:val="21"/>
                    </w:rPr>
                  </w:pPr>
                  <w:r>
                    <w:rPr>
                      <w:rFonts w:hint="default" w:ascii="Times New Roman" w:hAnsi="Times New Roman" w:cs="Times New Roman"/>
                      <w:szCs w:val="21"/>
                    </w:rPr>
                    <w:t>符合性</w:t>
                  </w:r>
                </w:p>
              </w:tc>
            </w:tr>
            <w:bookmarkEnd w:id="19"/>
            <w:tr w14:paraId="500B0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rPr>
                <w:jc w:val="center"/>
              </w:trPr>
              <w:tc>
                <w:tcPr>
                  <w:tcW w:w="919" w:type="dxa"/>
                  <w:vMerge w:val="restart"/>
                  <w:vAlign w:val="center"/>
                </w:tcPr>
                <w:p w14:paraId="3DC855B3">
                  <w:pPr>
                    <w:rPr>
                      <w:rFonts w:hint="default" w:ascii="Times New Roman" w:hAnsi="Times New Roman" w:cs="Times New Roman"/>
                      <w:szCs w:val="21"/>
                    </w:rPr>
                  </w:pPr>
                  <w:bookmarkStart w:id="22" w:name="OLE_LINK25" w:colFirst="3" w:colLast="3"/>
                  <w:r>
                    <w:rPr>
                      <w:rFonts w:hint="default" w:ascii="Times New Roman" w:hAnsi="Times New Roman" w:cs="Times New Roman"/>
                      <w:szCs w:val="21"/>
                    </w:rPr>
                    <w:t>《关于印发〈新疆维吾尔自治区生态环境分区管控动态更新成果〉的通知》（新环环评发〔2024〕157号）</w:t>
                  </w:r>
                </w:p>
              </w:tc>
              <w:tc>
                <w:tcPr>
                  <w:tcW w:w="300" w:type="dxa"/>
                  <w:vAlign w:val="center"/>
                </w:tcPr>
                <w:p w14:paraId="498C8865">
                  <w:pPr>
                    <w:jc w:val="center"/>
                    <w:textAlignment w:val="baseline"/>
                    <w:rPr>
                      <w:rFonts w:hint="default" w:ascii="Times New Roman" w:hAnsi="Times New Roman" w:cs="Times New Roman"/>
                      <w:szCs w:val="21"/>
                    </w:rPr>
                  </w:pPr>
                  <w:r>
                    <w:rPr>
                      <w:rFonts w:hint="default" w:ascii="Times New Roman" w:hAnsi="Times New Roman" w:cs="Times New Roman"/>
                      <w:szCs w:val="21"/>
                    </w:rPr>
                    <w:t>生态保护红线</w:t>
                  </w:r>
                </w:p>
              </w:tc>
              <w:tc>
                <w:tcPr>
                  <w:tcW w:w="2940" w:type="dxa"/>
                  <w:vAlign w:val="center"/>
                </w:tcPr>
                <w:p w14:paraId="2F5978C3">
                  <w:pPr>
                    <w:textAlignment w:val="baseline"/>
                    <w:rPr>
                      <w:rFonts w:hint="default" w:ascii="Times New Roman" w:hAnsi="Times New Roman" w:cs="Times New Roman"/>
                      <w:szCs w:val="21"/>
                    </w:rPr>
                  </w:pPr>
                  <w:r>
                    <w:rPr>
                      <w:rFonts w:hint="default" w:ascii="Times New Roman" w:hAnsi="Times New Roman" w:cs="Times New Roman"/>
                      <w:szCs w:val="21"/>
                    </w:rPr>
                    <w:t>生态保护红线是生态空间范围内具有特殊重要生态功能必须实行强制性严格保护的区域。相关环评应将生态空间管控作为重要内容，区域涉及生态保护红线的，在环评结论和审查意见中应落实生态保护红线的管理要求，提出相应对策措施。除受自然条件限制、确实无法避让的铁路、公路、航道、防洪、管道、干渠、通讯、输变电等重要基础设施项目外，在生态保护红线范围内，严控各类开发建设活动，依法不予审批新建工业项目和矿产开发项目的环评文件。</w:t>
                  </w:r>
                </w:p>
              </w:tc>
              <w:tc>
                <w:tcPr>
                  <w:tcW w:w="2100" w:type="dxa"/>
                  <w:vAlign w:val="center"/>
                </w:tcPr>
                <w:p w14:paraId="167AA42A">
                  <w:pPr>
                    <w:rPr>
                      <w:rFonts w:hint="default" w:ascii="Times New Roman" w:hAnsi="Times New Roman" w:cs="Times New Roman"/>
                      <w:szCs w:val="21"/>
                    </w:rPr>
                  </w:pPr>
                  <w:r>
                    <w:rPr>
                      <w:rFonts w:hint="default" w:ascii="Times New Roman" w:hAnsi="Times New Roman" w:cs="Times New Roman"/>
                      <w:szCs w:val="21"/>
                    </w:rPr>
                    <w:t>本工程周围无自然保护区、风景名胜区、居住区、学校等环境敏感目标。根据《新疆维吾尔自治区生态环境分区管控动态更新成果》对比分析，本工程占地区域不在生态保护红线内。</w:t>
                  </w:r>
                </w:p>
              </w:tc>
              <w:tc>
                <w:tcPr>
                  <w:tcW w:w="694" w:type="dxa"/>
                  <w:vAlign w:val="center"/>
                </w:tcPr>
                <w:p w14:paraId="79F89222">
                  <w:pPr>
                    <w:jc w:val="center"/>
                    <w:rPr>
                      <w:rFonts w:hint="default" w:ascii="Times New Roman" w:hAnsi="Times New Roman" w:cs="Times New Roman"/>
                      <w:szCs w:val="21"/>
                    </w:rPr>
                  </w:pPr>
                  <w:bookmarkStart w:id="23" w:name="OLE_LINK24"/>
                  <w:r>
                    <w:rPr>
                      <w:rFonts w:hint="default" w:ascii="Times New Roman" w:hAnsi="Times New Roman" w:cs="Times New Roman"/>
                      <w:szCs w:val="21"/>
                    </w:rPr>
                    <w:t>符合</w:t>
                  </w:r>
                  <w:bookmarkEnd w:id="23"/>
                </w:p>
              </w:tc>
            </w:tr>
            <w:tr w14:paraId="42EB5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rPr>
                <w:jc w:val="center"/>
              </w:trPr>
              <w:tc>
                <w:tcPr>
                  <w:tcW w:w="919" w:type="dxa"/>
                  <w:vMerge w:val="continue"/>
                  <w:vAlign w:val="center"/>
                </w:tcPr>
                <w:p w14:paraId="52653F82">
                  <w:pPr>
                    <w:jc w:val="center"/>
                    <w:rPr>
                      <w:rFonts w:hint="default" w:ascii="Times New Roman" w:hAnsi="Times New Roman" w:cs="Times New Roman"/>
                      <w:szCs w:val="21"/>
                    </w:rPr>
                  </w:pPr>
                </w:p>
              </w:tc>
              <w:tc>
                <w:tcPr>
                  <w:tcW w:w="300" w:type="dxa"/>
                  <w:vAlign w:val="center"/>
                </w:tcPr>
                <w:p w14:paraId="11423765">
                  <w:pPr>
                    <w:jc w:val="center"/>
                    <w:rPr>
                      <w:rFonts w:hint="default" w:ascii="Times New Roman" w:hAnsi="Times New Roman" w:cs="Times New Roman"/>
                      <w:szCs w:val="21"/>
                    </w:rPr>
                  </w:pPr>
                  <w:r>
                    <w:rPr>
                      <w:rFonts w:hint="default" w:ascii="Times New Roman" w:hAnsi="Times New Roman" w:cs="Times New Roman"/>
                      <w:szCs w:val="21"/>
                    </w:rPr>
                    <w:t>环境质量底线</w:t>
                  </w:r>
                </w:p>
              </w:tc>
              <w:tc>
                <w:tcPr>
                  <w:tcW w:w="2940" w:type="dxa"/>
                  <w:vAlign w:val="center"/>
                </w:tcPr>
                <w:p w14:paraId="3453D703">
                  <w:pPr>
                    <w:rPr>
                      <w:rFonts w:hint="default" w:ascii="Times New Roman" w:hAnsi="Times New Roman" w:cs="Times New Roman"/>
                      <w:szCs w:val="21"/>
                    </w:rPr>
                  </w:pPr>
                  <w:r>
                    <w:rPr>
                      <w:rFonts w:hint="default" w:ascii="Times New Roman" w:hAnsi="Times New Roman" w:cs="Times New Roman"/>
                      <w:szCs w:val="21"/>
                    </w:rPr>
                    <w:t>环境质量底线是国家和地方设置的大气、水和土壤环境质量目标，也是改善环境质量的基准线。有关环评应落实区域环境质量目标管理要求，提出区域或者行业污染物排放总量管控建议以及优化区域或行业发展布局、结构和规模的对策措施。项目环评应对照区域环境质量目标，深入分析预测项目建设对环境质量的影响，强化污染防治措施和污染物排放控制要求。</w:t>
                  </w:r>
                </w:p>
              </w:tc>
              <w:tc>
                <w:tcPr>
                  <w:tcW w:w="2100" w:type="dxa"/>
                  <w:vAlign w:val="center"/>
                </w:tcPr>
                <w:p w14:paraId="0F6C6635">
                  <w:pPr>
                    <w:rPr>
                      <w:rFonts w:hint="default" w:ascii="Times New Roman" w:hAnsi="Times New Roman" w:cs="Times New Roman"/>
                      <w:szCs w:val="21"/>
                    </w:rPr>
                  </w:pPr>
                  <w:r>
                    <w:rPr>
                      <w:rFonts w:hint="default" w:ascii="Times New Roman" w:hAnsi="Times New Roman" w:cs="Times New Roman"/>
                      <w:szCs w:val="21"/>
                    </w:rPr>
                    <w:t>本工程为输变电工程，污染物排放量较少，在采取有效的污染防治措施后，可确保污染得到</w:t>
                  </w:r>
                  <w:r>
                    <w:rPr>
                      <w:rFonts w:hint="eastAsia" w:cs="Times New Roman"/>
                      <w:szCs w:val="21"/>
                      <w:lang w:eastAsia="zh-CN"/>
                    </w:rPr>
                    <w:t>有效</w:t>
                  </w:r>
                  <w:r>
                    <w:rPr>
                      <w:rFonts w:hint="default" w:ascii="Times New Roman" w:hAnsi="Times New Roman" w:cs="Times New Roman"/>
                      <w:szCs w:val="21"/>
                      <w:lang w:eastAsia="zh-CN"/>
                    </w:rPr>
                    <w:t>控制</w:t>
                  </w:r>
                  <w:r>
                    <w:rPr>
                      <w:rFonts w:hint="default" w:ascii="Times New Roman" w:hAnsi="Times New Roman" w:cs="Times New Roman"/>
                      <w:szCs w:val="21"/>
                    </w:rPr>
                    <w:t>，产生的各类污染物对周边环境影响较小，不会导致区域内环境质量发生明显变化，不会突破环境质量底线。</w:t>
                  </w:r>
                </w:p>
              </w:tc>
              <w:tc>
                <w:tcPr>
                  <w:tcW w:w="694" w:type="dxa"/>
                  <w:vAlign w:val="center"/>
                </w:tcPr>
                <w:p w14:paraId="4C99CA1B">
                  <w:pPr>
                    <w:jc w:val="center"/>
                    <w:rPr>
                      <w:rFonts w:hint="default" w:ascii="Times New Roman" w:hAnsi="Times New Roman" w:cs="Times New Roman"/>
                      <w:szCs w:val="21"/>
                    </w:rPr>
                  </w:pPr>
                  <w:r>
                    <w:rPr>
                      <w:rFonts w:hint="default" w:ascii="Times New Roman" w:hAnsi="Times New Roman" w:cs="Times New Roman"/>
                      <w:szCs w:val="21"/>
                    </w:rPr>
                    <w:t>符合</w:t>
                  </w:r>
                </w:p>
              </w:tc>
            </w:tr>
            <w:tr w14:paraId="5FC0C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rPr>
                <w:jc w:val="center"/>
              </w:trPr>
              <w:tc>
                <w:tcPr>
                  <w:tcW w:w="919" w:type="dxa"/>
                  <w:vMerge w:val="continue"/>
                  <w:vAlign w:val="center"/>
                </w:tcPr>
                <w:p w14:paraId="59CBFE95">
                  <w:pPr>
                    <w:jc w:val="center"/>
                    <w:rPr>
                      <w:rFonts w:hint="default" w:ascii="Times New Roman" w:hAnsi="Times New Roman" w:cs="Times New Roman"/>
                      <w:szCs w:val="21"/>
                    </w:rPr>
                  </w:pPr>
                </w:p>
              </w:tc>
              <w:tc>
                <w:tcPr>
                  <w:tcW w:w="300" w:type="dxa"/>
                  <w:vAlign w:val="center"/>
                </w:tcPr>
                <w:p w14:paraId="01F29085">
                  <w:pPr>
                    <w:jc w:val="center"/>
                    <w:rPr>
                      <w:rFonts w:hint="default" w:ascii="Times New Roman" w:hAnsi="Times New Roman" w:cs="Times New Roman"/>
                      <w:szCs w:val="21"/>
                    </w:rPr>
                  </w:pPr>
                  <w:r>
                    <w:rPr>
                      <w:rFonts w:hint="default" w:ascii="Times New Roman" w:hAnsi="Times New Roman" w:cs="Times New Roman"/>
                      <w:szCs w:val="21"/>
                    </w:rPr>
                    <w:t>资源利用上线</w:t>
                  </w:r>
                </w:p>
              </w:tc>
              <w:tc>
                <w:tcPr>
                  <w:tcW w:w="2940" w:type="dxa"/>
                  <w:vAlign w:val="center"/>
                </w:tcPr>
                <w:p w14:paraId="519EF17E">
                  <w:pPr>
                    <w:rPr>
                      <w:rFonts w:hint="default" w:ascii="Times New Roman" w:hAnsi="Times New Roman" w:cs="Times New Roman"/>
                      <w:szCs w:val="21"/>
                    </w:rPr>
                  </w:pPr>
                  <w:r>
                    <w:rPr>
                      <w:rFonts w:hint="default" w:ascii="Times New Roman" w:hAnsi="Times New Roman" w:cs="Times New Roman"/>
                      <w:szCs w:val="21"/>
                    </w:rPr>
                    <w:t>资源是环境的载体，资源利用上线是各地区能源、水、土地等资源消耗不得突破的“天花板</w:t>
                  </w:r>
                  <w:r>
                    <w:rPr>
                      <w:rFonts w:hint="default" w:ascii="Times New Roman" w:hAnsi="Times New Roman" w:cs="Times New Roman"/>
                    </w:rPr>
                    <w:t>”</w:t>
                  </w:r>
                  <w:r>
                    <w:rPr>
                      <w:rFonts w:hint="default" w:ascii="Times New Roman" w:hAnsi="Times New Roman" w:cs="Times New Roman"/>
                      <w:szCs w:val="21"/>
                    </w:rPr>
                    <w:t>。相关环评应依据有关资源利用上线，对规划实施以及规划内项目的资源开发利用，区分不同行业，从能源资源开发等量或减量替代、开采方式和规模控制、利用效率和保护措施等方面提出建议，为规划编制和审批决策提供重要依据。</w:t>
                  </w:r>
                </w:p>
              </w:tc>
              <w:tc>
                <w:tcPr>
                  <w:tcW w:w="2100" w:type="dxa"/>
                  <w:vAlign w:val="center"/>
                </w:tcPr>
                <w:p w14:paraId="59A34AF0">
                  <w:pPr>
                    <w:rPr>
                      <w:rFonts w:hint="default" w:ascii="Times New Roman" w:hAnsi="Times New Roman" w:cs="Times New Roman"/>
                      <w:szCs w:val="21"/>
                    </w:rPr>
                  </w:pPr>
                  <w:r>
                    <w:rPr>
                      <w:rFonts w:hint="default" w:ascii="Times New Roman" w:hAnsi="Times New Roman" w:cs="Times New Roman"/>
                      <w:szCs w:val="21"/>
                    </w:rPr>
                    <w:t>本项目为输变电工程，项目的建设运营对水资源及其他资源能源消耗量极小，设计严格控制用地指标、节约土地资源，不突破当地土地资源利用上线，且本工程为已批复建设的新疆鸿泰鼎新材料科技有限公司鸿泰鼎绿色新材料纺织产业园（一期）建设项目的配套供电工程的配套工程，工程实施有利于积极推进低碳发展，项目建设符合资源利用上线要求。</w:t>
                  </w:r>
                </w:p>
              </w:tc>
              <w:tc>
                <w:tcPr>
                  <w:tcW w:w="694" w:type="dxa"/>
                  <w:vAlign w:val="center"/>
                </w:tcPr>
                <w:p w14:paraId="687EB3B3">
                  <w:pPr>
                    <w:jc w:val="center"/>
                    <w:rPr>
                      <w:rFonts w:hint="default" w:ascii="Times New Roman" w:hAnsi="Times New Roman" w:cs="Times New Roman"/>
                      <w:szCs w:val="21"/>
                    </w:rPr>
                  </w:pPr>
                  <w:r>
                    <w:rPr>
                      <w:rFonts w:hint="default" w:ascii="Times New Roman" w:hAnsi="Times New Roman" w:cs="Times New Roman"/>
                      <w:szCs w:val="21"/>
                    </w:rPr>
                    <w:t>符合</w:t>
                  </w:r>
                </w:p>
              </w:tc>
            </w:tr>
            <w:tr w14:paraId="33B66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rPr>
                <w:jc w:val="center"/>
              </w:trPr>
              <w:tc>
                <w:tcPr>
                  <w:tcW w:w="919" w:type="dxa"/>
                  <w:vMerge w:val="continue"/>
                  <w:vAlign w:val="center"/>
                </w:tcPr>
                <w:p w14:paraId="012E0164">
                  <w:pPr>
                    <w:jc w:val="center"/>
                    <w:rPr>
                      <w:rFonts w:hint="default" w:ascii="Times New Roman" w:hAnsi="Times New Roman" w:cs="Times New Roman"/>
                      <w:szCs w:val="21"/>
                    </w:rPr>
                  </w:pPr>
                </w:p>
              </w:tc>
              <w:tc>
                <w:tcPr>
                  <w:tcW w:w="300" w:type="dxa"/>
                  <w:vAlign w:val="center"/>
                </w:tcPr>
                <w:p w14:paraId="5CF8048F">
                  <w:pPr>
                    <w:jc w:val="center"/>
                    <w:rPr>
                      <w:rFonts w:hint="default" w:ascii="Times New Roman" w:hAnsi="Times New Roman" w:cs="Times New Roman"/>
                      <w:szCs w:val="21"/>
                    </w:rPr>
                  </w:pPr>
                  <w:r>
                    <w:rPr>
                      <w:rFonts w:hint="default" w:ascii="Times New Roman" w:hAnsi="Times New Roman" w:cs="Times New Roman"/>
                      <w:szCs w:val="21"/>
                    </w:rPr>
                    <w:t>生态环境准入清单</w:t>
                  </w:r>
                </w:p>
              </w:tc>
              <w:tc>
                <w:tcPr>
                  <w:tcW w:w="2940" w:type="dxa"/>
                  <w:vAlign w:val="center"/>
                </w:tcPr>
                <w:p w14:paraId="31D3DABC">
                  <w:pPr>
                    <w:rPr>
                      <w:rFonts w:hint="default" w:ascii="Times New Roman" w:hAnsi="Times New Roman" w:cs="Times New Roman"/>
                      <w:szCs w:val="21"/>
                    </w:rPr>
                  </w:pPr>
                  <w:r>
                    <w:rPr>
                      <w:rFonts w:hint="default" w:ascii="Times New Roman" w:hAnsi="Times New Roman" w:cs="Times New Roman"/>
                      <w:szCs w:val="21"/>
                    </w:rPr>
                    <w:t>环境准入负面清单是基于生态保护红线、环境质量底线和资源利用上线，以清单方式列出的禁止、限制等差别化环境准入条件和要求。要在环评清单式管理试点的基础上，从布局选址、资源利用效率、资源配置方式等方面入手，制定环境准入负面清单，充分发挥负面清单对产业发展和项目准入的指导和约束作用。</w:t>
                  </w:r>
                </w:p>
              </w:tc>
              <w:tc>
                <w:tcPr>
                  <w:tcW w:w="2100" w:type="dxa"/>
                  <w:vAlign w:val="center"/>
                </w:tcPr>
                <w:p w14:paraId="277B3C1C">
                  <w:pPr>
                    <w:rPr>
                      <w:rFonts w:hint="default" w:ascii="Times New Roman" w:hAnsi="Times New Roman" w:cs="Times New Roman"/>
                    </w:rPr>
                  </w:pPr>
                  <w:r>
                    <w:rPr>
                      <w:rFonts w:hint="default" w:ascii="Times New Roman" w:hAnsi="Times New Roman" w:cs="Times New Roman"/>
                      <w:szCs w:val="21"/>
                    </w:rPr>
                    <w:t>本工程位于</w:t>
                  </w:r>
                  <w:r>
                    <w:rPr>
                      <w:rFonts w:hint="default" w:ascii="Times New Roman" w:hAnsi="Times New Roman" w:cs="Times New Roman"/>
                      <w:szCs w:val="21"/>
                      <w:lang w:val="en-US" w:eastAsia="zh-CN"/>
                    </w:rPr>
                    <w:t>巴州尉犁县工业园区内</w:t>
                  </w:r>
                  <w:r>
                    <w:rPr>
                      <w:rFonts w:hint="default" w:ascii="Times New Roman" w:hAnsi="Times New Roman" w:cs="Times New Roman"/>
                      <w:szCs w:val="21"/>
                    </w:rPr>
                    <w:t>，不在生态保护红线范围内，属于</w:t>
                  </w:r>
                  <w:r>
                    <w:rPr>
                      <w:rFonts w:hint="default" w:ascii="Times New Roman" w:hAnsi="Times New Roman" w:cs="Times New Roman"/>
                      <w:szCs w:val="21"/>
                      <w:lang w:val="en-US" w:eastAsia="zh-CN"/>
                    </w:rPr>
                    <w:t>重点</w:t>
                  </w:r>
                  <w:r>
                    <w:rPr>
                      <w:rFonts w:hint="default" w:ascii="Times New Roman" w:hAnsi="Times New Roman" w:cs="Times New Roman"/>
                      <w:szCs w:val="21"/>
                    </w:rPr>
                    <w:t>管控单元（</w:t>
                  </w:r>
                  <w:r>
                    <w:rPr>
                      <w:rFonts w:hint="default" w:ascii="Times New Roman" w:hAnsi="Times New Roman" w:cs="Times New Roman"/>
                      <w:szCs w:val="21"/>
                      <w:lang w:val="en-US" w:eastAsia="zh-CN"/>
                    </w:rPr>
                    <w:t>ZH65282320005</w:t>
                  </w:r>
                  <w:r>
                    <w:rPr>
                      <w:rFonts w:hint="default" w:ascii="Times New Roman" w:hAnsi="Times New Roman" w:cs="Times New Roman"/>
                      <w:szCs w:val="21"/>
                    </w:rPr>
                    <w:t>）。</w:t>
                  </w:r>
                </w:p>
              </w:tc>
              <w:tc>
                <w:tcPr>
                  <w:tcW w:w="694" w:type="dxa"/>
                  <w:vAlign w:val="center"/>
                </w:tcPr>
                <w:p w14:paraId="3DBDC188">
                  <w:pPr>
                    <w:jc w:val="center"/>
                    <w:rPr>
                      <w:rFonts w:hint="default" w:ascii="Times New Roman" w:hAnsi="Times New Roman" w:cs="Times New Roman"/>
                      <w:szCs w:val="21"/>
                    </w:rPr>
                  </w:pPr>
                  <w:r>
                    <w:rPr>
                      <w:rFonts w:hint="default" w:ascii="Times New Roman" w:hAnsi="Times New Roman" w:cs="Times New Roman"/>
                      <w:szCs w:val="21"/>
                    </w:rPr>
                    <w:t>符合</w:t>
                  </w:r>
                </w:p>
              </w:tc>
            </w:tr>
            <w:bookmarkEnd w:id="20"/>
            <w:bookmarkEnd w:id="22"/>
          </w:tbl>
          <w:p w14:paraId="77164707">
            <w:pPr>
              <w:pStyle w:val="209"/>
              <w:keepNext w:val="0"/>
              <w:keepLines w:val="0"/>
              <w:pageBreakBefore w:val="0"/>
              <w:widowControl w:val="0"/>
              <w:kinsoku/>
              <w:wordWrap/>
              <w:overflowPunct/>
              <w:topLinePunct w:val="0"/>
              <w:autoSpaceDE/>
              <w:autoSpaceDN/>
              <w:bidi w:val="0"/>
              <w:adjustRightInd/>
              <w:snapToGrid/>
              <w:spacing w:beforeLines="0" w:line="240" w:lineRule="auto"/>
              <w:textAlignment w:val="auto"/>
              <w:rPr>
                <w:rFonts w:hint="default" w:ascii="Times New Roman" w:hAnsi="Times New Roman" w:eastAsia="黑体" w:cs="Times New Roman"/>
                <w:smallCaps w:val="0"/>
                <w:snapToGrid w:val="0"/>
                <w:color w:val="auto"/>
                <w:spacing w:val="0"/>
                <w:w w:val="100"/>
                <w:kern w:val="0"/>
                <w:position w:val="0"/>
                <w:sz w:val="21"/>
                <w:szCs w:val="21"/>
                <w:highlight w:val="none"/>
                <w:lang w:val="en-US" w:eastAsia="zh-CN"/>
              </w:rPr>
            </w:pPr>
            <w:bookmarkStart w:id="24" w:name="OLE_LINK363"/>
            <w:r>
              <w:rPr>
                <w:rFonts w:hint="default" w:ascii="Times New Roman" w:hAnsi="Times New Roman" w:cs="Times New Roman"/>
                <w:smallCaps w:val="0"/>
                <w:snapToGrid w:val="0"/>
                <w:color w:val="auto"/>
                <w:spacing w:val="0"/>
                <w:w w:val="100"/>
                <w:kern w:val="0"/>
                <w:position w:val="0"/>
                <w:sz w:val="21"/>
                <w:szCs w:val="21"/>
                <w:highlight w:val="none"/>
                <w:lang w:val="en-US" w:eastAsia="zh-CN"/>
              </w:rPr>
              <w:t xml:space="preserve">表1-2 </w:t>
            </w:r>
            <w:r>
              <w:rPr>
                <w:rFonts w:hint="default" w:ascii="Times New Roman" w:hAnsi="Times New Roman" w:eastAsia="黑体" w:cs="Times New Roman"/>
                <w:smallCaps w:val="0"/>
                <w:snapToGrid w:val="0"/>
                <w:color w:val="auto"/>
                <w:spacing w:val="0"/>
                <w:w w:val="100"/>
                <w:kern w:val="0"/>
                <w:position w:val="0"/>
                <w:sz w:val="21"/>
                <w:szCs w:val="21"/>
                <w:highlight w:val="none"/>
                <w:lang w:val="en-US" w:eastAsia="zh-CN"/>
              </w:rPr>
              <w:t>本工程与</w:t>
            </w:r>
            <w:bookmarkStart w:id="25" w:name="OLE_LINK281"/>
            <w:r>
              <w:rPr>
                <w:rFonts w:hint="default" w:ascii="Times New Roman" w:hAnsi="Times New Roman" w:eastAsia="黑体" w:cs="Times New Roman"/>
                <w:smallCaps w:val="0"/>
                <w:snapToGrid w:val="0"/>
                <w:color w:val="auto"/>
                <w:spacing w:val="0"/>
                <w:w w:val="100"/>
                <w:kern w:val="0"/>
                <w:position w:val="0"/>
                <w:sz w:val="21"/>
                <w:szCs w:val="21"/>
                <w:highlight w:val="none"/>
                <w:lang w:val="en-US" w:eastAsia="zh-CN"/>
              </w:rPr>
              <w:t>《新疆维吾尔自治区生态环境分区管控总体要求》</w:t>
            </w:r>
            <w:bookmarkEnd w:id="25"/>
            <w:r>
              <w:rPr>
                <w:rFonts w:hint="default" w:ascii="Times New Roman" w:hAnsi="Times New Roman" w:eastAsia="黑体" w:cs="Times New Roman"/>
                <w:smallCaps w:val="0"/>
                <w:snapToGrid w:val="0"/>
                <w:color w:val="auto"/>
                <w:spacing w:val="0"/>
                <w:w w:val="100"/>
                <w:kern w:val="0"/>
                <w:position w:val="0"/>
                <w:sz w:val="21"/>
                <w:szCs w:val="21"/>
                <w:highlight w:val="none"/>
                <w:lang w:val="en-US" w:eastAsia="zh-CN"/>
              </w:rPr>
              <w:t>符合性分析一览表</w:t>
            </w:r>
          </w:p>
          <w:tbl>
            <w:tblPr>
              <w:tblStyle w:val="4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966"/>
              <w:gridCol w:w="492"/>
              <w:gridCol w:w="2539"/>
              <w:gridCol w:w="2581"/>
              <w:gridCol w:w="730"/>
            </w:tblGrid>
            <w:tr w14:paraId="0652E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919" w:type="dxa"/>
                  <w:vAlign w:val="center"/>
                </w:tcPr>
                <w:p w14:paraId="2CAFCED5">
                  <w:pPr>
                    <w:jc w:val="center"/>
                    <w:rPr>
                      <w:rFonts w:hint="default" w:ascii="Times New Roman" w:hAnsi="Times New Roman" w:eastAsia="黑体" w:cs="Times New Roman"/>
                      <w:szCs w:val="21"/>
                    </w:rPr>
                  </w:pPr>
                  <w:r>
                    <w:rPr>
                      <w:rFonts w:hint="default" w:ascii="Times New Roman" w:hAnsi="Times New Roman" w:eastAsia="黑体" w:cs="Times New Roman"/>
                      <w:szCs w:val="21"/>
                    </w:rPr>
                    <w:t>文件名称</w:t>
                  </w:r>
                </w:p>
              </w:tc>
              <w:tc>
                <w:tcPr>
                  <w:tcW w:w="2884" w:type="dxa"/>
                  <w:gridSpan w:val="2"/>
                  <w:vAlign w:val="center"/>
                </w:tcPr>
                <w:p w14:paraId="6F9E7B72">
                  <w:pPr>
                    <w:jc w:val="center"/>
                    <w:rPr>
                      <w:rFonts w:hint="default" w:ascii="Times New Roman" w:hAnsi="Times New Roman" w:eastAsia="黑体" w:cs="Times New Roman"/>
                      <w:szCs w:val="21"/>
                    </w:rPr>
                  </w:pPr>
                  <w:r>
                    <w:rPr>
                      <w:rFonts w:hint="default" w:ascii="Times New Roman" w:hAnsi="Times New Roman" w:eastAsia="黑体" w:cs="Times New Roman"/>
                      <w:szCs w:val="21"/>
                    </w:rPr>
                    <w:t>文件要求</w:t>
                  </w:r>
                </w:p>
              </w:tc>
              <w:tc>
                <w:tcPr>
                  <w:tcW w:w="2456" w:type="dxa"/>
                  <w:vAlign w:val="center"/>
                </w:tcPr>
                <w:p w14:paraId="2DF2BBDA">
                  <w:pPr>
                    <w:jc w:val="center"/>
                    <w:rPr>
                      <w:rFonts w:hint="default" w:ascii="Times New Roman" w:hAnsi="Times New Roman" w:eastAsia="黑体" w:cs="Times New Roman"/>
                      <w:szCs w:val="21"/>
                    </w:rPr>
                  </w:pPr>
                  <w:r>
                    <w:rPr>
                      <w:rFonts w:hint="default" w:ascii="Times New Roman" w:hAnsi="Times New Roman" w:eastAsia="黑体" w:cs="Times New Roman"/>
                      <w:szCs w:val="21"/>
                    </w:rPr>
                    <w:t>本工程情况</w:t>
                  </w:r>
                </w:p>
              </w:tc>
              <w:tc>
                <w:tcPr>
                  <w:tcW w:w="694" w:type="dxa"/>
                  <w:vAlign w:val="center"/>
                </w:tcPr>
                <w:p w14:paraId="541D625A">
                  <w:pPr>
                    <w:jc w:val="center"/>
                    <w:rPr>
                      <w:rFonts w:hint="default" w:ascii="Times New Roman" w:hAnsi="Times New Roman" w:eastAsia="黑体" w:cs="Times New Roman"/>
                      <w:szCs w:val="21"/>
                    </w:rPr>
                  </w:pPr>
                  <w:r>
                    <w:rPr>
                      <w:rFonts w:hint="default" w:ascii="Times New Roman" w:hAnsi="Times New Roman" w:eastAsia="黑体" w:cs="Times New Roman"/>
                      <w:szCs w:val="21"/>
                    </w:rPr>
                    <w:t>符合性</w:t>
                  </w:r>
                </w:p>
              </w:tc>
            </w:tr>
            <w:tr w14:paraId="1DA88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919" w:type="dxa"/>
                  <w:vMerge w:val="restart"/>
                  <w:vAlign w:val="center"/>
                </w:tcPr>
                <w:p w14:paraId="366CAEBF">
                  <w:pPr>
                    <w:jc w:val="center"/>
                    <w:rPr>
                      <w:rFonts w:hint="default" w:ascii="Times New Roman" w:hAnsi="Times New Roman" w:cs="Times New Roman"/>
                      <w:b/>
                      <w:bCs/>
                      <w:szCs w:val="21"/>
                    </w:rPr>
                  </w:pPr>
                  <w:r>
                    <w:rPr>
                      <w:rFonts w:hint="default" w:ascii="Times New Roman" w:hAnsi="Times New Roman" w:cs="Times New Roman"/>
                    </w:rPr>
                    <w:t>《新疆维吾尔自治区生态环境分区管控总体要求》</w:t>
                  </w:r>
                </w:p>
              </w:tc>
              <w:tc>
                <w:tcPr>
                  <w:tcW w:w="468" w:type="dxa"/>
                  <w:vAlign w:val="center"/>
                </w:tcPr>
                <w:p w14:paraId="027897ED">
                  <w:pPr>
                    <w:jc w:val="center"/>
                    <w:rPr>
                      <w:rFonts w:hint="default" w:ascii="Times New Roman" w:hAnsi="Times New Roman" w:cs="Times New Roman"/>
                    </w:rPr>
                  </w:pPr>
                  <w:r>
                    <w:rPr>
                      <w:rFonts w:hint="default" w:ascii="Times New Roman" w:hAnsi="Times New Roman" w:cs="Times New Roman"/>
                    </w:rPr>
                    <w:t>空间布局约束</w:t>
                  </w:r>
                </w:p>
              </w:tc>
              <w:tc>
                <w:tcPr>
                  <w:tcW w:w="2416" w:type="dxa"/>
                  <w:vAlign w:val="center"/>
                </w:tcPr>
                <w:p w14:paraId="67691DF6">
                  <w:pPr>
                    <w:rPr>
                      <w:rFonts w:hint="default" w:ascii="Times New Roman" w:hAnsi="Times New Roman" w:cs="Times New Roman"/>
                    </w:rPr>
                  </w:pPr>
                  <w:r>
                    <w:rPr>
                      <w:rFonts w:hint="default" w:ascii="Times New Roman" w:hAnsi="Times New Roman" w:cs="Times New Roman"/>
                    </w:rPr>
                    <w:t>一切开发建设活动应符合国家、自治区主体功能区规划、自治区和各地颁布实施的生态环境功能区划、国民经济发展规划、产业发展规划、国土空间规划等相关规划及重点生态功能区负面清单要求，符合区域或产业规划环评要求。</w:t>
                  </w:r>
                </w:p>
              </w:tc>
              <w:tc>
                <w:tcPr>
                  <w:tcW w:w="2456" w:type="dxa"/>
                  <w:vAlign w:val="center"/>
                </w:tcPr>
                <w:p w14:paraId="46AF4F6B">
                  <w:pPr>
                    <w:rPr>
                      <w:rFonts w:hint="default" w:ascii="Times New Roman" w:hAnsi="Times New Roman" w:cs="Times New Roman"/>
                    </w:rPr>
                  </w:pPr>
                  <w:r>
                    <w:rPr>
                      <w:rFonts w:hint="default" w:ascii="Times New Roman" w:hAnsi="Times New Roman" w:cs="Times New Roman"/>
                      <w:szCs w:val="21"/>
                    </w:rPr>
                    <w:t>本工程建设符合《新疆维吾尔自治区主体功能区规划》《新疆维吾尔自治区国民经济和社会发展第十四个五年规划和2035年远景目标纲要》和</w:t>
                  </w:r>
                  <w:r>
                    <w:rPr>
                      <w:rFonts w:hint="default" w:ascii="Times New Roman" w:hAnsi="Times New Roman" w:cs="Times New Roman"/>
                      <w:szCs w:val="21"/>
                      <w:lang w:val="en-US" w:eastAsia="zh-CN"/>
                    </w:rPr>
                    <w:t>《尉犁县国民经济和社会发展第十四个五年规划和二〇三五年远景目标纲要》</w:t>
                  </w:r>
                  <w:r>
                    <w:rPr>
                      <w:rFonts w:hint="default" w:ascii="Times New Roman" w:hAnsi="Times New Roman" w:cs="Times New Roman"/>
                      <w:szCs w:val="21"/>
                    </w:rPr>
                    <w:t>。</w:t>
                  </w:r>
                </w:p>
              </w:tc>
              <w:tc>
                <w:tcPr>
                  <w:tcW w:w="694" w:type="dxa"/>
                  <w:vAlign w:val="center"/>
                </w:tcPr>
                <w:p w14:paraId="4E869FAD">
                  <w:pPr>
                    <w:jc w:val="center"/>
                    <w:rPr>
                      <w:rFonts w:hint="default" w:ascii="Times New Roman" w:hAnsi="Times New Roman" w:cs="Times New Roman"/>
                    </w:rPr>
                  </w:pPr>
                  <w:bookmarkStart w:id="26" w:name="OLE_LINK283"/>
                  <w:r>
                    <w:rPr>
                      <w:rFonts w:hint="default" w:ascii="Times New Roman" w:hAnsi="Times New Roman" w:cs="Times New Roman"/>
                      <w:szCs w:val="21"/>
                    </w:rPr>
                    <w:t>符合</w:t>
                  </w:r>
                  <w:bookmarkEnd w:id="26"/>
                </w:p>
              </w:tc>
            </w:tr>
            <w:tr w14:paraId="53555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919" w:type="dxa"/>
                  <w:vMerge w:val="continue"/>
                  <w:vAlign w:val="center"/>
                </w:tcPr>
                <w:p w14:paraId="65667A3A">
                  <w:pPr>
                    <w:jc w:val="center"/>
                    <w:rPr>
                      <w:rFonts w:hint="default" w:ascii="Times New Roman" w:hAnsi="Times New Roman" w:cs="Times New Roman"/>
                    </w:rPr>
                  </w:pPr>
                </w:p>
              </w:tc>
              <w:tc>
                <w:tcPr>
                  <w:tcW w:w="468" w:type="dxa"/>
                  <w:vAlign w:val="center"/>
                </w:tcPr>
                <w:p w14:paraId="276C0320">
                  <w:pPr>
                    <w:jc w:val="center"/>
                    <w:rPr>
                      <w:rFonts w:hint="default" w:ascii="Times New Roman" w:hAnsi="Times New Roman" w:cs="Times New Roman"/>
                    </w:rPr>
                  </w:pPr>
                  <w:r>
                    <w:rPr>
                      <w:rFonts w:hint="default" w:ascii="Times New Roman" w:hAnsi="Times New Roman" w:cs="Times New Roman"/>
                    </w:rPr>
                    <w:t>污染物排放管控</w:t>
                  </w:r>
                </w:p>
              </w:tc>
              <w:tc>
                <w:tcPr>
                  <w:tcW w:w="2416" w:type="dxa"/>
                  <w:vAlign w:val="center"/>
                </w:tcPr>
                <w:p w14:paraId="75C0A65B">
                  <w:pPr>
                    <w:rPr>
                      <w:rFonts w:hint="default" w:ascii="Times New Roman" w:hAnsi="Times New Roman" w:cs="Times New Roman"/>
                    </w:rPr>
                  </w:pPr>
                  <w:r>
                    <w:rPr>
                      <w:rFonts w:hint="default" w:ascii="Times New Roman" w:hAnsi="Times New Roman" w:cs="Times New Roman"/>
                    </w:rPr>
                    <w:t>新、改、扩建重点行业建设项目应符合“三线一单</w:t>
                  </w:r>
                  <w:r>
                    <w:rPr>
                      <w:rFonts w:hint="default" w:ascii="Times New Roman" w:hAnsi="Times New Roman" w:eastAsia="宋体&quot; '仿宋_GB2312，宋体" w:cs="Times New Roman"/>
                      <w:sz w:val="24"/>
                    </w:rPr>
                    <w:t>”</w:t>
                  </w:r>
                  <w:r>
                    <w:rPr>
                      <w:rFonts w:hint="default" w:ascii="Times New Roman" w:hAnsi="Times New Roman" w:cs="Times New Roman"/>
                    </w:rPr>
                    <w:t>、产业政策、区域环评、规划环评和行业环境准入管控要求。</w:t>
                  </w:r>
                </w:p>
              </w:tc>
              <w:tc>
                <w:tcPr>
                  <w:tcW w:w="2456" w:type="dxa"/>
                  <w:vAlign w:val="center"/>
                </w:tcPr>
                <w:p w14:paraId="7ABAF90D">
                  <w:pPr>
                    <w:rPr>
                      <w:rFonts w:hint="default" w:ascii="Times New Roman" w:hAnsi="Times New Roman" w:cs="Times New Roman"/>
                    </w:rPr>
                  </w:pPr>
                  <w:bookmarkStart w:id="27" w:name="OLE_LINK284"/>
                  <w:r>
                    <w:rPr>
                      <w:rFonts w:hint="default" w:ascii="Times New Roman" w:hAnsi="Times New Roman" w:cs="Times New Roman"/>
                      <w:szCs w:val="21"/>
                    </w:rPr>
                    <w:t>本工程建设符合</w:t>
                  </w:r>
                  <w:bookmarkEnd w:id="27"/>
                  <w:r>
                    <w:rPr>
                      <w:rFonts w:hint="default" w:ascii="Times New Roman" w:hAnsi="Times New Roman" w:cs="Times New Roman"/>
                      <w:szCs w:val="21"/>
                    </w:rPr>
                    <w:t>《产业结构调整指导目录（2024年本）》的有关规定</w:t>
                  </w:r>
                  <w:r>
                    <w:rPr>
                      <w:rFonts w:hint="default" w:ascii="Times New Roman" w:hAnsi="Times New Roman" w:cs="Times New Roman"/>
                    </w:rPr>
                    <w:t>。</w:t>
                  </w:r>
                </w:p>
              </w:tc>
              <w:tc>
                <w:tcPr>
                  <w:tcW w:w="694" w:type="dxa"/>
                  <w:vAlign w:val="center"/>
                </w:tcPr>
                <w:p w14:paraId="71F15BA2">
                  <w:pPr>
                    <w:jc w:val="center"/>
                    <w:rPr>
                      <w:rFonts w:hint="default" w:ascii="Times New Roman" w:hAnsi="Times New Roman" w:cs="Times New Roman"/>
                    </w:rPr>
                  </w:pPr>
                  <w:r>
                    <w:rPr>
                      <w:rFonts w:hint="default" w:ascii="Times New Roman" w:hAnsi="Times New Roman" w:cs="Times New Roman"/>
                      <w:szCs w:val="21"/>
                    </w:rPr>
                    <w:t>符合</w:t>
                  </w:r>
                </w:p>
              </w:tc>
            </w:tr>
            <w:tr w14:paraId="4AC01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919" w:type="dxa"/>
                  <w:vMerge w:val="continue"/>
                  <w:vAlign w:val="center"/>
                </w:tcPr>
                <w:p w14:paraId="0BD328D6">
                  <w:pPr>
                    <w:jc w:val="center"/>
                    <w:rPr>
                      <w:rFonts w:hint="default" w:ascii="Times New Roman" w:hAnsi="Times New Roman" w:cs="Times New Roman"/>
                    </w:rPr>
                  </w:pPr>
                </w:p>
              </w:tc>
              <w:tc>
                <w:tcPr>
                  <w:tcW w:w="468" w:type="dxa"/>
                  <w:vAlign w:val="center"/>
                </w:tcPr>
                <w:p w14:paraId="3ED253BD">
                  <w:pPr>
                    <w:jc w:val="center"/>
                    <w:rPr>
                      <w:rFonts w:hint="default" w:ascii="Times New Roman" w:hAnsi="Times New Roman" w:cs="Times New Roman"/>
                    </w:rPr>
                  </w:pPr>
                  <w:r>
                    <w:rPr>
                      <w:rFonts w:hint="default" w:ascii="Times New Roman" w:hAnsi="Times New Roman" w:cs="Times New Roman"/>
                    </w:rPr>
                    <w:t>环境风险防控</w:t>
                  </w:r>
                </w:p>
              </w:tc>
              <w:tc>
                <w:tcPr>
                  <w:tcW w:w="2416" w:type="dxa"/>
                  <w:vAlign w:val="center"/>
                </w:tcPr>
                <w:p w14:paraId="25E343C4">
                  <w:pPr>
                    <w:rPr>
                      <w:rFonts w:hint="default" w:ascii="Times New Roman" w:hAnsi="Times New Roman" w:cs="Times New Roman"/>
                    </w:rPr>
                  </w:pPr>
                  <w:r>
                    <w:rPr>
                      <w:rFonts w:hint="default" w:ascii="Times New Roman" w:hAnsi="Times New Roman" w:cs="Times New Roman"/>
                    </w:rPr>
                    <w:t>强化生态环境应急管理。实施企业突发生态环境应急预案电子化备案，完成县级以上政府突发环境事件应急预案修编。完善区域和企业应急处置物资储备系统，结合新疆各地特征污染物的特性，加强应急物资储备及应急物资信息化建设，掌握社会应急物资储备动态信息，妥善应对各类突发生态环境事件。加强应急监测装备配置，定期开展应急演练，增强实战能力。</w:t>
                  </w:r>
                </w:p>
              </w:tc>
              <w:tc>
                <w:tcPr>
                  <w:tcW w:w="2456" w:type="dxa"/>
                  <w:vAlign w:val="center"/>
                </w:tcPr>
                <w:p w14:paraId="1AAB8255">
                  <w:pPr>
                    <w:rPr>
                      <w:rFonts w:hint="default" w:ascii="Times New Roman" w:hAnsi="Times New Roman" w:cs="Times New Roman"/>
                    </w:rPr>
                  </w:pPr>
                  <w:bookmarkStart w:id="28" w:name="OLE_LINK1"/>
                  <w:r>
                    <w:rPr>
                      <w:rFonts w:hint="default" w:ascii="Times New Roman" w:hAnsi="Times New Roman" w:cs="Times New Roman"/>
                    </w:rPr>
                    <w:t>本工程制定应急预案，对环境风险进行有效防治</w:t>
                  </w:r>
                  <w:r>
                    <w:rPr>
                      <w:rFonts w:hint="default" w:ascii="Times New Roman" w:hAnsi="Times New Roman" w:cs="Times New Roman"/>
                      <w:szCs w:val="21"/>
                    </w:rPr>
                    <w:t>。</w:t>
                  </w:r>
                  <w:bookmarkEnd w:id="28"/>
                </w:p>
              </w:tc>
              <w:tc>
                <w:tcPr>
                  <w:tcW w:w="694" w:type="dxa"/>
                  <w:vAlign w:val="center"/>
                </w:tcPr>
                <w:p w14:paraId="40B3BF56">
                  <w:pPr>
                    <w:jc w:val="center"/>
                    <w:rPr>
                      <w:rFonts w:hint="default" w:ascii="Times New Roman" w:hAnsi="Times New Roman" w:cs="Times New Roman"/>
                    </w:rPr>
                  </w:pPr>
                  <w:r>
                    <w:rPr>
                      <w:rFonts w:hint="default" w:ascii="Times New Roman" w:hAnsi="Times New Roman" w:cs="Times New Roman"/>
                      <w:szCs w:val="21"/>
                    </w:rPr>
                    <w:t>符合</w:t>
                  </w:r>
                </w:p>
              </w:tc>
            </w:tr>
            <w:tr w14:paraId="73EA1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919" w:type="dxa"/>
                  <w:vMerge w:val="continue"/>
                  <w:vAlign w:val="center"/>
                </w:tcPr>
                <w:p w14:paraId="45934EB5">
                  <w:pPr>
                    <w:jc w:val="center"/>
                    <w:rPr>
                      <w:rFonts w:hint="default" w:ascii="Times New Roman" w:hAnsi="Times New Roman" w:cs="Times New Roman"/>
                    </w:rPr>
                  </w:pPr>
                </w:p>
              </w:tc>
              <w:tc>
                <w:tcPr>
                  <w:tcW w:w="468" w:type="dxa"/>
                  <w:vAlign w:val="center"/>
                </w:tcPr>
                <w:p w14:paraId="3F3F6027">
                  <w:pPr>
                    <w:jc w:val="center"/>
                    <w:rPr>
                      <w:rFonts w:hint="default" w:ascii="Times New Roman" w:hAnsi="Times New Roman" w:cs="Times New Roman"/>
                    </w:rPr>
                  </w:pPr>
                  <w:r>
                    <w:rPr>
                      <w:rFonts w:hint="default" w:ascii="Times New Roman" w:hAnsi="Times New Roman" w:cs="Times New Roman"/>
                    </w:rPr>
                    <w:t>资源利用要求</w:t>
                  </w:r>
                </w:p>
              </w:tc>
              <w:tc>
                <w:tcPr>
                  <w:tcW w:w="2416" w:type="dxa"/>
                  <w:vAlign w:val="center"/>
                </w:tcPr>
                <w:p w14:paraId="7D588F4E">
                  <w:pPr>
                    <w:rPr>
                      <w:rFonts w:hint="default" w:ascii="Times New Roman" w:hAnsi="Times New Roman" w:cs="Times New Roman"/>
                    </w:rPr>
                  </w:pPr>
                  <w:r>
                    <w:rPr>
                      <w:rFonts w:hint="default" w:ascii="Times New Roman" w:hAnsi="Times New Roman" w:cs="Times New Roman"/>
                    </w:rPr>
                    <w:t>加强固体废物源头减量、资源化利用和无害化处置，最大限度减少填埋量。</w:t>
                  </w:r>
                </w:p>
              </w:tc>
              <w:tc>
                <w:tcPr>
                  <w:tcW w:w="2456" w:type="dxa"/>
                  <w:vAlign w:val="center"/>
                </w:tcPr>
                <w:p w14:paraId="497EAD0E">
                  <w:pPr>
                    <w:rPr>
                      <w:rFonts w:hint="default" w:ascii="Times New Roman" w:hAnsi="Times New Roman" w:cs="Times New Roman"/>
                    </w:rPr>
                  </w:pPr>
                  <w:r>
                    <w:rPr>
                      <w:rFonts w:hint="default" w:ascii="Times New Roman" w:hAnsi="Times New Roman" w:cs="Times New Roman"/>
                      <w:szCs w:val="21"/>
                    </w:rPr>
                    <w:t>本项目为输变电工程，运行期产生的危险废物数量较少，定期委托有处理资质的单位接收妥善处置。</w:t>
                  </w:r>
                </w:p>
              </w:tc>
              <w:tc>
                <w:tcPr>
                  <w:tcW w:w="694" w:type="dxa"/>
                  <w:vAlign w:val="center"/>
                </w:tcPr>
                <w:p w14:paraId="1BC1C688">
                  <w:pPr>
                    <w:jc w:val="center"/>
                    <w:rPr>
                      <w:rFonts w:hint="default" w:ascii="Times New Roman" w:hAnsi="Times New Roman" w:cs="Times New Roman"/>
                    </w:rPr>
                  </w:pPr>
                  <w:r>
                    <w:rPr>
                      <w:rFonts w:hint="default" w:ascii="Times New Roman" w:hAnsi="Times New Roman" w:cs="Times New Roman"/>
                      <w:szCs w:val="21"/>
                    </w:rPr>
                    <w:t>符合</w:t>
                  </w:r>
                </w:p>
              </w:tc>
            </w:tr>
            <w:bookmarkEnd w:id="24"/>
          </w:tbl>
          <w:p w14:paraId="184686B8">
            <w:pPr>
              <w:widowControl/>
              <w:spacing w:line="480" w:lineRule="exact"/>
              <w:ind w:firstLine="484" w:firstLineChars="200"/>
              <w:rPr>
                <w:rFonts w:hint="default" w:ascii="Times New Roman" w:hAnsi="Times New Roman" w:cs="Times New Roman"/>
                <w:sz w:val="24"/>
              </w:rPr>
            </w:pPr>
            <w:bookmarkStart w:id="29" w:name="_Hlk210824278"/>
            <w:r>
              <w:rPr>
                <w:rFonts w:hint="default" w:ascii="Times New Roman" w:hAnsi="Times New Roman" w:cs="Times New Roman"/>
                <w:spacing w:val="1"/>
                <w:sz w:val="24"/>
                <w:szCs w:val="21"/>
              </w:rPr>
              <w:t>综上所述，本项目建设符合新疆维吾尔自治区生态环境分区管控方案要求。</w:t>
            </w:r>
          </w:p>
          <w:p w14:paraId="7790DAD3">
            <w:pPr>
              <w:widowControl/>
              <w:spacing w:line="480" w:lineRule="exact"/>
              <w:ind w:firstLine="480" w:firstLineChars="200"/>
              <w:rPr>
                <w:rFonts w:hint="default" w:ascii="Times New Roman" w:hAnsi="Times New Roman" w:cs="Times New Roman"/>
                <w:sz w:val="24"/>
              </w:rPr>
            </w:pPr>
            <w:r>
              <w:rPr>
                <w:rFonts w:hint="default" w:ascii="Times New Roman" w:hAnsi="Times New Roman" w:cs="Times New Roman"/>
                <w:sz w:val="24"/>
              </w:rPr>
              <w:t>（2）与</w:t>
            </w:r>
            <w:r>
              <w:rPr>
                <w:rFonts w:hint="default" w:ascii="Times New Roman" w:hAnsi="Times New Roman" w:cs="Times New Roman"/>
                <w:sz w:val="24"/>
                <w:lang w:val="en-US" w:eastAsia="zh-CN"/>
              </w:rPr>
              <w:t>《关于印发巴音郭楞蒙古自治州“三线一单”生态环境分区管控动态更新成果（2023年）的通知》（巴政办发〔2024〕32号）</w:t>
            </w:r>
            <w:r>
              <w:rPr>
                <w:rFonts w:hint="default" w:ascii="Times New Roman" w:hAnsi="Times New Roman" w:cs="Times New Roman"/>
                <w:sz w:val="24"/>
              </w:rPr>
              <w:t>符合性分析</w:t>
            </w:r>
          </w:p>
          <w:p w14:paraId="0B27D0B5">
            <w:pPr>
              <w:widowControl/>
              <w:spacing w:line="480" w:lineRule="exact"/>
              <w:ind w:firstLine="480" w:firstLineChars="200"/>
              <w:rPr>
                <w:rFonts w:hint="default" w:ascii="Times New Roman" w:hAnsi="Times New Roman" w:cs="Times New Roman"/>
                <w:sz w:val="24"/>
              </w:rPr>
            </w:pPr>
            <w:bookmarkStart w:id="30" w:name="OLE_LINK29"/>
            <w:r>
              <w:rPr>
                <w:rFonts w:hint="default" w:ascii="Times New Roman" w:hAnsi="Times New Roman" w:cs="Times New Roman"/>
                <w:sz w:val="24"/>
              </w:rPr>
              <w:t>本工程与</w:t>
            </w:r>
            <w:bookmarkEnd w:id="30"/>
            <w:r>
              <w:rPr>
                <w:rFonts w:hint="default" w:ascii="Times New Roman" w:hAnsi="Times New Roman" w:eastAsia="宋体" w:cs="Times New Roman"/>
                <w:color w:val="auto"/>
                <w:sz w:val="24"/>
                <w:szCs w:val="24"/>
                <w:highlight w:val="none"/>
                <w:lang w:val="en-US" w:eastAsia="zh-CN"/>
              </w:rPr>
              <w:t>《关于印发巴音郭楞蒙古自治州“三线一单”生态环境分区管控动态更新成果（2023年）的通知》（巴政办发〔2024〕32号）</w:t>
            </w:r>
            <w:r>
              <w:rPr>
                <w:rFonts w:hint="default" w:ascii="Times New Roman" w:hAnsi="Times New Roman" w:cs="Times New Roman"/>
                <w:sz w:val="24"/>
              </w:rPr>
              <w:t>的符合性分析，见表1-</w:t>
            </w:r>
            <w:r>
              <w:rPr>
                <w:rFonts w:hint="default" w:ascii="Times New Roman" w:hAnsi="Times New Roman" w:cs="Times New Roman"/>
                <w:sz w:val="24"/>
                <w:lang w:val="en-US" w:eastAsia="zh-CN"/>
              </w:rPr>
              <w:t>3</w:t>
            </w:r>
            <w:r>
              <w:rPr>
                <w:rFonts w:hint="default" w:ascii="Times New Roman" w:hAnsi="Times New Roman" w:cs="Times New Roman"/>
                <w:sz w:val="24"/>
              </w:rPr>
              <w:t>。</w:t>
            </w:r>
          </w:p>
          <w:bookmarkEnd w:id="29"/>
          <w:p w14:paraId="50EEC673">
            <w:pPr>
              <w:pStyle w:val="209"/>
              <w:keepNext w:val="0"/>
              <w:keepLines w:val="0"/>
              <w:pageBreakBefore w:val="0"/>
              <w:widowControl w:val="0"/>
              <w:kinsoku/>
              <w:wordWrap/>
              <w:overflowPunct/>
              <w:topLinePunct w:val="0"/>
              <w:autoSpaceDE/>
              <w:autoSpaceDN/>
              <w:bidi w:val="0"/>
              <w:adjustRightInd/>
              <w:snapToGrid/>
              <w:spacing w:beforeLines="0" w:line="240" w:lineRule="auto"/>
              <w:textAlignment w:val="auto"/>
              <w:rPr>
                <w:rFonts w:hint="default" w:ascii="Times New Roman" w:hAnsi="Times New Roman" w:eastAsia="黑体" w:cs="Times New Roman"/>
                <w:smallCaps w:val="0"/>
                <w:snapToGrid w:val="0"/>
                <w:color w:val="auto"/>
                <w:spacing w:val="0"/>
                <w:w w:val="100"/>
                <w:kern w:val="0"/>
                <w:position w:val="0"/>
                <w:sz w:val="21"/>
                <w:szCs w:val="21"/>
                <w:highlight w:val="none"/>
                <w:lang w:val="en-US" w:eastAsia="zh-CN"/>
              </w:rPr>
            </w:pPr>
            <w:r>
              <w:rPr>
                <w:rFonts w:hint="default" w:ascii="Times New Roman" w:hAnsi="Times New Roman" w:eastAsia="黑体" w:cs="Times New Roman"/>
                <w:smallCaps w:val="0"/>
                <w:snapToGrid w:val="0"/>
                <w:color w:val="auto"/>
                <w:spacing w:val="0"/>
                <w:w w:val="100"/>
                <w:kern w:val="0"/>
                <w:position w:val="0"/>
                <w:sz w:val="21"/>
                <w:szCs w:val="21"/>
                <w:highlight w:val="none"/>
                <w:lang w:val="en-US" w:eastAsia="zh-CN"/>
              </w:rPr>
              <w:t>表1-</w:t>
            </w:r>
            <w:r>
              <w:rPr>
                <w:rFonts w:hint="default" w:ascii="Times New Roman" w:hAnsi="Times New Roman" w:cs="Times New Roman"/>
                <w:smallCaps w:val="0"/>
                <w:snapToGrid w:val="0"/>
                <w:color w:val="auto"/>
                <w:spacing w:val="0"/>
                <w:w w:val="100"/>
                <w:kern w:val="0"/>
                <w:position w:val="0"/>
                <w:sz w:val="21"/>
                <w:szCs w:val="21"/>
                <w:highlight w:val="none"/>
                <w:lang w:val="en-US" w:eastAsia="zh-CN"/>
              </w:rPr>
              <w:t xml:space="preserve">3 </w:t>
            </w:r>
            <w:r>
              <w:rPr>
                <w:rFonts w:hint="default" w:ascii="Times New Roman" w:hAnsi="Times New Roman" w:eastAsia="黑体" w:cs="Times New Roman"/>
                <w:smallCaps w:val="0"/>
                <w:snapToGrid w:val="0"/>
                <w:color w:val="auto"/>
                <w:spacing w:val="0"/>
                <w:w w:val="100"/>
                <w:kern w:val="0"/>
                <w:position w:val="0"/>
                <w:sz w:val="21"/>
                <w:szCs w:val="21"/>
                <w:highlight w:val="none"/>
                <w:lang w:val="en-US" w:eastAsia="zh-CN"/>
              </w:rPr>
              <w:t>与《关于印发巴音郭楞蒙古自治州“三线一单”生态环境分区管控动态更新成果（2023年）的通知》符合性分析</w:t>
            </w:r>
          </w:p>
          <w:tbl>
            <w:tblPr>
              <w:tblStyle w:val="43"/>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28" w:type="dxa"/>
                <w:bottom w:w="0" w:type="dxa"/>
                <w:right w:w="28" w:type="dxa"/>
              </w:tblCellMar>
            </w:tblPr>
            <w:tblGrid>
              <w:gridCol w:w="1585"/>
              <w:gridCol w:w="266"/>
              <w:gridCol w:w="3205"/>
              <w:gridCol w:w="1965"/>
              <w:gridCol w:w="267"/>
            </w:tblGrid>
            <w:tr w14:paraId="4ECFE1A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73" w:type="pct"/>
                  <w:tcBorders>
                    <w:tl2br w:val="nil"/>
                    <w:tr2bl w:val="nil"/>
                  </w:tcBorders>
                  <w:noWrap w:val="0"/>
                  <w:vAlign w:val="center"/>
                </w:tcPr>
                <w:p w14:paraId="76A7EC00">
                  <w:pPr>
                    <w:pStyle w:val="210"/>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管控单元</w:t>
                  </w:r>
                </w:p>
              </w:tc>
              <w:tc>
                <w:tcPr>
                  <w:tcW w:w="2942" w:type="pct"/>
                  <w:gridSpan w:val="2"/>
                  <w:tcBorders>
                    <w:tl2br w:val="nil"/>
                    <w:tr2bl w:val="nil"/>
                  </w:tcBorders>
                  <w:noWrap w:val="0"/>
                  <w:vAlign w:val="center"/>
                </w:tcPr>
                <w:p w14:paraId="20BF2C62">
                  <w:pPr>
                    <w:pStyle w:val="210"/>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管控要求</w:t>
                  </w:r>
                </w:p>
              </w:tc>
              <w:tc>
                <w:tcPr>
                  <w:tcW w:w="1236" w:type="pct"/>
                  <w:tcBorders>
                    <w:tl2br w:val="nil"/>
                    <w:tr2bl w:val="nil"/>
                  </w:tcBorders>
                  <w:noWrap w:val="0"/>
                  <w:vAlign w:val="center"/>
                </w:tcPr>
                <w:p w14:paraId="23FF9B92">
                  <w:pPr>
                    <w:pStyle w:val="210"/>
                    <w:rPr>
                      <w:rFonts w:hint="default" w:ascii="Times New Roman" w:hAnsi="Times New Roman" w:eastAsia="宋体" w:cs="Times New Roman"/>
                      <w:b/>
                      <w:bCs/>
                      <w:color w:val="auto"/>
                      <w:sz w:val="21"/>
                      <w:szCs w:val="21"/>
                      <w:highlight w:val="none"/>
                      <w:lang w:eastAsia="zh-CN"/>
                    </w:rPr>
                  </w:pPr>
                  <w:r>
                    <w:rPr>
                      <w:rFonts w:hint="default" w:ascii="Times New Roman" w:hAnsi="Times New Roman" w:eastAsia="宋体" w:cs="Times New Roman"/>
                      <w:b/>
                      <w:bCs/>
                      <w:color w:val="auto"/>
                      <w:sz w:val="21"/>
                      <w:szCs w:val="21"/>
                      <w:highlight w:val="none"/>
                    </w:rPr>
                    <w:t>本</w:t>
                  </w:r>
                  <w:r>
                    <w:rPr>
                      <w:rFonts w:hint="default" w:ascii="Times New Roman" w:hAnsi="Times New Roman" w:cs="Times New Roman"/>
                      <w:b/>
                      <w:bCs/>
                      <w:color w:val="auto"/>
                      <w:sz w:val="21"/>
                      <w:szCs w:val="21"/>
                      <w:highlight w:val="none"/>
                      <w:lang w:val="en-US" w:eastAsia="zh-CN"/>
                    </w:rPr>
                    <w:t>规划</w:t>
                  </w:r>
                </w:p>
              </w:tc>
              <w:tc>
                <w:tcPr>
                  <w:tcW w:w="247" w:type="pct"/>
                  <w:tcBorders>
                    <w:tl2br w:val="nil"/>
                    <w:tr2bl w:val="nil"/>
                  </w:tcBorders>
                  <w:noWrap w:val="0"/>
                  <w:vAlign w:val="center"/>
                </w:tcPr>
                <w:p w14:paraId="70FB6390">
                  <w:pPr>
                    <w:pStyle w:val="210"/>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符合性</w:t>
                  </w:r>
                </w:p>
              </w:tc>
            </w:tr>
            <w:tr w14:paraId="717937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73" w:type="pct"/>
                  <w:vMerge w:val="restart"/>
                  <w:tcBorders>
                    <w:tl2br w:val="nil"/>
                    <w:tr2bl w:val="nil"/>
                  </w:tcBorders>
                  <w:noWrap w:val="0"/>
                  <w:vAlign w:val="center"/>
                </w:tcPr>
                <w:p w14:paraId="7249AEBA">
                  <w:pPr>
                    <w:pStyle w:val="210"/>
                    <w:rPr>
                      <w:rFonts w:hint="default" w:ascii="Times New Roman" w:hAnsi="Times New Roman" w:eastAsia="宋体" w:cs="Times New Roman"/>
                      <w:b/>
                      <w:bCs/>
                      <w:color w:val="auto"/>
                      <w:sz w:val="21"/>
                      <w:szCs w:val="21"/>
                      <w:highlight w:val="none"/>
                    </w:rPr>
                  </w:pPr>
                  <w:r>
                    <w:rPr>
                      <w:rFonts w:hint="default" w:ascii="Times New Roman" w:hAnsi="Times New Roman" w:cs="Times New Roman"/>
                      <w:b/>
                      <w:bCs/>
                      <w:color w:val="auto"/>
                      <w:sz w:val="21"/>
                      <w:szCs w:val="21"/>
                      <w:highlight w:val="none"/>
                      <w:lang w:val="en-US" w:eastAsia="zh-CN"/>
                    </w:rPr>
                    <w:t>巴州</w:t>
                  </w:r>
                  <w:r>
                    <w:rPr>
                      <w:rFonts w:hint="default" w:ascii="Times New Roman" w:hAnsi="Times New Roman" w:eastAsia="宋体" w:cs="Times New Roman"/>
                      <w:b/>
                      <w:bCs/>
                      <w:color w:val="auto"/>
                      <w:sz w:val="21"/>
                      <w:szCs w:val="21"/>
                      <w:highlight w:val="none"/>
                    </w:rPr>
                    <w:t>总体管控</w:t>
                  </w:r>
                </w:p>
                <w:p w14:paraId="15DDA4AD">
                  <w:pPr>
                    <w:pStyle w:val="21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bCs/>
                      <w:color w:val="auto"/>
                      <w:sz w:val="21"/>
                      <w:szCs w:val="21"/>
                      <w:highlight w:val="none"/>
                    </w:rPr>
                    <w:t>要求</w:t>
                  </w:r>
                </w:p>
              </w:tc>
              <w:tc>
                <w:tcPr>
                  <w:tcW w:w="390" w:type="pct"/>
                  <w:tcBorders>
                    <w:tl2br w:val="nil"/>
                    <w:tr2bl w:val="nil"/>
                  </w:tcBorders>
                  <w:noWrap w:val="0"/>
                  <w:vAlign w:val="center"/>
                </w:tcPr>
                <w:p w14:paraId="4B753EB3">
                  <w:pPr>
                    <w:pStyle w:val="21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空间布局</w:t>
                  </w:r>
                </w:p>
                <w:p w14:paraId="4AD62C6B">
                  <w:pPr>
                    <w:pStyle w:val="21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约束</w:t>
                  </w:r>
                </w:p>
              </w:tc>
              <w:tc>
                <w:tcPr>
                  <w:tcW w:w="2551" w:type="pct"/>
                  <w:tcBorders>
                    <w:tl2br w:val="nil"/>
                    <w:tr2bl w:val="nil"/>
                  </w:tcBorders>
                  <w:noWrap w:val="0"/>
                  <w:vAlign w:val="center"/>
                </w:tcPr>
                <w:p w14:paraId="5281B368">
                  <w:pPr>
                    <w:pStyle w:val="211"/>
                    <w:ind w:left="12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空间布局约束共有3</w:t>
                  </w:r>
                  <w:r>
                    <w:rPr>
                      <w:rFonts w:hint="default" w:ascii="Times New Roman" w:hAnsi="Times New Roman" w:cs="Times New Roman"/>
                      <w:color w:val="auto"/>
                      <w:sz w:val="21"/>
                      <w:szCs w:val="21"/>
                      <w:highlight w:val="none"/>
                      <w:lang w:val="en-US" w:eastAsia="zh-CN"/>
                    </w:rPr>
                    <w:t>4</w:t>
                  </w:r>
                  <w:r>
                    <w:rPr>
                      <w:rFonts w:hint="default" w:ascii="Times New Roman" w:hAnsi="Times New Roman" w:eastAsia="宋体" w:cs="Times New Roman"/>
                      <w:color w:val="auto"/>
                      <w:sz w:val="21"/>
                      <w:szCs w:val="21"/>
                      <w:highlight w:val="none"/>
                    </w:rPr>
                    <w:t>条要求</w:t>
                  </w:r>
                </w:p>
                <w:p w14:paraId="509C93D7">
                  <w:pPr>
                    <w:pStyle w:val="211"/>
                    <w:ind w:left="120"/>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主要规范了敏感区域生态环境保护措施：人口集中地区，水源保护区，水源保护区，开都—孔雀河流域，基本农田，生态保护红线，沙漠边缘地带、林地、草原垦荒，水源涵养区，自然保护区、风景名胜区，国家湿地公园，国家级森林公园、国家沙漠公园、天山自然遗产地生态保护措施</w:t>
                  </w:r>
                  <w:r>
                    <w:rPr>
                      <w:rFonts w:hint="default" w:ascii="Times New Roman" w:hAnsi="Times New Roman" w:eastAsia="宋体" w:cs="Times New Roman"/>
                      <w:color w:val="auto"/>
                      <w:sz w:val="21"/>
                      <w:szCs w:val="21"/>
                      <w:highlight w:val="none"/>
                      <w:lang w:eastAsia="zh-CN"/>
                    </w:rPr>
                    <w:t>；</w:t>
                  </w:r>
                </w:p>
                <w:p w14:paraId="7AE2213B">
                  <w:pPr>
                    <w:pStyle w:val="211"/>
                    <w:ind w:left="12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其中与项目有关的主要有以下</w:t>
                  </w:r>
                  <w:r>
                    <w:rPr>
                      <w:rFonts w:hint="default" w:ascii="Times New Roman" w:hAnsi="Times New Roman" w:cs="Times New Roman"/>
                      <w:color w:val="auto"/>
                      <w:sz w:val="21"/>
                      <w:szCs w:val="21"/>
                      <w:highlight w:val="none"/>
                      <w:lang w:val="en-US" w:eastAsia="zh-CN"/>
                    </w:rPr>
                    <w:t>5</w:t>
                  </w:r>
                  <w:r>
                    <w:rPr>
                      <w:rFonts w:hint="default" w:ascii="Times New Roman" w:hAnsi="Times New Roman" w:eastAsia="宋体" w:cs="Times New Roman"/>
                      <w:color w:val="auto"/>
                      <w:sz w:val="21"/>
                      <w:szCs w:val="21"/>
                      <w:highlight w:val="none"/>
                    </w:rPr>
                    <w:t>条（原文）如下：</w:t>
                  </w:r>
                </w:p>
                <w:p w14:paraId="27C306CD">
                  <w:pPr>
                    <w:pStyle w:val="211"/>
                    <w:ind w:left="12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1.4禁止在自治州行政区域内引进能（水）耗不符合相关国家标准中准入值要求，且污染物排放和环境风险防控不符合国家（地方）标准及有关产业准入条件的高污染（排放）、高能（水）耗、高环境风险的工业项目。</w:t>
                  </w:r>
                </w:p>
                <w:p w14:paraId="6EE0AFC9">
                  <w:pPr>
                    <w:pStyle w:val="211"/>
                    <w:ind w:left="12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1.5禁止新建、改建、扩建严重污染大气环境的项目。</w:t>
                  </w:r>
                </w:p>
                <w:p w14:paraId="6B701FF8">
                  <w:pPr>
                    <w:pStyle w:val="211"/>
                    <w:ind w:left="120"/>
                    <w:rPr>
                      <w:rFonts w:hint="default" w:ascii="Times New Roman" w:hAnsi="Times New Roman" w:eastAsia="宋体" w:cs="Times New Roman"/>
                      <w:color w:val="auto"/>
                      <w:sz w:val="21"/>
                      <w:szCs w:val="21"/>
                      <w:highlight w:val="none"/>
                    </w:rPr>
                  </w:pPr>
                  <w:r>
                    <w:rPr>
                      <w:rFonts w:hint="default" w:ascii="Times New Roman" w:hAnsi="Times New Roman" w:eastAsia="Times New Roman" w:cs="Times New Roman"/>
                      <w:color w:val="auto"/>
                      <w:spacing w:val="9"/>
                      <w:highlight w:val="none"/>
                    </w:rPr>
                    <w:t>1.7</w:t>
                  </w:r>
                  <w:r>
                    <w:rPr>
                      <w:rFonts w:hint="default" w:ascii="Times New Roman" w:hAnsi="Times New Roman" w:cs="Times New Roman"/>
                      <w:color w:val="auto"/>
                      <w:spacing w:val="9"/>
                      <w:highlight w:val="none"/>
                    </w:rPr>
                    <w:t>开都</w:t>
                  </w:r>
                  <w:r>
                    <w:rPr>
                      <w:rFonts w:hint="default" w:ascii="Times New Roman" w:hAnsi="Times New Roman" w:eastAsia="Times New Roman" w:cs="Times New Roman"/>
                      <w:color w:val="auto"/>
                      <w:spacing w:val="9"/>
                      <w:highlight w:val="none"/>
                    </w:rPr>
                    <w:t>-</w:t>
                  </w:r>
                  <w:r>
                    <w:rPr>
                      <w:rFonts w:hint="default" w:ascii="Times New Roman" w:hAnsi="Times New Roman" w:cs="Times New Roman"/>
                      <w:color w:val="auto"/>
                      <w:spacing w:val="9"/>
                      <w:highlight w:val="none"/>
                    </w:rPr>
                    <w:t>孔雀河流域、塔里木河流</w:t>
                  </w:r>
                  <w:r>
                    <w:rPr>
                      <w:rFonts w:hint="default" w:ascii="Times New Roman" w:hAnsi="Times New Roman" w:cs="Times New Roman"/>
                      <w:color w:val="auto"/>
                      <w:spacing w:val="8"/>
                      <w:highlight w:val="none"/>
                    </w:rPr>
                    <w:t>域沿岸，要严格控制石油加工、化学原料和化学制品制造、医药制造、化学纤维制造、有色金属冶炼、纺织</w:t>
                  </w:r>
                  <w:r>
                    <w:rPr>
                      <w:rFonts w:hint="default" w:ascii="Times New Roman" w:hAnsi="Times New Roman" w:cs="Times New Roman"/>
                      <w:color w:val="auto"/>
                      <w:spacing w:val="9"/>
                      <w:highlight w:val="none"/>
                    </w:rPr>
                    <w:t>印染等项目环境风险，合理布局生产装置及危险化学</w:t>
                  </w:r>
                  <w:r>
                    <w:rPr>
                      <w:rFonts w:hint="default" w:ascii="Times New Roman" w:hAnsi="Times New Roman" w:cs="Times New Roman"/>
                      <w:color w:val="auto"/>
                      <w:spacing w:val="8"/>
                      <w:highlight w:val="none"/>
                    </w:rPr>
                    <w:t>品仓储等设施。</w:t>
                  </w:r>
                </w:p>
                <w:p w14:paraId="1225BF32">
                  <w:pPr>
                    <w:pStyle w:val="211"/>
                    <w:ind w:left="12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1.11强化空间布局管控。严格执行相关行业企业布局选址要求，禁止在居民区、学校、医疗和养老机构等周边新建土壤环境重点监管行业企业；结合推进新型城镇化、产业结构调整和化解过剩产能等，有序搬迁或依法关闭对土壤造成严重污染的现有企业。结合区域功能定位和土壤污染防治需要，科学布局生活垃圾处理、危险废物处置、废旧资源再生利用等设施和场所，合理确定畜禽养殖布局和规模。</w:t>
                  </w:r>
                </w:p>
                <w:p w14:paraId="29E84555">
                  <w:pPr>
                    <w:pStyle w:val="211"/>
                    <w:ind w:left="12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1.18主体功能区实行更加严格的产业准入标准。严格限制区内“两高一资”产业落地，禁止高水资源消耗产业在水源涵养生态功能区布局，限制土地资源高消耗产业在水土保持生态功能区发展，降低防风固沙生态功能区的农牧业开发强度，禁止</w:t>
                  </w:r>
                  <w:r>
                    <w:rPr>
                      <w:rFonts w:hint="default" w:ascii="Times New Roman" w:hAnsi="Times New Roman" w:cs="Times New Roman"/>
                      <w:color w:val="auto"/>
                      <w:sz w:val="21"/>
                      <w:szCs w:val="21"/>
                      <w:highlight w:val="none"/>
                      <w:lang w:eastAsia="zh-CN"/>
                    </w:rPr>
                    <w:t>生物多样性保护</w:t>
                  </w:r>
                  <w:r>
                    <w:rPr>
                      <w:rFonts w:hint="default" w:ascii="Times New Roman" w:hAnsi="Times New Roman" w:eastAsia="宋体" w:cs="Times New Roman"/>
                      <w:color w:val="auto"/>
                      <w:sz w:val="21"/>
                      <w:szCs w:val="21"/>
                      <w:highlight w:val="none"/>
                    </w:rPr>
                    <w:t>生态功能区的大规模水电开发和林纸一体化产业发展。</w:t>
                  </w:r>
                </w:p>
              </w:tc>
              <w:tc>
                <w:tcPr>
                  <w:tcW w:w="1236" w:type="pct"/>
                  <w:tcBorders>
                    <w:tl2br w:val="nil"/>
                    <w:tr2bl w:val="nil"/>
                  </w:tcBorders>
                  <w:noWrap w:val="0"/>
                  <w:vAlign w:val="center"/>
                </w:tcPr>
                <w:p w14:paraId="378ABCF5">
                  <w:pPr>
                    <w:keepNext w:val="0"/>
                    <w:keepLines w:val="0"/>
                    <w:pageBreakBefore w:val="0"/>
                    <w:widowControl/>
                    <w:suppressLineNumbers w:val="0"/>
                    <w:kinsoku w:val="0"/>
                    <w:wordWrap/>
                    <w:overflowPunct/>
                    <w:topLinePunct w:val="0"/>
                    <w:autoSpaceDE w:val="0"/>
                    <w:autoSpaceDN w:val="0"/>
                    <w:bidi w:val="0"/>
                    <w:adjustRightInd w:val="0"/>
                    <w:snapToGrid w:val="0"/>
                    <w:ind w:left="42" w:leftChars="20"/>
                    <w:jc w:val="both"/>
                    <w:textAlignment w:val="baseline"/>
                    <w:rPr>
                      <w:rFonts w:hint="default" w:ascii="Times New Roman" w:hAnsi="Times New Roman" w:eastAsia="宋体" w:cs="Times New Roman"/>
                      <w:snapToGrid/>
                      <w:color w:val="auto"/>
                      <w:kern w:val="0"/>
                      <w:sz w:val="21"/>
                      <w:szCs w:val="21"/>
                      <w:highlight w:val="none"/>
                      <w:lang w:val="en-US" w:eastAsia="zh-CN" w:bidi="ar-SA"/>
                    </w:rPr>
                  </w:pPr>
                  <w:r>
                    <w:rPr>
                      <w:rFonts w:hint="default" w:ascii="Times New Roman" w:hAnsi="Times New Roman" w:eastAsia="宋体" w:cs="Times New Roman"/>
                      <w:snapToGrid/>
                      <w:color w:val="auto"/>
                      <w:kern w:val="0"/>
                      <w:sz w:val="21"/>
                      <w:szCs w:val="21"/>
                      <w:highlight w:val="none"/>
                      <w:lang w:val="en-US" w:eastAsia="zh-CN" w:bidi="ar-SA"/>
                    </w:rPr>
                    <w:t>1.本项目不涉及环境敏感区。</w:t>
                  </w:r>
                </w:p>
                <w:p w14:paraId="5AE8B0B1">
                  <w:pPr>
                    <w:pStyle w:val="211"/>
                    <w:keepNext w:val="0"/>
                    <w:keepLines w:val="0"/>
                    <w:pageBreakBefore w:val="0"/>
                    <w:widowControl/>
                    <w:wordWrap/>
                    <w:overflowPunct/>
                    <w:topLinePunct w:val="0"/>
                    <w:bidi w:val="0"/>
                    <w:adjustRightInd w:val="0"/>
                    <w:snapToGrid w:val="0"/>
                    <w:ind w:left="42" w:leftChars="20"/>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2.本项目属于“鼓励类”项目，不属于“两高”项目，不属于高水耗项目。</w:t>
                  </w:r>
                </w:p>
                <w:p w14:paraId="28912A51">
                  <w:pPr>
                    <w:pStyle w:val="211"/>
                    <w:ind w:left="120"/>
                    <w:rPr>
                      <w:rFonts w:hint="default" w:ascii="Times New Roman" w:hAnsi="Times New Roman" w:cs="Times New Roman"/>
                      <w:color w:val="auto"/>
                      <w:szCs w:val="21"/>
                      <w:highlight w:val="none"/>
                      <w:lang w:val="en-US"/>
                    </w:rPr>
                  </w:pPr>
                  <w:r>
                    <w:rPr>
                      <w:rFonts w:hint="default" w:ascii="Times New Roman" w:hAnsi="Times New Roman" w:cs="Times New Roman"/>
                      <w:color w:val="auto"/>
                      <w:sz w:val="21"/>
                      <w:szCs w:val="21"/>
                      <w:highlight w:val="none"/>
                      <w:lang w:val="en-US" w:eastAsia="zh-CN"/>
                    </w:rPr>
                    <w:t>3.本项目从源头上控制产生的固体废弃物，进行全过程监控，生活垃圾合理处置，危险废物严格按照《危险废物收集 贮存 运输技术规范》进行处置。</w:t>
                  </w:r>
                </w:p>
                <w:p w14:paraId="629B598C">
                  <w:pPr>
                    <w:pStyle w:val="211"/>
                    <w:ind w:left="120"/>
                    <w:rPr>
                      <w:rFonts w:hint="default" w:ascii="Times New Roman" w:hAnsi="Times New Roman" w:cs="Times New Roman"/>
                      <w:color w:val="auto"/>
                      <w:szCs w:val="21"/>
                      <w:highlight w:val="none"/>
                      <w:lang w:val="en-US" w:eastAsia="zh-CN"/>
                    </w:rPr>
                  </w:pPr>
                </w:p>
              </w:tc>
              <w:tc>
                <w:tcPr>
                  <w:tcW w:w="247" w:type="pct"/>
                  <w:tcBorders>
                    <w:tl2br w:val="nil"/>
                    <w:tr2bl w:val="nil"/>
                  </w:tcBorders>
                  <w:noWrap w:val="0"/>
                  <w:vAlign w:val="center"/>
                </w:tcPr>
                <w:p w14:paraId="16646DE5">
                  <w:pPr>
                    <w:pStyle w:val="21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符合</w:t>
                  </w:r>
                </w:p>
              </w:tc>
            </w:tr>
            <w:tr w14:paraId="67C0B3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73" w:type="pct"/>
                  <w:vMerge w:val="continue"/>
                  <w:tcBorders>
                    <w:tl2br w:val="nil"/>
                    <w:tr2bl w:val="nil"/>
                  </w:tcBorders>
                  <w:noWrap w:val="0"/>
                  <w:vAlign w:val="center"/>
                </w:tcPr>
                <w:p w14:paraId="3D5D4997">
                  <w:pPr>
                    <w:pStyle w:val="210"/>
                    <w:rPr>
                      <w:rFonts w:hint="default" w:ascii="Times New Roman" w:hAnsi="Times New Roman" w:eastAsia="宋体" w:cs="Times New Roman"/>
                      <w:color w:val="auto"/>
                      <w:sz w:val="21"/>
                      <w:szCs w:val="21"/>
                      <w:highlight w:val="none"/>
                    </w:rPr>
                  </w:pPr>
                </w:p>
              </w:tc>
              <w:tc>
                <w:tcPr>
                  <w:tcW w:w="390" w:type="pct"/>
                  <w:tcBorders>
                    <w:tl2br w:val="nil"/>
                    <w:tr2bl w:val="nil"/>
                  </w:tcBorders>
                  <w:noWrap w:val="0"/>
                  <w:vAlign w:val="center"/>
                </w:tcPr>
                <w:p w14:paraId="6AB12BB2">
                  <w:pPr>
                    <w:pStyle w:val="21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污染排放</w:t>
                  </w:r>
                </w:p>
                <w:p w14:paraId="352D0758">
                  <w:pPr>
                    <w:pStyle w:val="21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管控</w:t>
                  </w:r>
                </w:p>
              </w:tc>
              <w:tc>
                <w:tcPr>
                  <w:tcW w:w="2551" w:type="pct"/>
                  <w:tcBorders>
                    <w:tl2br w:val="nil"/>
                    <w:tr2bl w:val="nil"/>
                  </w:tcBorders>
                  <w:noWrap w:val="0"/>
                  <w:vAlign w:val="center"/>
                </w:tcPr>
                <w:p w14:paraId="0B2F999F">
                  <w:pPr>
                    <w:pStyle w:val="211"/>
                    <w:ind w:left="12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污染排放管控共20条</w:t>
                  </w:r>
                </w:p>
                <w:p w14:paraId="193F2B31">
                  <w:pPr>
                    <w:pStyle w:val="211"/>
                    <w:ind w:left="12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与本</w:t>
                  </w:r>
                  <w:r>
                    <w:rPr>
                      <w:rFonts w:hint="default" w:ascii="Times New Roman" w:hAnsi="Times New Roman" w:cs="Times New Roman"/>
                      <w:color w:val="auto"/>
                      <w:sz w:val="21"/>
                      <w:szCs w:val="21"/>
                      <w:highlight w:val="none"/>
                      <w:lang w:val="en-US" w:eastAsia="zh-CN"/>
                    </w:rPr>
                    <w:t>项目</w:t>
                  </w:r>
                  <w:r>
                    <w:rPr>
                      <w:rFonts w:hint="default" w:ascii="Times New Roman" w:hAnsi="Times New Roman" w:eastAsia="宋体" w:cs="Times New Roman"/>
                      <w:color w:val="auto"/>
                      <w:sz w:val="21"/>
                      <w:szCs w:val="21"/>
                      <w:highlight w:val="none"/>
                    </w:rPr>
                    <w:t>有关的要求主要有</w:t>
                  </w:r>
                  <w:r>
                    <w:rPr>
                      <w:rFonts w:hint="default" w:ascii="Times New Roman" w:hAnsi="Times New Roman" w:cs="Times New Roman"/>
                      <w:color w:val="auto"/>
                      <w:sz w:val="21"/>
                      <w:szCs w:val="21"/>
                      <w:highlight w:val="none"/>
                      <w:lang w:val="en-US" w:eastAsia="zh-CN"/>
                    </w:rPr>
                    <w:t>3</w:t>
                  </w:r>
                  <w:r>
                    <w:rPr>
                      <w:rFonts w:hint="default" w:ascii="Times New Roman" w:hAnsi="Times New Roman" w:eastAsia="宋体" w:cs="Times New Roman"/>
                      <w:color w:val="auto"/>
                      <w:sz w:val="21"/>
                      <w:szCs w:val="21"/>
                      <w:highlight w:val="none"/>
                    </w:rPr>
                    <w:t>条：</w:t>
                  </w:r>
                </w:p>
                <w:p w14:paraId="2A93D7EF">
                  <w:pPr>
                    <w:pStyle w:val="211"/>
                    <w:ind w:left="12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2.9所有排污单位必须依法实现全面达标排放。……，重点排污单位应按要求安装污染物在线监控设施，达标企业应采取措施确保稳定达标。</w:t>
                  </w:r>
                </w:p>
                <w:p w14:paraId="67D2CD1E">
                  <w:pPr>
                    <w:pStyle w:val="211"/>
                    <w:ind w:left="120"/>
                    <w:rPr>
                      <w:rFonts w:hint="default" w:ascii="Times New Roman" w:hAnsi="Times New Roman"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val="en-US" w:eastAsia="zh-CN"/>
                    </w:rPr>
                    <w:t>2.10</w:t>
                  </w:r>
                  <w:r>
                    <w:rPr>
                      <w:rFonts w:hint="default" w:ascii="Times New Roman" w:hAnsi="Times New Roman" w:eastAsia="宋体" w:cs="Times New Roman"/>
                      <w:color w:val="auto"/>
                      <w:sz w:val="21"/>
                      <w:szCs w:val="21"/>
                      <w:highlight w:val="none"/>
                    </w:rPr>
                    <w:t>严格控制环境激素类化学品污染。完成环境激素类化学品生产使用情况调查，监控评估水源地、农产品种植区及水产品集中养殖区风险，实施环境激素类化学品淘汰、限制、替代等措施。严格控制持久性有机污染物排放，实施持久性有机污染物统计报表制度，对污染物和废弃物进行严格管理</w:t>
                  </w:r>
                  <w:r>
                    <w:rPr>
                      <w:rFonts w:hint="default" w:ascii="Times New Roman" w:hAnsi="Times New Roman" w:cs="Times New Roman"/>
                      <w:color w:val="auto"/>
                      <w:sz w:val="21"/>
                      <w:szCs w:val="21"/>
                      <w:highlight w:val="none"/>
                      <w:lang w:eastAsia="zh-CN"/>
                    </w:rPr>
                    <w:t>。</w:t>
                  </w:r>
                </w:p>
                <w:p w14:paraId="7E282412">
                  <w:pPr>
                    <w:pStyle w:val="211"/>
                    <w:ind w:left="120"/>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2.19防控企业污染。结合自治区、自治州耕地保护相关规定以及生态红线、耕地红线等要求，加强项目的立项、环评审核审批和节能评估审查等源头控制措施，严格控制在优先保护类耕地、园地、草地集中区域新建有色金属冶炼、石油加工、化工、焦化、电镀、制革、造纸及纸制品、金属制品、金属冶炼及延压加工、煤炭开采、黑色金属和有色金属矿采选业、非金属矿物采选业、危废治理等土壤环境监管重点行业项目。根据土壤详查结果，现有优先保护类耕地、园地、草地集中区域的相关企业，要制定升级改造计划，采用新技术、新工艺，加快提标升级改造步伐。</w:t>
                  </w:r>
                </w:p>
              </w:tc>
              <w:tc>
                <w:tcPr>
                  <w:tcW w:w="1236" w:type="pct"/>
                  <w:tcBorders>
                    <w:tl2br w:val="nil"/>
                    <w:tr2bl w:val="nil"/>
                  </w:tcBorders>
                  <w:noWrap w:val="0"/>
                  <w:vAlign w:val="center"/>
                </w:tcPr>
                <w:p w14:paraId="5119AB5D">
                  <w:pPr>
                    <w:pStyle w:val="211"/>
                    <w:ind w:left="120"/>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1.本项目为输变电工程，不属于水、气重点排污单位，无生产废水、工艺废气，无需安装水气在线监控；污染物可稳定达标。</w:t>
                  </w:r>
                </w:p>
                <w:p w14:paraId="05EF1CB7">
                  <w:pPr>
                    <w:pStyle w:val="211"/>
                    <w:ind w:left="120"/>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2.项目不生产、使用、排放环境激素类化学品、持久性有机污染物；废变压器油按危废规范管理，符合管控要求。</w:t>
                  </w:r>
                </w:p>
                <w:p w14:paraId="52EE9FEE">
                  <w:pPr>
                    <w:pStyle w:val="211"/>
                    <w:ind w:left="12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3.110kV变电站不属于条款所列土壤重点监管行业；选址避让优先保护类耕地、园地、草地集中区，落实源头环评审批管控。</w:t>
                  </w:r>
                </w:p>
              </w:tc>
              <w:tc>
                <w:tcPr>
                  <w:tcW w:w="247" w:type="pct"/>
                  <w:tcBorders>
                    <w:tl2br w:val="nil"/>
                    <w:tr2bl w:val="nil"/>
                  </w:tcBorders>
                  <w:noWrap w:val="0"/>
                  <w:vAlign w:val="center"/>
                </w:tcPr>
                <w:p w14:paraId="57CFF21D">
                  <w:pPr>
                    <w:pStyle w:val="21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符合</w:t>
                  </w:r>
                </w:p>
              </w:tc>
            </w:tr>
            <w:tr w14:paraId="1592EA3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73" w:type="pct"/>
                  <w:vMerge w:val="continue"/>
                  <w:tcBorders>
                    <w:tl2br w:val="nil"/>
                    <w:tr2bl w:val="nil"/>
                  </w:tcBorders>
                  <w:noWrap w:val="0"/>
                  <w:vAlign w:val="center"/>
                </w:tcPr>
                <w:p w14:paraId="03AEE92D">
                  <w:pPr>
                    <w:pStyle w:val="210"/>
                    <w:rPr>
                      <w:rFonts w:hint="default" w:ascii="Times New Roman" w:hAnsi="Times New Roman" w:eastAsia="宋体" w:cs="Times New Roman"/>
                      <w:color w:val="auto"/>
                      <w:sz w:val="21"/>
                      <w:szCs w:val="21"/>
                      <w:highlight w:val="none"/>
                    </w:rPr>
                  </w:pPr>
                </w:p>
              </w:tc>
              <w:tc>
                <w:tcPr>
                  <w:tcW w:w="390" w:type="pct"/>
                  <w:tcBorders>
                    <w:tl2br w:val="nil"/>
                    <w:tr2bl w:val="nil"/>
                  </w:tcBorders>
                  <w:noWrap w:val="0"/>
                  <w:vAlign w:val="center"/>
                </w:tcPr>
                <w:p w14:paraId="609E6036">
                  <w:pPr>
                    <w:pStyle w:val="21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环境风险</w:t>
                  </w:r>
                </w:p>
                <w:p w14:paraId="5FC4ADE2">
                  <w:pPr>
                    <w:pStyle w:val="21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防控</w:t>
                  </w:r>
                </w:p>
              </w:tc>
              <w:tc>
                <w:tcPr>
                  <w:tcW w:w="2551" w:type="pct"/>
                  <w:tcBorders>
                    <w:tl2br w:val="nil"/>
                    <w:tr2bl w:val="nil"/>
                  </w:tcBorders>
                  <w:noWrap w:val="0"/>
                  <w:vAlign w:val="center"/>
                </w:tcPr>
                <w:p w14:paraId="7084B482">
                  <w:pPr>
                    <w:pStyle w:val="211"/>
                    <w:ind w:left="12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iCs/>
                      <w:color w:val="auto"/>
                      <w:sz w:val="21"/>
                      <w:szCs w:val="21"/>
                      <w:highlight w:val="none"/>
                    </w:rPr>
                    <w:t>环境风险防控</w:t>
                  </w:r>
                  <w:r>
                    <w:rPr>
                      <w:rFonts w:hint="default" w:ascii="Times New Roman" w:hAnsi="Times New Roman" w:eastAsia="宋体" w:cs="Times New Roman"/>
                      <w:color w:val="auto"/>
                      <w:sz w:val="21"/>
                      <w:szCs w:val="21"/>
                      <w:highlight w:val="none"/>
                    </w:rPr>
                    <w:t>共12条</w:t>
                  </w:r>
                </w:p>
                <w:p w14:paraId="64AAC638">
                  <w:pPr>
                    <w:pStyle w:val="211"/>
                    <w:ind w:left="12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与本</w:t>
                  </w:r>
                  <w:r>
                    <w:rPr>
                      <w:rFonts w:hint="default" w:ascii="Times New Roman" w:hAnsi="Times New Roman" w:cs="Times New Roman"/>
                      <w:color w:val="auto"/>
                      <w:sz w:val="21"/>
                      <w:szCs w:val="21"/>
                      <w:highlight w:val="none"/>
                      <w:lang w:val="en-US" w:eastAsia="zh-CN"/>
                    </w:rPr>
                    <w:t>项目</w:t>
                  </w:r>
                  <w:r>
                    <w:rPr>
                      <w:rFonts w:hint="default" w:ascii="Times New Roman" w:hAnsi="Times New Roman" w:eastAsia="宋体" w:cs="Times New Roman"/>
                      <w:color w:val="auto"/>
                      <w:sz w:val="21"/>
                      <w:szCs w:val="21"/>
                      <w:highlight w:val="none"/>
                    </w:rPr>
                    <w:t>有关的主要有</w:t>
                  </w:r>
                  <w:r>
                    <w:rPr>
                      <w:rFonts w:hint="default" w:ascii="Times New Roman" w:hAnsi="Times New Roman" w:cs="Times New Roman"/>
                      <w:color w:val="auto"/>
                      <w:sz w:val="21"/>
                      <w:szCs w:val="21"/>
                      <w:highlight w:val="none"/>
                      <w:lang w:val="en-US" w:eastAsia="zh-CN"/>
                    </w:rPr>
                    <w:t>3</w:t>
                  </w:r>
                  <w:r>
                    <w:rPr>
                      <w:rFonts w:hint="default" w:ascii="Times New Roman" w:hAnsi="Times New Roman" w:eastAsia="宋体" w:cs="Times New Roman"/>
                      <w:color w:val="auto"/>
                      <w:sz w:val="21"/>
                      <w:szCs w:val="21"/>
                      <w:highlight w:val="none"/>
                    </w:rPr>
                    <w:t>条：</w:t>
                  </w:r>
                </w:p>
                <w:p w14:paraId="681F5DF3">
                  <w:pPr>
                    <w:pStyle w:val="211"/>
                    <w:ind w:left="12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3.10严格环境风险控制。防范环境风险。……加强预案管理，落实防控措施，排除水污染隐患。评估现有化学物质环境和健康风险，根据国家公布的优先控制化学品名录，对高风险化学品生产、使用进行严格限制，并逐步淘汰替代。</w:t>
                  </w:r>
                </w:p>
                <w:p w14:paraId="46842272">
                  <w:pPr>
                    <w:pStyle w:val="211"/>
                    <w:ind w:left="12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4.</w:t>
                  </w:r>
                  <w:r>
                    <w:rPr>
                      <w:rFonts w:hint="default" w:ascii="Times New Roman" w:hAnsi="Times New Roman"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lang w:val="en-US" w:eastAsia="zh-CN"/>
                    </w:rPr>
                    <w:t>推进循环发展。加强工业水循环利用。推进矿井水综合利用，煤炭矿区的补充用水、周边地区生产和生态用水应优先使用矿井水，加强洗煤废水循环利用。鼓励钢铁、纺织印染、造纸、石油石化、化工、制革等高耗水企业废水深度处理回用。</w:t>
                  </w:r>
                </w:p>
                <w:p w14:paraId="3147BA67">
                  <w:pPr>
                    <w:pStyle w:val="211"/>
                    <w:ind w:left="12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4.14抓好工业节水。依据国家鼓励和淘汰的用水技术、工艺、产品和设备目录，加大工业节水先进技术的推广应用，加快落后技术、设备的淘汰退出。研究制定一批工业节水地方标准，推动重点行业开展企业用水定额对标工作。开展节水诊断、水平衡测试、用水效率评估，严格取用水定额管理。以工业用水重复利用、热力和工艺系统节水、工业给水和废水处理等领域为重点，支持企业实施节水技术改造。</w:t>
                  </w:r>
                </w:p>
              </w:tc>
              <w:tc>
                <w:tcPr>
                  <w:tcW w:w="1236" w:type="pct"/>
                  <w:tcBorders>
                    <w:tl2br w:val="nil"/>
                    <w:tr2bl w:val="nil"/>
                  </w:tcBorders>
                  <w:noWrap w:val="0"/>
                  <w:vAlign w:val="center"/>
                </w:tcPr>
                <w:p w14:paraId="2F3674AE">
                  <w:pPr>
                    <w:pStyle w:val="211"/>
                    <w:keepNext w:val="0"/>
                    <w:keepLines w:val="0"/>
                    <w:pageBreakBefore w:val="0"/>
                    <w:widowControl/>
                    <w:numPr>
                      <w:ilvl w:val="0"/>
                      <w:numId w:val="0"/>
                    </w:numPr>
                    <w:kinsoku/>
                    <w:wordWrap/>
                    <w:overflowPunct/>
                    <w:topLinePunct w:val="0"/>
                    <w:autoSpaceDE/>
                    <w:autoSpaceDN/>
                    <w:bidi w:val="0"/>
                    <w:adjustRightInd w:val="0"/>
                    <w:snapToGrid w:val="0"/>
                    <w:ind w:left="42" w:leftChars="20" w:firstLine="0" w:firstLineChars="0"/>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cs="Times New Roman"/>
                      <w:color w:val="auto"/>
                      <w:sz w:val="21"/>
                      <w:szCs w:val="21"/>
                      <w:highlight w:val="none"/>
                      <w:lang w:val="en-US" w:eastAsia="zh-CN"/>
                    </w:rPr>
                    <w:t>1.本项目不涉及优先控制化学品的生产、使用；针对变压器油泄漏风险设置事故油池、防渗等防控设施，编制应急预案并落实隐患排查、应急管理措施，可有效防控环境风险，符合要求</w:t>
                  </w:r>
                  <w:r>
                    <w:rPr>
                      <w:rFonts w:hint="default" w:ascii="Times New Roman" w:hAnsi="Times New Roman" w:eastAsia="宋体" w:cs="Times New Roman"/>
                      <w:color w:val="auto"/>
                      <w:sz w:val="21"/>
                      <w:szCs w:val="21"/>
                      <w:highlight w:val="none"/>
                    </w:rPr>
                    <w:t>。</w:t>
                  </w:r>
                </w:p>
                <w:p w14:paraId="2AF842E8">
                  <w:pPr>
                    <w:pStyle w:val="211"/>
                    <w:keepNext w:val="0"/>
                    <w:keepLines w:val="0"/>
                    <w:pageBreakBefore w:val="0"/>
                    <w:widowControl/>
                    <w:numPr>
                      <w:ilvl w:val="0"/>
                      <w:numId w:val="0"/>
                    </w:numPr>
                    <w:kinsoku/>
                    <w:wordWrap/>
                    <w:overflowPunct/>
                    <w:topLinePunct w:val="0"/>
                    <w:autoSpaceDE/>
                    <w:autoSpaceDN/>
                    <w:bidi w:val="0"/>
                    <w:adjustRightInd w:val="0"/>
                    <w:snapToGrid w:val="0"/>
                    <w:ind w:left="42" w:leftChars="20" w:firstLine="0" w:firstLineChars="0"/>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cs="Times New Roman"/>
                      <w:color w:val="auto"/>
                      <w:sz w:val="21"/>
                      <w:szCs w:val="21"/>
                      <w:highlight w:val="none"/>
                      <w:lang w:val="en-US" w:eastAsia="zh-CN"/>
                    </w:rPr>
                    <w:t>事故油池容积核算：本工程主变压器选用SZ-63000/110型，单台主变压器参考油重约25t，变压器油密度取0.895t/m³，则单台主变压器全部油量折合体积为25÷0.895＝27.9m³。本工程设置事故油池1座，净空尺寸4.85m×3.3m×3.8m，有效容积约30m³，大于单台主变压器全部油量27.9m³，满足《火力发电厂与变电站设计防火标准》（GB50229-2019）及《输变电建设项目环境保护技术要求》（HJ1113-2020）关于事故油池容积按单台主变压器油量100%设计的要求，容积富余约7%。事故油池设油水分离设施，池体采用P10抗渗混凝土并做防腐防渗处理，平时保持空池。</w:t>
                  </w:r>
                </w:p>
                <w:p w14:paraId="474403C7">
                  <w:pPr>
                    <w:pStyle w:val="211"/>
                    <w:keepNext w:val="0"/>
                    <w:keepLines w:val="0"/>
                    <w:pageBreakBefore w:val="0"/>
                    <w:widowControl/>
                    <w:numPr>
                      <w:ilvl w:val="0"/>
                      <w:numId w:val="0"/>
                    </w:numPr>
                    <w:kinsoku/>
                    <w:wordWrap/>
                    <w:overflowPunct/>
                    <w:topLinePunct w:val="0"/>
                    <w:autoSpaceDE/>
                    <w:autoSpaceDN/>
                    <w:bidi w:val="0"/>
                    <w:adjustRightInd w:val="0"/>
                    <w:snapToGrid w:val="0"/>
                    <w:ind w:left="42" w:leftChars="20" w:firstLine="0" w:firstLineChars="0"/>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cs="Times New Roman"/>
                      <w:color w:val="auto"/>
                      <w:sz w:val="21"/>
                      <w:szCs w:val="21"/>
                      <w:highlight w:val="none"/>
                      <w:lang w:val="en-US" w:eastAsia="zh-CN"/>
                    </w:rPr>
                    <w:t>危险废物暂存依托可行性：本工程站内不单独设置危险废物暂存间，运营期危险废物依托产业园（一期）厂区危险废物暂存间暂存。该暂存间由产业园（一期）项目统一建设，已纳入该项目环境影响报告书及其批复（巴环评价函〔2026〕190号，见附件2），与主体工程同步设计、同步建设，建设进度早于或同步于本工程，本工程计划2027年建成投运时该暂存间已同步投运。暂存间按《危险废物贮存污染控制标准》（GB18597—2023）设置，具备防雨、防风、防渗、防流失条件，设置围堰及事故收集设施，不同类别危险废物分区存放并设置识别标志和隔离隔档。本工程运营期危险废物中，事故或检修状态下废变压器油单次最大约25t（非经常性产生），废铅蓄电池单次更换约1.6t，废润滑油0.1t/a、废油桶0.02t/a、含油抹布及劳保用品0.03t/a，暂存间贮存能力及剩余贮存能力可满足本项目各类危险废物的周转暂存需求，依托可行。</w:t>
                  </w:r>
                </w:p>
                <w:p w14:paraId="3FBBBFC8">
                  <w:pPr>
                    <w:pStyle w:val="211"/>
                    <w:keepNext w:val="0"/>
                    <w:keepLines w:val="0"/>
                    <w:pageBreakBefore w:val="0"/>
                    <w:widowControl/>
                    <w:numPr>
                      <w:ilvl w:val="0"/>
                      <w:numId w:val="0"/>
                    </w:numPr>
                    <w:kinsoku/>
                    <w:wordWrap/>
                    <w:overflowPunct/>
                    <w:topLinePunct w:val="0"/>
                    <w:autoSpaceDE/>
                    <w:autoSpaceDN/>
                    <w:bidi w:val="0"/>
                    <w:adjustRightInd w:val="0"/>
                    <w:snapToGrid w:val="0"/>
                    <w:ind w:left="42" w:leftChars="20" w:firstLine="0" w:firstLineChars="0"/>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cs="Times New Roman"/>
                      <w:color w:val="auto"/>
                      <w:sz w:val="21"/>
                      <w:szCs w:val="21"/>
                      <w:highlight w:val="none"/>
                      <w:lang w:val="en-US" w:eastAsia="zh-CN"/>
                    </w:rPr>
                    <w:t>危险废物收集、贮存、转运管理要求：按照《中华人民共和国固体废物污染环境防治法》及《危险废物转移管理办法》（生态环境部、公安部、交通运输部令第23号，2026年9月20日修订施行）要求：①收集环节，危险废物按类别分别装入与所装废物相容、完好无损的专用密闭容器，容器外粘贴危险废物标签，注明废物名称、类别、代码、产生日期及产生单位；②贮存环节，在厂区危险废物暂存间内按类别分区存放并设置隔离隔档，不相容的危险废物分开收集、分区贮存，站内暂存不超过1个月、做到随产随清，暂存间内贮存时间不超过一年；③转运环节，站内至厂区危险废物暂存间沿厂区内部道路使用专用工具转运，不进入公共道路，厂外运输由受托处置单位使用具备防雨、防渗、防遗撒措施的专用车辆并按规定执行危险货物运输要求，严格执行电子转移联单制度，做到“一车一单”；④危险废物管理台账及转移联单留存备查，保存期限不少于5年；委托处置前核实接收单位危险废物经营许可证核准的废物类别与代码范围。</w:t>
                  </w:r>
                </w:p>
                <w:p w14:paraId="733F6A51">
                  <w:pPr>
                    <w:keepNext w:val="0"/>
                    <w:keepLines w:val="0"/>
                    <w:pageBreakBefore w:val="0"/>
                    <w:widowControl/>
                    <w:wordWrap/>
                    <w:overflowPunct/>
                    <w:topLinePunct w:val="0"/>
                    <w:bidi w:val="0"/>
                    <w:adjustRightInd w:val="0"/>
                    <w:snapToGrid w:val="0"/>
                    <w:ind w:left="42" w:leftChars="20" w:firstLine="0" w:firstLineChars="0"/>
                    <w:jc w:val="both"/>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2.本项目为输变电工程，不属于煤炭、石化、化工等高耗水工业行业，无生产工艺废水，不涉及矿井水、工艺废水循环利用相关管控内容。</w:t>
                  </w:r>
                </w:p>
                <w:p w14:paraId="1882192C">
                  <w:pPr>
                    <w:keepNext w:val="0"/>
                    <w:keepLines w:val="0"/>
                    <w:pageBreakBefore w:val="0"/>
                    <w:widowControl/>
                    <w:wordWrap/>
                    <w:overflowPunct/>
                    <w:topLinePunct w:val="0"/>
                    <w:bidi w:val="0"/>
                    <w:adjustRightInd w:val="0"/>
                    <w:snapToGrid w:val="0"/>
                    <w:ind w:left="42" w:leftChars="20" w:firstLine="0" w:firstLineChars="0"/>
                    <w:jc w:val="both"/>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3.项目不属于工业企业，无工业生产用水，无需开展工业水平衡测试、工业节水改造等工业节水专项工作；生活用水落实节水管理。</w:t>
                  </w:r>
                </w:p>
              </w:tc>
              <w:tc>
                <w:tcPr>
                  <w:tcW w:w="247" w:type="pct"/>
                  <w:tcBorders>
                    <w:tl2br w:val="nil"/>
                    <w:tr2bl w:val="nil"/>
                  </w:tcBorders>
                  <w:noWrap w:val="0"/>
                  <w:vAlign w:val="center"/>
                </w:tcPr>
                <w:p w14:paraId="2FFC4507">
                  <w:pPr>
                    <w:pStyle w:val="21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符合</w:t>
                  </w:r>
                </w:p>
              </w:tc>
            </w:tr>
            <w:tr w14:paraId="3E1CE5B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73" w:type="pct"/>
                  <w:vMerge w:val="restart"/>
                  <w:tcBorders>
                    <w:tl2br w:val="nil"/>
                    <w:tr2bl w:val="nil"/>
                  </w:tcBorders>
                  <w:noWrap w:val="0"/>
                  <w:vAlign w:val="center"/>
                </w:tcPr>
                <w:p w14:paraId="1C34F85F">
                  <w:pPr>
                    <w:pStyle w:val="21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分区管控要求</w:t>
                  </w:r>
                </w:p>
                <w:p w14:paraId="01E8915D">
                  <w:pPr>
                    <w:pStyle w:val="210"/>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(尉犁工业园区</w:t>
                  </w:r>
                  <w:r>
                    <w:rPr>
                      <w:rFonts w:hint="default" w:ascii="Times New Roman" w:hAnsi="Times New Roman" w:eastAsia="宋体" w:cs="Times New Roman"/>
                      <w:b/>
                      <w:bCs/>
                      <w:color w:val="auto"/>
                      <w:sz w:val="21"/>
                      <w:szCs w:val="21"/>
                      <w:highlight w:val="none"/>
                      <w:lang w:val="en-US" w:eastAsia="zh-CN"/>
                    </w:rPr>
                    <w:t>-重点管控单元</w:t>
                  </w:r>
                </w:p>
                <w:p w14:paraId="218AA9DB">
                  <w:pPr>
                    <w:pStyle w:val="210"/>
                    <w:jc w:val="center"/>
                    <w:rPr>
                      <w:rFonts w:hint="default" w:ascii="Times New Roman" w:hAnsi="Times New Roman" w:eastAsia="宋体" w:cs="Times New Roman"/>
                      <w:color w:val="auto"/>
                      <w:sz w:val="21"/>
                      <w:szCs w:val="21"/>
                      <w:highlight w:val="none"/>
                      <w:lang w:val="en-US"/>
                    </w:rPr>
                  </w:pPr>
                  <w:r>
                    <w:rPr>
                      <w:rFonts w:hint="default" w:ascii="Times New Roman" w:hAnsi="Times New Roman" w:eastAsia="宋体" w:cs="Times New Roman"/>
                      <w:b/>
                      <w:bCs/>
                      <w:color w:val="auto"/>
                      <w:sz w:val="21"/>
                      <w:szCs w:val="21"/>
                      <w:highlight w:val="none"/>
                    </w:rPr>
                    <w:t>ZH6528</w:t>
                  </w:r>
                  <w:r>
                    <w:rPr>
                      <w:rFonts w:hint="default" w:ascii="Times New Roman" w:hAnsi="Times New Roman" w:cs="Times New Roman"/>
                      <w:b/>
                      <w:bCs/>
                      <w:color w:val="auto"/>
                      <w:sz w:val="21"/>
                      <w:szCs w:val="21"/>
                      <w:highlight w:val="none"/>
                      <w:lang w:val="en-US" w:eastAsia="zh-CN"/>
                    </w:rPr>
                    <w:t>2320005)</w:t>
                  </w:r>
                </w:p>
              </w:tc>
              <w:tc>
                <w:tcPr>
                  <w:tcW w:w="390" w:type="pct"/>
                  <w:tcBorders>
                    <w:tl2br w:val="nil"/>
                    <w:tr2bl w:val="nil"/>
                  </w:tcBorders>
                  <w:noWrap w:val="0"/>
                  <w:vAlign w:val="center"/>
                </w:tcPr>
                <w:p w14:paraId="368E98C1">
                  <w:pPr>
                    <w:pStyle w:val="21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空间布局</w:t>
                  </w:r>
                </w:p>
                <w:p w14:paraId="54ACD1B3">
                  <w:pPr>
                    <w:pStyle w:val="21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约束</w:t>
                  </w:r>
                </w:p>
              </w:tc>
              <w:tc>
                <w:tcPr>
                  <w:tcW w:w="2551" w:type="pct"/>
                  <w:tcBorders>
                    <w:tl2br w:val="nil"/>
                    <w:tr2bl w:val="nil"/>
                  </w:tcBorders>
                  <w:noWrap w:val="0"/>
                  <w:vAlign w:val="center"/>
                </w:tcPr>
                <w:p w14:paraId="52499CD9">
                  <w:pPr>
                    <w:pStyle w:val="211"/>
                    <w:ind w:left="12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1.有行业准入条件的需满足准入条件。进入尉犁工业园区的产业项目在招商引资的过程中，要根据产业发展规划，有针对性</w:t>
                  </w:r>
                  <w:r>
                    <w:rPr>
                      <w:rFonts w:hint="default" w:ascii="Times New Roman" w:hAnsi="Times New Roman" w:cs="Times New Roman"/>
                      <w:color w:val="auto"/>
                      <w:sz w:val="21"/>
                      <w:szCs w:val="21"/>
                      <w:highlight w:val="none"/>
                      <w:lang w:eastAsia="zh-CN"/>
                    </w:rPr>
                    <w:t>地</w:t>
                  </w:r>
                  <w:r>
                    <w:rPr>
                      <w:rFonts w:hint="default" w:ascii="Times New Roman" w:hAnsi="Times New Roman" w:eastAsia="宋体" w:cs="Times New Roman"/>
                      <w:color w:val="auto"/>
                      <w:sz w:val="21"/>
                      <w:szCs w:val="21"/>
                      <w:highlight w:val="none"/>
                    </w:rPr>
                    <w:t>进行产业类型引导。</w:t>
                  </w:r>
                </w:p>
                <w:p w14:paraId="16022C69">
                  <w:pPr>
                    <w:pStyle w:val="211"/>
                    <w:ind w:left="12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符合国家环保和节能减排要求，排放污染物必须达到国家和自治区污染物排放标准，严禁国家明文规定的限制类、淘汰类项目进入园区；不得采用国家、自治区淘汰或禁止使用的生产工艺、技术和设备；入园项目必须严格执行环境影响评价制度和“三同时”制度。</w:t>
                  </w:r>
                </w:p>
              </w:tc>
              <w:tc>
                <w:tcPr>
                  <w:tcW w:w="1236" w:type="pct"/>
                  <w:tcBorders>
                    <w:tl2br w:val="nil"/>
                    <w:tr2bl w:val="nil"/>
                  </w:tcBorders>
                  <w:noWrap w:val="0"/>
                  <w:vAlign w:val="center"/>
                </w:tcPr>
                <w:p w14:paraId="16C63E45">
                  <w:pPr>
                    <w:pStyle w:val="211"/>
                    <w:ind w:left="12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1.本项目满足准入条件。</w:t>
                  </w:r>
                </w:p>
                <w:p w14:paraId="58A65834">
                  <w:pPr>
                    <w:pStyle w:val="211"/>
                    <w:ind w:left="12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w:t>
                  </w:r>
                  <w:r>
                    <w:rPr>
                      <w:rFonts w:hint="default" w:ascii="Times New Roman" w:hAnsi="Times New Roman"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本项目符合国家、自治区产业政策；企业采取污染控制措施后</w:t>
                  </w:r>
                  <w:r>
                    <w:rPr>
                      <w:rFonts w:hint="default" w:ascii="Times New Roman" w:hAnsi="Times New Roman" w:cs="Times New Roman"/>
                      <w:color w:val="auto"/>
                      <w:sz w:val="21"/>
                      <w:szCs w:val="21"/>
                      <w:highlight w:val="none"/>
                      <w:lang w:val="en-US" w:eastAsia="zh-CN"/>
                    </w:rPr>
                    <w:t>能够</w:t>
                  </w:r>
                  <w:r>
                    <w:rPr>
                      <w:rFonts w:hint="default" w:ascii="Times New Roman" w:hAnsi="Times New Roman" w:eastAsia="宋体" w:cs="Times New Roman"/>
                      <w:color w:val="auto"/>
                      <w:sz w:val="21"/>
                      <w:szCs w:val="21"/>
                      <w:highlight w:val="none"/>
                      <w:lang w:val="en-US" w:eastAsia="zh-CN"/>
                    </w:rPr>
                    <w:t>实现达标排放要求</w:t>
                  </w:r>
                  <w:r>
                    <w:rPr>
                      <w:rFonts w:hint="default" w:ascii="Times New Roman" w:hAnsi="Times New Roman" w:eastAsia="宋体" w:cs="Times New Roman"/>
                      <w:color w:val="auto"/>
                      <w:sz w:val="21"/>
                      <w:szCs w:val="21"/>
                      <w:highlight w:val="none"/>
                    </w:rPr>
                    <w:t>。</w:t>
                  </w:r>
                </w:p>
              </w:tc>
              <w:tc>
                <w:tcPr>
                  <w:tcW w:w="247" w:type="pct"/>
                  <w:tcBorders>
                    <w:tl2br w:val="nil"/>
                    <w:tr2bl w:val="nil"/>
                  </w:tcBorders>
                  <w:noWrap w:val="0"/>
                  <w:vAlign w:val="center"/>
                </w:tcPr>
                <w:p w14:paraId="48F15D3A">
                  <w:pPr>
                    <w:pStyle w:val="21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符合</w:t>
                  </w:r>
                </w:p>
              </w:tc>
            </w:tr>
            <w:tr w14:paraId="3E9B86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73" w:type="pct"/>
                  <w:vMerge w:val="continue"/>
                  <w:tcBorders>
                    <w:tl2br w:val="nil"/>
                    <w:tr2bl w:val="nil"/>
                  </w:tcBorders>
                  <w:noWrap w:val="0"/>
                  <w:vAlign w:val="center"/>
                </w:tcPr>
                <w:p w14:paraId="2EA34F85">
                  <w:pPr>
                    <w:pStyle w:val="210"/>
                    <w:rPr>
                      <w:rFonts w:hint="default" w:ascii="Times New Roman" w:hAnsi="Times New Roman" w:eastAsia="宋体" w:cs="Times New Roman"/>
                      <w:color w:val="auto"/>
                      <w:sz w:val="21"/>
                      <w:szCs w:val="21"/>
                      <w:highlight w:val="none"/>
                    </w:rPr>
                  </w:pPr>
                </w:p>
              </w:tc>
              <w:tc>
                <w:tcPr>
                  <w:tcW w:w="390" w:type="pct"/>
                  <w:tcBorders>
                    <w:tl2br w:val="nil"/>
                    <w:tr2bl w:val="nil"/>
                  </w:tcBorders>
                  <w:noWrap w:val="0"/>
                  <w:vAlign w:val="center"/>
                </w:tcPr>
                <w:p w14:paraId="1AF58BAB">
                  <w:pPr>
                    <w:pStyle w:val="21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污染物排放</w:t>
                  </w:r>
                </w:p>
                <w:p w14:paraId="2B3E0FEA">
                  <w:pPr>
                    <w:pStyle w:val="21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管控</w:t>
                  </w:r>
                </w:p>
              </w:tc>
              <w:tc>
                <w:tcPr>
                  <w:tcW w:w="2551" w:type="pct"/>
                  <w:tcBorders>
                    <w:tl2br w:val="nil"/>
                    <w:tr2bl w:val="nil"/>
                  </w:tcBorders>
                  <w:noWrap w:val="0"/>
                  <w:vAlign w:val="center"/>
                </w:tcPr>
                <w:p w14:paraId="6D1F06C6">
                  <w:pPr>
                    <w:pStyle w:val="211"/>
                    <w:ind w:left="120"/>
                    <w:rPr>
                      <w:rFonts w:hint="default" w:ascii="Times New Roman" w:hAnsi="Times New Roman" w:eastAsia="宋体" w:cs="Times New Roman"/>
                      <w:color w:val="auto"/>
                      <w:sz w:val="21"/>
                      <w:szCs w:val="21"/>
                      <w:highlight w:val="none"/>
                    </w:rPr>
                  </w:pPr>
                  <w:r>
                    <w:rPr>
                      <w:rFonts w:hint="default" w:ascii="Times New Roman" w:hAnsi="Times New Roman"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入园企业生产设施排放的废气须经处理达到相应的行业排放标准或《大气污染物综合排放标准》中的二级标准。</w:t>
                  </w:r>
                </w:p>
                <w:p w14:paraId="318C7247">
                  <w:pPr>
                    <w:pStyle w:val="211"/>
                    <w:ind w:left="120"/>
                    <w:rPr>
                      <w:rFonts w:hint="default" w:ascii="Times New Roman" w:hAnsi="Times New Roman" w:eastAsia="宋体" w:cs="Times New Roman"/>
                      <w:color w:val="auto"/>
                      <w:sz w:val="21"/>
                      <w:szCs w:val="21"/>
                      <w:highlight w:val="none"/>
                    </w:rPr>
                  </w:pPr>
                  <w:r>
                    <w:rPr>
                      <w:rFonts w:hint="default" w:ascii="Times New Roman" w:hAnsi="Times New Roman"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lang w:val="en-US" w:eastAsia="zh-CN"/>
                    </w:rPr>
                    <w:t>.园区企业污水经处理后需(高浓度盐水除外)满足《城市污水再生利用工业用水水质》(GB/T19923-2005)标准的要求，用于园区绿化及荒漠灌溉；②园区内企业生活污水同时还需满足《城镇下水道水质标准》(GB/T31962-2015)后接入尉犁县污水管网，最终排入尉犁县污水处理厂。</w:t>
                  </w:r>
                </w:p>
              </w:tc>
              <w:tc>
                <w:tcPr>
                  <w:tcW w:w="1236" w:type="pct"/>
                  <w:tcBorders>
                    <w:tl2br w:val="nil"/>
                    <w:tr2bl w:val="nil"/>
                  </w:tcBorders>
                  <w:noWrap w:val="0"/>
                  <w:vAlign w:val="center"/>
                </w:tcPr>
                <w:p w14:paraId="77468AB9">
                  <w:pPr>
                    <w:pStyle w:val="211"/>
                    <w:ind w:left="120"/>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lang w:val="en-US" w:eastAsia="zh-CN"/>
                    </w:rPr>
                    <w:t>本项目为 110kV变电站，无生产工艺废气排放；无生产废气治理需求</w:t>
                  </w:r>
                  <w:r>
                    <w:rPr>
                      <w:rFonts w:hint="default" w:ascii="Times New Roman" w:hAnsi="Times New Roman" w:cs="Times New Roman"/>
                      <w:color w:val="auto"/>
                      <w:sz w:val="21"/>
                      <w:szCs w:val="21"/>
                      <w:highlight w:val="none"/>
                      <w:lang w:val="en-US" w:eastAsia="zh-CN"/>
                    </w:rPr>
                    <w:t>。</w:t>
                  </w:r>
                </w:p>
                <w:p w14:paraId="557A3786">
                  <w:pPr>
                    <w:pStyle w:val="211"/>
                    <w:ind w:left="120"/>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2.项目无生产废水及高浓盐水；站内生活污水经化粪池预处理后接入厂区污水管网，送产业园（一期）厂区自建污水处理站集中处理，处理达标后排入园区污水管网，最终进入尉犁工业园区工业污水处理厂深度处理。</w:t>
                  </w:r>
                </w:p>
              </w:tc>
              <w:tc>
                <w:tcPr>
                  <w:tcW w:w="247" w:type="pct"/>
                  <w:tcBorders>
                    <w:tl2br w:val="nil"/>
                    <w:tr2bl w:val="nil"/>
                  </w:tcBorders>
                  <w:noWrap w:val="0"/>
                  <w:vAlign w:val="center"/>
                </w:tcPr>
                <w:p w14:paraId="0FC9E92C">
                  <w:pPr>
                    <w:pStyle w:val="21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符合</w:t>
                  </w:r>
                </w:p>
              </w:tc>
            </w:tr>
            <w:tr w14:paraId="679952D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73" w:type="pct"/>
                  <w:vMerge w:val="continue"/>
                  <w:tcBorders>
                    <w:tl2br w:val="nil"/>
                    <w:tr2bl w:val="nil"/>
                  </w:tcBorders>
                  <w:noWrap w:val="0"/>
                  <w:vAlign w:val="center"/>
                </w:tcPr>
                <w:p w14:paraId="69AFB40B">
                  <w:pPr>
                    <w:pStyle w:val="210"/>
                    <w:rPr>
                      <w:rFonts w:hint="default" w:ascii="Times New Roman" w:hAnsi="Times New Roman" w:eastAsia="宋体" w:cs="Times New Roman"/>
                      <w:color w:val="auto"/>
                      <w:sz w:val="21"/>
                      <w:szCs w:val="21"/>
                      <w:highlight w:val="none"/>
                    </w:rPr>
                  </w:pPr>
                </w:p>
              </w:tc>
              <w:tc>
                <w:tcPr>
                  <w:tcW w:w="390" w:type="pct"/>
                  <w:tcBorders>
                    <w:tl2br w:val="nil"/>
                    <w:tr2bl w:val="nil"/>
                  </w:tcBorders>
                  <w:noWrap w:val="0"/>
                  <w:vAlign w:val="center"/>
                </w:tcPr>
                <w:p w14:paraId="05FA8D14">
                  <w:pPr>
                    <w:pStyle w:val="21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环境</w:t>
                  </w:r>
                  <w:r>
                    <w:rPr>
                      <w:rFonts w:hint="default" w:ascii="Times New Roman" w:hAnsi="Times New Roman" w:cs="Times New Roman"/>
                      <w:color w:val="auto"/>
                      <w:sz w:val="21"/>
                      <w:szCs w:val="21"/>
                      <w:highlight w:val="none"/>
                      <w:lang w:eastAsia="zh-CN"/>
                    </w:rPr>
                    <w:t>风险</w:t>
                  </w:r>
                  <w:r>
                    <w:rPr>
                      <w:rFonts w:hint="default" w:ascii="Times New Roman" w:hAnsi="Times New Roman" w:eastAsia="宋体" w:cs="Times New Roman"/>
                      <w:color w:val="auto"/>
                      <w:sz w:val="21"/>
                      <w:szCs w:val="21"/>
                      <w:highlight w:val="none"/>
                    </w:rPr>
                    <w:t>防控</w:t>
                  </w:r>
                </w:p>
              </w:tc>
              <w:tc>
                <w:tcPr>
                  <w:tcW w:w="2551" w:type="pct"/>
                  <w:tcBorders>
                    <w:tl2br w:val="nil"/>
                    <w:tr2bl w:val="nil"/>
                  </w:tcBorders>
                  <w:noWrap w:val="0"/>
                  <w:vAlign w:val="center"/>
                </w:tcPr>
                <w:p w14:paraId="7838A365">
                  <w:pPr>
                    <w:pStyle w:val="211"/>
                    <w:ind w:left="12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lang w:val="en-US" w:eastAsia="zh-CN"/>
                    </w:rPr>
                    <w:t>.各企业污水处理设施附近应修建应急事故池，事故池容积应满足应急要求。</w:t>
                  </w:r>
                </w:p>
                <w:p w14:paraId="5E52DD8E">
                  <w:pPr>
                    <w:pStyle w:val="211"/>
                    <w:ind w:left="12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lang w:val="en-US" w:eastAsia="zh-CN"/>
                    </w:rPr>
                    <w:t>.工业用地固废临时堆放点均按相关要求做好防渗措施，防止贮存过程发生溢漏、导致地下水污染。</w:t>
                  </w:r>
                </w:p>
                <w:p w14:paraId="5543D5DF">
                  <w:pPr>
                    <w:pStyle w:val="211"/>
                    <w:ind w:left="12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3</w:t>
                  </w:r>
                  <w:r>
                    <w:rPr>
                      <w:rFonts w:hint="default" w:ascii="Times New Roman" w:hAnsi="Times New Roman" w:eastAsia="宋体" w:cs="Times New Roman"/>
                      <w:color w:val="auto"/>
                      <w:sz w:val="21"/>
                      <w:szCs w:val="21"/>
                      <w:highlight w:val="none"/>
                      <w:lang w:val="en-US" w:eastAsia="zh-CN"/>
                    </w:rPr>
                    <w:t>.对于工业园区内各生产企业如有危险废物产生的，各企业应严格按《危险废物贮存污染控制标准》执行，贮存设施应设置警示标志，做好地面防渗工程，避免雨淋对地下水影响，满足危险废物临时贮存要求。</w:t>
                  </w:r>
                </w:p>
                <w:p w14:paraId="09502C5A">
                  <w:pPr>
                    <w:pStyle w:val="211"/>
                    <w:ind w:left="12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4</w:t>
                  </w:r>
                  <w:r>
                    <w:rPr>
                      <w:rFonts w:hint="default" w:ascii="Times New Roman" w:hAnsi="Times New Roman" w:eastAsia="宋体" w:cs="Times New Roman"/>
                      <w:color w:val="auto"/>
                      <w:sz w:val="21"/>
                      <w:szCs w:val="21"/>
                      <w:highlight w:val="none"/>
                      <w:lang w:val="en-US" w:eastAsia="zh-CN"/>
                    </w:rPr>
                    <w:t>.入园项目要符合建设项目环评文件中大气环境防护距离或卫生防护距离的要求。</w:t>
                  </w:r>
                </w:p>
                <w:p w14:paraId="51BBE36B">
                  <w:pPr>
                    <w:pStyle w:val="211"/>
                    <w:ind w:left="120"/>
                    <w:rPr>
                      <w:rFonts w:hint="default" w:ascii="Times New Roman" w:hAnsi="Times New Roman" w:eastAsia="宋体" w:cs="Times New Roman"/>
                      <w:color w:val="auto"/>
                      <w:sz w:val="21"/>
                      <w:szCs w:val="21"/>
                      <w:highlight w:val="none"/>
                    </w:rPr>
                  </w:pPr>
                  <w:r>
                    <w:rPr>
                      <w:rFonts w:hint="default" w:ascii="Times New Roman" w:hAnsi="Times New Roman" w:cs="Times New Roman"/>
                      <w:color w:val="auto"/>
                      <w:sz w:val="21"/>
                      <w:szCs w:val="21"/>
                      <w:highlight w:val="none"/>
                      <w:lang w:val="en-US" w:eastAsia="zh-CN"/>
                    </w:rPr>
                    <w:t>5</w:t>
                  </w:r>
                  <w:r>
                    <w:rPr>
                      <w:rFonts w:hint="default" w:ascii="Times New Roman" w:hAnsi="Times New Roman" w:eastAsia="宋体" w:cs="Times New Roman"/>
                      <w:color w:val="auto"/>
                      <w:sz w:val="21"/>
                      <w:szCs w:val="21"/>
                      <w:highlight w:val="none"/>
                      <w:lang w:val="en-US" w:eastAsia="zh-CN"/>
                    </w:rPr>
                    <w:t>.重点排污单位应当根据所在地重污染天气应急预案，编制本单位重污染天气应急响应方案。根据重污染天气的预警等级，及时启动重污染天气应急预案，并采取与预警等级对应的响应措施。</w:t>
                  </w:r>
                </w:p>
              </w:tc>
              <w:tc>
                <w:tcPr>
                  <w:tcW w:w="1236" w:type="pct"/>
                  <w:tcBorders>
                    <w:tl2br w:val="nil"/>
                    <w:tr2bl w:val="nil"/>
                  </w:tcBorders>
                  <w:noWrap w:val="0"/>
                  <w:vAlign w:val="center"/>
                </w:tcPr>
                <w:p w14:paraId="712DEE3F">
                  <w:pPr>
                    <w:pStyle w:val="211"/>
                    <w:ind w:left="12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1.本项目无生产污水处理设施，污水应急池要求不适用；针对变压器漏油配套事故油池、防渗收集系统，落实环境风险防控。</w:t>
                  </w:r>
                </w:p>
                <w:p w14:paraId="3F801CEE">
                  <w:pPr>
                    <w:pStyle w:val="211"/>
                    <w:ind w:left="120"/>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2.本项目无工业固废集中堆场；危废暂存区按规范防渗，生活垃圾及时清运，防范地下水污染。</w:t>
                  </w:r>
                </w:p>
                <w:p w14:paraId="453D43B7">
                  <w:pPr>
                    <w:pStyle w:val="211"/>
                    <w:ind w:left="120"/>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3.项目废变压器油在危废暂存间贮存，按 GB18597建设防渗、防雨设施，设置警示标识，台账规范、资质单位转运。</w:t>
                  </w:r>
                </w:p>
                <w:p w14:paraId="75DE30AB">
                  <w:pPr>
                    <w:pStyle w:val="211"/>
                    <w:ind w:left="120"/>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4.本项目无工艺废气，不设大气环境防护距离；周边无敏感目标。</w:t>
                  </w:r>
                </w:p>
                <w:p w14:paraId="0327206A">
                  <w:pPr>
                    <w:pStyle w:val="211"/>
                    <w:ind w:left="120"/>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5.本项目不属于重点排污单位，无工艺废气排放，不涉及重污染天气减排，无需编制该方案。</w:t>
                  </w:r>
                </w:p>
              </w:tc>
              <w:tc>
                <w:tcPr>
                  <w:tcW w:w="247" w:type="pct"/>
                  <w:tcBorders>
                    <w:tl2br w:val="nil"/>
                    <w:tr2bl w:val="nil"/>
                  </w:tcBorders>
                  <w:noWrap w:val="0"/>
                  <w:vAlign w:val="center"/>
                </w:tcPr>
                <w:p w14:paraId="4BBDF393">
                  <w:pPr>
                    <w:pStyle w:val="21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符合</w:t>
                  </w:r>
                </w:p>
              </w:tc>
            </w:tr>
            <w:tr w14:paraId="3D2B8F1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73" w:type="pct"/>
                  <w:vMerge w:val="continue"/>
                  <w:tcBorders>
                    <w:tl2br w:val="nil"/>
                    <w:tr2bl w:val="nil"/>
                  </w:tcBorders>
                  <w:noWrap w:val="0"/>
                  <w:vAlign w:val="center"/>
                </w:tcPr>
                <w:p w14:paraId="4E735F00">
                  <w:pPr>
                    <w:pStyle w:val="210"/>
                    <w:rPr>
                      <w:rFonts w:hint="default" w:ascii="Times New Roman" w:hAnsi="Times New Roman" w:eastAsia="宋体" w:cs="Times New Roman"/>
                      <w:color w:val="auto"/>
                      <w:sz w:val="21"/>
                      <w:szCs w:val="21"/>
                      <w:highlight w:val="none"/>
                    </w:rPr>
                  </w:pPr>
                </w:p>
              </w:tc>
              <w:tc>
                <w:tcPr>
                  <w:tcW w:w="390" w:type="pct"/>
                  <w:tcBorders>
                    <w:tl2br w:val="nil"/>
                    <w:tr2bl w:val="nil"/>
                  </w:tcBorders>
                  <w:noWrap w:val="0"/>
                  <w:vAlign w:val="center"/>
                </w:tcPr>
                <w:p w14:paraId="010D6ADF">
                  <w:pPr>
                    <w:pStyle w:val="21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资源利用效率</w:t>
                  </w:r>
                </w:p>
              </w:tc>
              <w:tc>
                <w:tcPr>
                  <w:tcW w:w="2551" w:type="pct"/>
                  <w:tcBorders>
                    <w:tl2br w:val="nil"/>
                    <w:tr2bl w:val="nil"/>
                  </w:tcBorders>
                  <w:noWrap w:val="0"/>
                  <w:vAlign w:val="center"/>
                </w:tcPr>
                <w:p w14:paraId="5C357283">
                  <w:pPr>
                    <w:pStyle w:val="211"/>
                    <w:ind w:left="12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lang w:val="en-US" w:eastAsia="zh-CN"/>
                    </w:rPr>
                    <w:t>.结合产业结构调整，大力发展循环经济，推行清洁生产，促进企业采用高新技术改造传统产业，实现污染物防治从单纯末端治理向预防为主和全过程控制转变，达到节能降耗、综合利用，减少生产过程中污染物的排放。</w:t>
                  </w:r>
                </w:p>
                <w:p w14:paraId="3F61485F">
                  <w:pPr>
                    <w:pStyle w:val="211"/>
                    <w:ind w:left="120"/>
                    <w:rPr>
                      <w:rFonts w:hint="default" w:ascii="Times New Roman" w:hAnsi="Times New Roman" w:eastAsia="宋体" w:cs="Times New Roman"/>
                      <w:color w:val="auto"/>
                      <w:sz w:val="21"/>
                      <w:szCs w:val="21"/>
                      <w:highlight w:val="none"/>
                    </w:rPr>
                  </w:pPr>
                  <w:r>
                    <w:rPr>
                      <w:rFonts w:hint="default" w:ascii="Times New Roman" w:hAnsi="Times New Roman"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lang w:val="en-US" w:eastAsia="zh-CN"/>
                    </w:rPr>
                    <w:t>.围绕资源高效循环利用，加大先进节能技术和减排技术的推广应用，推动结构性、技术性和制度性节能减排。严格落实项目能评和环评制度，加强源头控制。</w:t>
                  </w:r>
                </w:p>
              </w:tc>
              <w:tc>
                <w:tcPr>
                  <w:tcW w:w="1236" w:type="pct"/>
                  <w:tcBorders>
                    <w:tl2br w:val="nil"/>
                    <w:tr2bl w:val="nil"/>
                  </w:tcBorders>
                  <w:noWrap w:val="0"/>
                  <w:vAlign w:val="center"/>
                </w:tcPr>
                <w:p w14:paraId="68DF6F64">
                  <w:pPr>
                    <w:pStyle w:val="211"/>
                    <w:ind w:left="120"/>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1.本项目为配套输变电工程，选用节能电气设备，落实全过程污染防控；运营期无工艺产污，契合清洁生产、源头防控理念。</w:t>
                  </w:r>
                </w:p>
                <w:p w14:paraId="4A8E1AEB">
                  <w:pPr>
                    <w:pStyle w:val="211"/>
                    <w:ind w:left="120"/>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2.本项目按规定开展环评、能评，落实源头管控；选用低损耗主变等节能设备，落实节能降耗措施。</w:t>
                  </w:r>
                </w:p>
              </w:tc>
              <w:tc>
                <w:tcPr>
                  <w:tcW w:w="247" w:type="pct"/>
                  <w:tcBorders>
                    <w:tl2br w:val="nil"/>
                    <w:tr2bl w:val="nil"/>
                  </w:tcBorders>
                  <w:noWrap w:val="0"/>
                  <w:vAlign w:val="center"/>
                </w:tcPr>
                <w:p w14:paraId="1EBB72E5">
                  <w:pPr>
                    <w:pStyle w:val="21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符合</w:t>
                  </w:r>
                </w:p>
              </w:tc>
            </w:tr>
          </w:tbl>
          <w:p w14:paraId="4EC58EC1">
            <w:pPr>
              <w:spacing w:line="520" w:lineRule="exact"/>
              <w:ind w:firstLine="480" w:firstLineChars="200"/>
              <w:rPr>
                <w:rFonts w:hint="default" w:ascii="Times New Roman" w:hAnsi="Times New Roman" w:cs="Times New Roman"/>
                <w:sz w:val="24"/>
              </w:rPr>
            </w:pPr>
            <w:r>
              <w:rPr>
                <w:rFonts w:hint="default" w:ascii="Times New Roman" w:hAnsi="Times New Roman" w:cs="Times New Roman"/>
                <w:sz w:val="24"/>
              </w:rPr>
              <w:t>综上，本工程建设符合</w:t>
            </w:r>
            <w:r>
              <w:rPr>
                <w:rFonts w:hint="default" w:ascii="Times New Roman" w:hAnsi="Times New Roman" w:cs="Times New Roman"/>
                <w:sz w:val="24"/>
                <w:lang w:val="en-US" w:eastAsia="zh-CN"/>
              </w:rPr>
              <w:t>巴州</w:t>
            </w:r>
            <w:r>
              <w:rPr>
                <w:rFonts w:hint="default" w:ascii="Times New Roman" w:hAnsi="Times New Roman" w:cs="Times New Roman"/>
                <w:sz w:val="24"/>
              </w:rPr>
              <w:t>生态环境分区管控要求。</w:t>
            </w:r>
          </w:p>
          <w:p w14:paraId="4AA21316">
            <w:pPr>
              <w:pStyle w:val="18"/>
              <w:snapToGrid/>
              <w:spacing w:before="0" w:after="0" w:line="520" w:lineRule="exact"/>
              <w:ind w:right="0" w:firstLine="212"/>
              <w:rPr>
                <w:rFonts w:hint="default" w:ascii="Times New Roman" w:hAnsi="Times New Roman" w:cs="Times New Roman"/>
              </w:rPr>
            </w:pPr>
            <w:r>
              <w:rPr>
                <w:rFonts w:hint="default" w:ascii="Times New Roman" w:hAnsi="Times New Roman" w:cs="Times New Roman"/>
                <w:sz w:val="24"/>
              </w:rPr>
              <w:t>（2）</w:t>
            </w:r>
            <w:r>
              <w:rPr>
                <w:rFonts w:hint="default" w:ascii="Times New Roman" w:hAnsi="Times New Roman" w:cs="Times New Roman"/>
                <w:sz w:val="24"/>
                <w:lang w:val="en-US" w:eastAsia="zh-CN"/>
              </w:rPr>
              <w:t>与</w:t>
            </w:r>
            <w:r>
              <w:rPr>
                <w:rFonts w:hint="default" w:ascii="Times New Roman" w:hAnsi="Times New Roman" w:eastAsia="宋体" w:cs="Times New Roman"/>
                <w:b w:val="0"/>
                <w:bCs/>
                <w:smallCaps w:val="0"/>
                <w:snapToGrid/>
                <w:color w:val="auto"/>
                <w:spacing w:val="0"/>
                <w:w w:val="100"/>
                <w:kern w:val="0"/>
                <w:position w:val="0"/>
                <w:sz w:val="24"/>
                <w:szCs w:val="24"/>
                <w:highlight w:val="none"/>
                <w:lang w:val="en-US" w:eastAsia="zh-CN"/>
              </w:rPr>
              <w:t>《巴音郭楞蒙古自治州国土空间总体规划（2021-2035年）》</w:t>
            </w:r>
            <w:r>
              <w:rPr>
                <w:rFonts w:hint="default" w:ascii="Times New Roman" w:hAnsi="Times New Roman" w:cs="Times New Roman"/>
                <w:sz w:val="24"/>
              </w:rPr>
              <w:t>相符性分析</w:t>
            </w:r>
          </w:p>
          <w:p w14:paraId="66997C3B">
            <w:pPr>
              <w:spacing w:line="520" w:lineRule="exact"/>
              <w:ind w:firstLine="522"/>
              <w:rPr>
                <w:rFonts w:hint="default" w:ascii="Times New Roman" w:hAnsi="Times New Roman" w:cs="Times New Roman"/>
                <w:sz w:val="24"/>
                <w:lang w:eastAsia="zh-CN"/>
              </w:rPr>
            </w:pPr>
            <w:r>
              <w:rPr>
                <w:rFonts w:hint="default" w:ascii="Times New Roman" w:hAnsi="Times New Roman" w:cs="Times New Roman"/>
                <w:sz w:val="24"/>
                <w:lang w:eastAsia="zh-CN"/>
              </w:rPr>
              <w:t>本工程新建110kV变电站1座，为新疆鸿泰鼎新材料科技有限公司鸿泰鼎绿色新材料纺织产业园（一期）建设项目的配套供电工程，站址位于尉犁县工业园区内产业园厂区规划用地范围，站区总用地面积0.9422hm²，不新增建设用地规模、不改变用地性质。《巴音郭楞蒙古自治州国土空间总体规划（2021—2035年）》已于2024年7月经自治区人民政府批复。规划在第三章第五节明确构建“两屏一环、三区三圈”的国土空间开发保护总体格局，其中“一环”为环塔里木盆地边缘绿洲及河流，“三圈”包括中部库尉轮城镇圈；第六章第一节确定“一主三副三圈”城镇协调空间发展格局，并提出“实施库尔勒、尉犁县城一体化建设，加快产业集聚”；第二章第三节将“西部重要纺织服装产业基地”列为核心功能，第七章第一节明确库尉轮产业功能区重点发展纺织服装加工。本工程站址位于“一环”范围内的城镇建设区，属中部库尉轮城镇圈；按第三章第六节对规划分区的界定，站址用地规划分区为城镇发展区（即城镇开发边界围合的范围），不涉及天山南坡、昆仑山—阿尔金山两处生态屏障，不占用生态保护红线、永久基本农田和矿产能源发展区。本工程作为园区配套电力设施，为该纺织服装产业集群提供供电保障，与规划的总体格局、城镇体系及产业导向相符。综上，本工程建设与《巴音郭楞蒙古自治州国土空间总体规划（2021—2035年）》相符。</w:t>
            </w:r>
          </w:p>
          <w:p w14:paraId="4FA1F711">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default" w:ascii="Times New Roman" w:hAnsi="Times New Roman" w:cs="Times New Roman"/>
                <w:sz w:val="24"/>
                <w:lang w:val="en-US" w:eastAsia="zh-CN"/>
              </w:rPr>
            </w:pPr>
            <w:r>
              <w:rPr>
                <w:rFonts w:hint="default" w:ascii="Times New Roman" w:hAnsi="Times New Roman" w:cs="Times New Roman"/>
                <w:sz w:val="24"/>
                <w:lang w:eastAsia="zh-CN"/>
              </w:rPr>
              <w:t>（</w:t>
            </w:r>
            <w:r>
              <w:rPr>
                <w:rFonts w:hint="default" w:ascii="Times New Roman" w:hAnsi="Times New Roman" w:cs="Times New Roman"/>
                <w:sz w:val="24"/>
                <w:lang w:val="en-US" w:eastAsia="zh-CN"/>
              </w:rPr>
              <w:t>3</w:t>
            </w:r>
            <w:r>
              <w:rPr>
                <w:rFonts w:hint="default" w:ascii="Times New Roman" w:hAnsi="Times New Roman" w:cs="Times New Roman"/>
                <w:sz w:val="24"/>
                <w:lang w:eastAsia="zh-CN"/>
              </w:rPr>
              <w:t>）</w:t>
            </w:r>
            <w:r>
              <w:rPr>
                <w:rFonts w:hint="default" w:ascii="Times New Roman" w:hAnsi="Times New Roman" w:cs="Times New Roman"/>
                <w:sz w:val="24"/>
                <w:lang w:val="en-US" w:eastAsia="zh-CN"/>
              </w:rPr>
              <w:t>与《尉犁县国土空间总体规划（2021-2035）》符合性分析</w:t>
            </w:r>
          </w:p>
          <w:p w14:paraId="20C5009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default" w:ascii="Times New Roman" w:hAnsi="Times New Roman" w:eastAsia="宋体" w:cs="Times New Roman"/>
                <w:sz w:val="24"/>
                <w:lang w:eastAsia="zh-CN"/>
              </w:rPr>
            </w:pPr>
            <w:r>
              <w:rPr>
                <w:rFonts w:hint="default" w:ascii="Times New Roman" w:hAnsi="Times New Roman" w:eastAsia="宋体" w:cs="Times New Roman"/>
                <w:sz w:val="24"/>
                <w:lang w:eastAsia="zh-CN"/>
              </w:rPr>
              <w:t>本工程新建110kV变电站1座，为新疆鸿泰鼎新材料科技有限公司鸿泰鼎绿色新材料纺织产业园（一期）建设项目的配套供电工程，站址位于尉犁县工业园区内产业园厂区规划用地范围，站区总用地面积0.9422hm²（围墙内0.3586hm²），地理坐标为。《尉犁县国土空间总体规划（2021—2035年）》第18条将县域划定为生态保护区、农田保护区、城镇发展区等六类规划分区，第20条提出区域基础设施用地适量增加，第13条明确城镇开发边界内重点保障尉犁县工业园的建设发展；第64条明确工业发展区主要分布在中心城区以北工业园区内，第65条确定“北工、中居、南旅”总体格局，第85条界定园区范围为“孔雀路以东、东外环路以西、园区路两侧工业用地”；第108条提出规划新建110kV变电站3座，第92条将变电站纳入城市黄线管控，第76条要求城区110kV电力廊道按40—50米宽防护绿地控制。本工程站址处于城镇开发边界内的城镇发展区，位于第85条界定的园区工业用地范围内，用地性质为园区工业用地配套的供电设施用地，不占用第12条划定的生态保护红线（5904.34km²，分布于喀尔曲尕乡、墩阔坦乡、阿克苏普乡及3处自然保护地），不占用第11条划定的永久基本农田（主要分布于孔雀河、塔里木河沿线），不新增建设用地规模、不改变用地性质，用地布局与“北工”格局及工业向园区集聚导向一致；工程</w:t>
            </w:r>
            <w:r>
              <w:rPr>
                <w:rFonts w:hint="default" w:ascii="Times New Roman" w:hAnsi="Times New Roman" w:cs="Times New Roman"/>
                <w:sz w:val="24"/>
                <w:lang w:eastAsia="zh-CN"/>
              </w:rPr>
              <w:t>属于</w:t>
            </w:r>
            <w:r>
              <w:rPr>
                <w:rFonts w:hint="default" w:ascii="Times New Roman" w:hAnsi="Times New Roman" w:eastAsia="宋体" w:cs="Times New Roman"/>
                <w:sz w:val="24"/>
                <w:lang w:eastAsia="zh-CN"/>
              </w:rPr>
              <w:t>第108条确定的110kV变电站布局范畴，进出线按第76条廊道防护要求控制，符合规划对电力基础设施的布局安排。综上，本工程建设与《尉犁县国土空间总体规划（2021—2035年）》相符。</w:t>
            </w:r>
          </w:p>
          <w:p w14:paraId="0C0264F2">
            <w:pPr>
              <w:pStyle w:val="67"/>
              <w:numPr>
                <w:ilvl w:val="0"/>
                <w:numId w:val="5"/>
              </w:numPr>
              <w:spacing w:line="480" w:lineRule="exact"/>
              <w:ind w:firstLineChars="0"/>
              <w:rPr>
                <w:rFonts w:hint="default" w:ascii="Times New Roman" w:hAnsi="Times New Roman" w:cs="Times New Roman"/>
                <w:b/>
                <w:bCs/>
                <w:kern w:val="0"/>
                <w:sz w:val="24"/>
              </w:rPr>
            </w:pPr>
            <w:r>
              <w:rPr>
                <w:rFonts w:hint="default" w:ascii="Times New Roman" w:hAnsi="Times New Roman" w:eastAsia="黑体" w:cs="Times New Roman"/>
                <w:sz w:val="24"/>
              </w:rPr>
              <w:t>与生态环境保护法律法规的符合性分析</w:t>
            </w:r>
          </w:p>
          <w:p w14:paraId="50EAAE2C">
            <w:pPr>
              <w:spacing w:line="480" w:lineRule="exact"/>
              <w:ind w:firstLine="480" w:firstLineChars="200"/>
              <w:rPr>
                <w:rFonts w:hint="default" w:ascii="Times New Roman" w:hAnsi="Times New Roman" w:eastAsia="黑体" w:cs="Times New Roman"/>
                <w:b/>
                <w:bCs/>
                <w:kern w:val="0"/>
                <w:sz w:val="24"/>
              </w:rPr>
            </w:pPr>
            <w:r>
              <w:rPr>
                <w:rFonts w:hint="default" w:ascii="Times New Roman" w:hAnsi="Times New Roman" w:eastAsia="黑体" w:cs="Times New Roman"/>
                <w:sz w:val="24"/>
                <w:lang w:bidi="ar"/>
              </w:rPr>
              <w:t>（</w:t>
            </w:r>
            <w:r>
              <w:rPr>
                <w:rFonts w:hint="eastAsia" w:eastAsia="黑体" w:cs="Times New Roman"/>
                <w:sz w:val="24"/>
                <w:lang w:val="en-US" w:eastAsia="zh-CN" w:bidi="ar"/>
              </w:rPr>
              <w:t>1</w:t>
            </w:r>
            <w:r>
              <w:rPr>
                <w:rFonts w:hint="default" w:ascii="Times New Roman" w:hAnsi="Times New Roman" w:eastAsia="黑体" w:cs="Times New Roman"/>
                <w:sz w:val="24"/>
                <w:lang w:bidi="ar"/>
              </w:rPr>
              <w:t>）与</w:t>
            </w:r>
            <w:r>
              <w:rPr>
                <w:rFonts w:hint="default" w:ascii="Times New Roman" w:hAnsi="Times New Roman" w:eastAsia="黑体" w:cs="Times New Roman"/>
                <w:sz w:val="24"/>
                <w:lang w:val="en-US" w:eastAsia="zh-CN" w:bidi="ar"/>
              </w:rPr>
              <w:t>《尉犁县国民经济和社会发展第十四个五年规划和二〇三五年远景目标纲要》</w:t>
            </w:r>
            <w:r>
              <w:rPr>
                <w:rFonts w:hint="default" w:ascii="Times New Roman" w:hAnsi="Times New Roman" w:eastAsia="黑体" w:cs="Times New Roman"/>
                <w:sz w:val="24"/>
                <w:lang w:bidi="ar"/>
              </w:rPr>
              <w:t>的相符性分析</w:t>
            </w:r>
          </w:p>
          <w:p w14:paraId="5628A8F2">
            <w:pPr>
              <w:spacing w:line="480" w:lineRule="exact"/>
              <w:ind w:firstLine="480" w:firstLineChars="200"/>
              <w:rPr>
                <w:rFonts w:hint="default" w:ascii="Times New Roman" w:hAnsi="Times New Roman" w:cs="Times New Roman"/>
                <w:sz w:val="24"/>
              </w:rPr>
            </w:pPr>
            <w:r>
              <w:rPr>
                <w:rFonts w:hint="default" w:ascii="Times New Roman" w:hAnsi="Times New Roman" w:cs="Times New Roman"/>
                <w:sz w:val="24"/>
              </w:rPr>
              <w:t>本工程的建设符合</w:t>
            </w:r>
            <w:r>
              <w:rPr>
                <w:rFonts w:hint="default" w:ascii="Times New Roman" w:hAnsi="Times New Roman" w:cs="Times New Roman"/>
                <w:sz w:val="24"/>
                <w:lang w:val="en-US" w:eastAsia="zh-CN"/>
              </w:rPr>
              <w:t>《尉犁县国民经济和社会发展第十四个五年规划和二〇三五年远景目标纲要》</w:t>
            </w:r>
            <w:r>
              <w:rPr>
                <w:rFonts w:hint="default" w:ascii="Times New Roman" w:hAnsi="Times New Roman" w:cs="Times New Roman"/>
                <w:sz w:val="24"/>
              </w:rPr>
              <w:t>相关要求，见表1-</w:t>
            </w:r>
            <w:r>
              <w:rPr>
                <w:rFonts w:hint="eastAsia" w:cs="Times New Roman"/>
                <w:sz w:val="24"/>
                <w:lang w:val="en-US" w:eastAsia="zh-CN"/>
              </w:rPr>
              <w:t>4</w:t>
            </w:r>
            <w:r>
              <w:rPr>
                <w:rFonts w:hint="default" w:ascii="Times New Roman" w:hAnsi="Times New Roman" w:cs="Times New Roman"/>
                <w:sz w:val="24"/>
              </w:rPr>
              <w:t>。</w:t>
            </w:r>
          </w:p>
          <w:p w14:paraId="70E63962">
            <w:pPr>
              <w:spacing w:line="400" w:lineRule="exact"/>
              <w:ind w:firstLine="420" w:firstLineChars="200"/>
              <w:rPr>
                <w:rFonts w:hint="default" w:ascii="Times New Roman" w:hAnsi="Times New Roman" w:eastAsia="黑体" w:cs="Times New Roman"/>
                <w:szCs w:val="21"/>
              </w:rPr>
            </w:pPr>
            <w:r>
              <w:rPr>
                <w:rFonts w:hint="default" w:ascii="Times New Roman" w:hAnsi="Times New Roman" w:eastAsia="黑体" w:cs="Times New Roman"/>
                <w:szCs w:val="21"/>
              </w:rPr>
              <w:t>表1-</w:t>
            </w:r>
            <w:r>
              <w:rPr>
                <w:rFonts w:hint="eastAsia" w:eastAsia="黑体" w:cs="Times New Roman"/>
                <w:szCs w:val="21"/>
                <w:lang w:val="en-US" w:eastAsia="zh-CN"/>
              </w:rPr>
              <w:t>4</w:t>
            </w:r>
            <w:r>
              <w:rPr>
                <w:rFonts w:hint="default" w:ascii="Times New Roman" w:hAnsi="Times New Roman" w:eastAsia="黑体" w:cs="Times New Roman"/>
                <w:szCs w:val="21"/>
              </w:rPr>
              <w:t xml:space="preserve"> 本工程与</w:t>
            </w:r>
            <w:r>
              <w:rPr>
                <w:rFonts w:hint="default" w:ascii="Times New Roman" w:hAnsi="Times New Roman" w:eastAsia="黑体" w:cs="Times New Roman"/>
                <w:szCs w:val="21"/>
                <w:lang w:val="en-US" w:eastAsia="zh-CN"/>
              </w:rPr>
              <w:t>《尉犁县国民经济和社会发展第十四个五年规划和二〇三五年远景目标纲要》</w:t>
            </w:r>
            <w:r>
              <w:rPr>
                <w:rFonts w:hint="default" w:ascii="Times New Roman" w:hAnsi="Times New Roman" w:eastAsia="黑体" w:cs="Times New Roman"/>
                <w:szCs w:val="21"/>
              </w:rPr>
              <w:t>的相符性分析</w:t>
            </w:r>
          </w:p>
          <w:tbl>
            <w:tblPr>
              <w:tblStyle w:val="43"/>
              <w:tblW w:w="5000" w:type="pct"/>
              <w:jc w:val="center"/>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shd w:val="clear" w:color="auto" w:fill="auto"/>
              <w:tblLayout w:type="autofit"/>
              <w:tblCellMar>
                <w:top w:w="15" w:type="dxa"/>
                <w:left w:w="15" w:type="dxa"/>
                <w:bottom w:w="15" w:type="dxa"/>
                <w:right w:w="15" w:type="dxa"/>
              </w:tblCellMar>
            </w:tblPr>
            <w:tblGrid>
              <w:gridCol w:w="2177"/>
              <w:gridCol w:w="4650"/>
              <w:gridCol w:w="476"/>
            </w:tblGrid>
            <w:tr w14:paraId="66AF454F">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shd w:val="clear" w:color="auto" w:fill="auto"/>
                <w:tblCellMar>
                  <w:top w:w="15" w:type="dxa"/>
                  <w:left w:w="15" w:type="dxa"/>
                  <w:bottom w:w="15" w:type="dxa"/>
                  <w:right w:w="15" w:type="dxa"/>
                </w:tblCellMar>
              </w:tblPrEx>
              <w:trPr>
                <w:trHeight w:val="397" w:hRule="atLeast"/>
                <w:tblHeader/>
                <w:jc w:val="center"/>
              </w:trPr>
              <w:tc>
                <w:tcPr>
                  <w:tcW w:w="0" w:type="auto"/>
                  <w:tcBorders>
                    <w:tl2br w:val="nil"/>
                    <w:tr2bl w:val="nil"/>
                  </w:tcBorders>
                  <w:shd w:val="clear" w:color="auto" w:fill="auto"/>
                  <w:tcMar>
                    <w:top w:w="120" w:type="dxa"/>
                    <w:left w:w="120" w:type="dxa"/>
                    <w:bottom w:w="120" w:type="dxa"/>
                    <w:right w:w="120" w:type="dxa"/>
                  </w:tcMar>
                  <w:vAlign w:val="center"/>
                </w:tcPr>
                <w:p w14:paraId="356C752E">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rPr>
                  </w:pPr>
                  <w:r>
                    <w:rPr>
                      <w:rFonts w:hint="default" w:ascii="Times New Roman" w:hAnsi="Times New Roman" w:eastAsia="宋体" w:cs="Times New Roman"/>
                      <w:b w:val="0"/>
                      <w:bCs w:val="0"/>
                      <w:kern w:val="0"/>
                      <w:sz w:val="21"/>
                      <w:szCs w:val="21"/>
                      <w:lang w:val="en-US" w:eastAsia="zh-CN" w:bidi="ar"/>
                    </w:rPr>
                    <w:t>规划章节及条款核心内容</w:t>
                  </w:r>
                </w:p>
              </w:tc>
              <w:tc>
                <w:tcPr>
                  <w:tcW w:w="0" w:type="auto"/>
                  <w:tcBorders>
                    <w:tl2br w:val="nil"/>
                    <w:tr2bl w:val="nil"/>
                  </w:tcBorders>
                  <w:shd w:val="clear" w:color="auto" w:fill="auto"/>
                  <w:tcMar>
                    <w:top w:w="120" w:type="dxa"/>
                    <w:left w:w="120" w:type="dxa"/>
                    <w:bottom w:w="120" w:type="dxa"/>
                    <w:right w:w="120" w:type="dxa"/>
                  </w:tcMar>
                  <w:vAlign w:val="center"/>
                </w:tcPr>
                <w:p w14:paraId="72BDDCEA">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rPr>
                  </w:pPr>
                  <w:r>
                    <w:rPr>
                      <w:rFonts w:hint="default" w:ascii="Times New Roman" w:hAnsi="Times New Roman" w:eastAsia="宋体" w:cs="Times New Roman"/>
                      <w:b w:val="0"/>
                      <w:bCs w:val="0"/>
                      <w:kern w:val="0"/>
                      <w:sz w:val="21"/>
                      <w:szCs w:val="21"/>
                      <w:lang w:val="en-US" w:eastAsia="zh-CN" w:bidi="ar"/>
                    </w:rPr>
                    <w:t>符合性分析</w:t>
                  </w:r>
                </w:p>
              </w:tc>
              <w:tc>
                <w:tcPr>
                  <w:tcW w:w="0" w:type="auto"/>
                  <w:tcBorders>
                    <w:tl2br w:val="nil"/>
                    <w:tr2bl w:val="nil"/>
                  </w:tcBorders>
                  <w:shd w:val="clear" w:color="auto" w:fill="auto"/>
                  <w:tcMar>
                    <w:top w:w="120" w:type="dxa"/>
                    <w:left w:w="120" w:type="dxa"/>
                    <w:bottom w:w="120" w:type="dxa"/>
                    <w:right w:w="120" w:type="dxa"/>
                  </w:tcMar>
                  <w:vAlign w:val="center"/>
                </w:tcPr>
                <w:p w14:paraId="2DE673B3">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rPr>
                  </w:pPr>
                  <w:r>
                    <w:rPr>
                      <w:rFonts w:hint="default" w:ascii="Times New Roman" w:hAnsi="Times New Roman" w:eastAsia="宋体" w:cs="Times New Roman"/>
                      <w:b w:val="0"/>
                      <w:bCs w:val="0"/>
                      <w:kern w:val="0"/>
                      <w:sz w:val="21"/>
                      <w:szCs w:val="21"/>
                      <w:lang w:val="en-US" w:eastAsia="zh-CN" w:bidi="ar"/>
                    </w:rPr>
                    <w:t>结论</w:t>
                  </w:r>
                </w:p>
              </w:tc>
            </w:tr>
            <w:tr w14:paraId="644564AF">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397" w:hRule="atLeast"/>
                <w:jc w:val="center"/>
              </w:trPr>
              <w:tc>
                <w:tcPr>
                  <w:tcW w:w="0" w:type="auto"/>
                  <w:tcBorders>
                    <w:tl2br w:val="nil"/>
                    <w:tr2bl w:val="nil"/>
                  </w:tcBorders>
                  <w:shd w:val="clear" w:color="auto" w:fill="auto"/>
                  <w:tcMar>
                    <w:top w:w="120" w:type="dxa"/>
                    <w:left w:w="120" w:type="dxa"/>
                    <w:bottom w:w="120" w:type="dxa"/>
                    <w:right w:w="120" w:type="dxa"/>
                  </w:tcMar>
                  <w:vAlign w:val="center"/>
                </w:tcPr>
                <w:p w14:paraId="55769563">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rPr>
                  </w:pPr>
                  <w:r>
                    <w:rPr>
                      <w:rStyle w:val="46"/>
                      <w:rFonts w:hint="default" w:ascii="Times New Roman" w:hAnsi="Times New Roman" w:eastAsia="宋体" w:cs="Times New Roman"/>
                      <w:b w:val="0"/>
                      <w:bCs w:val="0"/>
                      <w:kern w:val="0"/>
                      <w:sz w:val="21"/>
                      <w:szCs w:val="21"/>
                      <w:lang w:val="en-US" w:eastAsia="zh-CN" w:bidi="ar"/>
                    </w:rPr>
                    <w:t>一、做强现代工业，推动工业园区扩容提质，完善园区基础设施配套，培育纺织新材料等主导产业，提升园区产业承载力</w:t>
                  </w:r>
                </w:p>
              </w:tc>
              <w:tc>
                <w:tcPr>
                  <w:tcW w:w="0" w:type="auto"/>
                  <w:tcBorders>
                    <w:tl2br w:val="nil"/>
                    <w:tr2bl w:val="nil"/>
                  </w:tcBorders>
                  <w:shd w:val="clear" w:color="auto" w:fill="auto"/>
                  <w:tcMar>
                    <w:top w:w="120" w:type="dxa"/>
                    <w:left w:w="120" w:type="dxa"/>
                    <w:bottom w:w="120" w:type="dxa"/>
                    <w:right w:w="120" w:type="dxa"/>
                  </w:tcMar>
                  <w:vAlign w:val="center"/>
                </w:tcPr>
                <w:p w14:paraId="00ADBE2F">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rPr>
                  </w:pPr>
                  <w:r>
                    <w:rPr>
                      <w:rFonts w:hint="default" w:ascii="Times New Roman" w:hAnsi="Times New Roman" w:cs="Times New Roman"/>
                      <w:b w:val="0"/>
                      <w:bCs w:val="0"/>
                      <w:sz w:val="21"/>
                      <w:szCs w:val="21"/>
                    </w:rPr>
                    <w:t>本 110kV 变电站作为新疆鸿泰鼎绿色新材料纺织产业园配套公用基础设施，为园区内工业项目提供可靠电力保障。项目实施能够补齐园区电力基础设施短板，持续提升工业园区综合承载能力，与地方壮大工业产业、健全园区配套体系的发展规划导向一致。</w:t>
                  </w:r>
                </w:p>
              </w:tc>
              <w:tc>
                <w:tcPr>
                  <w:tcW w:w="0" w:type="auto"/>
                  <w:tcBorders>
                    <w:tl2br w:val="nil"/>
                    <w:tr2bl w:val="nil"/>
                  </w:tcBorders>
                  <w:shd w:val="clear" w:color="auto" w:fill="auto"/>
                  <w:tcMar>
                    <w:top w:w="120" w:type="dxa"/>
                    <w:left w:w="120" w:type="dxa"/>
                    <w:bottom w:w="120" w:type="dxa"/>
                    <w:right w:w="120" w:type="dxa"/>
                  </w:tcMar>
                  <w:vAlign w:val="center"/>
                </w:tcPr>
                <w:p w14:paraId="2D9AC636">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rPr>
                  </w:pPr>
                  <w:r>
                    <w:rPr>
                      <w:rFonts w:hint="default" w:ascii="Times New Roman" w:hAnsi="Times New Roman" w:eastAsia="宋体" w:cs="Times New Roman"/>
                      <w:b w:val="0"/>
                      <w:bCs w:val="0"/>
                      <w:kern w:val="0"/>
                      <w:sz w:val="21"/>
                      <w:szCs w:val="21"/>
                      <w:lang w:val="en-US" w:eastAsia="zh-CN" w:bidi="ar"/>
                    </w:rPr>
                    <w:t>符合</w:t>
                  </w:r>
                </w:p>
              </w:tc>
            </w:tr>
            <w:tr w14:paraId="4DCB5B65">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397" w:hRule="atLeast"/>
                <w:jc w:val="center"/>
              </w:trPr>
              <w:tc>
                <w:tcPr>
                  <w:tcW w:w="0" w:type="auto"/>
                  <w:tcBorders>
                    <w:tl2br w:val="nil"/>
                    <w:tr2bl w:val="nil"/>
                  </w:tcBorders>
                  <w:shd w:val="clear" w:color="auto" w:fill="auto"/>
                  <w:tcMar>
                    <w:top w:w="120" w:type="dxa"/>
                    <w:left w:w="120" w:type="dxa"/>
                    <w:bottom w:w="120" w:type="dxa"/>
                    <w:right w:w="120" w:type="dxa"/>
                  </w:tcMar>
                  <w:vAlign w:val="center"/>
                </w:tcPr>
                <w:p w14:paraId="6B9E313F">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rPr>
                  </w:pPr>
                  <w:r>
                    <w:rPr>
                      <w:rStyle w:val="46"/>
                      <w:rFonts w:hint="default" w:ascii="Times New Roman" w:hAnsi="Times New Roman" w:eastAsia="宋体" w:cs="Times New Roman"/>
                      <w:b w:val="0"/>
                      <w:bCs w:val="0"/>
                      <w:kern w:val="0"/>
                      <w:sz w:val="21"/>
                      <w:szCs w:val="21"/>
                      <w:lang w:val="en-US" w:eastAsia="zh-CN" w:bidi="ar"/>
                    </w:rPr>
                    <w:t>二、完善能源基础设施建设，优化电网网架结构，保障产业用电；大力发展光伏等新能源产业，提升新能源消纳能力，构建新型电力系统</w:t>
                  </w:r>
                </w:p>
              </w:tc>
              <w:tc>
                <w:tcPr>
                  <w:tcW w:w="0" w:type="auto"/>
                  <w:tcBorders>
                    <w:tl2br w:val="nil"/>
                    <w:tr2bl w:val="nil"/>
                  </w:tcBorders>
                  <w:shd w:val="clear" w:color="auto" w:fill="auto"/>
                  <w:tcMar>
                    <w:top w:w="120" w:type="dxa"/>
                    <w:left w:w="120" w:type="dxa"/>
                    <w:bottom w:w="120" w:type="dxa"/>
                    <w:right w:w="120" w:type="dxa"/>
                  </w:tcMar>
                  <w:vAlign w:val="center"/>
                </w:tcPr>
                <w:p w14:paraId="2CD507D7">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rPr>
                  </w:pPr>
                  <w:r>
                    <w:rPr>
                      <w:rFonts w:hint="default" w:ascii="Times New Roman" w:hAnsi="Times New Roman" w:eastAsia="宋体" w:cs="Times New Roman"/>
                      <w:b w:val="0"/>
                      <w:bCs w:val="0"/>
                      <w:kern w:val="0"/>
                      <w:sz w:val="21"/>
                      <w:szCs w:val="21"/>
                      <w:lang w:val="en-US" w:eastAsia="zh-CN" w:bidi="ar"/>
                    </w:rPr>
                    <w:t>本项目属于县域电网重要组成部分，可完善尉犁县区域电网网架；为县域光伏等新能源项目提供电力接入、汇集送出通道，助力尉犁县百万千瓦级新能源基地电力消纳，夯实全县产业发展电力保障基础。</w:t>
                  </w:r>
                </w:p>
              </w:tc>
              <w:tc>
                <w:tcPr>
                  <w:tcW w:w="0" w:type="auto"/>
                  <w:tcBorders>
                    <w:tl2br w:val="nil"/>
                    <w:tr2bl w:val="nil"/>
                  </w:tcBorders>
                  <w:shd w:val="clear" w:color="auto" w:fill="auto"/>
                  <w:tcMar>
                    <w:top w:w="120" w:type="dxa"/>
                    <w:left w:w="120" w:type="dxa"/>
                    <w:bottom w:w="120" w:type="dxa"/>
                    <w:right w:w="120" w:type="dxa"/>
                  </w:tcMar>
                  <w:vAlign w:val="center"/>
                </w:tcPr>
                <w:p w14:paraId="13F6F24F">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rPr>
                  </w:pPr>
                  <w:r>
                    <w:rPr>
                      <w:rFonts w:hint="default" w:ascii="Times New Roman" w:hAnsi="Times New Roman" w:eastAsia="宋体" w:cs="Times New Roman"/>
                      <w:b w:val="0"/>
                      <w:bCs w:val="0"/>
                      <w:kern w:val="0"/>
                      <w:sz w:val="21"/>
                      <w:szCs w:val="21"/>
                      <w:lang w:val="en-US" w:eastAsia="zh-CN" w:bidi="ar"/>
                    </w:rPr>
                    <w:t>符合</w:t>
                  </w:r>
                </w:p>
              </w:tc>
            </w:tr>
            <w:tr w14:paraId="39609859">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397" w:hRule="atLeast"/>
                <w:jc w:val="center"/>
              </w:trPr>
              <w:tc>
                <w:tcPr>
                  <w:tcW w:w="0" w:type="auto"/>
                  <w:tcBorders>
                    <w:tl2br w:val="nil"/>
                    <w:tr2bl w:val="nil"/>
                  </w:tcBorders>
                  <w:shd w:val="clear" w:color="auto" w:fill="auto"/>
                  <w:tcMar>
                    <w:top w:w="120" w:type="dxa"/>
                    <w:left w:w="120" w:type="dxa"/>
                    <w:bottom w:w="120" w:type="dxa"/>
                    <w:right w:w="120" w:type="dxa"/>
                  </w:tcMar>
                  <w:vAlign w:val="center"/>
                </w:tcPr>
                <w:p w14:paraId="07232E56">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rPr>
                  </w:pPr>
                  <w:r>
                    <w:rPr>
                      <w:rStyle w:val="46"/>
                      <w:rFonts w:hint="default" w:ascii="Times New Roman" w:hAnsi="Times New Roman" w:eastAsia="宋体" w:cs="Times New Roman"/>
                      <w:b w:val="0"/>
                      <w:bCs w:val="0"/>
                      <w:kern w:val="0"/>
                      <w:sz w:val="21"/>
                      <w:szCs w:val="21"/>
                      <w:lang w:val="en-US" w:eastAsia="zh-CN" w:bidi="ar"/>
                    </w:rPr>
                    <w:t>三、坚持生态优先绿色发展，深入打好污染防治攻坚战，落实能耗双控，推动减污降碳协同增效</w:t>
                  </w:r>
                </w:p>
              </w:tc>
              <w:tc>
                <w:tcPr>
                  <w:tcW w:w="0" w:type="auto"/>
                  <w:tcBorders>
                    <w:tl2br w:val="nil"/>
                    <w:tr2bl w:val="nil"/>
                  </w:tcBorders>
                  <w:shd w:val="clear" w:color="auto" w:fill="auto"/>
                  <w:tcMar>
                    <w:top w:w="120" w:type="dxa"/>
                    <w:left w:w="120" w:type="dxa"/>
                    <w:bottom w:w="120" w:type="dxa"/>
                    <w:right w:w="120" w:type="dxa"/>
                  </w:tcMar>
                  <w:vAlign w:val="center"/>
                </w:tcPr>
                <w:p w14:paraId="3AF3F89A">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rPr>
                  </w:pPr>
                  <w:r>
                    <w:rPr>
                      <w:rFonts w:hint="default" w:ascii="Times New Roman" w:hAnsi="Times New Roman" w:eastAsia="宋体" w:cs="Times New Roman"/>
                      <w:b w:val="0"/>
                      <w:bCs w:val="0"/>
                      <w:kern w:val="0"/>
                      <w:sz w:val="21"/>
                      <w:szCs w:val="21"/>
                      <w:lang w:val="en-US" w:eastAsia="zh-CN" w:bidi="ar"/>
                    </w:rPr>
                    <w:t>项目不属于高耗能、高排放 “两高” 项目；选用低损耗节能型主变压器，降低变电环节电能损耗；运行几乎不产生温室气体，服务清洁能源输送，间接助力县域减污降碳。</w:t>
                  </w:r>
                </w:p>
              </w:tc>
              <w:tc>
                <w:tcPr>
                  <w:tcW w:w="0" w:type="auto"/>
                  <w:tcBorders>
                    <w:tl2br w:val="nil"/>
                    <w:tr2bl w:val="nil"/>
                  </w:tcBorders>
                  <w:shd w:val="clear" w:color="auto" w:fill="auto"/>
                  <w:tcMar>
                    <w:top w:w="120" w:type="dxa"/>
                    <w:left w:w="120" w:type="dxa"/>
                    <w:bottom w:w="120" w:type="dxa"/>
                    <w:right w:w="120" w:type="dxa"/>
                  </w:tcMar>
                  <w:vAlign w:val="center"/>
                </w:tcPr>
                <w:p w14:paraId="06151973">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rPr>
                  </w:pPr>
                  <w:r>
                    <w:rPr>
                      <w:rFonts w:hint="default" w:ascii="Times New Roman" w:hAnsi="Times New Roman" w:eastAsia="宋体" w:cs="Times New Roman"/>
                      <w:b w:val="0"/>
                      <w:bCs w:val="0"/>
                      <w:kern w:val="0"/>
                      <w:sz w:val="21"/>
                      <w:szCs w:val="21"/>
                      <w:lang w:val="en-US" w:eastAsia="zh-CN" w:bidi="ar"/>
                    </w:rPr>
                    <w:t>符合</w:t>
                  </w:r>
                </w:p>
              </w:tc>
            </w:tr>
            <w:tr w14:paraId="0F5A5547">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397" w:hRule="atLeast"/>
                <w:jc w:val="center"/>
              </w:trPr>
              <w:tc>
                <w:tcPr>
                  <w:tcW w:w="0" w:type="auto"/>
                  <w:tcBorders>
                    <w:tl2br w:val="nil"/>
                    <w:tr2bl w:val="nil"/>
                  </w:tcBorders>
                  <w:shd w:val="clear" w:color="auto" w:fill="auto"/>
                  <w:tcMar>
                    <w:top w:w="120" w:type="dxa"/>
                    <w:left w:w="120" w:type="dxa"/>
                    <w:bottom w:w="120" w:type="dxa"/>
                    <w:right w:w="120" w:type="dxa"/>
                  </w:tcMar>
                  <w:vAlign w:val="center"/>
                </w:tcPr>
                <w:p w14:paraId="50706CAF">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rPr>
                  </w:pPr>
                  <w:r>
                    <w:rPr>
                      <w:rStyle w:val="46"/>
                      <w:rFonts w:hint="default" w:ascii="Times New Roman" w:hAnsi="Times New Roman" w:eastAsia="宋体" w:cs="Times New Roman"/>
                      <w:b w:val="0"/>
                      <w:bCs w:val="0"/>
                      <w:kern w:val="0"/>
                      <w:sz w:val="21"/>
                      <w:szCs w:val="21"/>
                      <w:lang w:val="en-US" w:eastAsia="zh-CN" w:bidi="ar"/>
                    </w:rPr>
                    <w:t>四、国土空间管控，严守生态保护红线，优化建设用地布局，重大基础设施集约节约用地</w:t>
                  </w:r>
                </w:p>
              </w:tc>
              <w:tc>
                <w:tcPr>
                  <w:tcW w:w="0" w:type="auto"/>
                  <w:tcBorders>
                    <w:tl2br w:val="nil"/>
                    <w:tr2bl w:val="nil"/>
                  </w:tcBorders>
                  <w:shd w:val="clear" w:color="auto" w:fill="auto"/>
                  <w:tcMar>
                    <w:top w:w="120" w:type="dxa"/>
                    <w:left w:w="120" w:type="dxa"/>
                    <w:bottom w:w="120" w:type="dxa"/>
                    <w:right w:w="120" w:type="dxa"/>
                  </w:tcMar>
                  <w:vAlign w:val="center"/>
                </w:tcPr>
                <w:p w14:paraId="030788D3">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rPr>
                  </w:pPr>
                  <w:r>
                    <w:rPr>
                      <w:rFonts w:hint="default" w:ascii="Times New Roman" w:hAnsi="Times New Roman" w:eastAsia="宋体" w:cs="Times New Roman"/>
                      <w:b w:val="0"/>
                      <w:bCs w:val="0"/>
                      <w:kern w:val="0"/>
                      <w:sz w:val="21"/>
                      <w:szCs w:val="21"/>
                      <w:lang w:val="en-US" w:eastAsia="zh-CN" w:bidi="ar"/>
                    </w:rPr>
                    <w:t>项目选址位于尉犁工业园区城镇开发边界范围内，不占用生态保护红线、永久基本农田；变电站用地为规划工业/基础设施建设用地，集约节约用地，符合国土空间布局管控要求。</w:t>
                  </w:r>
                </w:p>
              </w:tc>
              <w:tc>
                <w:tcPr>
                  <w:tcW w:w="0" w:type="auto"/>
                  <w:tcBorders>
                    <w:tl2br w:val="nil"/>
                    <w:tr2bl w:val="nil"/>
                  </w:tcBorders>
                  <w:shd w:val="clear" w:color="auto" w:fill="auto"/>
                  <w:tcMar>
                    <w:top w:w="120" w:type="dxa"/>
                    <w:left w:w="120" w:type="dxa"/>
                    <w:bottom w:w="120" w:type="dxa"/>
                    <w:right w:w="120" w:type="dxa"/>
                  </w:tcMar>
                  <w:vAlign w:val="center"/>
                </w:tcPr>
                <w:p w14:paraId="1438FA6E">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rPr>
                  </w:pPr>
                  <w:r>
                    <w:rPr>
                      <w:rFonts w:hint="default" w:ascii="Times New Roman" w:hAnsi="Times New Roman" w:eastAsia="宋体" w:cs="Times New Roman"/>
                      <w:b w:val="0"/>
                      <w:bCs w:val="0"/>
                      <w:kern w:val="0"/>
                      <w:sz w:val="21"/>
                      <w:szCs w:val="21"/>
                      <w:lang w:val="en-US" w:eastAsia="zh-CN" w:bidi="ar"/>
                    </w:rPr>
                    <w:t>符合</w:t>
                  </w:r>
                </w:p>
              </w:tc>
            </w:tr>
            <w:tr w14:paraId="5E14D1BB">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397" w:hRule="atLeast"/>
                <w:jc w:val="center"/>
              </w:trPr>
              <w:tc>
                <w:tcPr>
                  <w:tcW w:w="0" w:type="auto"/>
                  <w:tcBorders>
                    <w:tl2br w:val="nil"/>
                    <w:tr2bl w:val="nil"/>
                  </w:tcBorders>
                  <w:shd w:val="clear" w:color="auto" w:fill="auto"/>
                  <w:tcMar>
                    <w:top w:w="120" w:type="dxa"/>
                    <w:left w:w="120" w:type="dxa"/>
                    <w:bottom w:w="120" w:type="dxa"/>
                    <w:right w:w="120" w:type="dxa"/>
                  </w:tcMar>
                  <w:vAlign w:val="center"/>
                </w:tcPr>
                <w:p w14:paraId="453EBAF8">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rPr>
                  </w:pPr>
                  <w:r>
                    <w:rPr>
                      <w:rStyle w:val="46"/>
                      <w:rFonts w:hint="default" w:ascii="Times New Roman" w:hAnsi="Times New Roman" w:eastAsia="宋体" w:cs="Times New Roman"/>
                      <w:b w:val="0"/>
                      <w:bCs w:val="0"/>
                      <w:kern w:val="0"/>
                      <w:sz w:val="21"/>
                      <w:szCs w:val="21"/>
                      <w:lang w:val="en-US" w:eastAsia="zh-CN" w:bidi="ar"/>
                    </w:rPr>
                    <w:t>五、强化污染防控，工业项目废水、固废、环境风险管控；危险废物规范化管理，防范环境风险</w:t>
                  </w:r>
                </w:p>
              </w:tc>
              <w:tc>
                <w:tcPr>
                  <w:tcW w:w="0" w:type="auto"/>
                  <w:tcBorders>
                    <w:tl2br w:val="nil"/>
                    <w:tr2bl w:val="nil"/>
                  </w:tcBorders>
                  <w:shd w:val="clear" w:color="auto" w:fill="auto"/>
                  <w:tcMar>
                    <w:top w:w="120" w:type="dxa"/>
                    <w:left w:w="120" w:type="dxa"/>
                    <w:bottom w:w="120" w:type="dxa"/>
                    <w:right w:w="120" w:type="dxa"/>
                  </w:tcMar>
                  <w:vAlign w:val="center"/>
                </w:tcPr>
                <w:p w14:paraId="062A9C24">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rPr>
                  </w:pPr>
                  <w:r>
                    <w:rPr>
                      <w:rFonts w:hint="default" w:ascii="Times New Roman" w:hAnsi="Times New Roman" w:eastAsia="宋体" w:cs="Times New Roman"/>
                      <w:b w:val="0"/>
                      <w:bCs w:val="0"/>
                      <w:kern w:val="0"/>
                      <w:sz w:val="21"/>
                      <w:szCs w:val="21"/>
                      <w:lang w:val="en-US" w:eastAsia="zh-CN" w:bidi="ar"/>
                    </w:rPr>
                    <w:t>项目无生产工艺废水；值守人员</w:t>
                  </w:r>
                  <w:r>
                    <w:rPr>
                      <w:rFonts w:hint="eastAsia" w:ascii="Times New Roman" w:hAnsi="Times New Roman" w:eastAsia="宋体" w:cs="Times New Roman"/>
                      <w:b w:val="0"/>
                      <w:bCs w:val="0"/>
                      <w:kern w:val="0"/>
                      <w:sz w:val="21"/>
                      <w:szCs w:val="21"/>
                      <w:lang w:val="en-US" w:eastAsia="zh-CN" w:bidi="ar"/>
                    </w:rPr>
                    <w:t>生活污水经化粪池预处理后接入厂区污水管网，送产业园（一期）厂区自建污水处理站集中处理，处理达标后排入园区污水管网，最终进入尉犁工业园区工业污水处理厂深度处理</w:t>
                  </w:r>
                  <w:r>
                    <w:rPr>
                      <w:rFonts w:hint="default" w:ascii="Times New Roman" w:hAnsi="Times New Roman" w:eastAsia="宋体" w:cs="Times New Roman"/>
                      <w:b w:val="0"/>
                      <w:bCs w:val="0"/>
                      <w:kern w:val="0"/>
                      <w:sz w:val="21"/>
                      <w:szCs w:val="21"/>
                      <w:lang w:val="en-US" w:eastAsia="zh-CN" w:bidi="ar"/>
                    </w:rPr>
                    <w:t>；废变压器油作为危险废物，配套危废暂存间、事故油池，落实防渗、台账、资质单位转运处置，防控油类泄漏土壤地下水风险；施工期落实施工扬尘、噪声、水土保持管控。</w:t>
                  </w:r>
                </w:p>
              </w:tc>
              <w:tc>
                <w:tcPr>
                  <w:tcW w:w="0" w:type="auto"/>
                  <w:tcBorders>
                    <w:tl2br w:val="nil"/>
                    <w:tr2bl w:val="nil"/>
                  </w:tcBorders>
                  <w:shd w:val="clear" w:color="auto" w:fill="auto"/>
                  <w:tcMar>
                    <w:top w:w="120" w:type="dxa"/>
                    <w:left w:w="120" w:type="dxa"/>
                    <w:bottom w:w="120" w:type="dxa"/>
                    <w:right w:w="120" w:type="dxa"/>
                  </w:tcMar>
                  <w:vAlign w:val="center"/>
                </w:tcPr>
                <w:p w14:paraId="6219F790">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rPr>
                  </w:pPr>
                  <w:r>
                    <w:rPr>
                      <w:rFonts w:hint="default" w:ascii="Times New Roman" w:hAnsi="Times New Roman" w:eastAsia="宋体" w:cs="Times New Roman"/>
                      <w:b w:val="0"/>
                      <w:bCs w:val="0"/>
                      <w:kern w:val="0"/>
                      <w:sz w:val="21"/>
                      <w:szCs w:val="21"/>
                      <w:lang w:val="en-US" w:eastAsia="zh-CN" w:bidi="ar"/>
                    </w:rPr>
                    <w:t>符合</w:t>
                  </w:r>
                </w:p>
              </w:tc>
            </w:tr>
            <w:tr w14:paraId="4977E285">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397" w:hRule="atLeast"/>
                <w:jc w:val="center"/>
              </w:trPr>
              <w:tc>
                <w:tcPr>
                  <w:tcW w:w="0" w:type="auto"/>
                  <w:tcBorders>
                    <w:tl2br w:val="nil"/>
                    <w:tr2bl w:val="nil"/>
                  </w:tcBorders>
                  <w:shd w:val="clear" w:color="auto" w:fill="auto"/>
                  <w:tcMar>
                    <w:top w:w="120" w:type="dxa"/>
                    <w:left w:w="120" w:type="dxa"/>
                    <w:bottom w:w="120" w:type="dxa"/>
                    <w:right w:w="120" w:type="dxa"/>
                  </w:tcMar>
                  <w:vAlign w:val="center"/>
                </w:tcPr>
                <w:p w14:paraId="4E6A2E00">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rPr>
                  </w:pPr>
                  <w:r>
                    <w:rPr>
                      <w:rStyle w:val="46"/>
                      <w:rFonts w:hint="default" w:ascii="Times New Roman" w:hAnsi="Times New Roman" w:eastAsia="宋体" w:cs="Times New Roman"/>
                      <w:b w:val="0"/>
                      <w:bCs w:val="0"/>
                      <w:kern w:val="0"/>
                      <w:sz w:val="21"/>
                      <w:szCs w:val="21"/>
                      <w:lang w:val="en-US" w:eastAsia="zh-CN" w:bidi="ar"/>
                    </w:rPr>
                    <w:t>六、健全基础设施体系，统筹推进电力等市政基础设施建设，支撑县域经济高质量发展</w:t>
                  </w:r>
                </w:p>
              </w:tc>
              <w:tc>
                <w:tcPr>
                  <w:tcW w:w="0" w:type="auto"/>
                  <w:tcBorders>
                    <w:tl2br w:val="nil"/>
                    <w:tr2bl w:val="nil"/>
                  </w:tcBorders>
                  <w:shd w:val="clear" w:color="auto" w:fill="auto"/>
                  <w:tcMar>
                    <w:top w:w="120" w:type="dxa"/>
                    <w:left w:w="120" w:type="dxa"/>
                    <w:bottom w:w="120" w:type="dxa"/>
                    <w:right w:w="120" w:type="dxa"/>
                  </w:tcMar>
                  <w:vAlign w:val="center"/>
                </w:tcPr>
                <w:p w14:paraId="5345AD64">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rPr>
                  </w:pPr>
                  <w:r>
                    <w:rPr>
                      <w:rFonts w:hint="default" w:ascii="Times New Roman" w:hAnsi="Times New Roman" w:eastAsia="宋体" w:cs="Times New Roman"/>
                      <w:b w:val="0"/>
                      <w:bCs w:val="0"/>
                      <w:kern w:val="0"/>
                      <w:sz w:val="21"/>
                      <w:szCs w:val="21"/>
                      <w:lang w:val="en-US" w:eastAsia="zh-CN" w:bidi="ar"/>
                    </w:rPr>
                    <w:t>本变电站属于规划重点推进的电力基础设施项目，可满足工业园区及周边区域不断增长的用电负荷，为尉犁县工业、新能源产业发展提供可靠电力保障，属于纲要鼓励建设的基础设施范畴。</w:t>
                  </w:r>
                </w:p>
              </w:tc>
              <w:tc>
                <w:tcPr>
                  <w:tcW w:w="0" w:type="auto"/>
                  <w:tcBorders>
                    <w:tl2br w:val="nil"/>
                    <w:tr2bl w:val="nil"/>
                  </w:tcBorders>
                  <w:shd w:val="clear" w:color="auto" w:fill="auto"/>
                  <w:tcMar>
                    <w:top w:w="120" w:type="dxa"/>
                    <w:left w:w="120" w:type="dxa"/>
                    <w:bottom w:w="120" w:type="dxa"/>
                    <w:right w:w="120" w:type="dxa"/>
                  </w:tcMar>
                  <w:vAlign w:val="center"/>
                </w:tcPr>
                <w:p w14:paraId="0C5B35C7">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rPr>
                  </w:pPr>
                  <w:r>
                    <w:rPr>
                      <w:rFonts w:hint="default" w:ascii="Times New Roman" w:hAnsi="Times New Roman" w:eastAsia="宋体" w:cs="Times New Roman"/>
                      <w:b w:val="0"/>
                      <w:bCs w:val="0"/>
                      <w:kern w:val="0"/>
                      <w:sz w:val="21"/>
                      <w:szCs w:val="21"/>
                      <w:lang w:val="en-US" w:eastAsia="zh-CN" w:bidi="ar"/>
                    </w:rPr>
                    <w:t>符合</w:t>
                  </w:r>
                </w:p>
              </w:tc>
            </w:tr>
          </w:tbl>
          <w:p w14:paraId="3424445F">
            <w:pPr>
              <w:tabs>
                <w:tab w:val="left" w:pos="5460"/>
              </w:tabs>
              <w:spacing w:line="480" w:lineRule="exact"/>
              <w:ind w:firstLine="480" w:firstLineChars="200"/>
              <w:rPr>
                <w:rFonts w:hint="default" w:ascii="Times New Roman" w:hAnsi="Times New Roman" w:eastAsia="宋体&quot; '仿宋_GB2312，宋体" w:cs="Times New Roman"/>
                <w:sz w:val="24"/>
              </w:rPr>
            </w:pPr>
            <w:r>
              <w:rPr>
                <w:rFonts w:hint="default" w:ascii="Times New Roman" w:hAnsi="Times New Roman" w:eastAsia="黑体" w:cs="Times New Roman"/>
                <w:sz w:val="24"/>
                <w:lang w:bidi="ar"/>
              </w:rPr>
              <w:t>（</w:t>
            </w:r>
            <w:r>
              <w:rPr>
                <w:rFonts w:hint="eastAsia" w:eastAsia="黑体" w:cs="Times New Roman"/>
                <w:sz w:val="24"/>
                <w:lang w:val="en-US" w:eastAsia="zh-CN" w:bidi="ar"/>
              </w:rPr>
              <w:t>2</w:t>
            </w:r>
            <w:r>
              <w:rPr>
                <w:rFonts w:hint="default" w:ascii="Times New Roman" w:hAnsi="Times New Roman" w:eastAsia="黑体" w:cs="Times New Roman"/>
                <w:sz w:val="24"/>
                <w:lang w:bidi="ar"/>
              </w:rPr>
              <w:t>）与</w:t>
            </w:r>
            <w:r>
              <w:rPr>
                <w:rFonts w:hint="default" w:ascii="Times New Roman" w:hAnsi="Times New Roman" w:eastAsia="黑体" w:cs="Times New Roman"/>
                <w:sz w:val="24"/>
              </w:rPr>
              <w:t>《新疆维吾尔自治区2025年空气质量持续改善行动实施方案》（新政办发〔2024〕58号）符合性分析</w:t>
            </w:r>
          </w:p>
          <w:p w14:paraId="1E704DC7">
            <w:pPr>
              <w:spacing w:line="480" w:lineRule="exact"/>
              <w:ind w:firstLine="522"/>
              <w:rPr>
                <w:rFonts w:hint="default" w:ascii="Times New Roman" w:hAnsi="Times New Roman" w:eastAsia="宋体&quot; '仿宋_GB2312，宋体" w:cs="Times New Roman"/>
                <w:sz w:val="24"/>
                <w:lang w:eastAsia="zh-CN"/>
              </w:rPr>
            </w:pPr>
            <w:r>
              <w:rPr>
                <w:rFonts w:hint="default" w:ascii="Times New Roman" w:hAnsi="Times New Roman" w:eastAsia="宋体&quot; '仿宋_GB2312，宋体" w:cs="Times New Roman"/>
                <w:sz w:val="24"/>
              </w:rPr>
              <w:t>《新疆维吾尔自治区2025年空气质量持续改善行动实施方案》（新政办发〔2024〕58 号）重点提出遏制</w:t>
            </w:r>
            <w:r>
              <w:rPr>
                <w:rFonts w:hint="default" w:ascii="Times New Roman" w:hAnsi="Times New Roman" w:eastAsia="宋体&quot; '仿宋_GB2312，宋体" w:cs="Times New Roman"/>
                <w:sz w:val="24"/>
                <w:lang w:eastAsia="zh-CN"/>
              </w:rPr>
              <w:t>“</w:t>
            </w:r>
            <w:r>
              <w:rPr>
                <w:rFonts w:hint="default" w:ascii="Times New Roman" w:hAnsi="Times New Roman" w:eastAsia="宋体&quot; '仿宋_GB2312，宋体" w:cs="Times New Roman"/>
                <w:sz w:val="24"/>
              </w:rPr>
              <w:t>两高一低</w:t>
            </w:r>
            <w:r>
              <w:rPr>
                <w:rFonts w:hint="default" w:ascii="Times New Roman" w:hAnsi="Times New Roman" w:eastAsia="宋体&quot; '仿宋_GB2312，宋体" w:cs="Times New Roman"/>
                <w:sz w:val="24"/>
                <w:lang w:eastAsia="zh-CN"/>
              </w:rPr>
              <w:t>”</w:t>
            </w:r>
            <w:r>
              <w:rPr>
                <w:rFonts w:hint="default" w:ascii="Times New Roman" w:hAnsi="Times New Roman" w:eastAsia="宋体&quot; '仿宋_GB2312，宋体" w:cs="Times New Roman"/>
                <w:sz w:val="24"/>
              </w:rPr>
              <w:t>项目盲目发展，优化产业、能源结构，推进工业污染源深度治理，强化施工扬尘、移动源污染管控，完善重污染天气应急应对等工作任务</w:t>
            </w:r>
            <w:r>
              <w:rPr>
                <w:rFonts w:hint="default" w:ascii="Times New Roman" w:hAnsi="Times New Roman" w:eastAsia="宋体&quot; '仿宋_GB2312，宋体" w:cs="Times New Roman"/>
                <w:sz w:val="24"/>
                <w:lang w:eastAsia="zh-CN"/>
              </w:rPr>
              <w:t>。</w:t>
            </w:r>
          </w:p>
          <w:p w14:paraId="69928B02">
            <w:pPr>
              <w:spacing w:line="480" w:lineRule="exact"/>
              <w:ind w:firstLine="522"/>
              <w:rPr>
                <w:rFonts w:hint="default" w:ascii="Times New Roman" w:hAnsi="Times New Roman" w:eastAsia="宋体&quot; '仿宋_GB2312，宋体" w:cs="Times New Roman"/>
                <w:sz w:val="24"/>
              </w:rPr>
            </w:pPr>
            <w:r>
              <w:rPr>
                <w:rFonts w:hint="default" w:ascii="Times New Roman" w:hAnsi="Times New Roman" w:eastAsia="宋体&quot; '仿宋_GB2312，宋体" w:cs="Times New Roman"/>
                <w:sz w:val="24"/>
              </w:rPr>
              <w:t>本工程为鸿泰鼎绿色新材料纺织产业园（一期）配套110kV变电站，</w:t>
            </w:r>
            <w:r>
              <w:rPr>
                <w:rFonts w:hint="eastAsia" w:eastAsia="宋体&quot; '仿宋_GB2312，宋体" w:cs="Times New Roman"/>
                <w:sz w:val="24"/>
                <w:lang w:val="en-US" w:eastAsia="zh-CN"/>
              </w:rPr>
              <w:t>为</w:t>
            </w:r>
            <w:r>
              <w:rPr>
                <w:rFonts w:hint="default" w:ascii="Times New Roman" w:hAnsi="Times New Roman" w:eastAsia="宋体&quot; '仿宋_GB2312，宋体" w:cs="Times New Roman"/>
                <w:sz w:val="24"/>
              </w:rPr>
              <w:t>新疆鸿泰鼎绿色新材料纺织产业园的配套公用基础设施，不属于</w:t>
            </w:r>
            <w:r>
              <w:rPr>
                <w:rFonts w:hint="default" w:ascii="Times New Roman" w:hAnsi="Times New Roman" w:eastAsia="宋体&quot; '仿宋_GB2312，宋体" w:cs="Times New Roman"/>
                <w:sz w:val="24"/>
                <w:lang w:eastAsia="zh-CN"/>
              </w:rPr>
              <w:t>“</w:t>
            </w:r>
            <w:r>
              <w:rPr>
                <w:rFonts w:hint="default" w:ascii="Times New Roman" w:hAnsi="Times New Roman" w:eastAsia="宋体&quot; '仿宋_GB2312，宋体" w:cs="Times New Roman"/>
                <w:sz w:val="24"/>
              </w:rPr>
              <w:t>两高一低</w:t>
            </w:r>
            <w:r>
              <w:rPr>
                <w:rFonts w:hint="default" w:ascii="Times New Roman" w:hAnsi="Times New Roman" w:eastAsia="宋体&quot; '仿宋_GB2312，宋体" w:cs="Times New Roman"/>
                <w:sz w:val="24"/>
                <w:lang w:eastAsia="zh-CN"/>
              </w:rPr>
              <w:t>”</w:t>
            </w:r>
            <w:r>
              <w:rPr>
                <w:rFonts w:hint="default" w:ascii="Times New Roman" w:hAnsi="Times New Roman" w:eastAsia="宋体&quot; '仿宋_GB2312，宋体" w:cs="Times New Roman"/>
                <w:sz w:val="24"/>
              </w:rPr>
              <w:t>项目，严格执行环评、节能审查制度；项目不消耗化石燃料，支撑区域风电、光伏清洁能源汇集消纳，推动能源结构优化。运营期无工艺废气、VOCs 排放；仅建设期产生短时施工扬尘、机械尾气，落实施工扬尘治理，重污染天气服从地方应急管控；不属于大气重点排污单位，不需编制重污染天气应急减排方案</w:t>
            </w:r>
            <w:r>
              <w:rPr>
                <w:rFonts w:hint="default" w:ascii="Times New Roman" w:hAnsi="Times New Roman" w:eastAsia="宋体&quot; '仿宋_GB2312，宋体" w:cs="Times New Roman"/>
                <w:sz w:val="24"/>
                <w:lang w:eastAsia="zh-CN"/>
              </w:rPr>
              <w:t>，</w:t>
            </w:r>
            <w:r>
              <w:rPr>
                <w:rFonts w:hint="default" w:ascii="Times New Roman" w:hAnsi="Times New Roman" w:eastAsia="宋体&quot; '仿宋_GB2312，宋体" w:cs="Times New Roman"/>
                <w:sz w:val="24"/>
              </w:rPr>
              <w:t>符合《新疆维吾尔自治区2025年空气质量持续改善行动实施方案》的要求。</w:t>
            </w:r>
          </w:p>
          <w:p w14:paraId="35EBAA10">
            <w:pPr>
              <w:pStyle w:val="67"/>
              <w:numPr>
                <w:ilvl w:val="0"/>
                <w:numId w:val="5"/>
              </w:numPr>
              <w:spacing w:line="480" w:lineRule="exact"/>
              <w:ind w:left="0" w:firstLine="0" w:firstLineChars="0"/>
              <w:rPr>
                <w:rFonts w:hint="default" w:ascii="Times New Roman" w:hAnsi="Times New Roman" w:eastAsia="宋体&quot; '仿宋_GB2312，宋体" w:cs="Times New Roman"/>
                <w:sz w:val="24"/>
              </w:rPr>
            </w:pPr>
            <w:r>
              <w:rPr>
                <w:rFonts w:hint="default" w:ascii="Times New Roman" w:hAnsi="Times New Roman" w:eastAsia="黑体" w:cs="Times New Roman"/>
                <w:sz w:val="24"/>
              </w:rPr>
              <w:t>与《新疆维吾尔自治区大气污染防治条例》的相符性分析</w:t>
            </w:r>
          </w:p>
          <w:p w14:paraId="2CE7F597">
            <w:pPr>
              <w:spacing w:line="480" w:lineRule="exact"/>
              <w:ind w:firstLine="480" w:firstLineChars="200"/>
              <w:rPr>
                <w:rFonts w:hint="default" w:ascii="Times New Roman" w:hAnsi="Times New Roman" w:eastAsia="宋体&quot; '仿宋_GB2312，宋体" w:cs="Times New Roman"/>
                <w:sz w:val="24"/>
              </w:rPr>
            </w:pPr>
            <w:r>
              <w:rPr>
                <w:rFonts w:hint="default" w:ascii="Times New Roman" w:hAnsi="Times New Roman" w:eastAsia="宋体&quot; '仿宋_GB2312，宋体" w:cs="Times New Roman"/>
                <w:sz w:val="24"/>
              </w:rPr>
              <w:t>本工程符合</w:t>
            </w:r>
            <w:r>
              <w:rPr>
                <w:rFonts w:hint="default" w:ascii="Times New Roman" w:hAnsi="Times New Roman" w:eastAsia="宋体&quot; '仿宋_GB2312，宋体" w:cs="Times New Roman"/>
                <w:kern w:val="0"/>
                <w:sz w:val="24"/>
              </w:rPr>
              <w:t>《新疆维吾尔自治区大气污染防治条例》</w:t>
            </w:r>
            <w:r>
              <w:rPr>
                <w:rFonts w:hint="default" w:ascii="Times New Roman" w:hAnsi="Times New Roman" w:eastAsia="宋体&quot; '仿宋_GB2312，宋体" w:cs="Times New Roman"/>
                <w:sz w:val="24"/>
              </w:rPr>
              <w:t>相关要求，详见表1-</w:t>
            </w:r>
            <w:r>
              <w:rPr>
                <w:rFonts w:hint="eastAsia" w:eastAsia="宋体&quot; '仿宋_GB2312，宋体" w:cs="Times New Roman"/>
                <w:sz w:val="24"/>
                <w:lang w:val="en-US" w:eastAsia="zh-CN"/>
              </w:rPr>
              <w:t>5</w:t>
            </w:r>
            <w:r>
              <w:rPr>
                <w:rFonts w:hint="default" w:ascii="Times New Roman" w:hAnsi="Times New Roman" w:eastAsia="宋体&quot; '仿宋_GB2312，宋体" w:cs="Times New Roman"/>
                <w:sz w:val="24"/>
              </w:rPr>
              <w:t>。</w:t>
            </w:r>
          </w:p>
          <w:p w14:paraId="59C56A29">
            <w:pPr>
              <w:spacing w:line="400" w:lineRule="exact"/>
              <w:ind w:firstLine="420" w:firstLineChars="200"/>
              <w:rPr>
                <w:rFonts w:hint="default" w:ascii="Times New Roman" w:hAnsi="Times New Roman" w:eastAsia="黑体" w:cs="Times New Roman"/>
              </w:rPr>
            </w:pPr>
            <w:bookmarkStart w:id="31" w:name="OLE_LINK63"/>
            <w:r>
              <w:rPr>
                <w:rFonts w:hint="default" w:ascii="Times New Roman" w:hAnsi="Times New Roman" w:eastAsia="黑体" w:cs="Times New Roman"/>
              </w:rPr>
              <w:t>表1-7 本工程与《新疆维吾尔自治区大气污染防治条例》的相符性分析</w:t>
            </w:r>
          </w:p>
          <w:tbl>
            <w:tblPr>
              <w:tblStyle w:val="43"/>
              <w:tblW w:w="501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0" w:type="dxa"/>
                <w:bottom w:w="57" w:type="dxa"/>
                <w:right w:w="0" w:type="dxa"/>
              </w:tblCellMar>
            </w:tblPr>
            <w:tblGrid>
              <w:gridCol w:w="506"/>
              <w:gridCol w:w="3132"/>
              <w:gridCol w:w="2864"/>
              <w:gridCol w:w="824"/>
            </w:tblGrid>
            <w:tr w14:paraId="17890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rPr>
                <w:trHeight w:val="397" w:hRule="atLeast"/>
                <w:jc w:val="center"/>
              </w:trPr>
              <w:tc>
                <w:tcPr>
                  <w:tcW w:w="345" w:type="pct"/>
                  <w:vAlign w:val="center"/>
                </w:tcPr>
                <w:p w14:paraId="05868B9A">
                  <w:pPr>
                    <w:jc w:val="center"/>
                    <w:rPr>
                      <w:rFonts w:hint="default" w:ascii="Times New Roman" w:hAnsi="Times New Roman" w:cs="Times New Roman"/>
                      <w:bCs/>
                      <w:szCs w:val="20"/>
                    </w:rPr>
                  </w:pPr>
                  <w:r>
                    <w:rPr>
                      <w:rFonts w:hint="default" w:ascii="Times New Roman" w:hAnsi="Times New Roman" w:cs="Times New Roman"/>
                      <w:bCs/>
                      <w:szCs w:val="20"/>
                    </w:rPr>
                    <w:t>序号</w:t>
                  </w:r>
                </w:p>
              </w:tc>
              <w:tc>
                <w:tcPr>
                  <w:tcW w:w="2137" w:type="pct"/>
                  <w:vAlign w:val="center"/>
                </w:tcPr>
                <w:p w14:paraId="15A64B38">
                  <w:pPr>
                    <w:jc w:val="center"/>
                    <w:rPr>
                      <w:rFonts w:hint="default" w:ascii="Times New Roman" w:hAnsi="Times New Roman" w:cs="Times New Roman"/>
                      <w:bCs/>
                      <w:szCs w:val="20"/>
                    </w:rPr>
                  </w:pPr>
                  <w:r>
                    <w:rPr>
                      <w:rFonts w:hint="default" w:ascii="Times New Roman" w:hAnsi="Times New Roman" w:cs="Times New Roman"/>
                      <w:bCs/>
                      <w:szCs w:val="20"/>
                    </w:rPr>
                    <w:t>通知中要求</w:t>
                  </w:r>
                </w:p>
              </w:tc>
              <w:tc>
                <w:tcPr>
                  <w:tcW w:w="1954" w:type="pct"/>
                  <w:vAlign w:val="center"/>
                </w:tcPr>
                <w:p w14:paraId="27A066A2">
                  <w:pPr>
                    <w:jc w:val="center"/>
                    <w:rPr>
                      <w:rFonts w:hint="default" w:ascii="Times New Roman" w:hAnsi="Times New Roman" w:cs="Times New Roman"/>
                      <w:bCs/>
                      <w:szCs w:val="20"/>
                    </w:rPr>
                  </w:pPr>
                  <w:r>
                    <w:rPr>
                      <w:rFonts w:hint="default" w:ascii="Times New Roman" w:hAnsi="Times New Roman" w:cs="Times New Roman"/>
                      <w:bCs/>
                      <w:szCs w:val="20"/>
                    </w:rPr>
                    <w:t>本工程情况</w:t>
                  </w:r>
                </w:p>
              </w:tc>
              <w:tc>
                <w:tcPr>
                  <w:tcW w:w="562" w:type="pct"/>
                  <w:vAlign w:val="center"/>
                </w:tcPr>
                <w:p w14:paraId="4F8E0CAC">
                  <w:pPr>
                    <w:jc w:val="center"/>
                    <w:rPr>
                      <w:rFonts w:hint="default" w:ascii="Times New Roman" w:hAnsi="Times New Roman" w:cs="Times New Roman"/>
                      <w:bCs/>
                      <w:szCs w:val="20"/>
                    </w:rPr>
                  </w:pPr>
                  <w:r>
                    <w:rPr>
                      <w:rFonts w:hint="default" w:ascii="Times New Roman" w:hAnsi="Times New Roman" w:cs="Times New Roman"/>
                      <w:bCs/>
                      <w:szCs w:val="20"/>
                    </w:rPr>
                    <w:t>符合性</w:t>
                  </w:r>
                </w:p>
              </w:tc>
            </w:tr>
            <w:tr w14:paraId="5A5A7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rPr>
                <w:trHeight w:val="397" w:hRule="atLeast"/>
                <w:jc w:val="center"/>
              </w:trPr>
              <w:tc>
                <w:tcPr>
                  <w:tcW w:w="345" w:type="pct"/>
                  <w:vAlign w:val="center"/>
                </w:tcPr>
                <w:p w14:paraId="7F1F187B">
                  <w:pPr>
                    <w:jc w:val="center"/>
                    <w:rPr>
                      <w:rFonts w:hint="default" w:ascii="Times New Roman" w:hAnsi="Times New Roman" w:cs="Times New Roman"/>
                      <w:szCs w:val="20"/>
                    </w:rPr>
                  </w:pPr>
                  <w:r>
                    <w:rPr>
                      <w:rFonts w:hint="default" w:ascii="Times New Roman" w:hAnsi="Times New Roman" w:cs="Times New Roman"/>
                      <w:szCs w:val="20"/>
                    </w:rPr>
                    <w:t>1</w:t>
                  </w:r>
                </w:p>
              </w:tc>
              <w:tc>
                <w:tcPr>
                  <w:tcW w:w="2137" w:type="pct"/>
                  <w:vAlign w:val="center"/>
                </w:tcPr>
                <w:p w14:paraId="66FB3100">
                  <w:pPr>
                    <w:rPr>
                      <w:rFonts w:hint="default" w:ascii="Times New Roman" w:hAnsi="Times New Roman" w:cs="Times New Roman"/>
                      <w:szCs w:val="20"/>
                    </w:rPr>
                  </w:pPr>
                  <w:r>
                    <w:rPr>
                      <w:rFonts w:hint="default" w:ascii="Times New Roman" w:hAnsi="Times New Roman" w:cs="Times New Roman"/>
                      <w:szCs w:val="20"/>
                    </w:rPr>
                    <w:t>在居民住宅区等人口密集区域和机关、医院、学校、幼儿园、养老院等其他需要特殊保护的区域及其周边，不得新建、改建和扩建石化、焦化、制药、油漆、塑料、橡胶、造纸、饲料等易产生恶臭气体的生产项目，或者从事其他产生恶臭气体的生产经营活动。已建成的，应当逐步搬迁或者升级改造。</w:t>
                  </w:r>
                </w:p>
              </w:tc>
              <w:tc>
                <w:tcPr>
                  <w:tcW w:w="1954" w:type="pct"/>
                  <w:vAlign w:val="center"/>
                </w:tcPr>
                <w:p w14:paraId="4D93B2D4">
                  <w:pPr>
                    <w:rPr>
                      <w:rFonts w:hint="default" w:ascii="Times New Roman" w:hAnsi="Times New Roman" w:cs="Times New Roman"/>
                      <w:szCs w:val="20"/>
                    </w:rPr>
                  </w:pPr>
                  <w:r>
                    <w:rPr>
                      <w:rFonts w:hint="default" w:ascii="Times New Roman" w:hAnsi="Times New Roman" w:cs="Times New Roman"/>
                      <w:szCs w:val="20"/>
                    </w:rPr>
                    <w:t>本工程行政隶属</w:t>
                  </w:r>
                  <w:r>
                    <w:rPr>
                      <w:rFonts w:hint="default" w:ascii="Times New Roman" w:hAnsi="Times New Roman" w:cs="Times New Roman"/>
                      <w:szCs w:val="20"/>
                      <w:lang w:val="en-US" w:eastAsia="zh-CN"/>
                    </w:rPr>
                    <w:t>巴州尉犁县</w:t>
                  </w:r>
                  <w:r>
                    <w:rPr>
                      <w:rFonts w:hint="default" w:ascii="Times New Roman" w:hAnsi="Times New Roman" w:cs="Times New Roman"/>
                      <w:szCs w:val="20"/>
                    </w:rPr>
                    <w:t>，项目周边无居民住宅区等人口密集区域和机关、医院、学校、幼儿园、养老院等其他需要特殊保护的区域。</w:t>
                  </w:r>
                </w:p>
              </w:tc>
              <w:tc>
                <w:tcPr>
                  <w:tcW w:w="562" w:type="pct"/>
                  <w:vAlign w:val="center"/>
                </w:tcPr>
                <w:p w14:paraId="36404316">
                  <w:pPr>
                    <w:jc w:val="center"/>
                    <w:rPr>
                      <w:rFonts w:hint="default" w:ascii="Times New Roman" w:hAnsi="Times New Roman" w:cs="Times New Roman"/>
                      <w:szCs w:val="20"/>
                    </w:rPr>
                  </w:pPr>
                  <w:r>
                    <w:rPr>
                      <w:rFonts w:hint="default" w:ascii="Times New Roman" w:hAnsi="Times New Roman" w:cs="Times New Roman"/>
                      <w:szCs w:val="20"/>
                    </w:rPr>
                    <w:t>符合</w:t>
                  </w:r>
                </w:p>
              </w:tc>
            </w:tr>
            <w:bookmarkEnd w:id="31"/>
            <w:tr w14:paraId="378BC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rPr>
                <w:trHeight w:val="397" w:hRule="atLeast"/>
                <w:jc w:val="center"/>
              </w:trPr>
              <w:tc>
                <w:tcPr>
                  <w:tcW w:w="345" w:type="pct"/>
                  <w:vAlign w:val="center"/>
                </w:tcPr>
                <w:p w14:paraId="5B4E963E">
                  <w:pPr>
                    <w:jc w:val="center"/>
                    <w:rPr>
                      <w:rFonts w:hint="default" w:ascii="Times New Roman" w:hAnsi="Times New Roman" w:cs="Times New Roman"/>
                      <w:szCs w:val="20"/>
                    </w:rPr>
                  </w:pPr>
                  <w:r>
                    <w:rPr>
                      <w:rFonts w:hint="default" w:ascii="Times New Roman" w:hAnsi="Times New Roman" w:cs="Times New Roman"/>
                      <w:szCs w:val="20"/>
                    </w:rPr>
                    <w:t>2</w:t>
                  </w:r>
                </w:p>
              </w:tc>
              <w:tc>
                <w:tcPr>
                  <w:tcW w:w="2137" w:type="pct"/>
                  <w:vAlign w:val="center"/>
                </w:tcPr>
                <w:p w14:paraId="70E6A043">
                  <w:pPr>
                    <w:rPr>
                      <w:rFonts w:hint="default" w:ascii="Times New Roman" w:hAnsi="Times New Roman" w:cs="Times New Roman"/>
                      <w:szCs w:val="20"/>
                    </w:rPr>
                  </w:pPr>
                  <w:r>
                    <w:rPr>
                      <w:rFonts w:hint="default" w:ascii="Times New Roman" w:hAnsi="Times New Roman" w:cs="Times New Roman"/>
                      <w:szCs w:val="20"/>
                    </w:rPr>
                    <w:t>贮存易产生扬尘的煤炭、煤矸石、煤渣、煤灰、水泥、石灰、石膏、砂土等物料的堆场应当密闭；不能密闭的，贮存单位或者个人应当采取下列防尘措施：</w:t>
                  </w:r>
                </w:p>
                <w:p w14:paraId="5A9F1F14">
                  <w:pPr>
                    <w:rPr>
                      <w:rFonts w:hint="default" w:ascii="Times New Roman" w:hAnsi="Times New Roman" w:cs="Times New Roman"/>
                      <w:szCs w:val="20"/>
                    </w:rPr>
                  </w:pPr>
                  <w:r>
                    <w:rPr>
                      <w:rFonts w:hint="default" w:ascii="Times New Roman" w:hAnsi="Times New Roman" w:cs="Times New Roman"/>
                      <w:szCs w:val="20"/>
                    </w:rPr>
                    <w:t>（一）堆场的场坪、路面应当进行硬化处理，并保持路面整洁；</w:t>
                  </w:r>
                </w:p>
                <w:p w14:paraId="25781C1B">
                  <w:pPr>
                    <w:rPr>
                      <w:rFonts w:hint="default" w:ascii="Times New Roman" w:hAnsi="Times New Roman" w:cs="Times New Roman"/>
                      <w:szCs w:val="20"/>
                    </w:rPr>
                  </w:pPr>
                  <w:r>
                    <w:rPr>
                      <w:rFonts w:hint="default" w:ascii="Times New Roman" w:hAnsi="Times New Roman" w:cs="Times New Roman"/>
                      <w:szCs w:val="20"/>
                    </w:rPr>
                    <w:t>（二）堆场周边应当配备高于堆存物料的围挡、防风抑尘网等设施；</w:t>
                  </w:r>
                </w:p>
                <w:p w14:paraId="0BDB097C">
                  <w:pPr>
                    <w:rPr>
                      <w:rFonts w:hint="default" w:ascii="Times New Roman" w:hAnsi="Times New Roman" w:cs="Times New Roman"/>
                      <w:szCs w:val="20"/>
                    </w:rPr>
                  </w:pPr>
                  <w:r>
                    <w:rPr>
                      <w:rFonts w:hint="default" w:ascii="Times New Roman" w:hAnsi="Times New Roman" w:cs="Times New Roman"/>
                      <w:szCs w:val="20"/>
                    </w:rPr>
                    <w:t>（三）按照物料类别采取相应的覆盖、喷淋和围挡等防风抑尘措施。</w:t>
                  </w:r>
                </w:p>
                <w:p w14:paraId="6D078D12">
                  <w:pPr>
                    <w:rPr>
                      <w:rFonts w:hint="default" w:ascii="Times New Roman" w:hAnsi="Times New Roman" w:cs="Times New Roman"/>
                      <w:szCs w:val="20"/>
                    </w:rPr>
                  </w:pPr>
                  <w:r>
                    <w:rPr>
                      <w:rFonts w:hint="default" w:ascii="Times New Roman" w:hAnsi="Times New Roman" w:cs="Times New Roman"/>
                      <w:szCs w:val="20"/>
                    </w:rPr>
                    <w:t>露天装卸物料应当采取密闭或者喷淋等抑尘措施；输送的物料应当在装料、卸料处配备吸尘、喷淋等防尘设施。</w:t>
                  </w:r>
                </w:p>
              </w:tc>
              <w:tc>
                <w:tcPr>
                  <w:tcW w:w="1954" w:type="pct"/>
                  <w:vAlign w:val="center"/>
                </w:tcPr>
                <w:p w14:paraId="55BBE020">
                  <w:pPr>
                    <w:rPr>
                      <w:rFonts w:hint="default" w:ascii="Times New Roman" w:hAnsi="Times New Roman" w:cs="Times New Roman"/>
                      <w:szCs w:val="20"/>
                    </w:rPr>
                  </w:pPr>
                  <w:r>
                    <w:rPr>
                      <w:rFonts w:hint="default" w:ascii="Times New Roman" w:hAnsi="Times New Roman" w:cs="Times New Roman"/>
                      <w:szCs w:val="20"/>
                    </w:rPr>
                    <w:t>本工程对施工作业过程中产生的扬尘采取</w:t>
                  </w:r>
                  <w:r>
                    <w:rPr>
                      <w:rFonts w:hint="default" w:ascii="Times New Roman" w:hAnsi="Times New Roman" w:cs="Times New Roman"/>
                    </w:rPr>
                    <w:t>洒水降尘等控制措施。</w:t>
                  </w:r>
                </w:p>
              </w:tc>
              <w:tc>
                <w:tcPr>
                  <w:tcW w:w="562" w:type="pct"/>
                  <w:vAlign w:val="center"/>
                </w:tcPr>
                <w:p w14:paraId="23921DBE">
                  <w:pPr>
                    <w:jc w:val="center"/>
                    <w:rPr>
                      <w:rFonts w:hint="default" w:ascii="Times New Roman" w:hAnsi="Times New Roman" w:cs="Times New Roman"/>
                      <w:szCs w:val="20"/>
                    </w:rPr>
                  </w:pPr>
                  <w:r>
                    <w:rPr>
                      <w:rFonts w:hint="default" w:ascii="Times New Roman" w:hAnsi="Times New Roman" w:cs="Times New Roman"/>
                      <w:szCs w:val="20"/>
                    </w:rPr>
                    <w:t>符合</w:t>
                  </w:r>
                </w:p>
              </w:tc>
            </w:tr>
          </w:tbl>
          <w:p w14:paraId="096AB6E3">
            <w:pPr>
              <w:pStyle w:val="67"/>
              <w:numPr>
                <w:ilvl w:val="0"/>
                <w:numId w:val="0"/>
              </w:numPr>
              <w:spacing w:line="480" w:lineRule="exact"/>
              <w:ind w:leftChars="0"/>
              <w:rPr>
                <w:rFonts w:hint="default" w:eastAsia="黑体" w:cs="Times New Roman"/>
                <w:sz w:val="25"/>
                <w:lang w:val="en-US" w:eastAsia="zh-CN"/>
              </w:rPr>
            </w:pPr>
            <w:r>
              <w:rPr>
                <w:rFonts w:hint="eastAsia" w:eastAsia="黑体" w:cs="Times New Roman"/>
                <w:sz w:val="25"/>
                <w:lang w:val="en-US" w:eastAsia="zh-CN"/>
              </w:rPr>
              <w:t>6.</w:t>
            </w:r>
            <w:r>
              <w:rPr>
                <w:rFonts w:hint="default" w:eastAsia="黑体" w:cs="Times New Roman"/>
                <w:sz w:val="25"/>
                <w:lang w:val="en-US" w:eastAsia="zh-CN"/>
              </w:rPr>
              <w:t>《中华人民共和国防沙治沙法》符合性分析</w:t>
            </w:r>
          </w:p>
          <w:p w14:paraId="3ACE3E00">
            <w:pPr>
              <w:spacing w:line="480" w:lineRule="exact"/>
              <w:ind w:firstLine="522"/>
              <w:rPr>
                <w:rFonts w:hint="default" w:ascii="Times New Roman" w:hAnsi="Times New Roman" w:cs="Times New Roman"/>
                <w:sz w:val="24"/>
              </w:rPr>
            </w:pPr>
            <w:r>
              <w:rPr>
                <w:rFonts w:hint="default" w:ascii="Times New Roman" w:hAnsi="Times New Roman" w:cs="Times New Roman"/>
                <w:sz w:val="24"/>
              </w:rPr>
              <w:t>土地沙化是指因气候变化和人类活动所导致的天然沙漠扩张和沙质土壤上植被破坏、沙土裸露的过程。本法所称土地沙化，是指主要因人类不合理活动所导致的天然沙漠扩张和沙质土壤上植被及覆盖物被破坏，形成流沙及沙土裸露的过程。本法所称沙化土地，包括已经沙化的土地和具有明显沙化趋势的土地。具体范围，由国务院批准的全国防沙治沙规划确定。</w:t>
            </w:r>
          </w:p>
          <w:p w14:paraId="5DF6D09F">
            <w:pPr>
              <w:spacing w:line="480" w:lineRule="exact"/>
              <w:ind w:firstLine="522"/>
              <w:rPr>
                <w:rFonts w:hint="default" w:ascii="Times New Roman" w:hAnsi="Times New Roman" w:cs="Times New Roman"/>
                <w:sz w:val="24"/>
              </w:rPr>
            </w:pPr>
            <w:r>
              <w:rPr>
                <w:rFonts w:hint="default" w:ascii="Times New Roman" w:hAnsi="Times New Roman" w:cs="Times New Roman"/>
                <w:sz w:val="24"/>
              </w:rPr>
              <w:t>根据《新疆第六次沙化土地监测报告》可知，结合全疆土壤类型图，本项目所在区域土壤类型主要为</w:t>
            </w:r>
            <w:r>
              <w:rPr>
                <w:rFonts w:hint="default" w:ascii="Times New Roman" w:hAnsi="Times New Roman" w:cs="Times New Roman"/>
                <w:sz w:val="24"/>
                <w:lang w:val="en-US" w:eastAsia="zh-CN"/>
              </w:rPr>
              <w:t>盐</w:t>
            </w:r>
            <w:r>
              <w:rPr>
                <w:rFonts w:hint="default" w:ascii="Times New Roman" w:hAnsi="Times New Roman" w:cs="Times New Roman"/>
                <w:sz w:val="24"/>
              </w:rPr>
              <w:t>土，项目区属非沙化土地。本工程所在区域主要植被类型为</w:t>
            </w:r>
            <w:r>
              <w:rPr>
                <w:rFonts w:hint="default" w:ascii="Times New Roman" w:hAnsi="Times New Roman" w:cs="Times New Roman"/>
                <w:sz w:val="24"/>
                <w:lang w:val="en-US" w:eastAsia="zh-CN"/>
              </w:rPr>
              <w:t>白刺、</w:t>
            </w:r>
            <w:r>
              <w:rPr>
                <w:rFonts w:hint="eastAsia" w:cs="Times New Roman"/>
                <w:sz w:val="24"/>
                <w:lang w:val="en-US" w:eastAsia="zh-CN"/>
              </w:rPr>
              <w:t>柽柳</w:t>
            </w:r>
            <w:r>
              <w:rPr>
                <w:rFonts w:hint="default" w:ascii="Times New Roman" w:hAnsi="Times New Roman" w:cs="Times New Roman"/>
                <w:sz w:val="24"/>
                <w:lang w:val="en-US" w:eastAsia="zh-CN"/>
              </w:rPr>
              <w:t>、芦苇、大花野麻草甸</w:t>
            </w:r>
            <w:r>
              <w:rPr>
                <w:rFonts w:hint="default" w:ascii="Times New Roman" w:hAnsi="Times New Roman" w:cs="Times New Roman"/>
                <w:sz w:val="24"/>
              </w:rPr>
              <w:t>。</w:t>
            </w:r>
          </w:p>
          <w:p w14:paraId="7DFB10D4">
            <w:pPr>
              <w:pStyle w:val="67"/>
              <w:numPr>
                <w:ilvl w:val="0"/>
                <w:numId w:val="0"/>
              </w:numPr>
              <w:spacing w:line="480" w:lineRule="exact"/>
              <w:ind w:leftChars="0"/>
              <w:rPr>
                <w:rFonts w:hint="default" w:ascii="Times New Roman" w:hAnsi="Times New Roman" w:eastAsia="黑体" w:cs="Times New Roman"/>
                <w:b/>
                <w:bCs/>
                <w:kern w:val="0"/>
                <w:sz w:val="24"/>
              </w:rPr>
            </w:pPr>
            <w:r>
              <w:rPr>
                <w:rFonts w:hint="eastAsia" w:eastAsia="黑体" w:cs="Times New Roman"/>
                <w:sz w:val="25"/>
                <w:lang w:val="en-US" w:eastAsia="zh-CN"/>
              </w:rPr>
              <w:t>7.</w:t>
            </w:r>
            <w:r>
              <w:rPr>
                <w:rFonts w:hint="default" w:ascii="Times New Roman" w:hAnsi="Times New Roman" w:eastAsia="黑体" w:cs="Times New Roman"/>
                <w:sz w:val="25"/>
              </w:rPr>
              <w:t>《输变电建设项目环境保护技术要求》符合性分析</w:t>
            </w:r>
          </w:p>
          <w:p w14:paraId="23C19572">
            <w:pPr>
              <w:widowControl/>
              <w:spacing w:line="480" w:lineRule="exact"/>
              <w:ind w:firstLine="420"/>
              <w:rPr>
                <w:rFonts w:hint="default" w:ascii="Times New Roman" w:hAnsi="Times New Roman" w:eastAsia="黑体" w:cs="Times New Roman"/>
              </w:rPr>
            </w:pPr>
            <w:r>
              <w:rPr>
                <w:rFonts w:hint="default" w:ascii="Times New Roman" w:hAnsi="Times New Roman" w:cs="Times New Roman"/>
                <w:sz w:val="24"/>
              </w:rPr>
              <w:t>本工程位于</w:t>
            </w:r>
            <w:r>
              <w:rPr>
                <w:rFonts w:hint="default" w:ascii="Times New Roman" w:hAnsi="Times New Roman" w:cs="Times New Roman"/>
                <w:sz w:val="24"/>
                <w:lang w:val="en-US" w:eastAsia="zh-CN"/>
              </w:rPr>
              <w:t>巴州尉犁</w:t>
            </w:r>
            <w:r>
              <w:rPr>
                <w:rFonts w:hint="default" w:ascii="Times New Roman" w:hAnsi="Times New Roman" w:cs="Times New Roman"/>
                <w:sz w:val="24"/>
              </w:rPr>
              <w:t>县境内，根据《输变电建设项目环境保护技术要求》（</w:t>
            </w:r>
            <w:r>
              <w:rPr>
                <w:rFonts w:hint="eastAsia" w:cs="Times New Roman"/>
                <w:sz w:val="24"/>
                <w:lang w:eastAsia="zh-CN"/>
              </w:rPr>
              <w:t>HJ 1113</w:t>
            </w:r>
            <w:r>
              <w:rPr>
                <w:rFonts w:hint="default" w:ascii="Times New Roman" w:hAnsi="Times New Roman" w:cs="Times New Roman"/>
                <w:sz w:val="24"/>
              </w:rPr>
              <w:t>-2020）选址的要求，本工程与《输变电建设项目环境保护技术要求》（</w:t>
            </w:r>
            <w:r>
              <w:rPr>
                <w:rFonts w:hint="eastAsia" w:cs="Times New Roman"/>
                <w:sz w:val="24"/>
                <w:lang w:eastAsia="zh-CN"/>
              </w:rPr>
              <w:t>HJ 1113</w:t>
            </w:r>
            <w:r>
              <w:rPr>
                <w:rFonts w:hint="default" w:ascii="Times New Roman" w:hAnsi="Times New Roman" w:cs="Times New Roman"/>
                <w:sz w:val="24"/>
              </w:rPr>
              <w:t>-2020）中符合性见表1-</w:t>
            </w:r>
            <w:r>
              <w:rPr>
                <w:rFonts w:hint="eastAsia" w:cs="Times New Roman"/>
                <w:sz w:val="24"/>
                <w:lang w:val="en-US" w:eastAsia="zh-CN"/>
              </w:rPr>
              <w:t>6</w:t>
            </w:r>
            <w:r>
              <w:rPr>
                <w:rFonts w:hint="default" w:ascii="Times New Roman" w:hAnsi="Times New Roman" w:cs="Times New Roman"/>
                <w:sz w:val="24"/>
              </w:rPr>
              <w:t>。</w:t>
            </w:r>
          </w:p>
          <w:p w14:paraId="548EF6C7">
            <w:pPr>
              <w:spacing w:line="400" w:lineRule="exact"/>
              <w:ind w:firstLine="420" w:firstLineChars="200"/>
              <w:jc w:val="center"/>
              <w:rPr>
                <w:rFonts w:hint="default" w:ascii="Times New Roman" w:hAnsi="Times New Roman" w:eastAsia="黑体" w:cs="Times New Roman"/>
              </w:rPr>
            </w:pPr>
            <w:r>
              <w:rPr>
                <w:rFonts w:hint="default" w:ascii="Times New Roman" w:hAnsi="Times New Roman" w:eastAsia="黑体" w:cs="Times New Roman"/>
                <w:lang w:val="en-US" w:eastAsia="zh-CN"/>
              </w:rPr>
              <w:t>表1-</w:t>
            </w:r>
            <w:r>
              <w:rPr>
                <w:rFonts w:hint="eastAsia" w:eastAsia="黑体" w:cs="Times New Roman"/>
                <w:lang w:val="en-US" w:eastAsia="zh-CN"/>
              </w:rPr>
              <w:t xml:space="preserve">6 </w:t>
            </w:r>
            <w:r>
              <w:rPr>
                <w:rFonts w:hint="default" w:ascii="Times New Roman" w:hAnsi="Times New Roman" w:eastAsia="黑体" w:cs="Times New Roman"/>
              </w:rPr>
              <w:t>本工程与《输变电建设项目环境保护技术要求》（</w:t>
            </w:r>
            <w:r>
              <w:rPr>
                <w:rFonts w:hint="eastAsia" w:eastAsia="黑体" w:cs="Times New Roman"/>
                <w:lang w:eastAsia="zh-CN"/>
              </w:rPr>
              <w:t>HJ 1113</w:t>
            </w:r>
            <w:r>
              <w:rPr>
                <w:rFonts w:hint="default" w:ascii="Times New Roman" w:hAnsi="Times New Roman" w:eastAsia="黑体" w:cs="Times New Roman"/>
              </w:rPr>
              <w:t>-2020）中符合性分析</w:t>
            </w:r>
          </w:p>
          <w:tbl>
            <w:tblPr>
              <w:tblStyle w:val="44"/>
              <w:tblW w:w="73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6"/>
              <w:gridCol w:w="4279"/>
              <w:gridCol w:w="2593"/>
            </w:tblGrid>
            <w:tr w14:paraId="4E677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6" w:type="dxa"/>
                  <w:vAlign w:val="center"/>
                </w:tcPr>
                <w:p w14:paraId="7A3502C5">
                  <w:pPr>
                    <w:jc w:val="center"/>
                    <w:rPr>
                      <w:rFonts w:hint="default" w:ascii="Times New Roman" w:hAnsi="Times New Roman" w:cs="Times New Roman"/>
                      <w:szCs w:val="21"/>
                    </w:rPr>
                  </w:pPr>
                  <w:r>
                    <w:rPr>
                      <w:rFonts w:hint="default" w:ascii="Times New Roman" w:hAnsi="Times New Roman" w:cs="Times New Roman"/>
                      <w:szCs w:val="21"/>
                    </w:rPr>
                    <w:t>序号</w:t>
                  </w:r>
                </w:p>
              </w:tc>
              <w:tc>
                <w:tcPr>
                  <w:tcW w:w="4279" w:type="dxa"/>
                  <w:vAlign w:val="center"/>
                </w:tcPr>
                <w:p w14:paraId="5EB82ED5">
                  <w:pPr>
                    <w:jc w:val="center"/>
                    <w:rPr>
                      <w:rFonts w:hint="default" w:ascii="Times New Roman" w:hAnsi="Times New Roman" w:cs="Times New Roman"/>
                      <w:szCs w:val="21"/>
                    </w:rPr>
                  </w:pPr>
                  <w:r>
                    <w:rPr>
                      <w:rFonts w:hint="default" w:ascii="Times New Roman" w:hAnsi="Times New Roman" w:cs="Times New Roman"/>
                      <w:szCs w:val="21"/>
                    </w:rPr>
                    <w:t>输变电建设项目环境保护技术要求</w:t>
                  </w:r>
                </w:p>
              </w:tc>
              <w:tc>
                <w:tcPr>
                  <w:tcW w:w="2593" w:type="dxa"/>
                  <w:vAlign w:val="center"/>
                </w:tcPr>
                <w:p w14:paraId="5AE9978A">
                  <w:pPr>
                    <w:jc w:val="center"/>
                    <w:rPr>
                      <w:rFonts w:hint="default" w:ascii="Times New Roman" w:hAnsi="Times New Roman" w:cs="Times New Roman"/>
                      <w:szCs w:val="21"/>
                    </w:rPr>
                  </w:pPr>
                  <w:r>
                    <w:rPr>
                      <w:rFonts w:hint="default" w:ascii="Times New Roman" w:hAnsi="Times New Roman" w:cs="Times New Roman"/>
                      <w:szCs w:val="21"/>
                    </w:rPr>
                    <w:t>项目实际情况</w:t>
                  </w:r>
                </w:p>
              </w:tc>
            </w:tr>
            <w:tr w14:paraId="5D14B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436" w:type="dxa"/>
                  <w:vAlign w:val="center"/>
                </w:tcPr>
                <w:p w14:paraId="71DEFE83">
                  <w:pPr>
                    <w:jc w:val="center"/>
                    <w:rPr>
                      <w:rFonts w:hint="default" w:ascii="Times New Roman" w:hAnsi="Times New Roman" w:cs="Times New Roman"/>
                      <w:szCs w:val="21"/>
                    </w:rPr>
                  </w:pPr>
                  <w:r>
                    <w:rPr>
                      <w:rFonts w:hint="default" w:ascii="Times New Roman" w:hAnsi="Times New Roman" w:cs="Times New Roman"/>
                      <w:szCs w:val="21"/>
                    </w:rPr>
                    <w:t>1</w:t>
                  </w:r>
                </w:p>
              </w:tc>
              <w:tc>
                <w:tcPr>
                  <w:tcW w:w="4279" w:type="dxa"/>
                  <w:vAlign w:val="center"/>
                </w:tcPr>
                <w:p w14:paraId="12D6D058">
                  <w:pPr>
                    <w:rPr>
                      <w:rFonts w:hint="default" w:ascii="Times New Roman" w:hAnsi="Times New Roman" w:cs="Times New Roman"/>
                      <w:szCs w:val="21"/>
                    </w:rPr>
                  </w:pPr>
                  <w:r>
                    <w:rPr>
                      <w:rFonts w:hint="default" w:ascii="Times New Roman" w:hAnsi="Times New Roman" w:cs="Times New Roman"/>
                      <w:szCs w:val="21"/>
                    </w:rPr>
                    <w:t>输变电建设项目选址选线应符合生态保护红线管控要求，避让自然保护区、饮用水水源保护区等环境敏感区。确实因自然条件等因素限制无法避让自然保护区实验区、饮用水水源二级保护区等环境敏感区的输电线路，应在满足相关法律法规及管理要求的前提下对线路方案进行唯一性论证，并采取无害化方式通过</w:t>
                  </w:r>
                </w:p>
              </w:tc>
              <w:tc>
                <w:tcPr>
                  <w:tcW w:w="2593" w:type="dxa"/>
                  <w:vAlign w:val="center"/>
                </w:tcPr>
                <w:p w14:paraId="5603710C">
                  <w:pPr>
                    <w:rPr>
                      <w:rFonts w:hint="default" w:ascii="Times New Roman" w:hAnsi="Times New Roman" w:cs="Times New Roman"/>
                      <w:szCs w:val="21"/>
                    </w:rPr>
                  </w:pPr>
                  <w:r>
                    <w:rPr>
                      <w:rFonts w:hint="default" w:ascii="Times New Roman" w:hAnsi="Times New Roman" w:cs="Times New Roman"/>
                      <w:szCs w:val="21"/>
                    </w:rPr>
                    <w:t>根据现场调查，本项目不涉及自然保护区、饮用水水源保护区等环境敏感区。</w:t>
                  </w:r>
                </w:p>
              </w:tc>
            </w:tr>
            <w:tr w14:paraId="64093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436" w:type="dxa"/>
                  <w:vAlign w:val="center"/>
                </w:tcPr>
                <w:p w14:paraId="7E061EE1">
                  <w:pPr>
                    <w:jc w:val="center"/>
                    <w:rPr>
                      <w:rFonts w:hint="default" w:ascii="Times New Roman" w:hAnsi="Times New Roman" w:cs="Times New Roman"/>
                      <w:szCs w:val="21"/>
                    </w:rPr>
                  </w:pPr>
                  <w:r>
                    <w:rPr>
                      <w:rFonts w:hint="default" w:ascii="Times New Roman" w:hAnsi="Times New Roman" w:cs="Times New Roman"/>
                      <w:szCs w:val="21"/>
                    </w:rPr>
                    <w:t>2</w:t>
                  </w:r>
                </w:p>
              </w:tc>
              <w:tc>
                <w:tcPr>
                  <w:tcW w:w="4279" w:type="dxa"/>
                  <w:vAlign w:val="center"/>
                </w:tcPr>
                <w:p w14:paraId="4BDB8656">
                  <w:pPr>
                    <w:rPr>
                      <w:rFonts w:hint="default" w:ascii="Times New Roman" w:hAnsi="Times New Roman" w:cs="Times New Roman"/>
                      <w:szCs w:val="21"/>
                    </w:rPr>
                  </w:pPr>
                  <w:r>
                    <w:rPr>
                      <w:rFonts w:hint="default" w:ascii="Times New Roman" w:hAnsi="Times New Roman" w:cs="Times New Roman"/>
                      <w:szCs w:val="21"/>
                    </w:rPr>
                    <w:t>输变电工程在选址时应按终期规模综合考虑进出线走廊规划，避免进出线进入自然保护区、饮用水水源保护区等环境敏感区</w:t>
                  </w:r>
                </w:p>
              </w:tc>
              <w:tc>
                <w:tcPr>
                  <w:tcW w:w="2593" w:type="dxa"/>
                  <w:vAlign w:val="center"/>
                </w:tcPr>
                <w:p w14:paraId="3FBD80F6">
                  <w:pPr>
                    <w:rPr>
                      <w:rFonts w:hint="default" w:ascii="Times New Roman" w:hAnsi="Times New Roman" w:cs="Times New Roman"/>
                      <w:szCs w:val="21"/>
                    </w:rPr>
                  </w:pPr>
                  <w:r>
                    <w:rPr>
                      <w:rFonts w:hint="default" w:ascii="Times New Roman" w:hAnsi="Times New Roman" w:cs="Times New Roman"/>
                      <w:szCs w:val="21"/>
                    </w:rPr>
                    <w:t>工程已按照最终规模进行规划，本次评价范围不包括外出线路部分内容的评价。</w:t>
                  </w:r>
                </w:p>
              </w:tc>
            </w:tr>
            <w:tr w14:paraId="2C45D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436" w:type="dxa"/>
                  <w:vAlign w:val="center"/>
                </w:tcPr>
                <w:p w14:paraId="4F97E96F">
                  <w:pPr>
                    <w:jc w:val="center"/>
                    <w:rPr>
                      <w:rFonts w:hint="default" w:ascii="Times New Roman" w:hAnsi="Times New Roman" w:cs="Times New Roman"/>
                      <w:szCs w:val="21"/>
                    </w:rPr>
                  </w:pPr>
                  <w:r>
                    <w:rPr>
                      <w:rFonts w:hint="default" w:ascii="Times New Roman" w:hAnsi="Times New Roman" w:cs="Times New Roman"/>
                      <w:szCs w:val="21"/>
                    </w:rPr>
                    <w:t>3</w:t>
                  </w:r>
                </w:p>
              </w:tc>
              <w:tc>
                <w:tcPr>
                  <w:tcW w:w="4279" w:type="dxa"/>
                  <w:vAlign w:val="center"/>
                </w:tcPr>
                <w:p w14:paraId="11E33639">
                  <w:pPr>
                    <w:rPr>
                      <w:rFonts w:hint="default" w:ascii="Times New Roman" w:hAnsi="Times New Roman" w:cs="Times New Roman"/>
                      <w:szCs w:val="21"/>
                    </w:rPr>
                  </w:pPr>
                  <w:r>
                    <w:rPr>
                      <w:rFonts w:hint="default" w:ascii="Times New Roman" w:hAnsi="Times New Roman" w:cs="Times New Roman"/>
                      <w:szCs w:val="21"/>
                    </w:rPr>
                    <w:t>户外变电工程及规划架空进出线选址选线时，应关注以居住、医疗卫生、文化教育、科研、行政办公等为主要功能的区域，采取综合措施，减少电磁和声环境影响</w:t>
                  </w:r>
                </w:p>
              </w:tc>
              <w:tc>
                <w:tcPr>
                  <w:tcW w:w="2593" w:type="dxa"/>
                  <w:vAlign w:val="center"/>
                </w:tcPr>
                <w:p w14:paraId="54A3D597">
                  <w:pPr>
                    <w:rPr>
                      <w:rFonts w:hint="default" w:ascii="Times New Roman" w:hAnsi="Times New Roman" w:cs="Times New Roman"/>
                      <w:szCs w:val="21"/>
                    </w:rPr>
                  </w:pPr>
                  <w:r>
                    <w:rPr>
                      <w:rFonts w:hint="default" w:ascii="Times New Roman" w:hAnsi="Times New Roman" w:cs="Times New Roman"/>
                      <w:szCs w:val="21"/>
                    </w:rPr>
                    <w:t>场址周围无居民点等敏感目标分布，对周边环境影响较小。</w:t>
                  </w:r>
                </w:p>
              </w:tc>
            </w:tr>
            <w:tr w14:paraId="428C5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436" w:type="dxa"/>
                  <w:vAlign w:val="center"/>
                </w:tcPr>
                <w:p w14:paraId="0DE7BA67">
                  <w:pPr>
                    <w:jc w:val="center"/>
                    <w:rPr>
                      <w:rFonts w:hint="default" w:ascii="Times New Roman" w:hAnsi="Times New Roman" w:cs="Times New Roman"/>
                      <w:szCs w:val="21"/>
                    </w:rPr>
                  </w:pPr>
                  <w:r>
                    <w:rPr>
                      <w:rFonts w:hint="default" w:ascii="Times New Roman" w:hAnsi="Times New Roman" w:cs="Times New Roman"/>
                      <w:szCs w:val="21"/>
                    </w:rPr>
                    <w:t>4</w:t>
                  </w:r>
                </w:p>
              </w:tc>
              <w:tc>
                <w:tcPr>
                  <w:tcW w:w="4279" w:type="dxa"/>
                  <w:vAlign w:val="center"/>
                </w:tcPr>
                <w:p w14:paraId="0DE6AEAE">
                  <w:pPr>
                    <w:rPr>
                      <w:rFonts w:hint="default" w:ascii="Times New Roman" w:hAnsi="Times New Roman" w:cs="Times New Roman"/>
                      <w:szCs w:val="21"/>
                    </w:rPr>
                  </w:pPr>
                  <w:r>
                    <w:rPr>
                      <w:rFonts w:hint="default" w:ascii="Times New Roman" w:hAnsi="Times New Roman" w:cs="Times New Roman"/>
                      <w:szCs w:val="21"/>
                    </w:rPr>
                    <w:t>原则上避免在0类声环境功能区建设变电工程</w:t>
                  </w:r>
                </w:p>
              </w:tc>
              <w:tc>
                <w:tcPr>
                  <w:tcW w:w="2593" w:type="dxa"/>
                  <w:vAlign w:val="center"/>
                </w:tcPr>
                <w:p w14:paraId="65C7F198">
                  <w:pPr>
                    <w:rPr>
                      <w:rFonts w:hint="default" w:ascii="Times New Roman" w:hAnsi="Times New Roman" w:cs="Times New Roman"/>
                      <w:szCs w:val="21"/>
                    </w:rPr>
                  </w:pPr>
                  <w:r>
                    <w:rPr>
                      <w:rFonts w:hint="default" w:ascii="Times New Roman" w:hAnsi="Times New Roman" w:cs="Times New Roman"/>
                      <w:szCs w:val="21"/>
                    </w:rPr>
                    <w:t>现场调查情况，本工程所处声环境功能区为</w:t>
                  </w:r>
                  <w:r>
                    <w:rPr>
                      <w:rFonts w:hint="default" w:ascii="Times New Roman" w:hAnsi="Times New Roman" w:cs="Times New Roman"/>
                      <w:szCs w:val="21"/>
                      <w:lang w:val="en-US" w:eastAsia="zh-CN"/>
                    </w:rPr>
                    <w:t>3</w:t>
                  </w:r>
                  <w:r>
                    <w:rPr>
                      <w:rFonts w:hint="default" w:ascii="Times New Roman" w:hAnsi="Times New Roman" w:cs="Times New Roman"/>
                      <w:szCs w:val="21"/>
                    </w:rPr>
                    <w:t>类区，</w:t>
                  </w:r>
                  <w:r>
                    <w:rPr>
                      <w:rFonts w:hint="default" w:ascii="Times New Roman" w:hAnsi="Times New Roman" w:cs="Times New Roman"/>
                    </w:rPr>
                    <w:t>不涉及</w:t>
                  </w:r>
                  <w:r>
                    <w:rPr>
                      <w:rFonts w:hint="default" w:ascii="Times New Roman" w:hAnsi="Times New Roman" w:cs="Times New Roman"/>
                      <w:szCs w:val="21"/>
                    </w:rPr>
                    <w:t>0类声环境功能区。</w:t>
                  </w:r>
                </w:p>
              </w:tc>
            </w:tr>
            <w:tr w14:paraId="09937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436" w:type="dxa"/>
                  <w:vAlign w:val="center"/>
                </w:tcPr>
                <w:p w14:paraId="1C02AB3F">
                  <w:pPr>
                    <w:jc w:val="center"/>
                    <w:rPr>
                      <w:rFonts w:hint="default" w:ascii="Times New Roman" w:hAnsi="Times New Roman" w:cs="Times New Roman"/>
                      <w:szCs w:val="21"/>
                    </w:rPr>
                  </w:pPr>
                  <w:r>
                    <w:rPr>
                      <w:rFonts w:hint="default" w:ascii="Times New Roman" w:hAnsi="Times New Roman" w:cs="Times New Roman"/>
                      <w:szCs w:val="21"/>
                    </w:rPr>
                    <w:t>5</w:t>
                  </w:r>
                </w:p>
              </w:tc>
              <w:tc>
                <w:tcPr>
                  <w:tcW w:w="4279" w:type="dxa"/>
                  <w:vAlign w:val="center"/>
                </w:tcPr>
                <w:p w14:paraId="2D704D08">
                  <w:pPr>
                    <w:jc w:val="center"/>
                    <w:rPr>
                      <w:rFonts w:hint="default" w:ascii="Times New Roman" w:hAnsi="Times New Roman" w:cs="Times New Roman"/>
                      <w:szCs w:val="21"/>
                    </w:rPr>
                  </w:pPr>
                  <w:r>
                    <w:rPr>
                      <w:rFonts w:hint="default" w:ascii="Times New Roman" w:hAnsi="Times New Roman" w:cs="Times New Roman"/>
                      <w:szCs w:val="21"/>
                    </w:rPr>
                    <w:t>变电工程选址时，应综合考虑减少土地占用、植被砍伐和弃土弃渣等，以减少对生态环境的不利影响</w:t>
                  </w:r>
                </w:p>
              </w:tc>
              <w:tc>
                <w:tcPr>
                  <w:tcW w:w="2593" w:type="dxa"/>
                  <w:vAlign w:val="center"/>
                </w:tcPr>
                <w:p w14:paraId="4847E7C6">
                  <w:pPr>
                    <w:jc w:val="center"/>
                    <w:rPr>
                      <w:rFonts w:hint="default" w:ascii="Times New Roman" w:hAnsi="Times New Roman" w:cs="Times New Roman"/>
                      <w:szCs w:val="21"/>
                    </w:rPr>
                  </w:pPr>
                  <w:r>
                    <w:rPr>
                      <w:rFonts w:hint="default" w:ascii="Times New Roman" w:hAnsi="Times New Roman" w:cs="Times New Roman"/>
                      <w:szCs w:val="21"/>
                    </w:rPr>
                    <w:t>在工程设计过程中已尽量减少土地占用，废弃土方综合利用，不产生弃渣；施工结束后施工临时建筑及施工期环保设施全部拆除，经采取恢复保护措施后使其恢复至原有土地利用功能，对生态环境影响较小</w:t>
                  </w:r>
                </w:p>
              </w:tc>
            </w:tr>
          </w:tbl>
          <w:p w14:paraId="3A9C72E9">
            <w:pPr>
              <w:pStyle w:val="17"/>
              <w:snapToGrid/>
              <w:spacing w:before="0" w:after="0" w:line="480" w:lineRule="exact"/>
              <w:ind w:right="0" w:firstLine="522"/>
              <w:rPr>
                <w:rFonts w:hint="default" w:ascii="Times New Roman" w:hAnsi="Times New Roman" w:cs="Times New Roman"/>
                <w:sz w:val="24"/>
                <w:lang w:eastAsia="zh-CN"/>
              </w:rPr>
            </w:pPr>
            <w:r>
              <w:rPr>
                <w:rFonts w:hint="default" w:ascii="Times New Roman" w:hAnsi="Times New Roman" w:cs="Times New Roman"/>
                <w:sz w:val="24"/>
              </w:rPr>
              <w:t>综上，本项目与《输变电建设项目环境保护技术要求》 （</w:t>
            </w:r>
            <w:r>
              <w:rPr>
                <w:rFonts w:hint="eastAsia" w:cs="Times New Roman"/>
                <w:sz w:val="24"/>
                <w:lang w:eastAsia="zh-CN"/>
              </w:rPr>
              <w:t>HJ 1113</w:t>
            </w:r>
            <w:r>
              <w:rPr>
                <w:rFonts w:hint="default" w:ascii="Times New Roman" w:hAnsi="Times New Roman" w:cs="Times New Roman"/>
                <w:sz w:val="24"/>
              </w:rPr>
              <w:t>-2020）相符</w:t>
            </w:r>
            <w:r>
              <w:rPr>
                <w:rFonts w:hint="default" w:ascii="Times New Roman" w:hAnsi="Times New Roman" w:cs="Times New Roman"/>
                <w:sz w:val="24"/>
                <w:lang w:eastAsia="zh-CN"/>
              </w:rPr>
              <w:t>。</w:t>
            </w:r>
          </w:p>
          <w:p w14:paraId="5A03335E">
            <w:pPr>
              <w:pStyle w:val="67"/>
              <w:numPr>
                <w:ilvl w:val="0"/>
                <w:numId w:val="0"/>
              </w:numPr>
              <w:spacing w:line="480" w:lineRule="exact"/>
              <w:ind w:leftChars="0"/>
              <w:rPr>
                <w:rFonts w:hint="eastAsia" w:ascii="Times New Roman" w:hAnsi="Times New Roman" w:eastAsia="黑体" w:cs="Times New Roman"/>
                <w:sz w:val="25"/>
                <w:lang w:val="en-US" w:eastAsia="zh-CN"/>
              </w:rPr>
            </w:pPr>
            <w:r>
              <w:rPr>
                <w:rFonts w:hint="eastAsia" w:ascii="Times New Roman" w:hAnsi="Times New Roman" w:eastAsia="黑体" w:cs="Times New Roman"/>
                <w:sz w:val="25"/>
                <w:lang w:val="en-US" w:eastAsia="zh-CN"/>
              </w:rPr>
              <w:t>8.与《美丽中国建设“十五五”规划》符合性分析</w:t>
            </w:r>
          </w:p>
          <w:p w14:paraId="6AC80F4C">
            <w:pPr>
              <w:keepNext w:val="0"/>
              <w:keepLines w:val="0"/>
              <w:pageBreakBefore w:val="0"/>
              <w:widowControl/>
              <w:kinsoku/>
              <w:wordWrap/>
              <w:overflowPunct/>
              <w:topLinePunct w:val="0"/>
              <w:autoSpaceDE/>
              <w:autoSpaceDN/>
              <w:bidi w:val="0"/>
              <w:adjustRightInd/>
              <w:snapToGrid/>
              <w:spacing w:after="0" w:line="480" w:lineRule="exact"/>
              <w:ind w:firstLine="480" w:firstLineChars="200"/>
              <w:jc w:val="both"/>
              <w:textAlignment w:val="auto"/>
            </w:pPr>
            <w:r>
              <w:rPr>
                <w:rFonts w:hint="eastAsia" w:ascii="Times New Roman" w:hAnsi="Times New Roman" w:eastAsia="宋体"/>
                <w:b w:val="0"/>
                <w:sz w:val="24"/>
              </w:rPr>
              <w:t>本工程为110kV用户变电站，属电力基础设施建设项目。《美丽中国建设“十五五”规划》对加快经济社会发展全面绿色转型、构建新型能源体系和推进电网基础设施建设提出了总体要求。本工程为已取得环评批复（巴环评价函〔2026〕190号）的鸿泰鼎绿色新材料纺织产业园（一期）项目的配套供电工程，通过2回110kV线路破口接入既有110kV尉针二线，就近满足园区新增用电负荷需求，不新增公网变电站布点、不改变区域主干网架结构，有利于提升区域供电保障能力和电网运行效率。因此，本工程建设符合《美丽中国建设“十五五”规划》的相关要求。</w:t>
            </w:r>
          </w:p>
          <w:p w14:paraId="7D779468">
            <w:pPr>
              <w:pStyle w:val="67"/>
              <w:numPr>
                <w:ilvl w:val="0"/>
                <w:numId w:val="0"/>
              </w:numPr>
              <w:spacing w:line="480" w:lineRule="exact"/>
              <w:ind w:leftChars="0"/>
              <w:rPr>
                <w:rFonts w:hint="eastAsia" w:ascii="Times New Roman" w:hAnsi="Times New Roman" w:eastAsia="黑体" w:cs="Times New Roman"/>
                <w:sz w:val="25"/>
                <w:lang w:val="en-US" w:eastAsia="zh-CN"/>
              </w:rPr>
            </w:pPr>
            <w:r>
              <w:rPr>
                <w:rFonts w:hint="eastAsia" w:ascii="Times New Roman" w:hAnsi="Times New Roman" w:eastAsia="黑体" w:cs="Times New Roman"/>
                <w:sz w:val="25"/>
                <w:lang w:val="en-US" w:eastAsia="zh-CN"/>
              </w:rPr>
              <w:t>9.与《新型电力系统建设“十五五”规划》（发改能源〔2026〕942号）符合性分析</w:t>
            </w:r>
          </w:p>
          <w:p w14:paraId="1506596A">
            <w:pPr>
              <w:keepNext w:val="0"/>
              <w:keepLines w:val="0"/>
              <w:pageBreakBefore w:val="0"/>
              <w:widowControl/>
              <w:kinsoku/>
              <w:wordWrap/>
              <w:overflowPunct/>
              <w:topLinePunct w:val="0"/>
              <w:autoSpaceDE/>
              <w:autoSpaceDN/>
              <w:bidi w:val="0"/>
              <w:adjustRightInd/>
              <w:snapToGrid/>
              <w:spacing w:after="0" w:line="480" w:lineRule="exact"/>
              <w:ind w:firstLine="480" w:firstLineChars="200"/>
              <w:jc w:val="both"/>
              <w:textAlignment w:val="auto"/>
            </w:pPr>
            <w:r>
              <w:rPr>
                <w:rFonts w:hint="eastAsia" w:ascii="Times New Roman" w:hAnsi="Times New Roman" w:eastAsia="宋体"/>
                <w:b w:val="0"/>
                <w:sz w:val="24"/>
              </w:rPr>
              <w:t>《新型电力系统建设“十五五”规划》（发改能源〔2026〕942号，2026年7月21日印发）围绕构建安全稳定、经济高效的新型电力系统，对加强区域电网建设、提升重点负荷中心供电保障能力、促进电网建设与新增负荷协调发展提出了总体要求。本工程属工业园区用户侧配电网项目，为园区已批复产业的配套供电设施，接入系统方案已取得国网巴州供电公司供电方案答复，按产业园一期68.125MW用电负荷配置并留有余度，所供负荷全部为园区已批复项目的生产用电。本工程建设与规划关于电网建设与新增负荷协调发展、提升园区供电保障能力的要求相符。</w:t>
            </w:r>
          </w:p>
          <w:p w14:paraId="4F8115B3">
            <w:pPr>
              <w:pStyle w:val="67"/>
              <w:numPr>
                <w:ilvl w:val="0"/>
                <w:numId w:val="0"/>
              </w:numPr>
              <w:spacing w:line="480" w:lineRule="exact"/>
              <w:ind w:leftChars="0"/>
              <w:rPr>
                <w:rFonts w:hint="eastAsia" w:ascii="Times New Roman" w:hAnsi="Times New Roman" w:eastAsia="黑体" w:cs="Times New Roman"/>
                <w:sz w:val="25"/>
                <w:lang w:val="en-US" w:eastAsia="zh-CN"/>
              </w:rPr>
            </w:pPr>
            <w:r>
              <w:rPr>
                <w:rFonts w:hint="eastAsia" w:ascii="Times New Roman" w:hAnsi="Times New Roman" w:eastAsia="黑体" w:cs="Times New Roman"/>
                <w:sz w:val="25"/>
                <w:lang w:val="en-US" w:eastAsia="zh-CN"/>
              </w:rPr>
              <w:t>10.与尉犁工业园区规划符合性分析</w:t>
            </w:r>
          </w:p>
          <w:p w14:paraId="3F97CF89">
            <w:pPr>
              <w:keepNext w:val="0"/>
              <w:keepLines w:val="0"/>
              <w:pageBreakBefore w:val="0"/>
              <w:widowControl/>
              <w:kinsoku/>
              <w:wordWrap/>
              <w:overflowPunct/>
              <w:topLinePunct w:val="0"/>
              <w:autoSpaceDE/>
              <w:autoSpaceDN/>
              <w:bidi w:val="0"/>
              <w:adjustRightInd/>
              <w:snapToGrid/>
              <w:spacing w:after="0" w:line="480" w:lineRule="exact"/>
              <w:ind w:firstLine="480" w:firstLineChars="200"/>
              <w:jc w:val="both"/>
              <w:textAlignment w:val="auto"/>
            </w:pPr>
            <w:r>
              <w:rPr>
                <w:rFonts w:hint="eastAsia" w:ascii="Times New Roman" w:hAnsi="Times New Roman" w:eastAsia="宋体"/>
                <w:b w:val="0"/>
                <w:sz w:val="24"/>
              </w:rPr>
              <w:t>本工程站址位于尉犁县工业园主园区内、产业园（一期）厂区规划预留的变电站用地（电力设施用地）上，用地性质为工业用地范围内的配套供电设施用地，用地类别、方向与园区规划相符；本工程电源就近引自园区既有110kV电网，属园区规划的配套基础设施，与园区总体规划确定的产业布局、用地布局和基础设施布局相协调。尉犁工业园区总体规划及其规划环境影响评价文件相关批复文件见附件</w:t>
            </w:r>
            <w:r>
              <w:rPr>
                <w:rFonts w:hint="eastAsia" w:ascii="Times New Roman" w:hAnsi="Times New Roman" w:eastAsia="宋体"/>
                <w:b w:val="0"/>
                <w:sz w:val="24"/>
                <w:lang w:val="en-US" w:eastAsia="zh-CN"/>
              </w:rPr>
              <w:t>3</w:t>
            </w:r>
            <w:r>
              <w:rPr>
                <w:rFonts w:hint="eastAsia" w:ascii="Times New Roman" w:hAnsi="Times New Roman" w:eastAsia="宋体"/>
                <w:b w:val="0"/>
                <w:sz w:val="24"/>
              </w:rPr>
              <w:t>。</w:t>
            </w:r>
          </w:p>
          <w:p w14:paraId="03EF4A3C">
            <w:pPr>
              <w:pStyle w:val="67"/>
              <w:numPr>
                <w:ilvl w:val="0"/>
                <w:numId w:val="0"/>
              </w:numPr>
              <w:spacing w:line="480" w:lineRule="exact"/>
              <w:ind w:leftChars="0"/>
              <w:rPr>
                <w:rFonts w:hint="eastAsia" w:ascii="Times New Roman" w:hAnsi="Times New Roman" w:eastAsia="黑体" w:cs="Times New Roman"/>
                <w:sz w:val="25"/>
                <w:lang w:val="en-US" w:eastAsia="zh-CN"/>
              </w:rPr>
            </w:pPr>
            <w:r>
              <w:rPr>
                <w:rFonts w:hint="eastAsia" w:ascii="Times New Roman" w:hAnsi="Times New Roman" w:eastAsia="黑体" w:cs="Times New Roman"/>
                <w:sz w:val="25"/>
                <w:lang w:val="en-US" w:eastAsia="zh-CN"/>
              </w:rPr>
              <w:t>11.与《新疆维吾尔自治区实施〈中华人民共和国防沙治沙法〉办法》符合性分析</w:t>
            </w:r>
          </w:p>
          <w:p w14:paraId="1CE40770">
            <w:pPr>
              <w:keepNext w:val="0"/>
              <w:keepLines w:val="0"/>
              <w:pageBreakBefore w:val="0"/>
              <w:widowControl/>
              <w:kinsoku/>
              <w:wordWrap/>
              <w:overflowPunct/>
              <w:topLinePunct w:val="0"/>
              <w:autoSpaceDE/>
              <w:autoSpaceDN/>
              <w:bidi w:val="0"/>
              <w:adjustRightInd/>
              <w:snapToGrid/>
              <w:spacing w:after="0" w:line="480" w:lineRule="exact"/>
              <w:ind w:firstLine="480" w:firstLineChars="200"/>
              <w:jc w:val="both"/>
              <w:textAlignment w:val="auto"/>
            </w:pPr>
            <w:r>
              <w:rPr>
                <w:rFonts w:ascii="Times New Roman" w:hAnsi="Times New Roman" w:eastAsia="宋体"/>
                <w:b w:val="0"/>
                <w:sz w:val="24"/>
              </w:rPr>
              <w:t>本工程站址位于尉犁工业园区主园区产业园（一期）厂区规划预留用地内，场地已经园区统一场平，不占用国家沙化土地封禁保护区，不属于在沙化土地封禁保护区范围内新建、扩建基础设施的情形；工程不改变区域土地利用格局，不设置取弃土场。施工期对临时堆土、裸露地面采取防尘网苫盖、洒水等防风蚀措施，6级以上大风天气停止土方作业；施工结束后对非硬化区域进行平整并采取碎石覆盖或绿化；运营期站区除建构筑物及道路外均采取碎石覆盖或种植本地耐旱草灌木绿化，有效控制风蚀。因此，本工程建设符合《新疆维吾尔自治区实施〈中华人民共和国防沙治沙法〉办法》的相关要求。</w:t>
            </w:r>
          </w:p>
          <w:p w14:paraId="0B3D5414">
            <w:pPr>
              <w:pStyle w:val="67"/>
              <w:numPr>
                <w:ilvl w:val="0"/>
                <w:numId w:val="0"/>
              </w:numPr>
              <w:spacing w:line="480" w:lineRule="exact"/>
              <w:ind w:leftChars="0"/>
              <w:rPr>
                <w:rFonts w:hint="eastAsia" w:ascii="Times New Roman" w:hAnsi="Times New Roman" w:eastAsia="黑体" w:cs="Times New Roman"/>
                <w:sz w:val="25"/>
                <w:lang w:val="en-US" w:eastAsia="zh-CN"/>
              </w:rPr>
            </w:pPr>
            <w:r>
              <w:rPr>
                <w:rFonts w:hint="eastAsia" w:ascii="Times New Roman" w:hAnsi="Times New Roman" w:eastAsia="黑体" w:cs="Times New Roman"/>
                <w:sz w:val="25"/>
                <w:lang w:val="en-US" w:eastAsia="zh-CN"/>
              </w:rPr>
              <w:t>12.与自治区生态保护“十五五”规划、《美丽新疆建设“十五五”规划》符合性分析</w:t>
            </w:r>
          </w:p>
          <w:p w14:paraId="4BF45247">
            <w:pPr>
              <w:keepNext w:val="0"/>
              <w:keepLines w:val="0"/>
              <w:pageBreakBefore w:val="0"/>
              <w:widowControl/>
              <w:kinsoku/>
              <w:wordWrap/>
              <w:overflowPunct/>
              <w:topLinePunct w:val="0"/>
              <w:autoSpaceDE/>
              <w:autoSpaceDN/>
              <w:bidi w:val="0"/>
              <w:adjustRightInd/>
              <w:snapToGrid/>
              <w:spacing w:after="0" w:line="480" w:lineRule="exact"/>
              <w:ind w:firstLine="480" w:firstLineChars="200"/>
              <w:jc w:val="both"/>
              <w:textAlignment w:val="auto"/>
            </w:pPr>
            <w:r>
              <w:rPr>
                <w:rFonts w:ascii="Times New Roman" w:hAnsi="Times New Roman" w:eastAsia="宋体"/>
                <w:b w:val="0"/>
                <w:sz w:val="24"/>
              </w:rPr>
              <w:t>本工程不涉及生态保护红线、自然保护地、饮用水水源保护区等环境敏感区，站址为园区已场平建设用地，运营期环境影响以工频电磁场、噪声为主且均可达标，固体废物及危险废物均妥善处置，配套生态保护与恢复措施完善，符合自治区生态保护“十五五”规划关于生态保护红线管控和环境基础设施建设的要求，符合《美丽新疆建设“十五五”规划》关于绿色低碳发展、美丽园区建设的要求。</w:t>
            </w:r>
          </w:p>
          <w:p w14:paraId="4FD55690">
            <w:pPr>
              <w:rPr>
                <w:rFonts w:hint="default" w:ascii="Times New Roman" w:hAnsi="Times New Roman" w:cs="Times New Roman"/>
                <w:sz w:val="24"/>
                <w:lang w:eastAsia="zh-CN"/>
              </w:rPr>
            </w:pPr>
          </w:p>
          <w:p w14:paraId="5CE12A8B">
            <w:pPr>
              <w:rPr>
                <w:rFonts w:hint="default" w:ascii="Times New Roman" w:hAnsi="Times New Roman" w:cs="Times New Roman"/>
                <w:sz w:val="24"/>
                <w:lang w:eastAsia="zh-CN"/>
              </w:rPr>
            </w:pPr>
          </w:p>
        </w:tc>
      </w:tr>
    </w:tbl>
    <w:p w14:paraId="266E72C3">
      <w:pPr>
        <w:rPr>
          <w:rFonts w:hint="default" w:ascii="Times New Roman" w:hAnsi="Times New Roman" w:cs="Times New Roman"/>
        </w:rPr>
        <w:sectPr>
          <w:footerReference r:id="rId4" w:type="default"/>
          <w:type w:val="nextColumn"/>
          <w:pgSz w:w="11907" w:h="16840"/>
          <w:pgMar w:top="1440" w:right="1797" w:bottom="1440" w:left="1797" w:header="851" w:footer="1077" w:gutter="0"/>
          <w:pgBorders>
            <w:top w:val="none" w:sz="0" w:space="0"/>
            <w:left w:val="none" w:sz="0" w:space="0"/>
            <w:bottom w:val="none" w:sz="0" w:space="0"/>
            <w:right w:val="none" w:sz="0" w:space="0"/>
          </w:pgBorders>
          <w:pgNumType w:fmt="decimal" w:start="1"/>
          <w:cols w:space="720" w:num="1"/>
          <w:docGrid w:linePitch="312" w:charSpace="0"/>
        </w:sectPr>
      </w:pPr>
    </w:p>
    <w:p w14:paraId="11186803">
      <w:pPr>
        <w:pStyle w:val="3"/>
        <w:rPr>
          <w:rFonts w:hint="default" w:ascii="Times New Roman" w:hAnsi="Times New Roman" w:cs="Times New Roman"/>
        </w:rPr>
      </w:pPr>
      <w:bookmarkStart w:id="32" w:name="_Toc14985"/>
      <w:r>
        <w:rPr>
          <w:rFonts w:hint="default" w:ascii="Times New Roman" w:hAnsi="Times New Roman" w:cs="Times New Roman"/>
        </w:rPr>
        <w:t>建设内容</w:t>
      </w:r>
      <w:bookmarkEnd w:id="32"/>
    </w:p>
    <w:tbl>
      <w:tblPr>
        <w:tblStyle w:val="43"/>
        <w:tblpPr w:leftFromText="180" w:rightFromText="180" w:vertAnchor="text" w:tblpXSpec="center" w:tblpY="1"/>
        <w:tblOverlap w:val="never"/>
        <w:tblW w:w="4987"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466"/>
        <w:gridCol w:w="8041"/>
      </w:tblGrid>
      <w:tr w14:paraId="0DF3424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274" w:type="pct"/>
            <w:vAlign w:val="center"/>
          </w:tcPr>
          <w:p w14:paraId="705AFEBF">
            <w:pPr>
              <w:adjustRightInd w:val="0"/>
              <w:snapToGrid w:val="0"/>
              <w:jc w:val="center"/>
              <w:rPr>
                <w:rFonts w:hint="default" w:ascii="Times New Roman" w:hAnsi="Times New Roman" w:cs="Times New Roman" w:eastAsiaTheme="minorEastAsia"/>
                <w:kern w:val="0"/>
                <w:szCs w:val="21"/>
              </w:rPr>
            </w:pPr>
            <w:r>
              <w:rPr>
                <w:rFonts w:hint="default" w:ascii="Times New Roman" w:hAnsi="Times New Roman" w:cs="Times New Roman" w:eastAsiaTheme="minorEastAsia"/>
                <w:kern w:val="0"/>
                <w:szCs w:val="21"/>
              </w:rPr>
              <w:t>地理位置</w:t>
            </w:r>
          </w:p>
        </w:tc>
        <w:tc>
          <w:tcPr>
            <w:tcW w:w="4725" w:type="pct"/>
          </w:tcPr>
          <w:p w14:paraId="29E9A771">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sz w:val="24"/>
              </w:rPr>
            </w:pPr>
            <w:r>
              <w:rPr>
                <w:rFonts w:hint="default" w:ascii="Times New Roman" w:hAnsi="Times New Roman" w:cs="Times New Roman"/>
                <w:sz w:val="24"/>
              </w:rPr>
              <w:t>本工程新建110kV变电站1座，站址位于新疆维吾尔自治区巴音郭楞蒙古自治州尉犁县工业园区主园区内，地处尉犁县城区东北方向约5km、乌若高速公路入口约3.0km处，北侧紧临园区乌尉路，位于新疆鸿泰鼎新材料科技有限公司鸿泰鼎绿色新材料纺织产业园（一期）厂区规划用地范围内，属产业园配套的用户专用变电站，站区北靠厂区道路、南接厂区用地，进出线走廊条件良好。</w:t>
            </w:r>
          </w:p>
          <w:p w14:paraId="277F9729">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sz w:val="24"/>
              </w:rPr>
            </w:pPr>
            <w:r>
              <w:rPr>
                <w:rFonts w:hint="default" w:ascii="Times New Roman" w:hAnsi="Times New Roman" w:cs="Times New Roman"/>
                <w:sz w:val="24"/>
              </w:rPr>
              <w:t>站址中心地理坐标：，场地平均海拔约883m。站址周边为尉犁县工业园区道路及已建、在建企业厂区，交通条件便利，大件设备可经园区道路直接运至站址。工程地理位置见图2-1。</w:t>
            </w:r>
          </w:p>
        </w:tc>
      </w:tr>
      <w:tr w14:paraId="65B181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274" w:type="pct"/>
            <w:vAlign w:val="center"/>
          </w:tcPr>
          <w:p w14:paraId="4841980C">
            <w:pPr>
              <w:adjustRightInd w:val="0"/>
              <w:snapToGrid w:val="0"/>
              <w:jc w:val="center"/>
              <w:rPr>
                <w:rFonts w:hint="default" w:ascii="Times New Roman" w:hAnsi="Times New Roman" w:cs="Times New Roman" w:eastAsiaTheme="minorEastAsia"/>
                <w:kern w:val="0"/>
                <w:sz w:val="24"/>
              </w:rPr>
            </w:pPr>
            <w:r>
              <w:rPr>
                <w:rFonts w:hint="default" w:ascii="Times New Roman" w:hAnsi="Times New Roman" w:cs="Times New Roman" w:eastAsiaTheme="minorEastAsia"/>
                <w:kern w:val="0"/>
                <w:sz w:val="24"/>
              </w:rPr>
              <w:t>项目组成及规模</w:t>
            </w:r>
          </w:p>
        </w:tc>
        <w:tc>
          <w:tcPr>
            <w:tcW w:w="4725" w:type="pct"/>
            <w:vAlign w:val="center"/>
          </w:tcPr>
          <w:p w14:paraId="167D06C5">
            <w:pPr>
              <w:pStyle w:val="67"/>
              <w:numPr>
                <w:ilvl w:val="0"/>
                <w:numId w:val="0"/>
              </w:numPr>
              <w:spacing w:line="480" w:lineRule="exact"/>
              <w:ind w:leftChars="0"/>
              <w:rPr>
                <w:rFonts w:hint="default" w:ascii="Times New Roman" w:hAnsi="Times New Roman" w:eastAsia="黑体" w:cs="Times New Roman"/>
                <w:sz w:val="24"/>
                <w:lang w:val="en-US" w:eastAsia="zh-CN"/>
              </w:rPr>
            </w:pPr>
            <w:r>
              <w:rPr>
                <w:rFonts w:hint="default" w:ascii="Times New Roman" w:hAnsi="Times New Roman" w:eastAsia="黑体" w:cs="Times New Roman"/>
                <w:sz w:val="24"/>
                <w:lang w:val="en-US" w:eastAsia="zh-CN"/>
              </w:rPr>
              <w:t>1.项目组成及规模</w:t>
            </w:r>
          </w:p>
          <w:p w14:paraId="2E3E612C">
            <w:pPr>
              <w:pStyle w:val="67"/>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firstLine="480" w:firstLineChars="200"/>
              <w:textAlignment w:val="auto"/>
              <w:rPr>
                <w:rFonts w:hint="default" w:ascii="Times New Roman" w:hAnsi="Times New Roman" w:eastAsia="黑体" w:cs="Times New Roman"/>
                <w:sz w:val="24"/>
                <w:lang w:val="en-US" w:eastAsia="zh-CN"/>
              </w:rPr>
            </w:pPr>
            <w:r>
              <w:rPr>
                <w:rFonts w:hint="default" w:ascii="Times New Roman" w:hAnsi="Times New Roman" w:eastAsia="黑体" w:cs="Times New Roman"/>
                <w:sz w:val="24"/>
                <w:lang w:val="en-US" w:eastAsia="zh-CN"/>
              </w:rPr>
              <w:t>1.1 项目基本情况</w:t>
            </w:r>
          </w:p>
          <w:p w14:paraId="7EBD594D">
            <w:pPr>
              <w:pStyle w:val="67"/>
              <w:numPr>
                <w:ilvl w:val="0"/>
                <w:numId w:val="0"/>
              </w:numPr>
              <w:tabs>
                <w:tab w:val="center" w:pos="2721"/>
              </w:tabs>
              <w:spacing w:line="480" w:lineRule="exact"/>
              <w:ind w:left="420" w:leftChars="0"/>
              <w:jc w:val="center"/>
              <w:rPr>
                <w:rFonts w:hint="default" w:ascii="Times New Roman" w:hAnsi="Times New Roman" w:eastAsia="黑体" w:cs="Times New Roman"/>
                <w:lang w:val="en-US" w:eastAsia="zh-CN"/>
              </w:rPr>
            </w:pPr>
            <w:r>
              <w:rPr>
                <w:rFonts w:hint="default" w:ascii="Times New Roman" w:hAnsi="Times New Roman" w:eastAsia="黑体" w:cs="Times New Roman"/>
                <w:lang w:val="en-US" w:eastAsia="zh-CN"/>
              </w:rPr>
              <w:t>表2-1 项目基本情况一览表</w:t>
            </w:r>
          </w:p>
          <w:tbl>
            <w:tblPr>
              <w:tblStyle w:val="43"/>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1653"/>
              <w:gridCol w:w="6172"/>
            </w:tblGrid>
            <w:tr w14:paraId="4801C8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97" w:hRule="atLeast"/>
                <w:jc w:val="center"/>
              </w:trPr>
              <w:tc>
                <w:tcPr>
                  <w:tcW w:w="1814"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19D1BD5A">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项目名称</w:t>
                  </w:r>
                </w:p>
              </w:tc>
              <w:tc>
                <w:tcPr>
                  <w:tcW w:w="6803"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1C5F5614">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新疆鸿泰鼎新材料科技有限公司鸿泰鼎绿色新材料纺织产业园（一期）建设项目110kV变电站工程</w:t>
                  </w:r>
                </w:p>
              </w:tc>
            </w:tr>
            <w:tr w14:paraId="4267BB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jc w:val="center"/>
              </w:trPr>
              <w:tc>
                <w:tcPr>
                  <w:tcW w:w="1814"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0F9935A0">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建设单位</w:t>
                  </w:r>
                </w:p>
              </w:tc>
              <w:tc>
                <w:tcPr>
                  <w:tcW w:w="6803"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43645D71">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新疆鸿泰鼎新材料科技有限公司</w:t>
                  </w:r>
                </w:p>
              </w:tc>
            </w:tr>
            <w:tr w14:paraId="5174CE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jc w:val="center"/>
              </w:trPr>
              <w:tc>
                <w:tcPr>
                  <w:tcW w:w="1814"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2426AFC3">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建设性质</w:t>
                  </w:r>
                </w:p>
              </w:tc>
              <w:tc>
                <w:tcPr>
                  <w:tcW w:w="6803"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334BE17F">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新建（用户自建）</w:t>
                  </w:r>
                </w:p>
              </w:tc>
            </w:tr>
            <w:tr w14:paraId="34DEA8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jc w:val="center"/>
              </w:trPr>
              <w:tc>
                <w:tcPr>
                  <w:tcW w:w="1814"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3E3E6BD3">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建设地点</w:t>
                  </w:r>
                </w:p>
              </w:tc>
              <w:tc>
                <w:tcPr>
                  <w:tcW w:w="6803"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126E7EC4">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巴音郭楞蒙古自治州尉犁县工业园区主园区，鸿泰鼎绿色新材料纺织产业园（一期）厂区规划用地内</w:t>
                  </w:r>
                </w:p>
              </w:tc>
            </w:tr>
            <w:tr w14:paraId="7D5BFA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jc w:val="center"/>
              </w:trPr>
              <w:tc>
                <w:tcPr>
                  <w:tcW w:w="1814"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47CBB2E6">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电压等级</w:t>
                  </w:r>
                </w:p>
              </w:tc>
              <w:tc>
                <w:tcPr>
                  <w:tcW w:w="6803"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5AC2E347">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110/10kV</w:t>
                  </w:r>
                </w:p>
              </w:tc>
            </w:tr>
            <w:tr w14:paraId="4DAA9B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jc w:val="center"/>
              </w:trPr>
              <w:tc>
                <w:tcPr>
                  <w:tcW w:w="1814"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737A63AA">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建设规模</w:t>
                  </w:r>
                </w:p>
              </w:tc>
              <w:tc>
                <w:tcPr>
                  <w:tcW w:w="6803"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2E5F594E">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新建110kV变电站1座，主变2×63MVA；110kV出线2回；10kV出线32回；无功补偿4×5Mvar</w:t>
                  </w:r>
                </w:p>
              </w:tc>
            </w:tr>
            <w:tr w14:paraId="71B0AE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jc w:val="center"/>
              </w:trPr>
              <w:tc>
                <w:tcPr>
                  <w:tcW w:w="1814"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3E832222">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eastAsia="宋体" w:cs="Times New Roman"/>
                      <w:b w:val="0"/>
                      <w:bCs w:val="0"/>
                      <w:i w:val="0"/>
                      <w:iCs w:val="0"/>
                      <w:color w:val="000000"/>
                      <w:spacing w:val="0"/>
                      <w:w w:val="100"/>
                      <w:sz w:val="21"/>
                      <w:szCs w:val="21"/>
                      <w:vertAlign w:val="baseline"/>
                    </w:rPr>
                  </w:pPr>
                  <w:r>
                    <w:rPr>
                      <w:rFonts w:hint="default" w:ascii="Times New Roman" w:hAnsi="Times New Roman" w:eastAsia="宋体" w:cs="Times New Roman"/>
                      <w:b w:val="0"/>
                      <w:bCs w:val="0"/>
                      <w:i w:val="0"/>
                      <w:iCs w:val="0"/>
                      <w:color w:val="000000"/>
                      <w:spacing w:val="0"/>
                      <w:w w:val="100"/>
                      <w:sz w:val="21"/>
                      <w:szCs w:val="21"/>
                      <w:vertAlign w:val="baseline"/>
                    </w:rPr>
                    <w:t>工程投资</w:t>
                  </w:r>
                </w:p>
              </w:tc>
              <w:tc>
                <w:tcPr>
                  <w:tcW w:w="6803"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2665BC82">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eastAsia="宋体" w:cs="Times New Roman"/>
                      <w:b w:val="0"/>
                      <w:bCs w:val="0"/>
                      <w:i w:val="0"/>
                      <w:iCs w:val="0"/>
                      <w:color w:val="000000"/>
                      <w:spacing w:val="0"/>
                      <w:w w:val="100"/>
                      <w:sz w:val="21"/>
                      <w:szCs w:val="21"/>
                      <w:vertAlign w:val="baseline"/>
                    </w:rPr>
                  </w:pPr>
                  <w:r>
                    <w:rPr>
                      <w:rFonts w:hint="default" w:ascii="Times New Roman" w:hAnsi="Times New Roman" w:eastAsia="宋体" w:cs="Times New Roman"/>
                      <w:b w:val="0"/>
                      <w:bCs w:val="0"/>
                      <w:i w:val="0"/>
                      <w:iCs w:val="0"/>
                      <w:color w:val="000000"/>
                      <w:spacing w:val="0"/>
                      <w:w w:val="100"/>
                      <w:sz w:val="21"/>
                      <w:szCs w:val="21"/>
                      <w:vertAlign w:val="baseline"/>
                    </w:rPr>
                    <w:t>项目总投资</w:t>
                  </w:r>
                  <w:r>
                    <w:rPr>
                      <w:rFonts w:hint="default" w:ascii="Times New Roman" w:hAnsi="Times New Roman" w:eastAsia="宋体" w:cs="Times New Roman"/>
                      <w:b w:val="0"/>
                      <w:bCs w:val="0"/>
                      <w:i w:val="0"/>
                      <w:iCs w:val="0"/>
                      <w:color w:val="000000"/>
                      <w:spacing w:val="0"/>
                      <w:w w:val="100"/>
                      <w:sz w:val="21"/>
                      <w:szCs w:val="21"/>
                      <w:vertAlign w:val="baseline"/>
                      <w:lang w:eastAsia="zh-CN"/>
                    </w:rPr>
                    <w:t>4106</w:t>
                  </w:r>
                  <w:r>
                    <w:rPr>
                      <w:rFonts w:hint="default" w:ascii="Times New Roman" w:hAnsi="Times New Roman" w:eastAsia="宋体" w:cs="Times New Roman"/>
                      <w:b w:val="0"/>
                      <w:bCs w:val="0"/>
                      <w:i w:val="0"/>
                      <w:iCs w:val="0"/>
                      <w:color w:val="000000"/>
                      <w:spacing w:val="0"/>
                      <w:w w:val="100"/>
                      <w:sz w:val="21"/>
                      <w:szCs w:val="21"/>
                      <w:vertAlign w:val="baseline"/>
                    </w:rPr>
                    <w:t>万元，环保投资约</w:t>
                  </w:r>
                  <w:r>
                    <w:rPr>
                      <w:rFonts w:hint="default" w:ascii="Times New Roman" w:hAnsi="Times New Roman" w:eastAsia="宋体" w:cs="Times New Roman"/>
                      <w:b w:val="0"/>
                      <w:bCs w:val="0"/>
                      <w:i w:val="0"/>
                      <w:iCs w:val="0"/>
                      <w:color w:val="000000"/>
                      <w:spacing w:val="0"/>
                      <w:w w:val="100"/>
                      <w:sz w:val="21"/>
                      <w:szCs w:val="21"/>
                      <w:vertAlign w:val="baseline"/>
                      <w:lang w:eastAsia="zh-CN"/>
                    </w:rPr>
                    <w:t>80</w:t>
                  </w:r>
                  <w:r>
                    <w:rPr>
                      <w:rFonts w:hint="default" w:ascii="Times New Roman" w:hAnsi="Times New Roman" w:eastAsia="宋体" w:cs="Times New Roman"/>
                      <w:b w:val="0"/>
                      <w:bCs w:val="0"/>
                      <w:i w:val="0"/>
                      <w:iCs w:val="0"/>
                      <w:color w:val="000000"/>
                      <w:spacing w:val="0"/>
                      <w:w w:val="100"/>
                      <w:sz w:val="21"/>
                      <w:szCs w:val="21"/>
                      <w:vertAlign w:val="baseline"/>
                    </w:rPr>
                    <w:t>万元，占总投资</w:t>
                  </w:r>
                  <w:r>
                    <w:rPr>
                      <w:rFonts w:hint="default" w:ascii="Times New Roman" w:hAnsi="Times New Roman" w:eastAsia="宋体" w:cs="Times New Roman"/>
                      <w:b w:val="0"/>
                      <w:bCs w:val="0"/>
                      <w:i w:val="0"/>
                      <w:iCs w:val="0"/>
                      <w:color w:val="000000"/>
                      <w:spacing w:val="0"/>
                      <w:w w:val="100"/>
                      <w:sz w:val="21"/>
                      <w:szCs w:val="21"/>
                      <w:vertAlign w:val="baseline"/>
                      <w:lang w:eastAsia="zh-CN"/>
                    </w:rPr>
                    <w:t>1.95％</w:t>
                  </w:r>
                </w:p>
              </w:tc>
            </w:tr>
            <w:tr w14:paraId="2A17B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jc w:val="center"/>
              </w:trPr>
              <w:tc>
                <w:tcPr>
                  <w:tcW w:w="1814"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43AB2CFA">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建设周期</w:t>
                  </w:r>
                </w:p>
              </w:tc>
              <w:tc>
                <w:tcPr>
                  <w:tcW w:w="6803"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3A8ADF50">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12个月，计划2027年建成投运</w:t>
                  </w:r>
                </w:p>
              </w:tc>
            </w:tr>
            <w:tr w14:paraId="3C1F5A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jc w:val="center"/>
              </w:trPr>
              <w:tc>
                <w:tcPr>
                  <w:tcW w:w="1814"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6DA2B32C">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服务对象</w:t>
                  </w:r>
                </w:p>
              </w:tc>
              <w:tc>
                <w:tcPr>
                  <w:tcW w:w="6803"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2A45A26E">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鸿泰鼎绿色新材料纺织产业园（一期）项目，最大用电负荷68.125MW</w:t>
                  </w:r>
                </w:p>
              </w:tc>
            </w:tr>
          </w:tbl>
          <w:p w14:paraId="07B525B1">
            <w:pPr>
              <w:pStyle w:val="67"/>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firstLine="480" w:firstLineChars="200"/>
              <w:textAlignment w:val="auto"/>
              <w:rPr>
                <w:rFonts w:hint="default" w:ascii="Times New Roman" w:hAnsi="Times New Roman" w:eastAsia="黑体" w:cs="Times New Roman"/>
                <w:sz w:val="24"/>
                <w:lang w:val="en-US" w:eastAsia="zh-CN"/>
              </w:rPr>
            </w:pPr>
            <w:r>
              <w:rPr>
                <w:rFonts w:hint="default" w:ascii="Times New Roman" w:hAnsi="Times New Roman" w:eastAsia="黑体" w:cs="Times New Roman"/>
                <w:sz w:val="24"/>
                <w:lang w:val="en-US" w:eastAsia="zh-CN"/>
              </w:rPr>
              <w:t>1.2项目由来及与依托工程的关系</w:t>
            </w:r>
          </w:p>
          <w:p w14:paraId="313F5EB3">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cs="Times New Roman"/>
              </w:rPr>
            </w:pPr>
            <w:r>
              <w:rPr>
                <w:rFonts w:hint="default" w:ascii="Times New Roman" w:hAnsi="Times New Roman" w:eastAsia="宋体" w:cs="Times New Roman"/>
                <w:b w:val="0"/>
                <w:bCs w:val="0"/>
                <w:i w:val="0"/>
                <w:iCs w:val="0"/>
                <w:color w:val="000000"/>
                <w:spacing w:val="0"/>
                <w:w w:val="100"/>
                <w:sz w:val="24"/>
                <w:szCs w:val="24"/>
                <w:vertAlign w:val="baseline"/>
              </w:rPr>
              <w:t>新疆鸿泰鼎新材料科技有限公司鸿泰鼎绿色新材料纺织产业园项目（一期）位于尉犁县工业园区，用地面积约426.6亩，设计规模为年产15万吨罗布麻莱赛尔纤维（2条生产线，单线7.5万吨/年）、22万锭环锭混纺纱线装置、1000台喷气织机装置、2条莱赛尔水刺无纺布生产线及相关配套设施，项目最大用电负荷约68.125MW，其中一级负荷0.444MW、二级负荷9.24MW、三级负荷58.441MW。产业园（一期）项目环境影响报告书已取得巴州生态环境局批复（巴环评价函〔2026〕190号，见附件2），本次评价的110kV变电站为该已批复项目的配套供电工程，属用户自建、自用的专用变电站，由用户投资建设，产权分界点为变电站110kV进线套管处，不向第三方供电。</w:t>
            </w:r>
          </w:p>
          <w:p w14:paraId="531F9A04">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黑体" w:cs="Times New Roman"/>
                <w:sz w:val="24"/>
                <w:lang w:val="en-US" w:eastAsia="zh-CN"/>
              </w:rPr>
            </w:pPr>
            <w:r>
              <w:rPr>
                <w:rFonts w:hint="default" w:ascii="Times New Roman" w:hAnsi="Times New Roman" w:eastAsia="宋体" w:cs="Times New Roman"/>
                <w:b w:val="0"/>
                <w:bCs w:val="0"/>
                <w:i w:val="0"/>
                <w:iCs w:val="0"/>
                <w:color w:val="000000"/>
                <w:spacing w:val="0"/>
                <w:w w:val="100"/>
                <w:sz w:val="24"/>
                <w:szCs w:val="24"/>
                <w:vertAlign w:val="baseline"/>
              </w:rPr>
              <w:t>根据国网巴州供电公司营销服务中心《关于新疆鸿泰鼎新材料科技有限公司莱赛尔纺织项目供电方案的答复》，本项目采用110kV电压等级供电，新建2回110kV线路破口接入既有110kV尉针二线，分别形成至尉犁220kV变电站、针织园110kV变电站各1回。本工程评价范围为变电站站区（含进站道路），</w:t>
            </w:r>
            <w:r>
              <w:rPr>
                <w:rFonts w:ascii="宋体" w:hAnsi="宋体" w:eastAsia="宋体" w:cs="宋体"/>
                <w:sz w:val="24"/>
                <w:szCs w:val="24"/>
              </w:rPr>
              <w:t>不含110kV送出线路及厂区10kV配电线路。110kV送出线路、厂区10kV配电线路不属于本次评价内容，建设单位须依据《建设项目环境影响评价分类管理名录》单独履行环评审批手续，不得纳入本项目环评及竣工环保验收范围。</w:t>
            </w:r>
          </w:p>
          <w:p w14:paraId="65D3E371">
            <w:pPr>
              <w:pStyle w:val="67"/>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firstLine="480" w:firstLineChars="200"/>
              <w:textAlignment w:val="auto"/>
              <w:rPr>
                <w:rFonts w:hint="default" w:ascii="Times New Roman" w:hAnsi="Times New Roman" w:eastAsia="黑体" w:cs="Times New Roman"/>
                <w:sz w:val="24"/>
                <w:lang w:val="zh-CN" w:eastAsia="zh-CN"/>
              </w:rPr>
            </w:pPr>
            <w:r>
              <w:rPr>
                <w:rFonts w:hint="default" w:ascii="Times New Roman" w:hAnsi="Times New Roman" w:eastAsia="黑体" w:cs="Times New Roman"/>
                <w:sz w:val="24"/>
                <w:lang w:val="en-US" w:eastAsia="zh-CN"/>
              </w:rPr>
              <w:t>1.3建设内容及规模</w:t>
            </w:r>
            <w:bookmarkStart w:id="33" w:name="_Hlk210139031"/>
          </w:p>
          <w:bookmarkEnd w:id="33"/>
          <w:p w14:paraId="13714ABB">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sz w:val="24"/>
              </w:rPr>
            </w:pPr>
            <w:r>
              <w:rPr>
                <w:rFonts w:hint="default" w:ascii="Times New Roman" w:hAnsi="Times New Roman" w:cs="Times New Roman"/>
                <w:sz w:val="24"/>
              </w:rPr>
              <w:t>本项目为新疆鸿泰鼎绿色新材料纺织产业园（一期）新建110kV变电站工程，属于产业园配套用户变电站，站址位于尉犁工业园区产业园厂区预留用地内，围墙内用地面积0.3586hm</w:t>
            </w:r>
            <w:r>
              <w:rPr>
                <w:rFonts w:hint="default" w:ascii="Times New Roman" w:hAnsi="Times New Roman" w:cs="Times New Roman"/>
                <w:sz w:val="24"/>
                <w:vertAlign w:val="superscript"/>
                <w:lang w:val="en-US" w:eastAsia="zh-CN"/>
              </w:rPr>
              <w:t>2</w:t>
            </w:r>
            <w:r>
              <w:rPr>
                <w:rFonts w:hint="default" w:ascii="Times New Roman" w:hAnsi="Times New Roman" w:cs="Times New Roman"/>
                <w:sz w:val="24"/>
              </w:rPr>
              <w:t>，总用地面积0.9422hm²，站址无拆迁，场地为国有未利用土地。变电站按无人值班模式设计，110kV配电装置户内GIS布置，主变压器户外布置。</w:t>
            </w:r>
          </w:p>
          <w:p w14:paraId="0CDDC30C">
            <w:pPr>
              <w:pStyle w:val="67"/>
              <w:numPr>
                <w:ilvl w:val="0"/>
                <w:numId w:val="0"/>
              </w:numPr>
              <w:tabs>
                <w:tab w:val="center" w:pos="2721"/>
              </w:tabs>
              <w:spacing w:line="480" w:lineRule="exact"/>
              <w:ind w:left="420" w:leftChars="0"/>
              <w:jc w:val="center"/>
              <w:rPr>
                <w:rFonts w:hint="default" w:ascii="Times New Roman" w:hAnsi="Times New Roman" w:eastAsia="黑体" w:cs="Times New Roman"/>
              </w:rPr>
            </w:pPr>
            <w:bookmarkStart w:id="34" w:name="_Hlk210824854"/>
            <w:r>
              <w:rPr>
                <w:rFonts w:hint="default" w:ascii="Times New Roman" w:hAnsi="Times New Roman" w:eastAsia="黑体" w:cs="Times New Roman"/>
                <w:lang w:val="en-US" w:eastAsia="zh-CN"/>
              </w:rPr>
              <w:t xml:space="preserve">表2-2  </w:t>
            </w:r>
            <w:r>
              <w:rPr>
                <w:rFonts w:hint="default" w:ascii="Times New Roman" w:hAnsi="Times New Roman" w:eastAsia="黑体" w:cs="Times New Roman"/>
              </w:rPr>
              <w:t>本工程建设内容组成一览表</w:t>
            </w:r>
          </w:p>
          <w:tbl>
            <w:tblPr>
              <w:tblStyle w:val="4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0" w:type="dxa"/>
                <w:bottom w:w="57" w:type="dxa"/>
                <w:right w:w="0" w:type="dxa"/>
              </w:tblCellMar>
            </w:tblPr>
            <w:tblGrid>
              <w:gridCol w:w="825"/>
              <w:gridCol w:w="1490"/>
              <w:gridCol w:w="5500"/>
            </w:tblGrid>
            <w:tr w14:paraId="778FE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rPr>
                <w:jc w:val="center"/>
              </w:trPr>
              <w:tc>
                <w:tcPr>
                  <w:tcW w:w="528" w:type="pct"/>
                  <w:vAlign w:val="center"/>
                </w:tcPr>
                <w:p w14:paraId="32906CCA">
                  <w:pPr>
                    <w:pStyle w:val="58"/>
                    <w:autoSpaceDE/>
                    <w:autoSpaceDN/>
                    <w:spacing w:before="0"/>
                    <w:jc w:val="center"/>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工程分类</w:t>
                  </w:r>
                </w:p>
              </w:tc>
              <w:tc>
                <w:tcPr>
                  <w:tcW w:w="953" w:type="pct"/>
                  <w:vAlign w:val="center"/>
                </w:tcPr>
                <w:p w14:paraId="69AA5B85">
                  <w:pPr>
                    <w:pStyle w:val="58"/>
                    <w:autoSpaceDE/>
                    <w:autoSpaceDN/>
                    <w:spacing w:before="0"/>
                    <w:jc w:val="center"/>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项目名称</w:t>
                  </w:r>
                </w:p>
              </w:tc>
              <w:tc>
                <w:tcPr>
                  <w:tcW w:w="3518" w:type="pct"/>
                  <w:vAlign w:val="center"/>
                </w:tcPr>
                <w:p w14:paraId="4785EADD">
                  <w:pPr>
                    <w:pStyle w:val="58"/>
                    <w:autoSpaceDE/>
                    <w:autoSpaceDN/>
                    <w:spacing w:before="0"/>
                    <w:jc w:val="center"/>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建设内容及规模</w:t>
                  </w:r>
                </w:p>
              </w:tc>
            </w:tr>
            <w:tr w14:paraId="24844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rPr>
                <w:jc w:val="center"/>
              </w:trPr>
              <w:tc>
                <w:tcPr>
                  <w:tcW w:w="528" w:type="pct"/>
                  <w:vMerge w:val="restart"/>
                  <w:vAlign w:val="center"/>
                </w:tcPr>
                <w:p w14:paraId="66F1CC86">
                  <w:pPr>
                    <w:pStyle w:val="58"/>
                    <w:autoSpaceDE/>
                    <w:autoSpaceDN/>
                    <w:spacing w:before="0"/>
                    <w:jc w:val="center"/>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主体工程</w:t>
                  </w:r>
                </w:p>
              </w:tc>
              <w:tc>
                <w:tcPr>
                  <w:tcW w:w="953" w:type="pct"/>
                  <w:vAlign w:val="center"/>
                </w:tcPr>
                <w:p w14:paraId="654014B5">
                  <w:pPr>
                    <w:pStyle w:val="58"/>
                    <w:autoSpaceDE/>
                    <w:autoSpaceDN/>
                    <w:spacing w:before="0"/>
                    <w:jc w:val="center"/>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电压等级</w:t>
                  </w:r>
                </w:p>
              </w:tc>
              <w:tc>
                <w:tcPr>
                  <w:tcW w:w="3518" w:type="pct"/>
                  <w:vAlign w:val="center"/>
                </w:tcPr>
                <w:p w14:paraId="66675066">
                  <w:pPr>
                    <w:pStyle w:val="58"/>
                    <w:autoSpaceDE/>
                    <w:autoSpaceDN/>
                    <w:spacing w:before="0"/>
                    <w:jc w:val="center"/>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110/10kV，两级电压</w:t>
                  </w:r>
                </w:p>
              </w:tc>
            </w:tr>
            <w:tr w14:paraId="6DBF3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rPr>
                <w:jc w:val="center"/>
              </w:trPr>
              <w:tc>
                <w:tcPr>
                  <w:tcW w:w="528" w:type="pct"/>
                  <w:vMerge w:val="continue"/>
                  <w:vAlign w:val="center"/>
                </w:tcPr>
                <w:p w14:paraId="00CEF3C7">
                  <w:pPr>
                    <w:pStyle w:val="58"/>
                    <w:autoSpaceDE/>
                    <w:autoSpaceDN/>
                    <w:spacing w:before="0"/>
                    <w:jc w:val="center"/>
                    <w:rPr>
                      <w:rFonts w:hint="default" w:ascii="Times New Roman" w:hAnsi="Times New Roman" w:eastAsia="宋体" w:cs="Times New Roman"/>
                      <w:kern w:val="2"/>
                      <w:sz w:val="21"/>
                      <w:szCs w:val="21"/>
                    </w:rPr>
                  </w:pPr>
                </w:p>
              </w:tc>
              <w:tc>
                <w:tcPr>
                  <w:tcW w:w="953" w:type="pct"/>
                  <w:vAlign w:val="center"/>
                </w:tcPr>
                <w:p w14:paraId="1E6AD277">
                  <w:pPr>
                    <w:pStyle w:val="58"/>
                    <w:autoSpaceDE/>
                    <w:autoSpaceDN/>
                    <w:spacing w:before="0"/>
                    <w:jc w:val="center"/>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主变压器</w:t>
                  </w:r>
                </w:p>
              </w:tc>
              <w:tc>
                <w:tcPr>
                  <w:tcW w:w="3518" w:type="pct"/>
                  <w:vAlign w:val="center"/>
                </w:tcPr>
                <w:p w14:paraId="0F8F0CBE">
                  <w:pPr>
                    <w:pStyle w:val="58"/>
                    <w:autoSpaceDE/>
                    <w:autoSpaceDN/>
                    <w:spacing w:before="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2×63MVA，三相双绕组有载调压自冷式节能型降压变压器（2级能效），型号SZ□-63000/110，电压比110±8×1.25%/10.5kV，容量比100%/100%，接线组别YNd11，阻抗电压≈10.5%，户外布置</w:t>
                  </w:r>
                </w:p>
              </w:tc>
            </w:tr>
            <w:tr w14:paraId="306EE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rPr>
                <w:jc w:val="center"/>
              </w:trPr>
              <w:tc>
                <w:tcPr>
                  <w:tcW w:w="528" w:type="pct"/>
                  <w:vMerge w:val="continue"/>
                  <w:vAlign w:val="center"/>
                </w:tcPr>
                <w:p w14:paraId="5CFD2F02">
                  <w:pPr>
                    <w:pStyle w:val="58"/>
                    <w:autoSpaceDE/>
                    <w:autoSpaceDN/>
                    <w:spacing w:before="0"/>
                    <w:jc w:val="center"/>
                    <w:rPr>
                      <w:rFonts w:hint="default" w:ascii="Times New Roman" w:hAnsi="Times New Roman" w:eastAsia="宋体" w:cs="Times New Roman"/>
                      <w:kern w:val="2"/>
                      <w:sz w:val="21"/>
                      <w:szCs w:val="21"/>
                    </w:rPr>
                  </w:pPr>
                </w:p>
              </w:tc>
              <w:tc>
                <w:tcPr>
                  <w:tcW w:w="953" w:type="pct"/>
                  <w:vAlign w:val="center"/>
                </w:tcPr>
                <w:p w14:paraId="780143E7">
                  <w:pPr>
                    <w:pStyle w:val="58"/>
                    <w:autoSpaceDE/>
                    <w:autoSpaceDN/>
                    <w:spacing w:before="0"/>
                    <w:jc w:val="center"/>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110kV配电装置</w:t>
                  </w:r>
                </w:p>
              </w:tc>
              <w:tc>
                <w:tcPr>
                  <w:tcW w:w="3518" w:type="pct"/>
                  <w:vAlign w:val="center"/>
                </w:tcPr>
                <w:p w14:paraId="60E554CA">
                  <w:pPr>
                    <w:jc w:val="both"/>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户内GIS，单母线分段接线；出线2回（至尉犁220kV变、针织园110kV变各1回），向北架空出线；本期建设110kV出线间隔2个、主变进线间隔2个、母线PT间隔1个；断路器126kV/3150A/40kA（3s），隔离开关126kV/3150A/40kA，动稳定电流100kA</w:t>
                  </w:r>
                </w:p>
              </w:tc>
            </w:tr>
            <w:tr w14:paraId="23DF3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rPr>
                <w:jc w:val="center"/>
              </w:trPr>
              <w:tc>
                <w:tcPr>
                  <w:tcW w:w="528" w:type="pct"/>
                  <w:vMerge w:val="continue"/>
                  <w:vAlign w:val="center"/>
                </w:tcPr>
                <w:p w14:paraId="28D2DF6A">
                  <w:pPr>
                    <w:pStyle w:val="58"/>
                    <w:autoSpaceDE/>
                    <w:autoSpaceDN/>
                    <w:spacing w:before="0"/>
                    <w:jc w:val="center"/>
                    <w:rPr>
                      <w:rFonts w:hint="default" w:ascii="Times New Roman" w:hAnsi="Times New Roman" w:eastAsia="宋体" w:cs="Times New Roman"/>
                      <w:kern w:val="2"/>
                      <w:sz w:val="21"/>
                      <w:szCs w:val="21"/>
                    </w:rPr>
                  </w:pPr>
                </w:p>
              </w:tc>
              <w:tc>
                <w:tcPr>
                  <w:tcW w:w="953" w:type="pct"/>
                  <w:vAlign w:val="center"/>
                </w:tcPr>
                <w:p w14:paraId="3CD1BE00">
                  <w:pPr>
                    <w:jc w:val="both"/>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10kV配电装置</w:t>
                  </w:r>
                </w:p>
              </w:tc>
              <w:tc>
                <w:tcPr>
                  <w:tcW w:w="3518" w:type="pct"/>
                  <w:vAlign w:val="center"/>
                </w:tcPr>
                <w:p w14:paraId="3FE97624">
                  <w:pPr>
                    <w:jc w:val="both"/>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户内金属铠装移开式开关柜（KYN□-12）双列布置，单母线分段接线；出线32回，向西电缆出线；主变进线及分段间隔4000A/40kA，馈线间隔1600A/31.5kA；柜内配真空断路器、一体化弹簧操作机构</w:t>
                  </w:r>
                </w:p>
              </w:tc>
            </w:tr>
            <w:tr w14:paraId="3DD00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rPr>
                <w:jc w:val="center"/>
              </w:trPr>
              <w:tc>
                <w:tcPr>
                  <w:tcW w:w="528" w:type="pct"/>
                  <w:vMerge w:val="continue"/>
                  <w:vAlign w:val="center"/>
                </w:tcPr>
                <w:p w14:paraId="445CC215">
                  <w:pPr>
                    <w:pStyle w:val="58"/>
                    <w:autoSpaceDE/>
                    <w:autoSpaceDN/>
                    <w:spacing w:before="0"/>
                    <w:jc w:val="center"/>
                    <w:rPr>
                      <w:rFonts w:hint="default" w:ascii="Times New Roman" w:hAnsi="Times New Roman" w:eastAsia="宋体" w:cs="Times New Roman"/>
                      <w:kern w:val="2"/>
                      <w:sz w:val="21"/>
                      <w:szCs w:val="21"/>
                    </w:rPr>
                  </w:pPr>
                </w:p>
              </w:tc>
              <w:tc>
                <w:tcPr>
                  <w:tcW w:w="953" w:type="pct"/>
                  <w:vAlign w:val="center"/>
                </w:tcPr>
                <w:p w14:paraId="358E8528">
                  <w:pPr>
                    <w:pStyle w:val="58"/>
                    <w:autoSpaceDE/>
                    <w:autoSpaceDN/>
                    <w:spacing w:before="0"/>
                    <w:jc w:val="center"/>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无功补偿装置（SVG）</w:t>
                  </w:r>
                </w:p>
              </w:tc>
              <w:tc>
                <w:tcPr>
                  <w:tcW w:w="3518" w:type="pct"/>
                  <w:vAlign w:val="center"/>
                </w:tcPr>
                <w:p w14:paraId="37972E17">
                  <w:pP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10kV Ⅰ、Ⅱ段母线各装设2组5Mvar并联电容器成套装置，共4组、总容量20Mvar（按主变容量15%配置），户内布置</w:t>
                  </w:r>
                </w:p>
              </w:tc>
            </w:tr>
            <w:tr w14:paraId="71C2C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rPr>
                <w:trHeight w:val="397" w:hRule="atLeast"/>
                <w:jc w:val="center"/>
              </w:trPr>
              <w:tc>
                <w:tcPr>
                  <w:tcW w:w="528" w:type="pct"/>
                  <w:vMerge w:val="continue"/>
                  <w:vAlign w:val="center"/>
                </w:tcPr>
                <w:p w14:paraId="71443A93">
                  <w:pPr>
                    <w:pStyle w:val="58"/>
                    <w:autoSpaceDE/>
                    <w:autoSpaceDN/>
                    <w:spacing w:before="0"/>
                    <w:jc w:val="center"/>
                    <w:rPr>
                      <w:rFonts w:hint="default" w:ascii="Times New Roman" w:hAnsi="Times New Roman" w:eastAsia="宋体" w:cs="Times New Roman"/>
                      <w:kern w:val="2"/>
                      <w:sz w:val="21"/>
                      <w:szCs w:val="21"/>
                    </w:rPr>
                  </w:pPr>
                </w:p>
              </w:tc>
              <w:tc>
                <w:tcPr>
                  <w:tcW w:w="953" w:type="pct"/>
                  <w:vAlign w:val="center"/>
                </w:tcPr>
                <w:p w14:paraId="6187FF3A">
                  <w:pPr>
                    <w:spacing w:before="20" w:after="20" w:line="240" w:lineRule="auto"/>
                    <w:jc w:val="center"/>
                    <w:rPr>
                      <w:rFonts w:hint="default" w:ascii="Times New Roman" w:hAnsi="Times New Roman" w:eastAsia="宋体" w:cs="Times New Roman"/>
                      <w:kern w:val="2"/>
                      <w:sz w:val="21"/>
                      <w:szCs w:val="21"/>
                      <w:lang w:val="en-US" w:eastAsia="zh-CN" w:bidi="zh-CN"/>
                    </w:rPr>
                  </w:pPr>
                  <w:r>
                    <w:rPr>
                      <w:rFonts w:hint="default" w:ascii="Times New Roman" w:hAnsi="Times New Roman" w:eastAsia="宋体" w:cs="Times New Roman"/>
                      <w:kern w:val="2"/>
                      <w:sz w:val="21"/>
                      <w:szCs w:val="21"/>
                      <w:lang w:val="zh-CN" w:eastAsia="zh-CN" w:bidi="zh-CN"/>
                    </w:rPr>
                    <w:t>站用变压器</w:t>
                  </w:r>
                </w:p>
              </w:tc>
              <w:tc>
                <w:tcPr>
                  <w:tcW w:w="3518" w:type="pct"/>
                  <w:vAlign w:val="center"/>
                </w:tcPr>
                <w:p w14:paraId="55EFF62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kern w:val="2"/>
                      <w:sz w:val="21"/>
                      <w:szCs w:val="21"/>
                      <w:lang w:val="zh-CN" w:eastAsia="zh-CN" w:bidi="zh-CN"/>
                    </w:rPr>
                  </w:pPr>
                  <w:r>
                    <w:rPr>
                      <w:rFonts w:hint="default" w:ascii="Times New Roman" w:hAnsi="Times New Roman" w:eastAsia="宋体" w:cs="Times New Roman"/>
                      <w:kern w:val="2"/>
                      <w:sz w:val="21"/>
                      <w:szCs w:val="21"/>
                      <w:lang w:val="zh-CN" w:eastAsia="zh-CN" w:bidi="zh-CN"/>
                    </w:rPr>
                    <w:t>2×200kVA，干式带外壳（SC□200/10.5，2级能效），Dyn11，10.5±2×2.5%/0.4kV，分别接于10kV Ⅰ、Ⅱ段母线，户内布置</w:t>
                  </w:r>
                </w:p>
              </w:tc>
            </w:tr>
            <w:tr w14:paraId="7FBAC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rPr>
                <w:trHeight w:val="397" w:hRule="atLeast"/>
                <w:jc w:val="center"/>
              </w:trPr>
              <w:tc>
                <w:tcPr>
                  <w:tcW w:w="528" w:type="pct"/>
                  <w:vMerge w:val="continue"/>
                  <w:vAlign w:val="center"/>
                </w:tcPr>
                <w:p w14:paraId="578855CD">
                  <w:pPr>
                    <w:pStyle w:val="58"/>
                    <w:autoSpaceDE/>
                    <w:autoSpaceDN/>
                    <w:spacing w:before="0"/>
                    <w:jc w:val="center"/>
                    <w:rPr>
                      <w:rFonts w:hint="default" w:ascii="Times New Roman" w:hAnsi="Times New Roman" w:eastAsia="宋体" w:cs="Times New Roman"/>
                      <w:kern w:val="2"/>
                      <w:sz w:val="21"/>
                      <w:szCs w:val="21"/>
                    </w:rPr>
                  </w:pPr>
                </w:p>
              </w:tc>
              <w:tc>
                <w:tcPr>
                  <w:tcW w:w="953" w:type="pct"/>
                  <w:vAlign w:val="center"/>
                </w:tcPr>
                <w:p w14:paraId="245084FF">
                  <w:pPr>
                    <w:spacing w:before="20" w:after="20" w:line="240" w:lineRule="auto"/>
                    <w:jc w:val="center"/>
                    <w:rPr>
                      <w:rFonts w:hint="default" w:ascii="Times New Roman" w:hAnsi="Times New Roman" w:eastAsia="宋体" w:cs="Times New Roman"/>
                      <w:kern w:val="2"/>
                      <w:sz w:val="21"/>
                      <w:szCs w:val="21"/>
                      <w:lang w:val="en-US" w:eastAsia="zh-CN" w:bidi="zh-CN"/>
                    </w:rPr>
                  </w:pPr>
                  <w:r>
                    <w:rPr>
                      <w:rFonts w:hint="default" w:ascii="Times New Roman" w:hAnsi="Times New Roman" w:eastAsia="宋体" w:cs="Times New Roman"/>
                      <w:kern w:val="2"/>
                      <w:sz w:val="21"/>
                      <w:szCs w:val="21"/>
                      <w:lang w:val="zh-CN" w:eastAsia="zh-CN" w:bidi="zh-CN"/>
                    </w:rPr>
                    <w:t>中性点接地方式</w:t>
                  </w:r>
                </w:p>
              </w:tc>
              <w:tc>
                <w:tcPr>
                  <w:tcW w:w="3518" w:type="pct"/>
                  <w:vAlign w:val="center"/>
                </w:tcPr>
                <w:p w14:paraId="400AF737">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kern w:val="2"/>
                      <w:sz w:val="21"/>
                      <w:szCs w:val="21"/>
                      <w:lang w:val="en-US" w:eastAsia="zh-CN" w:bidi="zh-CN"/>
                    </w:rPr>
                  </w:pPr>
                  <w:r>
                    <w:rPr>
                      <w:rFonts w:hint="default" w:ascii="Times New Roman" w:hAnsi="Times New Roman" w:eastAsia="宋体" w:cs="Times New Roman"/>
                      <w:kern w:val="2"/>
                      <w:sz w:val="21"/>
                      <w:szCs w:val="21"/>
                      <w:lang w:val="zh-CN" w:eastAsia="zh-CN" w:bidi="zh-CN"/>
                    </w:rPr>
                    <w:t>110kV侧经放电间隙隔离开关接地；10kV侧经接地变及小电阻接地：本期装设接地变成套装置2套（接地变容量400kVA、小电阻电流600A），户内布置</w:t>
                  </w:r>
                </w:p>
              </w:tc>
            </w:tr>
            <w:tr w14:paraId="038E5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rPr>
                <w:trHeight w:val="397" w:hRule="atLeast"/>
                <w:jc w:val="center"/>
              </w:trPr>
              <w:tc>
                <w:tcPr>
                  <w:tcW w:w="528" w:type="pct"/>
                  <w:vMerge w:val="continue"/>
                  <w:vAlign w:val="center"/>
                </w:tcPr>
                <w:p w14:paraId="58DC23DA">
                  <w:pPr>
                    <w:pStyle w:val="58"/>
                    <w:autoSpaceDE/>
                    <w:autoSpaceDN/>
                    <w:spacing w:before="0"/>
                    <w:jc w:val="center"/>
                    <w:rPr>
                      <w:rFonts w:hint="default" w:ascii="Times New Roman" w:hAnsi="Times New Roman" w:eastAsia="宋体" w:cs="Times New Roman"/>
                      <w:kern w:val="2"/>
                      <w:sz w:val="21"/>
                      <w:szCs w:val="21"/>
                    </w:rPr>
                  </w:pPr>
                </w:p>
              </w:tc>
              <w:tc>
                <w:tcPr>
                  <w:tcW w:w="953" w:type="pct"/>
                  <w:vAlign w:val="center"/>
                </w:tcPr>
                <w:p w14:paraId="1A864B36">
                  <w:pPr>
                    <w:spacing w:before="20" w:after="20" w:line="240" w:lineRule="auto"/>
                    <w:jc w:val="center"/>
                    <w:rPr>
                      <w:rFonts w:hint="default" w:ascii="Times New Roman" w:hAnsi="Times New Roman" w:eastAsia="宋体" w:cs="Times New Roman"/>
                      <w:kern w:val="2"/>
                      <w:sz w:val="21"/>
                      <w:szCs w:val="21"/>
                      <w:lang w:val="en-US" w:eastAsia="zh-CN" w:bidi="zh-CN"/>
                    </w:rPr>
                  </w:pPr>
                  <w:r>
                    <w:rPr>
                      <w:rFonts w:hint="default" w:ascii="Times New Roman" w:hAnsi="Times New Roman" w:eastAsia="宋体" w:cs="Times New Roman"/>
                      <w:kern w:val="2"/>
                      <w:sz w:val="21"/>
                      <w:szCs w:val="21"/>
                      <w:lang w:val="zh-CN" w:eastAsia="zh-CN" w:bidi="zh-CN"/>
                    </w:rPr>
                    <w:t>导体选择</w:t>
                  </w:r>
                </w:p>
              </w:tc>
              <w:tc>
                <w:tcPr>
                  <w:tcW w:w="3518" w:type="pct"/>
                  <w:vAlign w:val="center"/>
                </w:tcPr>
                <w:p w14:paraId="0CF178D2">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kern w:val="2"/>
                      <w:sz w:val="21"/>
                      <w:szCs w:val="21"/>
                      <w:lang w:val="en-US" w:eastAsia="zh-CN" w:bidi="zh-CN"/>
                    </w:rPr>
                  </w:pPr>
                  <w:r>
                    <w:rPr>
                      <w:rFonts w:hint="default" w:ascii="Times New Roman" w:hAnsi="Times New Roman" w:eastAsia="宋体" w:cs="Times New Roman"/>
                      <w:kern w:val="2"/>
                      <w:sz w:val="21"/>
                      <w:szCs w:val="21"/>
                      <w:lang w:val="zh-CN" w:eastAsia="zh-CN" w:bidi="zh-CN"/>
                    </w:rPr>
                    <w:t>110kV母线及主变进线按3150A；10kV母线及主变进线3×(TMY-125×10)铜排；10kV出线回路TMY-80×8；电容器、站用变、接地变回路采用ZR-YJV22-8.7/15型阻燃交联电缆</w:t>
                  </w:r>
                </w:p>
              </w:tc>
            </w:tr>
            <w:tr w14:paraId="2D737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rPr>
                <w:trHeight w:val="397" w:hRule="atLeast"/>
                <w:jc w:val="center"/>
              </w:trPr>
              <w:tc>
                <w:tcPr>
                  <w:tcW w:w="528" w:type="pct"/>
                  <w:vMerge w:val="continue"/>
                  <w:vAlign w:val="center"/>
                </w:tcPr>
                <w:p w14:paraId="50AB04C0">
                  <w:pPr>
                    <w:pStyle w:val="58"/>
                    <w:autoSpaceDE/>
                    <w:autoSpaceDN/>
                    <w:spacing w:before="0"/>
                    <w:jc w:val="center"/>
                    <w:rPr>
                      <w:rFonts w:hint="default" w:ascii="Times New Roman" w:hAnsi="Times New Roman" w:eastAsia="宋体" w:cs="Times New Roman"/>
                      <w:kern w:val="2"/>
                      <w:sz w:val="21"/>
                      <w:szCs w:val="21"/>
                    </w:rPr>
                  </w:pPr>
                </w:p>
              </w:tc>
              <w:tc>
                <w:tcPr>
                  <w:tcW w:w="953" w:type="pct"/>
                  <w:vAlign w:val="center"/>
                </w:tcPr>
                <w:p w14:paraId="0A5FCF27">
                  <w:pPr>
                    <w:spacing w:before="20" w:after="20" w:line="240" w:lineRule="auto"/>
                    <w:jc w:val="center"/>
                    <w:rPr>
                      <w:rFonts w:hint="default" w:ascii="Times New Roman" w:hAnsi="Times New Roman" w:eastAsia="宋体" w:cs="Times New Roman"/>
                      <w:kern w:val="2"/>
                      <w:sz w:val="21"/>
                      <w:szCs w:val="21"/>
                      <w:lang w:val="en-US" w:eastAsia="zh-CN" w:bidi="zh-CN"/>
                    </w:rPr>
                  </w:pPr>
                  <w:r>
                    <w:rPr>
                      <w:rFonts w:hint="default" w:ascii="Times New Roman" w:hAnsi="Times New Roman" w:eastAsia="宋体" w:cs="Times New Roman"/>
                      <w:kern w:val="2"/>
                      <w:sz w:val="21"/>
                      <w:szCs w:val="21"/>
                      <w:lang w:val="zh-CN" w:eastAsia="zh-CN" w:bidi="zh-CN"/>
                    </w:rPr>
                    <w:t>过电压保护及接地</w:t>
                  </w:r>
                </w:p>
              </w:tc>
              <w:tc>
                <w:tcPr>
                  <w:tcW w:w="3518" w:type="pct"/>
                  <w:vAlign w:val="center"/>
                </w:tcPr>
                <w:p w14:paraId="12D9185E">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kern w:val="2"/>
                      <w:sz w:val="21"/>
                      <w:szCs w:val="21"/>
                      <w:lang w:val="en-US" w:eastAsia="zh-CN" w:bidi="zh-CN"/>
                    </w:rPr>
                  </w:pPr>
                  <w:r>
                    <w:rPr>
                      <w:rFonts w:hint="default" w:ascii="Times New Roman" w:hAnsi="Times New Roman" w:eastAsia="宋体" w:cs="Times New Roman"/>
                      <w:kern w:val="2"/>
                      <w:sz w:val="21"/>
                      <w:szCs w:val="21"/>
                      <w:lang w:val="zh-CN" w:eastAsia="zh-CN" w:bidi="zh-CN"/>
                    </w:rPr>
                    <w:t>设30m高独立避雷针2支，建筑物屋顶设避雷带；110kV侧配10kA-102/266W、10kV侧配10kA-17/45W氧化锌避雷器，主变110kV中性点配1.5kA-72/186W避雷器；主接地网采用水平接地体为主、垂直接地体为辅的复合接地网（铜质，主接地网及引下线120mm²铜绞线，垂直接地极φ16铜棒），埋深1.2m，接地网面积约2923m²</w:t>
                  </w:r>
                </w:p>
              </w:tc>
            </w:tr>
            <w:tr w14:paraId="66A17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rPr>
                <w:trHeight w:val="397" w:hRule="atLeast"/>
                <w:jc w:val="center"/>
              </w:trPr>
              <w:tc>
                <w:tcPr>
                  <w:tcW w:w="528" w:type="pct"/>
                  <w:vMerge w:val="continue"/>
                  <w:vAlign w:val="center"/>
                </w:tcPr>
                <w:p w14:paraId="6AD08ECA">
                  <w:pPr>
                    <w:pStyle w:val="58"/>
                    <w:autoSpaceDE/>
                    <w:autoSpaceDN/>
                    <w:spacing w:before="0"/>
                    <w:jc w:val="center"/>
                    <w:rPr>
                      <w:rFonts w:hint="default" w:ascii="Times New Roman" w:hAnsi="Times New Roman" w:eastAsia="宋体" w:cs="Times New Roman"/>
                      <w:kern w:val="2"/>
                      <w:sz w:val="21"/>
                      <w:szCs w:val="21"/>
                    </w:rPr>
                  </w:pPr>
                </w:p>
              </w:tc>
              <w:tc>
                <w:tcPr>
                  <w:tcW w:w="953" w:type="pct"/>
                  <w:vAlign w:val="center"/>
                </w:tcPr>
                <w:p w14:paraId="17BA5D3B">
                  <w:pPr>
                    <w:spacing w:before="20" w:after="20" w:line="240" w:lineRule="auto"/>
                    <w:jc w:val="center"/>
                    <w:rPr>
                      <w:rFonts w:hint="default" w:ascii="Times New Roman" w:hAnsi="Times New Roman" w:eastAsia="宋体" w:cs="Times New Roman"/>
                      <w:kern w:val="2"/>
                      <w:sz w:val="21"/>
                      <w:szCs w:val="21"/>
                      <w:lang w:val="en-US" w:eastAsia="zh-CN" w:bidi="zh-CN"/>
                    </w:rPr>
                  </w:pPr>
                  <w:r>
                    <w:rPr>
                      <w:rFonts w:hint="default" w:ascii="Times New Roman" w:hAnsi="Times New Roman" w:eastAsia="宋体" w:cs="Times New Roman"/>
                      <w:kern w:val="2"/>
                      <w:sz w:val="21"/>
                      <w:szCs w:val="21"/>
                      <w:lang w:val="zh-CN" w:eastAsia="zh-CN" w:bidi="zh-CN"/>
                    </w:rPr>
                    <w:t>外绝缘配置</w:t>
                  </w:r>
                </w:p>
              </w:tc>
              <w:tc>
                <w:tcPr>
                  <w:tcW w:w="3518" w:type="pct"/>
                  <w:vAlign w:val="center"/>
                </w:tcPr>
                <w:p w14:paraId="1007298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kern w:val="2"/>
                      <w:sz w:val="21"/>
                      <w:szCs w:val="21"/>
                      <w:lang w:val="en-US" w:eastAsia="zh-CN" w:bidi="zh-CN"/>
                    </w:rPr>
                  </w:pPr>
                  <w:r>
                    <w:rPr>
                      <w:rFonts w:hint="default" w:ascii="Times New Roman" w:hAnsi="Times New Roman" w:eastAsia="宋体" w:cs="Times New Roman"/>
                      <w:kern w:val="2"/>
                      <w:sz w:val="21"/>
                      <w:szCs w:val="21"/>
                      <w:lang w:val="zh-CN" w:eastAsia="zh-CN" w:bidi="zh-CN"/>
                    </w:rPr>
                    <w:t>按e级污区设防，统一爬电比距53.7mm/kV，户外电气设备按防污型选择；站址海拔883m，不做海拔修正</w:t>
                  </w:r>
                </w:p>
              </w:tc>
            </w:tr>
            <w:tr w14:paraId="28DBD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rPr>
                <w:trHeight w:val="397" w:hRule="atLeast"/>
                <w:jc w:val="center"/>
              </w:trPr>
              <w:tc>
                <w:tcPr>
                  <w:tcW w:w="528" w:type="pct"/>
                  <w:vMerge w:val="restart"/>
                  <w:vAlign w:val="center"/>
                </w:tcPr>
                <w:p w14:paraId="3B1FEC04">
                  <w:pPr>
                    <w:pStyle w:val="58"/>
                    <w:autoSpaceDE/>
                    <w:autoSpaceDN/>
                    <w:spacing w:before="0"/>
                    <w:jc w:val="center"/>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辅助工程</w:t>
                  </w:r>
                </w:p>
              </w:tc>
              <w:tc>
                <w:tcPr>
                  <w:tcW w:w="953" w:type="pct"/>
                  <w:vAlign w:val="center"/>
                </w:tcPr>
                <w:p w14:paraId="52AE2E18">
                  <w:pPr>
                    <w:spacing w:before="20" w:after="20" w:line="240" w:lineRule="auto"/>
                    <w:jc w:val="center"/>
                    <w:rPr>
                      <w:rFonts w:hint="default" w:ascii="Times New Roman" w:hAnsi="Times New Roman" w:eastAsia="宋体" w:cs="Times New Roman"/>
                      <w:spacing w:val="-4"/>
                      <w:kern w:val="2"/>
                      <w:sz w:val="21"/>
                      <w:szCs w:val="21"/>
                      <w:lang w:val="en-US"/>
                    </w:rPr>
                  </w:pPr>
                  <w:r>
                    <w:rPr>
                      <w:rFonts w:hint="default" w:ascii="Times New Roman" w:hAnsi="Times New Roman" w:eastAsia="宋体" w:cs="Times New Roman"/>
                      <w:b w:val="0"/>
                      <w:sz w:val="21"/>
                      <w:szCs w:val="21"/>
                    </w:rPr>
                    <w:t>综合配电装置楼</w:t>
                  </w:r>
                </w:p>
              </w:tc>
              <w:tc>
                <w:tcPr>
                  <w:tcW w:w="3518" w:type="pct"/>
                  <w:vAlign w:val="center"/>
                </w:tcPr>
                <w:p w14:paraId="5F288A8A">
                  <w:pPr>
                    <w:spacing w:before="20" w:after="20" w:line="240" w:lineRule="auto"/>
                    <w:jc w:val="both"/>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1栋，框架结构，地上2层，建筑高度13.5m，"L"字形，建筑面积1681.72m²，火灾危险性丁类、耐火等级二级，设计使用年限50年。</w:t>
                  </w:r>
                </w:p>
                <w:p w14:paraId="78D34E79">
                  <w:pPr>
                    <w:spacing w:before="0" w:after="20" w:line="240" w:lineRule="auto"/>
                    <w:jc w:val="both"/>
                    <w:rPr>
                      <w:rFonts w:hint="default" w:ascii="Times New Roman" w:hAnsi="Times New Roman" w:eastAsia="宋体" w:cs="Times New Roman"/>
                      <w:spacing w:val="-4"/>
                      <w:kern w:val="2"/>
                      <w:sz w:val="21"/>
                      <w:szCs w:val="21"/>
                      <w:lang w:val="en-US"/>
                    </w:rPr>
                  </w:pPr>
                  <w:r>
                    <w:rPr>
                      <w:rFonts w:hint="default" w:ascii="Times New Roman" w:hAnsi="Times New Roman" w:eastAsia="宋体" w:cs="Times New Roman"/>
                      <w:b w:val="0"/>
                      <w:sz w:val="21"/>
                      <w:szCs w:val="21"/>
                    </w:rPr>
                    <w:t>一层（层高4.8m）：10kV配电室、接地变室、电容器室、蓄电池室、卫生间；二层（层高7.5m）：110kV GIS室、二次设备室、办公室、休息室</w:t>
                  </w:r>
                </w:p>
              </w:tc>
            </w:tr>
            <w:tr w14:paraId="4713E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rPr>
                <w:trHeight w:val="397" w:hRule="atLeast"/>
                <w:jc w:val="center"/>
              </w:trPr>
              <w:tc>
                <w:tcPr>
                  <w:tcW w:w="528" w:type="pct"/>
                  <w:vMerge w:val="continue"/>
                  <w:vAlign w:val="center"/>
                </w:tcPr>
                <w:p w14:paraId="5E1B161D">
                  <w:pPr>
                    <w:pStyle w:val="58"/>
                    <w:autoSpaceDE/>
                    <w:autoSpaceDN/>
                    <w:spacing w:before="0"/>
                    <w:jc w:val="center"/>
                    <w:rPr>
                      <w:rFonts w:hint="default" w:ascii="Times New Roman" w:hAnsi="Times New Roman" w:eastAsia="宋体" w:cs="Times New Roman"/>
                      <w:kern w:val="2"/>
                      <w:sz w:val="21"/>
                      <w:szCs w:val="21"/>
                    </w:rPr>
                  </w:pPr>
                </w:p>
              </w:tc>
              <w:tc>
                <w:tcPr>
                  <w:tcW w:w="953" w:type="pct"/>
                  <w:vAlign w:val="center"/>
                </w:tcPr>
                <w:p w14:paraId="1B90614D">
                  <w:pPr>
                    <w:spacing w:before="20" w:after="20" w:line="240" w:lineRule="auto"/>
                    <w:jc w:val="center"/>
                    <w:rPr>
                      <w:rFonts w:hint="default" w:ascii="Times New Roman" w:hAnsi="Times New Roman" w:eastAsia="宋体" w:cs="Times New Roman"/>
                      <w:kern w:val="2"/>
                      <w:sz w:val="21"/>
                      <w:szCs w:val="21"/>
                    </w:rPr>
                  </w:pPr>
                  <w:r>
                    <w:rPr>
                      <w:rFonts w:hint="default" w:ascii="Times New Roman" w:hAnsi="Times New Roman" w:eastAsia="宋体" w:cs="Times New Roman"/>
                      <w:b w:val="0"/>
                      <w:sz w:val="21"/>
                      <w:szCs w:val="21"/>
                    </w:rPr>
                    <w:t>屋外构（支）架及基础</w:t>
                  </w:r>
                </w:p>
              </w:tc>
              <w:tc>
                <w:tcPr>
                  <w:tcW w:w="3518" w:type="pct"/>
                  <w:vAlign w:val="center"/>
                </w:tcPr>
                <w:p w14:paraId="429C3DC2">
                  <w:pPr>
                    <w:spacing w:before="20" w:after="20" w:line="240" w:lineRule="auto"/>
                    <w:jc w:val="both"/>
                    <w:rPr>
                      <w:rFonts w:hint="default" w:ascii="Times New Roman" w:hAnsi="Times New Roman" w:eastAsia="宋体" w:cs="Times New Roman"/>
                      <w:kern w:val="2"/>
                      <w:sz w:val="21"/>
                      <w:szCs w:val="21"/>
                    </w:rPr>
                  </w:pPr>
                  <w:r>
                    <w:rPr>
                      <w:rFonts w:hint="default" w:ascii="Times New Roman" w:hAnsi="Times New Roman" w:eastAsia="宋体" w:cs="Times New Roman"/>
                      <w:b w:val="0"/>
                      <w:sz w:val="21"/>
                      <w:szCs w:val="21"/>
                    </w:rPr>
                    <w:t>主变构架1组（三跨门形架，宽×高=12m×12m）、设备支架（Φ273×6钢管柱）、主变基础（筏板+支墩，C40）、独立避雷针基础、站用变防火墙、事故油池等</w:t>
                  </w:r>
                </w:p>
              </w:tc>
            </w:tr>
            <w:tr w14:paraId="007E1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rPr>
                <w:trHeight w:val="397" w:hRule="atLeast"/>
                <w:jc w:val="center"/>
              </w:trPr>
              <w:tc>
                <w:tcPr>
                  <w:tcW w:w="528" w:type="pct"/>
                  <w:vMerge w:val="continue"/>
                  <w:vAlign w:val="center"/>
                </w:tcPr>
                <w:p w14:paraId="1EDF8361">
                  <w:pPr>
                    <w:pStyle w:val="58"/>
                    <w:autoSpaceDE/>
                    <w:autoSpaceDN/>
                    <w:spacing w:before="0"/>
                    <w:jc w:val="center"/>
                    <w:rPr>
                      <w:rFonts w:hint="default" w:ascii="Times New Roman" w:hAnsi="Times New Roman" w:eastAsia="宋体" w:cs="Times New Roman"/>
                      <w:kern w:val="2"/>
                      <w:sz w:val="21"/>
                      <w:szCs w:val="21"/>
                    </w:rPr>
                  </w:pPr>
                </w:p>
              </w:tc>
              <w:tc>
                <w:tcPr>
                  <w:tcW w:w="953" w:type="pct"/>
                  <w:vAlign w:val="center"/>
                </w:tcPr>
                <w:p w14:paraId="70158D52">
                  <w:pPr>
                    <w:spacing w:before="20" w:after="20" w:line="240" w:lineRule="auto"/>
                    <w:jc w:val="center"/>
                    <w:rPr>
                      <w:rFonts w:hint="default" w:ascii="Times New Roman" w:hAnsi="Times New Roman" w:eastAsia="宋体" w:cs="Times New Roman"/>
                      <w:kern w:val="2"/>
                      <w:sz w:val="21"/>
                      <w:szCs w:val="21"/>
                    </w:rPr>
                  </w:pPr>
                  <w:r>
                    <w:rPr>
                      <w:rFonts w:hint="default" w:ascii="Times New Roman" w:hAnsi="Times New Roman" w:eastAsia="宋体" w:cs="Times New Roman"/>
                      <w:b w:val="0"/>
                      <w:sz w:val="21"/>
                      <w:szCs w:val="21"/>
                    </w:rPr>
                    <w:t>围墙及大门</w:t>
                  </w:r>
                </w:p>
              </w:tc>
              <w:tc>
                <w:tcPr>
                  <w:tcW w:w="3518" w:type="pct"/>
                  <w:vAlign w:val="center"/>
                </w:tcPr>
                <w:p w14:paraId="01CFA14F">
                  <w:pPr>
                    <w:spacing w:before="20" w:after="20" w:line="240" w:lineRule="auto"/>
                    <w:jc w:val="both"/>
                    <w:rPr>
                      <w:rFonts w:hint="default" w:ascii="Times New Roman" w:hAnsi="Times New Roman" w:eastAsia="宋体" w:cs="Times New Roman"/>
                      <w:kern w:val="2"/>
                      <w:sz w:val="21"/>
                      <w:szCs w:val="21"/>
                    </w:rPr>
                  </w:pPr>
                  <w:r>
                    <w:rPr>
                      <w:rFonts w:hint="default" w:ascii="Times New Roman" w:hAnsi="Times New Roman" w:eastAsia="宋体" w:cs="Times New Roman"/>
                      <w:b w:val="0"/>
                      <w:sz w:val="21"/>
                      <w:szCs w:val="21"/>
                    </w:rPr>
                    <w:t>铁艺围栏围墙，长251m（81.5m×44m），高2.5m，柱下独立基础，设大门1座</w:t>
                  </w:r>
                </w:p>
              </w:tc>
            </w:tr>
            <w:tr w14:paraId="31435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rPr>
                <w:trHeight w:val="397" w:hRule="atLeast"/>
                <w:jc w:val="center"/>
              </w:trPr>
              <w:tc>
                <w:tcPr>
                  <w:tcW w:w="528" w:type="pct"/>
                  <w:vMerge w:val="continue"/>
                  <w:vAlign w:val="center"/>
                </w:tcPr>
                <w:p w14:paraId="24169413">
                  <w:pPr>
                    <w:pStyle w:val="58"/>
                    <w:autoSpaceDE/>
                    <w:autoSpaceDN/>
                    <w:spacing w:before="0"/>
                    <w:jc w:val="center"/>
                    <w:rPr>
                      <w:rFonts w:hint="default" w:ascii="Times New Roman" w:hAnsi="Times New Roman" w:eastAsia="宋体" w:cs="Times New Roman"/>
                      <w:kern w:val="2"/>
                      <w:sz w:val="21"/>
                      <w:szCs w:val="21"/>
                    </w:rPr>
                  </w:pPr>
                </w:p>
              </w:tc>
              <w:tc>
                <w:tcPr>
                  <w:tcW w:w="953" w:type="pct"/>
                  <w:vAlign w:val="center"/>
                </w:tcPr>
                <w:p w14:paraId="0D504F95">
                  <w:pPr>
                    <w:spacing w:before="20" w:after="20" w:line="240" w:lineRule="auto"/>
                    <w:jc w:val="center"/>
                    <w:rPr>
                      <w:rFonts w:hint="default" w:ascii="Times New Roman" w:hAnsi="Times New Roman" w:eastAsia="宋体" w:cs="Times New Roman"/>
                      <w:kern w:val="2"/>
                      <w:sz w:val="21"/>
                      <w:szCs w:val="21"/>
                    </w:rPr>
                  </w:pPr>
                  <w:r>
                    <w:rPr>
                      <w:rFonts w:hint="default" w:ascii="Times New Roman" w:hAnsi="Times New Roman" w:eastAsia="宋体" w:cs="Times New Roman"/>
                      <w:b w:val="0"/>
                      <w:sz w:val="21"/>
                      <w:szCs w:val="21"/>
                    </w:rPr>
                    <w:t>站内外道路</w:t>
                  </w:r>
                </w:p>
              </w:tc>
              <w:tc>
                <w:tcPr>
                  <w:tcW w:w="3518" w:type="pct"/>
                  <w:vAlign w:val="center"/>
                </w:tcPr>
                <w:p w14:paraId="2E1F77CE">
                  <w:pPr>
                    <w:spacing w:before="20" w:after="20" w:line="240" w:lineRule="auto"/>
                    <w:jc w:val="both"/>
                    <w:rPr>
                      <w:rFonts w:hint="default" w:ascii="Times New Roman" w:hAnsi="Times New Roman" w:eastAsia="宋体" w:cs="Times New Roman"/>
                      <w:kern w:val="2"/>
                      <w:sz w:val="21"/>
                      <w:szCs w:val="21"/>
                    </w:rPr>
                  </w:pPr>
                  <w:r>
                    <w:rPr>
                      <w:rFonts w:hint="default" w:ascii="Times New Roman" w:hAnsi="Times New Roman" w:eastAsia="宋体" w:cs="Times New Roman"/>
                      <w:b w:val="0"/>
                      <w:sz w:val="21"/>
                      <w:szCs w:val="21"/>
                    </w:rPr>
                    <w:t>进站道路长约10m、宽4.0m；站内环形道路宽4.0m、转弯半径9.0m，C30混凝土路面，站内道路面积910m²</w:t>
                  </w:r>
                </w:p>
              </w:tc>
            </w:tr>
            <w:tr w14:paraId="7DB47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rPr>
                <w:trHeight w:val="397" w:hRule="atLeast"/>
                <w:jc w:val="center"/>
              </w:trPr>
              <w:tc>
                <w:tcPr>
                  <w:tcW w:w="528" w:type="pct"/>
                  <w:vMerge w:val="continue"/>
                  <w:vAlign w:val="center"/>
                </w:tcPr>
                <w:p w14:paraId="1DC2CE9E">
                  <w:pPr>
                    <w:pStyle w:val="58"/>
                    <w:autoSpaceDE/>
                    <w:autoSpaceDN/>
                    <w:spacing w:before="0"/>
                    <w:jc w:val="center"/>
                    <w:rPr>
                      <w:rFonts w:hint="default" w:ascii="Times New Roman" w:hAnsi="Times New Roman" w:eastAsia="宋体" w:cs="Times New Roman"/>
                      <w:kern w:val="2"/>
                      <w:sz w:val="21"/>
                      <w:szCs w:val="21"/>
                    </w:rPr>
                  </w:pPr>
                </w:p>
              </w:tc>
              <w:tc>
                <w:tcPr>
                  <w:tcW w:w="953" w:type="pct"/>
                  <w:vAlign w:val="center"/>
                </w:tcPr>
                <w:p w14:paraId="45539A22">
                  <w:pPr>
                    <w:spacing w:before="20" w:after="20" w:line="240" w:lineRule="auto"/>
                    <w:jc w:val="center"/>
                    <w:rPr>
                      <w:rFonts w:hint="default" w:ascii="Times New Roman" w:hAnsi="Times New Roman" w:eastAsia="宋体" w:cs="Times New Roman"/>
                      <w:kern w:val="2"/>
                      <w:sz w:val="21"/>
                      <w:szCs w:val="21"/>
                    </w:rPr>
                  </w:pPr>
                  <w:r>
                    <w:rPr>
                      <w:rFonts w:hint="default" w:ascii="Times New Roman" w:hAnsi="Times New Roman" w:eastAsia="宋体" w:cs="Times New Roman"/>
                      <w:b w:val="0"/>
                      <w:sz w:val="21"/>
                      <w:szCs w:val="21"/>
                    </w:rPr>
                    <w:t>场地平整及硬化</w:t>
                  </w:r>
                </w:p>
              </w:tc>
              <w:tc>
                <w:tcPr>
                  <w:tcW w:w="3518" w:type="pct"/>
                  <w:vAlign w:val="center"/>
                </w:tcPr>
                <w:p w14:paraId="5B22695D">
                  <w:pPr>
                    <w:spacing w:before="20" w:after="20" w:line="240" w:lineRule="auto"/>
                    <w:jc w:val="both"/>
                    <w:rPr>
                      <w:rFonts w:hint="default" w:ascii="Times New Roman" w:hAnsi="Times New Roman" w:eastAsia="宋体" w:cs="Times New Roman"/>
                      <w:kern w:val="2"/>
                      <w:sz w:val="21"/>
                      <w:szCs w:val="21"/>
                    </w:rPr>
                  </w:pPr>
                  <w:r>
                    <w:rPr>
                      <w:rFonts w:hint="default" w:ascii="Times New Roman" w:hAnsi="Times New Roman" w:eastAsia="宋体" w:cs="Times New Roman"/>
                      <w:b w:val="0"/>
                      <w:sz w:val="21"/>
                      <w:szCs w:val="21"/>
                    </w:rPr>
                    <w:t>场地设计标高883.0m，平坡式布置，填方约1000m³，无外购、外弃土方；碎石地面1270m²，绝缘操作地坪（广场花砖）150m²</w:t>
                  </w:r>
                </w:p>
              </w:tc>
            </w:tr>
            <w:tr w14:paraId="1D142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rPr>
                <w:trHeight w:val="397" w:hRule="atLeast"/>
                <w:jc w:val="center"/>
              </w:trPr>
              <w:tc>
                <w:tcPr>
                  <w:tcW w:w="528" w:type="pct"/>
                  <w:vMerge w:val="continue"/>
                  <w:vAlign w:val="center"/>
                </w:tcPr>
                <w:p w14:paraId="72125DF6">
                  <w:pPr>
                    <w:pStyle w:val="58"/>
                    <w:autoSpaceDE/>
                    <w:autoSpaceDN/>
                    <w:spacing w:before="0"/>
                    <w:jc w:val="center"/>
                    <w:rPr>
                      <w:rFonts w:hint="default" w:ascii="Times New Roman" w:hAnsi="Times New Roman" w:eastAsia="宋体" w:cs="Times New Roman"/>
                      <w:kern w:val="2"/>
                      <w:sz w:val="21"/>
                      <w:szCs w:val="21"/>
                    </w:rPr>
                  </w:pPr>
                </w:p>
              </w:tc>
              <w:tc>
                <w:tcPr>
                  <w:tcW w:w="953" w:type="pct"/>
                  <w:vAlign w:val="center"/>
                </w:tcPr>
                <w:p w14:paraId="420B2B7B">
                  <w:pPr>
                    <w:spacing w:before="20" w:after="20" w:line="240" w:lineRule="auto"/>
                    <w:jc w:val="center"/>
                    <w:rPr>
                      <w:rFonts w:hint="default" w:ascii="Times New Roman" w:hAnsi="Times New Roman" w:eastAsia="宋体" w:cs="Times New Roman"/>
                      <w:kern w:val="2"/>
                      <w:sz w:val="21"/>
                      <w:szCs w:val="21"/>
                    </w:rPr>
                  </w:pPr>
                  <w:r>
                    <w:rPr>
                      <w:rFonts w:hint="default" w:ascii="Times New Roman" w:hAnsi="Times New Roman" w:eastAsia="宋体" w:cs="Times New Roman"/>
                      <w:b w:val="0"/>
                      <w:sz w:val="21"/>
                      <w:szCs w:val="21"/>
                    </w:rPr>
                    <w:t>电缆沟</w:t>
                  </w:r>
                </w:p>
              </w:tc>
              <w:tc>
                <w:tcPr>
                  <w:tcW w:w="3518" w:type="pct"/>
                  <w:vAlign w:val="center"/>
                </w:tcPr>
                <w:p w14:paraId="57178C3B">
                  <w:pPr>
                    <w:spacing w:before="20" w:after="20" w:line="240" w:lineRule="auto"/>
                    <w:jc w:val="both"/>
                    <w:rPr>
                      <w:rFonts w:hint="default" w:ascii="Times New Roman" w:hAnsi="Times New Roman" w:eastAsia="宋体" w:cs="Times New Roman"/>
                      <w:kern w:val="2"/>
                      <w:sz w:val="21"/>
                      <w:szCs w:val="21"/>
                    </w:rPr>
                  </w:pPr>
                  <w:r>
                    <w:rPr>
                      <w:rFonts w:hint="default" w:ascii="Times New Roman" w:hAnsi="Times New Roman" w:eastAsia="宋体" w:cs="Times New Roman"/>
                      <w:b w:val="0"/>
                      <w:sz w:val="21"/>
                      <w:szCs w:val="21"/>
                    </w:rPr>
                    <w:t>室外电缆沟104m（钢筋混凝土沟壁，断面0.8m×0.8m～1.6m×1.8m，盖板顶高出地面150mm），沟内每60m设阻火墙</w:t>
                  </w:r>
                </w:p>
              </w:tc>
            </w:tr>
            <w:tr w14:paraId="6D39E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rPr>
                <w:trHeight w:val="397" w:hRule="atLeast"/>
                <w:jc w:val="center"/>
              </w:trPr>
              <w:tc>
                <w:tcPr>
                  <w:tcW w:w="528" w:type="pct"/>
                  <w:vMerge w:val="restart"/>
                  <w:vAlign w:val="center"/>
                </w:tcPr>
                <w:p w14:paraId="35106F83">
                  <w:pPr>
                    <w:pStyle w:val="58"/>
                    <w:autoSpaceDE/>
                    <w:autoSpaceDN/>
                    <w:spacing w:before="0"/>
                    <w:jc w:val="center"/>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公用工程</w:t>
                  </w:r>
                </w:p>
              </w:tc>
              <w:tc>
                <w:tcPr>
                  <w:tcW w:w="953" w:type="pct"/>
                  <w:vAlign w:val="center"/>
                </w:tcPr>
                <w:p w14:paraId="5292BCE5">
                  <w:pPr>
                    <w:spacing w:before="20" w:after="20" w:line="240" w:lineRule="auto"/>
                    <w:jc w:val="center"/>
                    <w:rPr>
                      <w:rFonts w:hint="default" w:ascii="Times New Roman" w:hAnsi="Times New Roman" w:eastAsia="宋体" w:cs="Times New Roman"/>
                      <w:b w:val="0"/>
                      <w:sz w:val="21"/>
                      <w:szCs w:val="21"/>
                    </w:rPr>
                  </w:pPr>
                  <w:r>
                    <w:rPr>
                      <w:rFonts w:hint="default" w:ascii="Times New Roman" w:hAnsi="Times New Roman" w:eastAsia="宋体" w:cs="Times New Roman"/>
                      <w:b w:val="0"/>
                      <w:sz w:val="21"/>
                      <w:szCs w:val="21"/>
                    </w:rPr>
                    <w:t>给水</w:t>
                  </w:r>
                </w:p>
              </w:tc>
              <w:tc>
                <w:tcPr>
                  <w:tcW w:w="3518" w:type="pct"/>
                  <w:vAlign w:val="top"/>
                </w:tcPr>
                <w:p w14:paraId="0E3C0C61">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spacing w:val="-4"/>
                      <w:kern w:val="2"/>
                      <w:sz w:val="21"/>
                      <w:szCs w:val="21"/>
                      <w:lang w:val="en-US"/>
                    </w:rPr>
                  </w:pPr>
                  <w:r>
                    <w:rPr>
                      <w:rFonts w:hint="default" w:ascii="Times New Roman" w:hAnsi="Times New Roman" w:eastAsia="宋体" w:cs="Times New Roman"/>
                      <w:b w:val="0"/>
                      <w:sz w:val="21"/>
                      <w:szCs w:val="21"/>
                    </w:rPr>
                    <w:t>站区生活及消防给水均引接自产业园厂区给水管网（站外供水管线约100m、站内给水管线约330m）；生活给水管DN50钢骨架聚乙烯复合管，消防给水管DN150内外热镀锌无缝钢管</w:t>
                  </w:r>
                </w:p>
              </w:tc>
            </w:tr>
            <w:tr w14:paraId="1C6D5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rPr>
                <w:trHeight w:val="397" w:hRule="atLeast"/>
                <w:jc w:val="center"/>
              </w:trPr>
              <w:tc>
                <w:tcPr>
                  <w:tcW w:w="528" w:type="pct"/>
                  <w:vMerge w:val="continue"/>
                  <w:vAlign w:val="center"/>
                </w:tcPr>
                <w:p w14:paraId="60F83C4E">
                  <w:pPr>
                    <w:pStyle w:val="58"/>
                    <w:autoSpaceDE/>
                    <w:autoSpaceDN/>
                    <w:spacing w:before="0"/>
                    <w:jc w:val="center"/>
                    <w:rPr>
                      <w:rFonts w:hint="default" w:ascii="Times New Roman" w:hAnsi="Times New Roman" w:eastAsia="宋体" w:cs="Times New Roman"/>
                      <w:kern w:val="2"/>
                      <w:sz w:val="21"/>
                      <w:szCs w:val="21"/>
                    </w:rPr>
                  </w:pPr>
                </w:p>
              </w:tc>
              <w:tc>
                <w:tcPr>
                  <w:tcW w:w="953" w:type="pct"/>
                  <w:vAlign w:val="center"/>
                </w:tcPr>
                <w:p w14:paraId="2E2E708D">
                  <w:pPr>
                    <w:spacing w:before="20" w:after="20" w:line="240" w:lineRule="auto"/>
                    <w:jc w:val="center"/>
                    <w:rPr>
                      <w:rFonts w:hint="default" w:ascii="Times New Roman" w:hAnsi="Times New Roman" w:eastAsia="宋体" w:cs="Times New Roman"/>
                      <w:b w:val="0"/>
                      <w:sz w:val="21"/>
                      <w:szCs w:val="21"/>
                    </w:rPr>
                  </w:pPr>
                  <w:r>
                    <w:rPr>
                      <w:rFonts w:hint="default" w:ascii="Times New Roman" w:hAnsi="Times New Roman" w:eastAsia="宋体" w:cs="Times New Roman"/>
                      <w:b w:val="0"/>
                      <w:sz w:val="21"/>
                      <w:szCs w:val="21"/>
                    </w:rPr>
                    <w:t>排水</w:t>
                  </w:r>
                </w:p>
              </w:tc>
              <w:tc>
                <w:tcPr>
                  <w:tcW w:w="3518" w:type="pct"/>
                  <w:vAlign w:val="top"/>
                </w:tcPr>
                <w:p w14:paraId="1B3A08B9">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spacing w:val="-4"/>
                      <w:kern w:val="2"/>
                      <w:sz w:val="21"/>
                      <w:szCs w:val="21"/>
                      <w:lang w:val="en-US"/>
                    </w:rPr>
                  </w:pPr>
                  <w:r>
                    <w:rPr>
                      <w:rFonts w:hint="default" w:ascii="Times New Roman" w:hAnsi="Times New Roman" w:eastAsia="宋体" w:cs="Times New Roman"/>
                      <w:b w:val="0"/>
                      <w:sz w:val="21"/>
                      <w:szCs w:val="21"/>
                    </w:rPr>
                    <w:t>站区雨（雪）水采用散排+下渗方式，不设独立雨水排水系统，经围墙排水孔排至站外；生活污水经化粪池预处理后接入厂区污水管网，送产业园（一期）厂区自建污水处理站集中处理，处理达标后排入园区污水管网，最终进入尉犁工业园区工业污水处理厂深度处理</w:t>
                  </w:r>
                </w:p>
              </w:tc>
            </w:tr>
            <w:tr w14:paraId="7A45E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rPr>
                <w:trHeight w:val="397" w:hRule="atLeast"/>
                <w:jc w:val="center"/>
              </w:trPr>
              <w:tc>
                <w:tcPr>
                  <w:tcW w:w="528" w:type="pct"/>
                  <w:vMerge w:val="continue"/>
                  <w:vAlign w:val="center"/>
                </w:tcPr>
                <w:p w14:paraId="2A1CE653">
                  <w:pPr>
                    <w:pStyle w:val="58"/>
                    <w:autoSpaceDE/>
                    <w:autoSpaceDN/>
                    <w:spacing w:before="0"/>
                    <w:jc w:val="center"/>
                    <w:rPr>
                      <w:rFonts w:hint="default" w:ascii="Times New Roman" w:hAnsi="Times New Roman" w:eastAsia="宋体" w:cs="Times New Roman"/>
                      <w:kern w:val="2"/>
                      <w:sz w:val="21"/>
                      <w:szCs w:val="21"/>
                    </w:rPr>
                  </w:pPr>
                </w:p>
              </w:tc>
              <w:tc>
                <w:tcPr>
                  <w:tcW w:w="953" w:type="pct"/>
                  <w:vAlign w:val="center"/>
                </w:tcPr>
                <w:p w14:paraId="31BCC7BC">
                  <w:pPr>
                    <w:spacing w:before="20" w:after="20" w:line="240" w:lineRule="auto"/>
                    <w:jc w:val="center"/>
                    <w:rPr>
                      <w:rFonts w:hint="default" w:ascii="Times New Roman" w:hAnsi="Times New Roman" w:eastAsia="宋体" w:cs="Times New Roman"/>
                      <w:b w:val="0"/>
                      <w:sz w:val="21"/>
                      <w:szCs w:val="21"/>
                    </w:rPr>
                  </w:pPr>
                  <w:r>
                    <w:rPr>
                      <w:rFonts w:hint="default" w:ascii="Times New Roman" w:hAnsi="Times New Roman" w:eastAsia="宋体" w:cs="Times New Roman"/>
                      <w:b w:val="0"/>
                      <w:sz w:val="21"/>
                      <w:szCs w:val="21"/>
                    </w:rPr>
                    <w:t>采暖</w:t>
                  </w:r>
                </w:p>
              </w:tc>
              <w:tc>
                <w:tcPr>
                  <w:tcW w:w="3518" w:type="pct"/>
                  <w:vAlign w:val="top"/>
                </w:tcPr>
                <w:p w14:paraId="7162E707">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spacing w:val="-4"/>
                      <w:kern w:val="2"/>
                      <w:sz w:val="21"/>
                      <w:szCs w:val="21"/>
                      <w:lang w:val="en-US"/>
                    </w:rPr>
                  </w:pPr>
                  <w:r>
                    <w:rPr>
                      <w:rFonts w:hint="default" w:ascii="Times New Roman" w:hAnsi="Times New Roman" w:eastAsia="宋体" w:cs="Times New Roman"/>
                      <w:b w:val="0"/>
                      <w:sz w:val="21"/>
                      <w:szCs w:val="21"/>
                    </w:rPr>
                    <w:t>建筑物采用壁挂式电采暖器供暖，辅以立式空调，不设燃煤（油、气）锅炉</w:t>
                  </w:r>
                </w:p>
              </w:tc>
            </w:tr>
            <w:tr w14:paraId="335E6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rPr>
                <w:trHeight w:val="397" w:hRule="atLeast"/>
                <w:jc w:val="center"/>
              </w:trPr>
              <w:tc>
                <w:tcPr>
                  <w:tcW w:w="528" w:type="pct"/>
                  <w:vMerge w:val="continue"/>
                  <w:vAlign w:val="center"/>
                </w:tcPr>
                <w:p w14:paraId="66D14811">
                  <w:pPr>
                    <w:pStyle w:val="58"/>
                    <w:autoSpaceDE/>
                    <w:autoSpaceDN/>
                    <w:spacing w:before="0"/>
                    <w:jc w:val="center"/>
                    <w:rPr>
                      <w:rFonts w:hint="default" w:ascii="Times New Roman" w:hAnsi="Times New Roman" w:eastAsia="宋体" w:cs="Times New Roman"/>
                      <w:kern w:val="2"/>
                      <w:sz w:val="21"/>
                      <w:szCs w:val="21"/>
                    </w:rPr>
                  </w:pPr>
                </w:p>
              </w:tc>
              <w:tc>
                <w:tcPr>
                  <w:tcW w:w="953" w:type="pct"/>
                  <w:vAlign w:val="center"/>
                </w:tcPr>
                <w:p w14:paraId="05C69C68">
                  <w:pPr>
                    <w:spacing w:before="20" w:after="20" w:line="240" w:lineRule="auto"/>
                    <w:jc w:val="center"/>
                    <w:rPr>
                      <w:rFonts w:hint="default" w:ascii="Times New Roman" w:hAnsi="Times New Roman" w:eastAsia="宋体" w:cs="Times New Roman"/>
                      <w:b w:val="0"/>
                      <w:sz w:val="21"/>
                      <w:szCs w:val="21"/>
                    </w:rPr>
                  </w:pPr>
                  <w:r>
                    <w:rPr>
                      <w:rFonts w:hint="default" w:ascii="Times New Roman" w:hAnsi="Times New Roman" w:eastAsia="宋体" w:cs="Times New Roman"/>
                      <w:b w:val="0"/>
                      <w:sz w:val="21"/>
                      <w:szCs w:val="21"/>
                    </w:rPr>
                    <w:t>通风</w:t>
                  </w:r>
                </w:p>
              </w:tc>
              <w:tc>
                <w:tcPr>
                  <w:tcW w:w="3518" w:type="pct"/>
                  <w:vAlign w:val="top"/>
                </w:tcPr>
                <w:p w14:paraId="2F6AE84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spacing w:val="-4"/>
                      <w:kern w:val="2"/>
                      <w:sz w:val="21"/>
                      <w:szCs w:val="21"/>
                      <w:lang w:val="en-US"/>
                    </w:rPr>
                  </w:pPr>
                  <w:r>
                    <w:rPr>
                      <w:rFonts w:hint="default" w:ascii="Times New Roman" w:hAnsi="Times New Roman" w:eastAsia="宋体" w:cs="Times New Roman"/>
                      <w:b w:val="0"/>
                      <w:sz w:val="21"/>
                      <w:szCs w:val="21"/>
                    </w:rPr>
                    <w:t>110kV GIS室采用自然进风、高/低位机械排风；10kV配电装置室、电容器室、接地变室采用自然进风、高位机械排风（换气次数12次/h），风机兼作事故排风；设防风沙电动百叶窗</w:t>
                  </w:r>
                </w:p>
              </w:tc>
            </w:tr>
            <w:tr w14:paraId="573E4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rPr>
                <w:trHeight w:val="397" w:hRule="atLeast"/>
                <w:jc w:val="center"/>
              </w:trPr>
              <w:tc>
                <w:tcPr>
                  <w:tcW w:w="528" w:type="pct"/>
                  <w:vMerge w:val="continue"/>
                  <w:vAlign w:val="center"/>
                </w:tcPr>
                <w:p w14:paraId="4889489C">
                  <w:pPr>
                    <w:pStyle w:val="58"/>
                    <w:autoSpaceDE/>
                    <w:autoSpaceDN/>
                    <w:spacing w:before="0"/>
                    <w:jc w:val="center"/>
                    <w:rPr>
                      <w:rFonts w:hint="default" w:ascii="Times New Roman" w:hAnsi="Times New Roman" w:eastAsia="宋体" w:cs="Times New Roman"/>
                      <w:kern w:val="2"/>
                      <w:sz w:val="21"/>
                      <w:szCs w:val="21"/>
                    </w:rPr>
                  </w:pPr>
                </w:p>
              </w:tc>
              <w:tc>
                <w:tcPr>
                  <w:tcW w:w="953" w:type="pct"/>
                  <w:vAlign w:val="center"/>
                </w:tcPr>
                <w:p w14:paraId="55B362CF">
                  <w:pPr>
                    <w:spacing w:before="20" w:after="20" w:line="240" w:lineRule="auto"/>
                    <w:jc w:val="center"/>
                    <w:rPr>
                      <w:rFonts w:hint="default" w:ascii="Times New Roman" w:hAnsi="Times New Roman" w:eastAsia="宋体" w:cs="Times New Roman"/>
                      <w:b w:val="0"/>
                      <w:sz w:val="21"/>
                      <w:szCs w:val="21"/>
                    </w:rPr>
                  </w:pPr>
                  <w:r>
                    <w:rPr>
                      <w:rFonts w:hint="default" w:ascii="Times New Roman" w:hAnsi="Times New Roman" w:eastAsia="宋体" w:cs="Times New Roman"/>
                      <w:b w:val="0"/>
                      <w:sz w:val="21"/>
                      <w:szCs w:val="21"/>
                    </w:rPr>
                    <w:t>空调</w:t>
                  </w:r>
                </w:p>
              </w:tc>
              <w:tc>
                <w:tcPr>
                  <w:tcW w:w="3518" w:type="pct"/>
                  <w:vAlign w:val="top"/>
                </w:tcPr>
                <w:p w14:paraId="5DE28CBE">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spacing w:val="-4"/>
                      <w:kern w:val="2"/>
                      <w:sz w:val="21"/>
                      <w:szCs w:val="21"/>
                      <w:lang w:val="en-US"/>
                    </w:rPr>
                  </w:pPr>
                  <w:r>
                    <w:rPr>
                      <w:rFonts w:hint="default" w:ascii="Times New Roman" w:hAnsi="Times New Roman" w:eastAsia="宋体" w:cs="Times New Roman"/>
                      <w:b w:val="0"/>
                      <w:sz w:val="21"/>
                      <w:szCs w:val="21"/>
                    </w:rPr>
                    <w:t>二次设备室、10kV配电室采用分体立柜式空调（制冷量12.0kW、制热量13.0kW）；办公室、休息室采用分体壁挂式空调（制冷量3.5kW、制热量5.0kW）</w:t>
                  </w:r>
                </w:p>
              </w:tc>
            </w:tr>
            <w:tr w14:paraId="48C41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rPr>
                <w:trHeight w:val="397" w:hRule="atLeast"/>
                <w:jc w:val="center"/>
              </w:trPr>
              <w:tc>
                <w:tcPr>
                  <w:tcW w:w="528" w:type="pct"/>
                  <w:vMerge w:val="continue"/>
                  <w:vAlign w:val="center"/>
                </w:tcPr>
                <w:p w14:paraId="0ACEC0F9">
                  <w:pPr>
                    <w:pStyle w:val="58"/>
                    <w:autoSpaceDE/>
                    <w:autoSpaceDN/>
                    <w:spacing w:before="0"/>
                    <w:jc w:val="center"/>
                    <w:rPr>
                      <w:rFonts w:hint="default" w:ascii="Times New Roman" w:hAnsi="Times New Roman" w:eastAsia="宋体" w:cs="Times New Roman"/>
                      <w:kern w:val="2"/>
                      <w:sz w:val="21"/>
                      <w:szCs w:val="21"/>
                    </w:rPr>
                  </w:pPr>
                </w:p>
              </w:tc>
              <w:tc>
                <w:tcPr>
                  <w:tcW w:w="953" w:type="pct"/>
                  <w:vAlign w:val="center"/>
                </w:tcPr>
                <w:p w14:paraId="705C5E30">
                  <w:pPr>
                    <w:spacing w:before="20" w:after="20" w:line="240" w:lineRule="auto"/>
                    <w:jc w:val="center"/>
                    <w:rPr>
                      <w:rFonts w:hint="default" w:ascii="Times New Roman" w:hAnsi="Times New Roman" w:eastAsia="宋体" w:cs="Times New Roman"/>
                      <w:b w:val="0"/>
                      <w:sz w:val="21"/>
                      <w:szCs w:val="21"/>
                    </w:rPr>
                  </w:pPr>
                  <w:r>
                    <w:rPr>
                      <w:rFonts w:hint="default" w:ascii="Times New Roman" w:hAnsi="Times New Roman" w:eastAsia="宋体" w:cs="Times New Roman"/>
                      <w:b w:val="0"/>
                      <w:sz w:val="21"/>
                      <w:szCs w:val="21"/>
                    </w:rPr>
                    <w:t>供配电</w:t>
                  </w:r>
                </w:p>
                <w:p w14:paraId="38CDCE20">
                  <w:pPr>
                    <w:spacing w:before="20" w:after="20" w:line="240" w:lineRule="auto"/>
                    <w:jc w:val="center"/>
                    <w:rPr>
                      <w:rFonts w:hint="default" w:ascii="Times New Roman" w:hAnsi="Times New Roman" w:eastAsia="宋体" w:cs="Times New Roman"/>
                      <w:b w:val="0"/>
                      <w:sz w:val="21"/>
                      <w:szCs w:val="21"/>
                    </w:rPr>
                  </w:pPr>
                  <w:r>
                    <w:rPr>
                      <w:rFonts w:hint="default" w:ascii="Times New Roman" w:hAnsi="Times New Roman" w:eastAsia="宋体" w:cs="Times New Roman"/>
                      <w:b w:val="0"/>
                      <w:sz w:val="21"/>
                      <w:szCs w:val="21"/>
                    </w:rPr>
                    <w:t>（站用电）</w:t>
                  </w:r>
                </w:p>
              </w:tc>
              <w:tc>
                <w:tcPr>
                  <w:tcW w:w="3518" w:type="pct"/>
                  <w:vAlign w:val="top"/>
                </w:tcPr>
                <w:p w14:paraId="7E0DCF76">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spacing w:val="-4"/>
                      <w:kern w:val="2"/>
                      <w:sz w:val="21"/>
                      <w:szCs w:val="21"/>
                      <w:lang w:val="en-US"/>
                    </w:rPr>
                  </w:pPr>
                  <w:r>
                    <w:rPr>
                      <w:rFonts w:hint="default" w:ascii="Times New Roman" w:hAnsi="Times New Roman" w:eastAsia="宋体" w:cs="Times New Roman"/>
                      <w:b w:val="0"/>
                      <w:sz w:val="21"/>
                      <w:szCs w:val="21"/>
                    </w:rPr>
                    <w:t>站用电采用380/220V三相四线制、中性点直接接地系统，低压侧两段单母线、双ATS切换，两台站用变互为备用，每台可承担全站负荷；设交流低压配电柜4面（进线柜2面、馈线柜2面）</w:t>
                  </w:r>
                </w:p>
              </w:tc>
            </w:tr>
            <w:tr w14:paraId="4F9D9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rPr>
                <w:trHeight w:val="397" w:hRule="atLeast"/>
                <w:jc w:val="center"/>
              </w:trPr>
              <w:tc>
                <w:tcPr>
                  <w:tcW w:w="528" w:type="pct"/>
                  <w:vMerge w:val="continue"/>
                  <w:vAlign w:val="center"/>
                </w:tcPr>
                <w:p w14:paraId="70D21902">
                  <w:pPr>
                    <w:pStyle w:val="58"/>
                    <w:autoSpaceDE/>
                    <w:autoSpaceDN/>
                    <w:spacing w:before="0"/>
                    <w:jc w:val="center"/>
                    <w:rPr>
                      <w:rFonts w:hint="default" w:ascii="Times New Roman" w:hAnsi="Times New Roman" w:eastAsia="宋体" w:cs="Times New Roman"/>
                      <w:kern w:val="2"/>
                      <w:sz w:val="21"/>
                      <w:szCs w:val="21"/>
                    </w:rPr>
                  </w:pPr>
                </w:p>
              </w:tc>
              <w:tc>
                <w:tcPr>
                  <w:tcW w:w="953" w:type="pct"/>
                  <w:vAlign w:val="center"/>
                </w:tcPr>
                <w:p w14:paraId="2BE48031">
                  <w:pPr>
                    <w:spacing w:before="20" w:after="20" w:line="240" w:lineRule="auto"/>
                    <w:jc w:val="center"/>
                    <w:rPr>
                      <w:rFonts w:hint="default" w:ascii="Times New Roman" w:hAnsi="Times New Roman" w:eastAsia="宋体" w:cs="Times New Roman"/>
                      <w:b w:val="0"/>
                      <w:sz w:val="21"/>
                      <w:szCs w:val="21"/>
                    </w:rPr>
                  </w:pPr>
                  <w:r>
                    <w:rPr>
                      <w:rFonts w:hint="default" w:ascii="Times New Roman" w:hAnsi="Times New Roman" w:eastAsia="宋体" w:cs="Times New Roman"/>
                      <w:b w:val="0"/>
                      <w:sz w:val="21"/>
                      <w:szCs w:val="21"/>
                    </w:rPr>
                    <w:t>直流及UPS电源</w:t>
                  </w:r>
                </w:p>
              </w:tc>
              <w:tc>
                <w:tcPr>
                  <w:tcW w:w="3518" w:type="pct"/>
                  <w:vAlign w:val="top"/>
                </w:tcPr>
                <w:p w14:paraId="32D9C499">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spacing w:val="-4"/>
                      <w:kern w:val="2"/>
                      <w:sz w:val="21"/>
                      <w:szCs w:val="21"/>
                      <w:lang w:val="en-US"/>
                    </w:rPr>
                  </w:pPr>
                  <w:r>
                    <w:rPr>
                      <w:rFonts w:hint="default" w:ascii="Times New Roman" w:hAnsi="Times New Roman" w:eastAsia="宋体" w:cs="Times New Roman"/>
                      <w:b w:val="0"/>
                      <w:sz w:val="21"/>
                      <w:szCs w:val="21"/>
                    </w:rPr>
                    <w:t>交直流一体化电源：DC220V、300Ah阀控式密封铅酸蓄电池1组（2V×104只，按2h放电容量配置），高频开关充电装置1套（4+1冗余、5×20A）；UPS容量10kVA，主机双套配置、不设独立蓄电池组，由站内直流系统/交流电源供电；通信电源由DC-DC模块（5×30A）供电</w:t>
                  </w:r>
                </w:p>
              </w:tc>
            </w:tr>
            <w:tr w14:paraId="6CF96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rPr>
                <w:trHeight w:val="397" w:hRule="atLeast"/>
                <w:jc w:val="center"/>
              </w:trPr>
              <w:tc>
                <w:tcPr>
                  <w:tcW w:w="528" w:type="pct"/>
                  <w:vMerge w:val="continue"/>
                  <w:vAlign w:val="center"/>
                </w:tcPr>
                <w:p w14:paraId="7B4D5CBC">
                  <w:pPr>
                    <w:pStyle w:val="58"/>
                    <w:autoSpaceDE/>
                    <w:autoSpaceDN/>
                    <w:spacing w:before="0"/>
                    <w:jc w:val="center"/>
                    <w:rPr>
                      <w:rFonts w:hint="default" w:ascii="Times New Roman" w:hAnsi="Times New Roman" w:eastAsia="宋体" w:cs="Times New Roman"/>
                      <w:kern w:val="2"/>
                      <w:sz w:val="21"/>
                      <w:szCs w:val="21"/>
                    </w:rPr>
                  </w:pPr>
                </w:p>
              </w:tc>
              <w:tc>
                <w:tcPr>
                  <w:tcW w:w="953" w:type="pct"/>
                  <w:vAlign w:val="center"/>
                </w:tcPr>
                <w:p w14:paraId="79996858">
                  <w:pPr>
                    <w:spacing w:before="20" w:after="20" w:line="240" w:lineRule="auto"/>
                    <w:jc w:val="center"/>
                    <w:rPr>
                      <w:rFonts w:hint="default" w:ascii="Times New Roman" w:hAnsi="Times New Roman" w:eastAsia="宋体" w:cs="Times New Roman"/>
                      <w:b w:val="0"/>
                      <w:sz w:val="21"/>
                      <w:szCs w:val="21"/>
                    </w:rPr>
                  </w:pPr>
                  <w:r>
                    <w:rPr>
                      <w:rFonts w:hint="default" w:ascii="Times New Roman" w:hAnsi="Times New Roman" w:eastAsia="宋体" w:cs="Times New Roman"/>
                      <w:b w:val="0"/>
                      <w:sz w:val="21"/>
                      <w:szCs w:val="21"/>
                    </w:rPr>
                    <w:t>通信</w:t>
                  </w:r>
                </w:p>
              </w:tc>
              <w:tc>
                <w:tcPr>
                  <w:tcW w:w="3518" w:type="pct"/>
                  <w:vAlign w:val="top"/>
                </w:tcPr>
                <w:p w14:paraId="13D0608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spacing w:val="-4"/>
                      <w:kern w:val="2"/>
                      <w:sz w:val="21"/>
                      <w:szCs w:val="21"/>
                      <w:lang w:val="en-US"/>
                    </w:rPr>
                  </w:pPr>
                  <w:r>
                    <w:rPr>
                      <w:rFonts w:hint="default" w:ascii="Times New Roman" w:hAnsi="Times New Roman" w:eastAsia="宋体" w:cs="Times New Roman"/>
                      <w:b w:val="0"/>
                      <w:sz w:val="21"/>
                      <w:szCs w:val="21"/>
                    </w:rPr>
                    <w:t>随110kV线路架设2根24芯OPGW光缆（G.652D）至尉针二线破口点；站内新建2.5G平台SDH光传输设备1套（含2块622Mb/s四光口板）、E1综合接入设备1套、录音设备1套、动环监控设备1套、综合配线柜1面、光纤配线柜1面；进站导引光缆0.4km（24芯阻燃）</w:t>
                  </w:r>
                </w:p>
              </w:tc>
            </w:tr>
            <w:tr w14:paraId="77F9E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rPr>
                <w:trHeight w:val="397" w:hRule="atLeast"/>
                <w:jc w:val="center"/>
              </w:trPr>
              <w:tc>
                <w:tcPr>
                  <w:tcW w:w="528" w:type="pct"/>
                  <w:vMerge w:val="continue"/>
                  <w:vAlign w:val="center"/>
                </w:tcPr>
                <w:p w14:paraId="0DFEB3B4">
                  <w:pPr>
                    <w:pStyle w:val="58"/>
                    <w:autoSpaceDE/>
                    <w:autoSpaceDN/>
                    <w:spacing w:before="0"/>
                    <w:jc w:val="center"/>
                    <w:rPr>
                      <w:rFonts w:hint="default" w:ascii="Times New Roman" w:hAnsi="Times New Roman" w:eastAsia="宋体" w:cs="Times New Roman"/>
                      <w:kern w:val="2"/>
                      <w:sz w:val="21"/>
                      <w:szCs w:val="21"/>
                    </w:rPr>
                  </w:pPr>
                </w:p>
              </w:tc>
              <w:tc>
                <w:tcPr>
                  <w:tcW w:w="953" w:type="pct"/>
                  <w:vAlign w:val="center"/>
                </w:tcPr>
                <w:p w14:paraId="20ED4789">
                  <w:pPr>
                    <w:spacing w:before="20" w:after="20" w:line="240" w:lineRule="auto"/>
                    <w:jc w:val="center"/>
                    <w:rPr>
                      <w:rFonts w:hint="default" w:ascii="Times New Roman" w:hAnsi="Times New Roman" w:eastAsia="宋体" w:cs="Times New Roman"/>
                      <w:b w:val="0"/>
                      <w:sz w:val="21"/>
                      <w:szCs w:val="21"/>
                    </w:rPr>
                  </w:pPr>
                  <w:r>
                    <w:rPr>
                      <w:rFonts w:hint="default" w:ascii="Times New Roman" w:hAnsi="Times New Roman" w:eastAsia="宋体" w:cs="Times New Roman"/>
                      <w:b w:val="0"/>
                      <w:sz w:val="21"/>
                      <w:szCs w:val="21"/>
                    </w:rPr>
                    <w:t>消防</w:t>
                  </w:r>
                </w:p>
              </w:tc>
              <w:tc>
                <w:tcPr>
                  <w:tcW w:w="3518" w:type="pct"/>
                  <w:vAlign w:val="top"/>
                </w:tcPr>
                <w:p w14:paraId="5E854F13">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站区设室外、室内消火栓系统（室内消火栓设于走廊），消防用水接厂区消防管网（压力≥0.7MPa、流量≥35L/s）；</w:t>
                  </w:r>
                </w:p>
                <w:p w14:paraId="48B30E76">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spacing w:val="-4"/>
                      <w:kern w:val="2"/>
                      <w:sz w:val="21"/>
                      <w:szCs w:val="21"/>
                      <w:lang w:val="en-US"/>
                    </w:rPr>
                  </w:pPr>
                  <w:r>
                    <w:rPr>
                      <w:rFonts w:hint="default" w:ascii="Times New Roman" w:hAnsi="Times New Roman" w:eastAsia="宋体" w:cs="Times New Roman"/>
                      <w:b w:val="0"/>
                      <w:sz w:val="21"/>
                      <w:szCs w:val="21"/>
                    </w:rPr>
                    <w:t>主变旁设成品消防小间2座（内配MFT/ABC50推车式干粉灭火器2具、消防砂1m³、消防铲5把、消防桶5个、消防斧3把、手提式灭火器4具）；电气设备房间配MF/ABC5型手提式干粉灭火器42具；设火灾自动报警系统1套</w:t>
                  </w:r>
                </w:p>
              </w:tc>
            </w:tr>
            <w:tr w14:paraId="4535B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rPr>
                <w:jc w:val="center"/>
              </w:trPr>
              <w:tc>
                <w:tcPr>
                  <w:tcW w:w="528" w:type="pct"/>
                  <w:vMerge w:val="restart"/>
                  <w:vAlign w:val="center"/>
                </w:tcPr>
                <w:p w14:paraId="25CC62D9">
                  <w:pPr>
                    <w:pStyle w:val="58"/>
                    <w:autoSpaceDE/>
                    <w:autoSpaceDN/>
                    <w:spacing w:before="0"/>
                    <w:jc w:val="center"/>
                    <w:rPr>
                      <w:rFonts w:hint="default" w:ascii="Times New Roman" w:hAnsi="Times New Roman" w:eastAsia="宋体" w:cs="Times New Roman"/>
                      <w:kern w:val="2"/>
                      <w:sz w:val="21"/>
                      <w:szCs w:val="21"/>
                      <w:lang w:eastAsia="en-US"/>
                    </w:rPr>
                  </w:pPr>
                  <w:r>
                    <w:rPr>
                      <w:rFonts w:hint="default" w:ascii="Times New Roman" w:hAnsi="Times New Roman" w:eastAsia="宋体" w:cs="Times New Roman"/>
                      <w:kern w:val="2"/>
                      <w:sz w:val="21"/>
                      <w:szCs w:val="21"/>
                      <w:lang w:eastAsia="en-US"/>
                    </w:rPr>
                    <w:t>环保工程</w:t>
                  </w:r>
                </w:p>
              </w:tc>
              <w:tc>
                <w:tcPr>
                  <w:tcW w:w="953" w:type="pct"/>
                  <w:vAlign w:val="center"/>
                </w:tcPr>
                <w:p w14:paraId="6183688A">
                  <w:pPr>
                    <w:pStyle w:val="58"/>
                    <w:autoSpaceDE/>
                    <w:autoSpaceDN/>
                    <w:spacing w:before="0"/>
                    <w:jc w:val="center"/>
                    <w:rPr>
                      <w:rFonts w:hint="default" w:ascii="Times New Roman" w:hAnsi="Times New Roman" w:eastAsia="宋体" w:cs="Times New Roman"/>
                      <w:kern w:val="2"/>
                      <w:sz w:val="21"/>
                      <w:szCs w:val="21"/>
                      <w:lang w:eastAsia="en-US"/>
                    </w:rPr>
                  </w:pPr>
                  <w:r>
                    <w:rPr>
                      <w:rFonts w:hint="default" w:ascii="Times New Roman" w:hAnsi="Times New Roman" w:eastAsia="宋体" w:cs="Times New Roman"/>
                      <w:kern w:val="2"/>
                      <w:sz w:val="21"/>
                      <w:szCs w:val="21"/>
                      <w:lang w:eastAsia="en-US"/>
                    </w:rPr>
                    <w:t>废水</w:t>
                  </w:r>
                </w:p>
              </w:tc>
              <w:tc>
                <w:tcPr>
                  <w:tcW w:w="3518" w:type="pct"/>
                  <w:vAlign w:val="center"/>
                </w:tcPr>
                <w:p w14:paraId="331AE0AA">
                  <w:pPr>
                    <w:pStyle w:val="58"/>
                    <w:autoSpaceDE/>
                    <w:autoSpaceDN/>
                    <w:spacing w:before="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施工期：施工车辆冲洗废水经沉淀池处理后回用，不外排；施工人员生活污水排入临时防渗化粪池，定期清运至</w:t>
                  </w:r>
                  <w:r>
                    <w:rPr>
                      <w:rFonts w:hint="eastAsia" w:eastAsia="宋体" w:cs="Times New Roman"/>
                      <w:kern w:val="2"/>
                      <w:sz w:val="21"/>
                      <w:szCs w:val="21"/>
                      <w:lang w:eastAsia="zh-CN"/>
                    </w:rPr>
                    <w:t>尉犁工业园区工业污水处理厂</w:t>
                  </w:r>
                  <w:r>
                    <w:rPr>
                      <w:rFonts w:hint="default" w:ascii="Times New Roman" w:hAnsi="Times New Roman" w:eastAsia="宋体" w:cs="Times New Roman"/>
                      <w:kern w:val="2"/>
                      <w:sz w:val="21"/>
                      <w:szCs w:val="21"/>
                    </w:rPr>
                    <w:t>处理。</w:t>
                  </w:r>
                </w:p>
                <w:p w14:paraId="211BDE8E">
                  <w:pPr>
                    <w:pStyle w:val="58"/>
                    <w:autoSpaceDE/>
                    <w:autoSpaceDN/>
                    <w:spacing w:before="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运营期：无人值班，仅少量运维人员产生生活污水（最大0.28m³/d），经化粪池预处理后接入厂区污水管网，送产业园（一期）厂区自建污水处理站集中处理，处理达标后排入园区污水管网，最终进入尉犁工业园区工业污水处理厂深度处理。</w:t>
                  </w:r>
                </w:p>
              </w:tc>
            </w:tr>
            <w:tr w14:paraId="5B970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rPr>
                <w:jc w:val="center"/>
              </w:trPr>
              <w:tc>
                <w:tcPr>
                  <w:tcW w:w="528" w:type="pct"/>
                  <w:vMerge w:val="continue"/>
                  <w:vAlign w:val="center"/>
                </w:tcPr>
                <w:p w14:paraId="50873D15">
                  <w:pPr>
                    <w:pStyle w:val="58"/>
                    <w:autoSpaceDE/>
                    <w:autoSpaceDN/>
                    <w:spacing w:before="0"/>
                    <w:jc w:val="center"/>
                    <w:rPr>
                      <w:rFonts w:hint="default" w:ascii="Times New Roman" w:hAnsi="Times New Roman" w:eastAsia="宋体" w:cs="Times New Roman"/>
                      <w:kern w:val="2"/>
                      <w:sz w:val="21"/>
                      <w:szCs w:val="21"/>
                      <w:lang w:eastAsia="en-US"/>
                    </w:rPr>
                  </w:pPr>
                </w:p>
              </w:tc>
              <w:tc>
                <w:tcPr>
                  <w:tcW w:w="953" w:type="pct"/>
                  <w:vAlign w:val="center"/>
                </w:tcPr>
                <w:p w14:paraId="3D7DDA89">
                  <w:pPr>
                    <w:pStyle w:val="58"/>
                    <w:autoSpaceDE/>
                    <w:autoSpaceDN/>
                    <w:spacing w:before="0"/>
                    <w:jc w:val="center"/>
                    <w:rPr>
                      <w:rFonts w:hint="default" w:ascii="Times New Roman" w:hAnsi="Times New Roman" w:eastAsia="宋体" w:cs="Times New Roman"/>
                      <w:kern w:val="2"/>
                      <w:sz w:val="21"/>
                      <w:szCs w:val="21"/>
                      <w:lang w:val="en-US" w:eastAsia="zh-CN"/>
                    </w:rPr>
                  </w:pPr>
                  <w:r>
                    <w:rPr>
                      <w:rFonts w:hint="default" w:ascii="Times New Roman" w:hAnsi="Times New Roman" w:eastAsia="宋体" w:cs="Times New Roman"/>
                      <w:kern w:val="2"/>
                      <w:sz w:val="21"/>
                      <w:szCs w:val="21"/>
                      <w:lang w:val="en-US" w:eastAsia="zh-CN"/>
                    </w:rPr>
                    <w:t>废气</w:t>
                  </w:r>
                </w:p>
              </w:tc>
              <w:tc>
                <w:tcPr>
                  <w:tcW w:w="3518" w:type="pct"/>
                  <w:vAlign w:val="center"/>
                </w:tcPr>
                <w:p w14:paraId="0570D814">
                  <w:pPr>
                    <w:pStyle w:val="58"/>
                    <w:autoSpaceDE/>
                    <w:autoSpaceDN/>
                    <w:spacing w:before="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施工期：施工扬尘采取围挡、覆盖、洒水、车辆冲洗及密闭运输等措施；施工机械及车辆尾气达标排放。</w:t>
                  </w:r>
                </w:p>
                <w:p w14:paraId="36E47462">
                  <w:pPr>
                    <w:pStyle w:val="58"/>
                    <w:autoSpaceDE/>
                    <w:autoSpaceDN/>
                    <w:spacing w:before="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运营期：无工艺废气、无燃烧设施，不设食堂，无废气排放口</w:t>
                  </w:r>
                </w:p>
              </w:tc>
            </w:tr>
            <w:tr w14:paraId="3BDD6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rPr>
                <w:jc w:val="center"/>
              </w:trPr>
              <w:tc>
                <w:tcPr>
                  <w:tcW w:w="528" w:type="pct"/>
                  <w:vMerge w:val="continue"/>
                  <w:vAlign w:val="center"/>
                </w:tcPr>
                <w:p w14:paraId="19A9FB7A">
                  <w:pPr>
                    <w:pStyle w:val="58"/>
                    <w:autoSpaceDE/>
                    <w:autoSpaceDN/>
                    <w:spacing w:before="0"/>
                    <w:jc w:val="center"/>
                    <w:rPr>
                      <w:rFonts w:hint="default" w:ascii="Times New Roman" w:hAnsi="Times New Roman" w:eastAsia="宋体" w:cs="Times New Roman"/>
                      <w:kern w:val="2"/>
                      <w:sz w:val="21"/>
                      <w:szCs w:val="21"/>
                      <w:lang w:eastAsia="en-US"/>
                    </w:rPr>
                  </w:pPr>
                </w:p>
              </w:tc>
              <w:tc>
                <w:tcPr>
                  <w:tcW w:w="953" w:type="pct"/>
                  <w:vAlign w:val="center"/>
                </w:tcPr>
                <w:p w14:paraId="7892F1E2">
                  <w:pPr>
                    <w:pStyle w:val="58"/>
                    <w:autoSpaceDE/>
                    <w:autoSpaceDN/>
                    <w:spacing w:before="0"/>
                    <w:jc w:val="center"/>
                    <w:rPr>
                      <w:rFonts w:hint="default" w:ascii="Times New Roman" w:hAnsi="Times New Roman" w:eastAsia="宋体" w:cs="Times New Roman"/>
                      <w:kern w:val="2"/>
                      <w:sz w:val="21"/>
                      <w:szCs w:val="21"/>
                      <w:lang w:val="en-US" w:eastAsia="zh-CN"/>
                    </w:rPr>
                  </w:pPr>
                  <w:r>
                    <w:rPr>
                      <w:rFonts w:hint="default" w:ascii="Times New Roman" w:hAnsi="Times New Roman" w:eastAsia="宋体" w:cs="Times New Roman"/>
                      <w:kern w:val="2"/>
                      <w:sz w:val="21"/>
                      <w:szCs w:val="21"/>
                      <w:lang w:val="en-US" w:eastAsia="zh-CN"/>
                    </w:rPr>
                    <w:t>噪声</w:t>
                  </w:r>
                </w:p>
              </w:tc>
              <w:tc>
                <w:tcPr>
                  <w:tcW w:w="3518" w:type="pct"/>
                  <w:vAlign w:val="center"/>
                </w:tcPr>
                <w:p w14:paraId="2814F63F">
                  <w:pPr>
                    <w:pStyle w:val="58"/>
                    <w:autoSpaceDE/>
                    <w:autoSpaceDN/>
                    <w:spacing w:before="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优选低噪声主变压器（自冷式）及低噪声设备；主变户外布置、远离厂界，110kV及10kV配电装置户内布置，建筑隔声；风机、空调采取减振、消声措施</w:t>
                  </w:r>
                </w:p>
              </w:tc>
            </w:tr>
            <w:tr w14:paraId="37E3A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rPr>
                <w:jc w:val="center"/>
              </w:trPr>
              <w:tc>
                <w:tcPr>
                  <w:tcW w:w="528" w:type="pct"/>
                  <w:vMerge w:val="continue"/>
                  <w:vAlign w:val="center"/>
                </w:tcPr>
                <w:p w14:paraId="551BBAE4">
                  <w:pPr>
                    <w:pStyle w:val="58"/>
                    <w:autoSpaceDE/>
                    <w:autoSpaceDN/>
                    <w:spacing w:before="0"/>
                    <w:jc w:val="center"/>
                    <w:rPr>
                      <w:rFonts w:hint="default" w:ascii="Times New Roman" w:hAnsi="Times New Roman" w:eastAsia="宋体" w:cs="Times New Roman"/>
                      <w:kern w:val="2"/>
                      <w:sz w:val="21"/>
                      <w:szCs w:val="21"/>
                      <w:lang w:eastAsia="en-US"/>
                    </w:rPr>
                  </w:pPr>
                </w:p>
              </w:tc>
              <w:tc>
                <w:tcPr>
                  <w:tcW w:w="953" w:type="pct"/>
                  <w:vAlign w:val="center"/>
                </w:tcPr>
                <w:p w14:paraId="4A8A62E5">
                  <w:pPr>
                    <w:pStyle w:val="58"/>
                    <w:autoSpaceDE/>
                    <w:autoSpaceDN/>
                    <w:spacing w:before="0"/>
                    <w:jc w:val="center"/>
                    <w:rPr>
                      <w:rFonts w:hint="default" w:ascii="Times New Roman" w:hAnsi="Times New Roman" w:eastAsia="宋体" w:cs="Times New Roman"/>
                      <w:kern w:val="2"/>
                      <w:sz w:val="21"/>
                      <w:szCs w:val="21"/>
                      <w:lang w:val="en-US" w:eastAsia="zh-CN"/>
                    </w:rPr>
                  </w:pPr>
                  <w:r>
                    <w:rPr>
                      <w:rFonts w:hint="default" w:ascii="Times New Roman" w:hAnsi="Times New Roman" w:eastAsia="宋体" w:cs="Times New Roman"/>
                      <w:kern w:val="2"/>
                      <w:sz w:val="21"/>
                      <w:szCs w:val="21"/>
                      <w:lang w:val="en-US" w:eastAsia="zh-CN"/>
                    </w:rPr>
                    <w:t>固体废物</w:t>
                  </w:r>
                </w:p>
              </w:tc>
              <w:tc>
                <w:tcPr>
                  <w:tcW w:w="3518" w:type="pct"/>
                  <w:vAlign w:val="center"/>
                </w:tcPr>
                <w:p w14:paraId="38AEC057">
                  <w:pPr>
                    <w:pStyle w:val="58"/>
                    <w:autoSpaceDE/>
                    <w:autoSpaceDN/>
                    <w:spacing w:before="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施工期：建筑垃圾优先综合利用，不能利用的运至</w:t>
                  </w:r>
                  <w:r>
                    <w:rPr>
                      <w:rFonts w:hint="eastAsia" w:eastAsia="宋体" w:cs="Times New Roman"/>
                      <w:kern w:val="2"/>
                      <w:sz w:val="21"/>
                      <w:szCs w:val="21"/>
                      <w:lang w:eastAsia="zh-CN"/>
                    </w:rPr>
                    <w:t>和硕（园区）固废处置中心处置</w:t>
                  </w:r>
                  <w:r>
                    <w:rPr>
                      <w:rFonts w:hint="default" w:ascii="Times New Roman" w:hAnsi="Times New Roman" w:eastAsia="宋体" w:cs="Times New Roman"/>
                      <w:kern w:val="2"/>
                      <w:sz w:val="21"/>
                      <w:szCs w:val="21"/>
                    </w:rPr>
                    <w:t>；生活垃圾集中收集后由环卫部门清运。</w:t>
                  </w:r>
                </w:p>
                <w:p w14:paraId="350E3C78">
                  <w:pPr>
                    <w:pStyle w:val="58"/>
                    <w:autoSpaceDE/>
                    <w:autoSpaceDN/>
                    <w:spacing w:before="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运营期：废变压器油（事故排油）经事故油池收集后抽运至厂区危险废物暂存间，交有资质单位处置，不外排；废铅蓄电池、废润滑油、废油桶、含油抹布及劳保用品等危险废物分类收集后送厂区危险废物暂存间暂存，定期交有资质单位处置，站内不单独设置危险废物暂存间；生活垃圾集中收集清运</w:t>
                  </w:r>
                </w:p>
              </w:tc>
            </w:tr>
            <w:tr w14:paraId="5CB1F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rPr>
                <w:jc w:val="center"/>
              </w:trPr>
              <w:tc>
                <w:tcPr>
                  <w:tcW w:w="528" w:type="pct"/>
                  <w:vMerge w:val="continue"/>
                  <w:vAlign w:val="center"/>
                </w:tcPr>
                <w:p w14:paraId="49C76D6C">
                  <w:pPr>
                    <w:pStyle w:val="58"/>
                    <w:autoSpaceDE/>
                    <w:autoSpaceDN/>
                    <w:spacing w:before="0"/>
                    <w:jc w:val="center"/>
                    <w:rPr>
                      <w:rFonts w:hint="default" w:ascii="Times New Roman" w:hAnsi="Times New Roman" w:eastAsia="宋体" w:cs="Times New Roman"/>
                      <w:kern w:val="2"/>
                      <w:sz w:val="21"/>
                      <w:szCs w:val="21"/>
                      <w:lang w:eastAsia="en-US"/>
                    </w:rPr>
                  </w:pPr>
                </w:p>
              </w:tc>
              <w:tc>
                <w:tcPr>
                  <w:tcW w:w="953" w:type="pct"/>
                  <w:vAlign w:val="center"/>
                </w:tcPr>
                <w:p w14:paraId="39EBDEAF">
                  <w:pPr>
                    <w:pStyle w:val="58"/>
                    <w:autoSpaceDE/>
                    <w:autoSpaceDN/>
                    <w:spacing w:before="0"/>
                    <w:jc w:val="center"/>
                    <w:rPr>
                      <w:rFonts w:hint="default" w:ascii="Times New Roman" w:hAnsi="Times New Roman" w:eastAsia="宋体" w:cs="Times New Roman"/>
                      <w:kern w:val="2"/>
                      <w:sz w:val="21"/>
                      <w:szCs w:val="21"/>
                      <w:lang w:val="en-US" w:eastAsia="zh-CN"/>
                    </w:rPr>
                  </w:pPr>
                  <w:r>
                    <w:rPr>
                      <w:rFonts w:hint="default" w:ascii="Times New Roman" w:hAnsi="Times New Roman" w:eastAsia="宋体" w:cs="Times New Roman"/>
                      <w:kern w:val="2"/>
                      <w:sz w:val="21"/>
                      <w:szCs w:val="21"/>
                    </w:rPr>
                    <w:t>电磁环境</w:t>
                  </w:r>
                </w:p>
              </w:tc>
              <w:tc>
                <w:tcPr>
                  <w:tcW w:w="3518" w:type="pct"/>
                  <w:vAlign w:val="center"/>
                </w:tcPr>
                <w:p w14:paraId="16755731">
                  <w:pPr>
                    <w:pStyle w:val="58"/>
                    <w:autoSpaceDE/>
                    <w:autoSpaceDN/>
                    <w:spacing w:before="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110kV配电装置采用户内GIS、10kV采用户内金属封闭开关柜，带电导体全封闭；站内金属构架、设备外壳可靠接地；</w:t>
                  </w:r>
                </w:p>
                <w:p w14:paraId="65DF3D81">
                  <w:pPr>
                    <w:pStyle w:val="58"/>
                    <w:autoSpaceDE/>
                    <w:autoSpaceDN/>
                    <w:spacing w:before="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按GB8702-2014公众曝露控制限值（电场强度4000V/m、磁感应强度100μT）控制，</w:t>
                  </w:r>
                  <w:r>
                    <w:rPr>
                      <w:rFonts w:hint="eastAsia" w:eastAsia="宋体" w:cs="Times New Roman"/>
                      <w:kern w:val="2"/>
                      <w:sz w:val="21"/>
                      <w:szCs w:val="21"/>
                      <w:lang w:eastAsia="zh-CN"/>
                    </w:rPr>
                    <w:t>变电站站界</w:t>
                  </w:r>
                  <w:r>
                    <w:rPr>
                      <w:rFonts w:hint="default" w:ascii="Times New Roman" w:hAnsi="Times New Roman" w:eastAsia="宋体" w:cs="Times New Roman"/>
                      <w:kern w:val="2"/>
                      <w:sz w:val="21"/>
                      <w:szCs w:val="21"/>
                    </w:rPr>
                    <w:t>设警示标志</w:t>
                  </w:r>
                </w:p>
              </w:tc>
            </w:tr>
            <w:tr w14:paraId="368F2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rPr>
                <w:jc w:val="center"/>
              </w:trPr>
              <w:tc>
                <w:tcPr>
                  <w:tcW w:w="528" w:type="pct"/>
                  <w:vMerge w:val="continue"/>
                  <w:vAlign w:val="center"/>
                </w:tcPr>
                <w:p w14:paraId="1091FF01">
                  <w:pPr>
                    <w:pStyle w:val="58"/>
                    <w:autoSpaceDE/>
                    <w:autoSpaceDN/>
                    <w:spacing w:before="0"/>
                    <w:jc w:val="center"/>
                    <w:rPr>
                      <w:rFonts w:hint="default" w:ascii="Times New Roman" w:hAnsi="Times New Roman" w:eastAsia="宋体" w:cs="Times New Roman"/>
                      <w:kern w:val="2"/>
                      <w:sz w:val="21"/>
                      <w:szCs w:val="21"/>
                      <w:lang w:eastAsia="en-US"/>
                    </w:rPr>
                  </w:pPr>
                </w:p>
              </w:tc>
              <w:tc>
                <w:tcPr>
                  <w:tcW w:w="953" w:type="pct"/>
                  <w:vAlign w:val="center"/>
                </w:tcPr>
                <w:p w14:paraId="69A147F0">
                  <w:pPr>
                    <w:pStyle w:val="58"/>
                    <w:autoSpaceDE/>
                    <w:autoSpaceDN/>
                    <w:spacing w:before="0"/>
                    <w:jc w:val="center"/>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生态</w:t>
                  </w:r>
                </w:p>
              </w:tc>
              <w:tc>
                <w:tcPr>
                  <w:tcW w:w="3518" w:type="pct"/>
                  <w:vAlign w:val="center"/>
                </w:tcPr>
                <w:p w14:paraId="4912A0DB">
                  <w:pPr>
                    <w:pStyle w:val="58"/>
                    <w:autoSpaceDE/>
                    <w:autoSpaceDN/>
                    <w:spacing w:before="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严格控制施工范围，站区一次建成、不新增临时占地；施工前剥离表土集中堆存并苫盖，施工结束后用于站内及周边场地整治；场地碎石覆盖、减少风蚀；施工期避开大风天气作业，采取临时拦挡、排水等水土保持措施</w:t>
                  </w:r>
                </w:p>
              </w:tc>
            </w:tr>
            <w:tr w14:paraId="0AF3F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rPr>
                <w:jc w:val="center"/>
              </w:trPr>
              <w:tc>
                <w:tcPr>
                  <w:tcW w:w="528" w:type="pct"/>
                  <w:vMerge w:val="continue"/>
                  <w:vAlign w:val="center"/>
                </w:tcPr>
                <w:p w14:paraId="5974BD57">
                  <w:pPr>
                    <w:pStyle w:val="58"/>
                    <w:autoSpaceDE/>
                    <w:autoSpaceDN/>
                    <w:spacing w:before="0"/>
                    <w:jc w:val="center"/>
                    <w:rPr>
                      <w:rFonts w:hint="default" w:ascii="Times New Roman" w:hAnsi="Times New Roman" w:eastAsia="宋体" w:cs="Times New Roman"/>
                      <w:kern w:val="2"/>
                      <w:sz w:val="21"/>
                      <w:szCs w:val="21"/>
                      <w:lang w:eastAsia="en-US"/>
                    </w:rPr>
                  </w:pPr>
                </w:p>
              </w:tc>
              <w:tc>
                <w:tcPr>
                  <w:tcW w:w="953" w:type="pct"/>
                  <w:vAlign w:val="center"/>
                </w:tcPr>
                <w:p w14:paraId="15231526">
                  <w:pPr>
                    <w:pStyle w:val="58"/>
                    <w:autoSpaceDE/>
                    <w:autoSpaceDN/>
                    <w:spacing w:before="0"/>
                    <w:jc w:val="center"/>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环境风险</w:t>
                  </w:r>
                </w:p>
              </w:tc>
              <w:tc>
                <w:tcPr>
                  <w:tcW w:w="3518" w:type="pct"/>
                  <w:vAlign w:val="center"/>
                </w:tcPr>
                <w:p w14:paraId="66582F6B">
                  <w:pPr>
                    <w:pStyle w:val="58"/>
                    <w:autoSpaceDE/>
                    <w:autoSpaceDN/>
                    <w:spacing w:before="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站内设地埋式事故油池1座（4.85m×3.3m×3.8m，有效容积约30m³，按单台主变最大油量100%设计，单台主变油重约25t），P10抗渗钢筋混凝土结构+自粘式高分子防水卷材+防水砂浆抹面，防水等级一级；</w:t>
                  </w:r>
                </w:p>
                <w:p w14:paraId="4F9E1C3D">
                  <w:pPr>
                    <w:pStyle w:val="58"/>
                    <w:autoSpaceDE/>
                    <w:autoSpaceDN/>
                    <w:spacing w:before="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rPr>
                    <w:t>主变下设事故油坑，经排油管道接至事故油池；编制突发环境事件应急预案并备案</w:t>
                  </w:r>
                </w:p>
              </w:tc>
            </w:tr>
            <w:tr w14:paraId="38A80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rPr>
                <w:trHeight w:val="397" w:hRule="atLeast"/>
                <w:jc w:val="center"/>
              </w:trPr>
              <w:tc>
                <w:tcPr>
                  <w:tcW w:w="528" w:type="pct"/>
                  <w:vMerge w:val="restart"/>
                  <w:vAlign w:val="center"/>
                </w:tcPr>
                <w:p w14:paraId="0ADE6254">
                  <w:pPr>
                    <w:pStyle w:val="58"/>
                    <w:autoSpaceDE/>
                    <w:autoSpaceDN/>
                    <w:spacing w:before="0"/>
                    <w:jc w:val="center"/>
                    <w:rPr>
                      <w:rFonts w:hint="default" w:ascii="Times New Roman" w:hAnsi="Times New Roman" w:eastAsia="宋体" w:cs="Times New Roman"/>
                      <w:kern w:val="2"/>
                      <w:sz w:val="21"/>
                      <w:szCs w:val="21"/>
                      <w:lang w:val="en-US" w:eastAsia="zh-CN"/>
                    </w:rPr>
                  </w:pPr>
                  <w:r>
                    <w:rPr>
                      <w:rFonts w:hint="default" w:ascii="Times New Roman" w:hAnsi="Times New Roman" w:eastAsia="宋体" w:cs="Times New Roman"/>
                      <w:kern w:val="2"/>
                      <w:sz w:val="21"/>
                      <w:szCs w:val="21"/>
                      <w:lang w:val="en-US" w:eastAsia="zh-CN"/>
                    </w:rPr>
                    <w:t>依托工程</w:t>
                  </w:r>
                </w:p>
              </w:tc>
              <w:tc>
                <w:tcPr>
                  <w:tcW w:w="1447" w:type="dxa"/>
                  <w:vAlign w:val="center"/>
                </w:tcPr>
                <w:p w14:paraId="73FB2157">
                  <w:pPr>
                    <w:pStyle w:val="40"/>
                    <w:keepNext w:val="0"/>
                    <w:keepLines w:val="0"/>
                    <w:widowControl/>
                    <w:suppressLineNumbers w:val="0"/>
                    <w:spacing w:before="20" w:beforeAutospacing="0" w:after="20" w:afterAutospacing="0"/>
                    <w:ind w:left="0" w:leftChars="0" w:right="0" w:rightChars="0"/>
                    <w:jc w:val="center"/>
                    <w:rPr>
                      <w:rFonts w:hint="default" w:ascii="Times New Roman" w:hAnsi="Times New Roman" w:eastAsia="宋体" w:cs="Times New Roman"/>
                      <w:kern w:val="2"/>
                      <w:sz w:val="21"/>
                      <w:szCs w:val="21"/>
                      <w:lang w:val="zh-CN" w:eastAsia="zh-CN" w:bidi="zh-CN"/>
                    </w:rPr>
                  </w:pPr>
                  <w:r>
                    <w:rPr>
                      <w:rFonts w:hint="default" w:ascii="Times New Roman" w:hAnsi="Times New Roman" w:eastAsia="宋体" w:cs="Times New Roman"/>
                      <w:kern w:val="2"/>
                      <w:sz w:val="21"/>
                      <w:szCs w:val="21"/>
                      <w:lang w:val="zh-CN" w:eastAsia="zh-CN" w:bidi="zh-CN"/>
                    </w:rPr>
                    <w:t>用地</w:t>
                  </w:r>
                </w:p>
              </w:tc>
              <w:tc>
                <w:tcPr>
                  <w:tcW w:w="5340" w:type="dxa"/>
                  <w:vAlign w:val="top"/>
                </w:tcPr>
                <w:p w14:paraId="739CCE89">
                  <w:pPr>
                    <w:pStyle w:val="40"/>
                    <w:keepNext w:val="0"/>
                    <w:keepLines w:val="0"/>
                    <w:widowControl/>
                    <w:suppressLineNumbers w:val="0"/>
                    <w:spacing w:before="20" w:beforeAutospacing="0" w:after="20" w:afterAutospacing="0"/>
                    <w:ind w:left="0" w:leftChars="0" w:right="0" w:rightChars="0"/>
                    <w:jc w:val="left"/>
                    <w:rPr>
                      <w:rFonts w:hint="default" w:ascii="Times New Roman" w:hAnsi="Times New Roman" w:eastAsia="宋体" w:cs="Times New Roman"/>
                      <w:kern w:val="2"/>
                      <w:sz w:val="21"/>
                      <w:szCs w:val="21"/>
                      <w:lang w:val="zh-CN" w:eastAsia="zh-CN" w:bidi="zh-CN"/>
                    </w:rPr>
                  </w:pPr>
                  <w:r>
                    <w:rPr>
                      <w:rFonts w:hint="default" w:ascii="Times New Roman" w:hAnsi="Times New Roman" w:eastAsia="宋体" w:cs="Times New Roman"/>
                      <w:kern w:val="2"/>
                      <w:sz w:val="21"/>
                      <w:szCs w:val="21"/>
                      <w:lang w:val="zh-CN" w:eastAsia="zh-CN" w:bidi="zh-CN"/>
                    </w:rPr>
                    <w:t>变电站站址位于产业园（一期）厂区规划用地范围内，为厂区统一规划预留的电力设施用地，不新增征地，无拆迁</w:t>
                  </w:r>
                </w:p>
              </w:tc>
            </w:tr>
            <w:tr w14:paraId="3B079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rPr>
                <w:trHeight w:val="397" w:hRule="atLeast"/>
                <w:jc w:val="center"/>
              </w:trPr>
              <w:tc>
                <w:tcPr>
                  <w:tcW w:w="528" w:type="pct"/>
                  <w:vMerge w:val="continue"/>
                  <w:vAlign w:val="center"/>
                </w:tcPr>
                <w:p w14:paraId="36B212DF">
                  <w:pPr>
                    <w:pStyle w:val="58"/>
                    <w:autoSpaceDE/>
                    <w:autoSpaceDN/>
                    <w:spacing w:before="0"/>
                    <w:jc w:val="center"/>
                    <w:rPr>
                      <w:rFonts w:hint="default" w:ascii="Times New Roman" w:hAnsi="Times New Roman" w:eastAsia="宋体" w:cs="Times New Roman"/>
                      <w:kern w:val="2"/>
                      <w:sz w:val="21"/>
                      <w:szCs w:val="21"/>
                      <w:lang w:eastAsia="en-US"/>
                    </w:rPr>
                  </w:pPr>
                </w:p>
              </w:tc>
              <w:tc>
                <w:tcPr>
                  <w:tcW w:w="1447" w:type="dxa"/>
                  <w:vAlign w:val="center"/>
                </w:tcPr>
                <w:p w14:paraId="74C558F4">
                  <w:pPr>
                    <w:pStyle w:val="40"/>
                    <w:keepNext w:val="0"/>
                    <w:keepLines w:val="0"/>
                    <w:widowControl/>
                    <w:suppressLineNumbers w:val="0"/>
                    <w:spacing w:before="20" w:beforeAutospacing="0" w:after="20" w:afterAutospacing="0"/>
                    <w:ind w:left="0" w:leftChars="0" w:right="0" w:rightChars="0"/>
                    <w:jc w:val="center"/>
                    <w:rPr>
                      <w:rFonts w:hint="default" w:ascii="Times New Roman" w:hAnsi="Times New Roman" w:eastAsia="宋体" w:cs="Times New Roman"/>
                      <w:kern w:val="2"/>
                      <w:sz w:val="21"/>
                      <w:szCs w:val="21"/>
                      <w:lang w:val="zh-CN" w:eastAsia="zh-CN" w:bidi="zh-CN"/>
                    </w:rPr>
                  </w:pPr>
                  <w:r>
                    <w:rPr>
                      <w:rFonts w:hint="default" w:ascii="Times New Roman" w:hAnsi="Times New Roman" w:eastAsia="宋体" w:cs="Times New Roman"/>
                      <w:kern w:val="2"/>
                      <w:sz w:val="21"/>
                      <w:szCs w:val="21"/>
                      <w:lang w:val="zh-CN" w:eastAsia="zh-CN" w:bidi="zh-CN"/>
                    </w:rPr>
                    <w:t>给水</w:t>
                  </w:r>
                </w:p>
              </w:tc>
              <w:tc>
                <w:tcPr>
                  <w:tcW w:w="5340" w:type="dxa"/>
                  <w:vAlign w:val="top"/>
                </w:tcPr>
                <w:p w14:paraId="2B0EB94D">
                  <w:pPr>
                    <w:pStyle w:val="40"/>
                    <w:keepNext w:val="0"/>
                    <w:keepLines w:val="0"/>
                    <w:widowControl/>
                    <w:suppressLineNumbers w:val="0"/>
                    <w:spacing w:before="20" w:beforeAutospacing="0" w:after="20" w:afterAutospacing="0"/>
                    <w:ind w:left="0" w:leftChars="0" w:right="0" w:rightChars="0"/>
                    <w:jc w:val="left"/>
                    <w:rPr>
                      <w:rFonts w:hint="default" w:ascii="Times New Roman" w:hAnsi="Times New Roman" w:eastAsia="宋体" w:cs="Times New Roman"/>
                      <w:kern w:val="2"/>
                      <w:sz w:val="21"/>
                      <w:szCs w:val="21"/>
                      <w:lang w:val="zh-CN" w:eastAsia="zh-CN" w:bidi="zh-CN"/>
                    </w:rPr>
                  </w:pPr>
                  <w:r>
                    <w:rPr>
                      <w:rFonts w:hint="default" w:ascii="Times New Roman" w:hAnsi="Times New Roman" w:eastAsia="宋体" w:cs="Times New Roman"/>
                      <w:kern w:val="2"/>
                      <w:sz w:val="21"/>
                      <w:szCs w:val="21"/>
                      <w:lang w:val="zh-CN" w:eastAsia="zh-CN" w:bidi="zh-CN"/>
                    </w:rPr>
                    <w:t>施工及运营期生活、消防用水均引接产业园厂区给水管网（站外供水管线约100m），依托厂区既有供水设施</w:t>
                  </w:r>
                </w:p>
              </w:tc>
            </w:tr>
            <w:tr w14:paraId="71592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rPr>
                <w:trHeight w:val="397" w:hRule="atLeast"/>
                <w:jc w:val="center"/>
              </w:trPr>
              <w:tc>
                <w:tcPr>
                  <w:tcW w:w="528" w:type="pct"/>
                  <w:vMerge w:val="continue"/>
                  <w:vAlign w:val="center"/>
                </w:tcPr>
                <w:p w14:paraId="13EE48BC">
                  <w:pPr>
                    <w:pStyle w:val="58"/>
                    <w:autoSpaceDE/>
                    <w:autoSpaceDN/>
                    <w:spacing w:before="0"/>
                    <w:jc w:val="center"/>
                    <w:rPr>
                      <w:rFonts w:hint="default" w:ascii="Times New Roman" w:hAnsi="Times New Roman" w:eastAsia="宋体" w:cs="Times New Roman"/>
                      <w:kern w:val="2"/>
                      <w:sz w:val="21"/>
                      <w:szCs w:val="21"/>
                      <w:lang w:eastAsia="en-US"/>
                    </w:rPr>
                  </w:pPr>
                </w:p>
              </w:tc>
              <w:tc>
                <w:tcPr>
                  <w:tcW w:w="1447" w:type="dxa"/>
                  <w:vAlign w:val="center"/>
                </w:tcPr>
                <w:p w14:paraId="62BDF60F">
                  <w:pPr>
                    <w:pStyle w:val="40"/>
                    <w:keepNext w:val="0"/>
                    <w:keepLines w:val="0"/>
                    <w:widowControl/>
                    <w:suppressLineNumbers w:val="0"/>
                    <w:spacing w:before="20" w:beforeAutospacing="0" w:after="20" w:afterAutospacing="0"/>
                    <w:ind w:left="0" w:leftChars="0" w:right="0" w:rightChars="0"/>
                    <w:jc w:val="center"/>
                    <w:rPr>
                      <w:rFonts w:hint="default" w:ascii="Times New Roman" w:hAnsi="Times New Roman" w:eastAsia="宋体" w:cs="Times New Roman"/>
                      <w:kern w:val="2"/>
                      <w:sz w:val="21"/>
                      <w:szCs w:val="21"/>
                      <w:lang w:val="zh-CN" w:eastAsia="zh-CN" w:bidi="zh-CN"/>
                    </w:rPr>
                  </w:pPr>
                  <w:r>
                    <w:rPr>
                      <w:rFonts w:hint="default" w:ascii="Times New Roman" w:hAnsi="Times New Roman" w:eastAsia="宋体" w:cs="Times New Roman"/>
                      <w:kern w:val="2"/>
                      <w:sz w:val="21"/>
                      <w:szCs w:val="21"/>
                      <w:lang w:val="zh-CN" w:eastAsia="zh-CN" w:bidi="zh-CN"/>
                    </w:rPr>
                    <w:t>排水</w:t>
                  </w:r>
                </w:p>
              </w:tc>
              <w:tc>
                <w:tcPr>
                  <w:tcW w:w="5340" w:type="dxa"/>
                  <w:vAlign w:val="top"/>
                </w:tcPr>
                <w:p w14:paraId="513F61F2">
                  <w:pPr>
                    <w:pStyle w:val="40"/>
                    <w:keepNext w:val="0"/>
                    <w:keepLines w:val="0"/>
                    <w:widowControl/>
                    <w:suppressLineNumbers w:val="0"/>
                    <w:spacing w:before="20" w:beforeAutospacing="0" w:after="20" w:afterAutospacing="0"/>
                    <w:ind w:left="0" w:leftChars="0" w:right="0" w:rightChars="0"/>
                    <w:jc w:val="both"/>
                    <w:rPr>
                      <w:rFonts w:hint="default" w:ascii="Times New Roman" w:hAnsi="Times New Roman" w:eastAsia="宋体" w:cs="Times New Roman"/>
                      <w:kern w:val="2"/>
                      <w:sz w:val="21"/>
                      <w:szCs w:val="21"/>
                      <w:lang w:val="zh-CN" w:eastAsia="zh-CN" w:bidi="zh-CN"/>
                    </w:rPr>
                  </w:pPr>
                  <w:r>
                    <w:rPr>
                      <w:rFonts w:hint="default" w:ascii="Times New Roman" w:hAnsi="Times New Roman" w:eastAsia="宋体" w:cs="Times New Roman"/>
                      <w:kern w:val="2"/>
                      <w:sz w:val="21"/>
                      <w:szCs w:val="21"/>
                      <w:lang w:val="zh-CN" w:eastAsia="zh-CN" w:bidi="zh-CN"/>
                    </w:rPr>
                    <w:t>生活污水经化粪池预处理后接入厂区污水管网，送产业园（一期）厂区自建污水处理站集中处理，处理达标后排入园区污水管网，最终进入尉犁工业园区工业污水处理厂深度处理；雨水散排入渗，依托厂区场地排水</w:t>
                  </w:r>
                </w:p>
              </w:tc>
            </w:tr>
            <w:tr w14:paraId="666AB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rPr>
                <w:trHeight w:val="397" w:hRule="atLeast"/>
                <w:jc w:val="center"/>
              </w:trPr>
              <w:tc>
                <w:tcPr>
                  <w:tcW w:w="528" w:type="pct"/>
                  <w:vMerge w:val="continue"/>
                  <w:vAlign w:val="center"/>
                </w:tcPr>
                <w:p w14:paraId="0B91333A">
                  <w:pPr>
                    <w:pStyle w:val="58"/>
                    <w:autoSpaceDE/>
                    <w:autoSpaceDN/>
                    <w:spacing w:before="0"/>
                    <w:jc w:val="center"/>
                    <w:rPr>
                      <w:rFonts w:hint="default" w:ascii="Times New Roman" w:hAnsi="Times New Roman" w:eastAsia="宋体" w:cs="Times New Roman"/>
                      <w:kern w:val="2"/>
                      <w:sz w:val="21"/>
                      <w:szCs w:val="21"/>
                      <w:lang w:eastAsia="en-US"/>
                    </w:rPr>
                  </w:pPr>
                </w:p>
              </w:tc>
              <w:tc>
                <w:tcPr>
                  <w:tcW w:w="1447" w:type="dxa"/>
                  <w:vAlign w:val="center"/>
                </w:tcPr>
                <w:p w14:paraId="01E563A2">
                  <w:pPr>
                    <w:pStyle w:val="40"/>
                    <w:keepNext w:val="0"/>
                    <w:keepLines w:val="0"/>
                    <w:widowControl/>
                    <w:suppressLineNumbers w:val="0"/>
                    <w:spacing w:before="20" w:beforeAutospacing="0" w:after="20" w:afterAutospacing="0"/>
                    <w:ind w:left="0" w:leftChars="0" w:right="0" w:rightChars="0"/>
                    <w:jc w:val="center"/>
                    <w:rPr>
                      <w:rFonts w:hint="default" w:ascii="Times New Roman" w:hAnsi="Times New Roman" w:eastAsia="宋体" w:cs="Times New Roman"/>
                      <w:kern w:val="2"/>
                      <w:sz w:val="21"/>
                      <w:szCs w:val="21"/>
                      <w:lang w:val="zh-CN" w:eastAsia="zh-CN" w:bidi="zh-CN"/>
                    </w:rPr>
                  </w:pPr>
                  <w:r>
                    <w:rPr>
                      <w:rFonts w:hint="default" w:ascii="Times New Roman" w:hAnsi="Times New Roman" w:eastAsia="宋体" w:cs="Times New Roman"/>
                      <w:kern w:val="2"/>
                      <w:sz w:val="21"/>
                      <w:szCs w:val="21"/>
                      <w:lang w:val="zh-CN" w:eastAsia="zh-CN" w:bidi="zh-CN"/>
                    </w:rPr>
                    <w:t>消防</w:t>
                  </w:r>
                </w:p>
              </w:tc>
              <w:tc>
                <w:tcPr>
                  <w:tcW w:w="5340" w:type="dxa"/>
                  <w:vAlign w:val="top"/>
                </w:tcPr>
                <w:p w14:paraId="1B78AF64">
                  <w:pPr>
                    <w:pStyle w:val="40"/>
                    <w:keepNext w:val="0"/>
                    <w:keepLines w:val="0"/>
                    <w:widowControl/>
                    <w:suppressLineNumbers w:val="0"/>
                    <w:spacing w:before="20" w:beforeAutospacing="0" w:after="20" w:afterAutospacing="0"/>
                    <w:ind w:left="0" w:leftChars="0" w:right="0" w:rightChars="0"/>
                    <w:jc w:val="both"/>
                    <w:rPr>
                      <w:rFonts w:hint="default" w:ascii="Times New Roman" w:hAnsi="Times New Roman" w:eastAsia="宋体" w:cs="Times New Roman"/>
                      <w:kern w:val="2"/>
                      <w:sz w:val="21"/>
                      <w:szCs w:val="21"/>
                      <w:lang w:val="zh-CN" w:eastAsia="zh-CN" w:bidi="zh-CN"/>
                    </w:rPr>
                  </w:pPr>
                  <w:r>
                    <w:rPr>
                      <w:rFonts w:hint="default" w:ascii="Times New Roman" w:hAnsi="Times New Roman" w:eastAsia="宋体" w:cs="Times New Roman"/>
                      <w:kern w:val="2"/>
                      <w:sz w:val="21"/>
                      <w:szCs w:val="21"/>
                      <w:lang w:val="zh-CN" w:eastAsia="zh-CN" w:bidi="zh-CN"/>
                    </w:rPr>
                    <w:t>消防用水依托厂区消防供水管网（要求压力不小于0.7MPa、流量不小于35L/s），火灾报警信息接入厂区消防控制中心；站内仅配置灭火器材及消火栓设施</w:t>
                  </w:r>
                </w:p>
              </w:tc>
            </w:tr>
            <w:tr w14:paraId="53B52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rPr>
                <w:trHeight w:val="397" w:hRule="atLeast"/>
                <w:jc w:val="center"/>
              </w:trPr>
              <w:tc>
                <w:tcPr>
                  <w:tcW w:w="528" w:type="pct"/>
                  <w:vMerge w:val="continue"/>
                  <w:vAlign w:val="center"/>
                </w:tcPr>
                <w:p w14:paraId="7FB74E2E">
                  <w:pPr>
                    <w:pStyle w:val="58"/>
                    <w:autoSpaceDE/>
                    <w:autoSpaceDN/>
                    <w:spacing w:before="0"/>
                    <w:jc w:val="center"/>
                    <w:rPr>
                      <w:rFonts w:hint="default" w:ascii="Times New Roman" w:hAnsi="Times New Roman" w:eastAsia="宋体" w:cs="Times New Roman"/>
                      <w:kern w:val="2"/>
                      <w:sz w:val="21"/>
                      <w:szCs w:val="21"/>
                      <w:lang w:eastAsia="en-US"/>
                    </w:rPr>
                  </w:pPr>
                </w:p>
              </w:tc>
              <w:tc>
                <w:tcPr>
                  <w:tcW w:w="1447" w:type="dxa"/>
                  <w:vAlign w:val="center"/>
                </w:tcPr>
                <w:p w14:paraId="56CD127B">
                  <w:pPr>
                    <w:pStyle w:val="40"/>
                    <w:keepNext w:val="0"/>
                    <w:keepLines w:val="0"/>
                    <w:widowControl/>
                    <w:suppressLineNumbers w:val="0"/>
                    <w:spacing w:before="20" w:beforeAutospacing="0" w:after="20" w:afterAutospacing="0"/>
                    <w:ind w:left="0" w:leftChars="0" w:right="0" w:rightChars="0"/>
                    <w:jc w:val="center"/>
                    <w:rPr>
                      <w:rFonts w:hint="default" w:ascii="Times New Roman" w:hAnsi="Times New Roman" w:eastAsia="宋体" w:cs="Times New Roman"/>
                      <w:kern w:val="2"/>
                      <w:sz w:val="21"/>
                      <w:szCs w:val="21"/>
                      <w:lang w:val="zh-CN" w:eastAsia="zh-CN" w:bidi="zh-CN"/>
                    </w:rPr>
                  </w:pPr>
                  <w:r>
                    <w:rPr>
                      <w:rFonts w:hint="default" w:ascii="Times New Roman" w:hAnsi="Times New Roman" w:eastAsia="宋体" w:cs="Times New Roman"/>
                      <w:kern w:val="2"/>
                      <w:sz w:val="21"/>
                      <w:szCs w:val="21"/>
                      <w:lang w:val="zh-CN" w:eastAsia="zh-CN" w:bidi="zh-CN"/>
                    </w:rPr>
                    <w:t>道路及运输</w:t>
                  </w:r>
                </w:p>
              </w:tc>
              <w:tc>
                <w:tcPr>
                  <w:tcW w:w="5340" w:type="dxa"/>
                  <w:vAlign w:val="top"/>
                </w:tcPr>
                <w:p w14:paraId="2EAF574E">
                  <w:pPr>
                    <w:pStyle w:val="40"/>
                    <w:keepNext w:val="0"/>
                    <w:keepLines w:val="0"/>
                    <w:widowControl/>
                    <w:suppressLineNumbers w:val="0"/>
                    <w:spacing w:before="20" w:beforeAutospacing="0" w:after="20" w:afterAutospacing="0"/>
                    <w:ind w:left="0" w:leftChars="0" w:right="0" w:rightChars="0"/>
                    <w:jc w:val="both"/>
                    <w:rPr>
                      <w:rFonts w:hint="default" w:ascii="Times New Roman" w:hAnsi="Times New Roman" w:eastAsia="宋体" w:cs="Times New Roman"/>
                      <w:kern w:val="2"/>
                      <w:sz w:val="21"/>
                      <w:szCs w:val="21"/>
                      <w:lang w:val="zh-CN" w:eastAsia="zh-CN" w:bidi="zh-CN"/>
                    </w:rPr>
                  </w:pPr>
                  <w:r>
                    <w:rPr>
                      <w:rFonts w:hint="default" w:ascii="Times New Roman" w:hAnsi="Times New Roman" w:eastAsia="宋体" w:cs="Times New Roman"/>
                      <w:kern w:val="2"/>
                      <w:sz w:val="21"/>
                      <w:szCs w:val="21"/>
                      <w:lang w:val="zh-CN" w:eastAsia="zh-CN" w:bidi="zh-CN"/>
                    </w:rPr>
                    <w:t>进站道路自厂区规划道路引接（长约10m），大件设备运输利用园区道路及乌若高速，不新建站外道路</w:t>
                  </w:r>
                </w:p>
              </w:tc>
            </w:tr>
            <w:tr w14:paraId="79B60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rPr>
                <w:trHeight w:val="397" w:hRule="atLeast"/>
                <w:jc w:val="center"/>
              </w:trPr>
              <w:tc>
                <w:tcPr>
                  <w:tcW w:w="528" w:type="pct"/>
                  <w:vMerge w:val="continue"/>
                  <w:vAlign w:val="center"/>
                </w:tcPr>
                <w:p w14:paraId="1C553832">
                  <w:pPr>
                    <w:pStyle w:val="58"/>
                    <w:autoSpaceDE/>
                    <w:autoSpaceDN/>
                    <w:spacing w:before="0"/>
                    <w:jc w:val="center"/>
                    <w:rPr>
                      <w:rFonts w:hint="default" w:ascii="Times New Roman" w:hAnsi="Times New Roman" w:eastAsia="宋体" w:cs="Times New Roman"/>
                      <w:kern w:val="2"/>
                      <w:sz w:val="21"/>
                      <w:szCs w:val="21"/>
                      <w:lang w:eastAsia="en-US"/>
                    </w:rPr>
                  </w:pPr>
                </w:p>
              </w:tc>
              <w:tc>
                <w:tcPr>
                  <w:tcW w:w="1447" w:type="dxa"/>
                  <w:vAlign w:val="center"/>
                </w:tcPr>
                <w:p w14:paraId="22C729BE">
                  <w:pPr>
                    <w:pStyle w:val="40"/>
                    <w:keepNext w:val="0"/>
                    <w:keepLines w:val="0"/>
                    <w:widowControl/>
                    <w:suppressLineNumbers w:val="0"/>
                    <w:spacing w:before="20" w:beforeAutospacing="0" w:after="20" w:afterAutospacing="0"/>
                    <w:ind w:left="0" w:leftChars="0" w:right="0" w:rightChars="0"/>
                    <w:jc w:val="center"/>
                    <w:rPr>
                      <w:rFonts w:hint="default" w:ascii="Times New Roman" w:hAnsi="Times New Roman" w:eastAsia="宋体" w:cs="Times New Roman"/>
                      <w:kern w:val="2"/>
                      <w:sz w:val="21"/>
                      <w:szCs w:val="21"/>
                      <w:lang w:val="zh-CN" w:eastAsia="zh-CN" w:bidi="zh-CN"/>
                    </w:rPr>
                  </w:pPr>
                  <w:r>
                    <w:rPr>
                      <w:rFonts w:hint="default" w:ascii="Times New Roman" w:hAnsi="Times New Roman" w:eastAsia="宋体" w:cs="Times New Roman"/>
                      <w:kern w:val="2"/>
                      <w:sz w:val="21"/>
                      <w:szCs w:val="21"/>
                      <w:lang w:val="zh-CN" w:eastAsia="zh-CN" w:bidi="zh-CN"/>
                    </w:rPr>
                    <w:t>施工</w:t>
                  </w:r>
                </w:p>
              </w:tc>
              <w:tc>
                <w:tcPr>
                  <w:tcW w:w="5340" w:type="dxa"/>
                  <w:vAlign w:val="top"/>
                </w:tcPr>
                <w:p w14:paraId="60D122A3">
                  <w:pPr>
                    <w:pStyle w:val="40"/>
                    <w:keepNext w:val="0"/>
                    <w:keepLines w:val="0"/>
                    <w:widowControl/>
                    <w:suppressLineNumbers w:val="0"/>
                    <w:spacing w:before="20" w:beforeAutospacing="0" w:after="20" w:afterAutospacing="0"/>
                    <w:ind w:left="0" w:leftChars="0" w:right="0" w:rightChars="0"/>
                    <w:jc w:val="both"/>
                    <w:rPr>
                      <w:rFonts w:hint="default" w:ascii="Times New Roman" w:hAnsi="Times New Roman" w:eastAsia="宋体" w:cs="Times New Roman"/>
                      <w:kern w:val="2"/>
                      <w:sz w:val="21"/>
                      <w:szCs w:val="21"/>
                      <w:lang w:val="zh-CN" w:eastAsia="zh-CN" w:bidi="zh-CN"/>
                    </w:rPr>
                  </w:pPr>
                  <w:r>
                    <w:rPr>
                      <w:rFonts w:hint="default" w:ascii="Times New Roman" w:hAnsi="Times New Roman" w:eastAsia="宋体" w:cs="Times New Roman"/>
                      <w:kern w:val="2"/>
                      <w:sz w:val="21"/>
                      <w:szCs w:val="21"/>
                      <w:lang w:val="zh-CN" w:eastAsia="zh-CN" w:bidi="zh-CN"/>
                    </w:rPr>
                    <w:t>施工用电接入厂区施工电源，施工营地、办公生活设施依托产业园厂区既有设施，混凝土采用尉犁县城商品混凝土，施工区不设搅拌站、不设取弃土场</w:t>
                  </w:r>
                </w:p>
              </w:tc>
            </w:tr>
            <w:tr w14:paraId="2456D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rPr>
                <w:trHeight w:val="397" w:hRule="atLeast"/>
                <w:jc w:val="center"/>
              </w:trPr>
              <w:tc>
                <w:tcPr>
                  <w:tcW w:w="528" w:type="pct"/>
                  <w:vMerge w:val="continue"/>
                  <w:vAlign w:val="center"/>
                </w:tcPr>
                <w:p w14:paraId="0803CFFD">
                  <w:pPr>
                    <w:pStyle w:val="58"/>
                    <w:autoSpaceDE/>
                    <w:autoSpaceDN/>
                    <w:spacing w:before="0"/>
                    <w:jc w:val="center"/>
                    <w:rPr>
                      <w:rFonts w:hint="default" w:ascii="Times New Roman" w:hAnsi="Times New Roman" w:eastAsia="宋体" w:cs="Times New Roman"/>
                      <w:kern w:val="2"/>
                      <w:sz w:val="21"/>
                      <w:szCs w:val="21"/>
                      <w:lang w:eastAsia="en-US"/>
                    </w:rPr>
                  </w:pPr>
                </w:p>
              </w:tc>
              <w:tc>
                <w:tcPr>
                  <w:tcW w:w="1447" w:type="dxa"/>
                  <w:vAlign w:val="center"/>
                </w:tcPr>
                <w:p w14:paraId="6CB5434F">
                  <w:pPr>
                    <w:pStyle w:val="40"/>
                    <w:keepNext w:val="0"/>
                    <w:keepLines w:val="0"/>
                    <w:widowControl/>
                    <w:suppressLineNumbers w:val="0"/>
                    <w:spacing w:before="20" w:beforeAutospacing="0" w:after="20" w:afterAutospacing="0"/>
                    <w:ind w:left="0" w:leftChars="0" w:right="0" w:rightChars="0"/>
                    <w:jc w:val="center"/>
                    <w:rPr>
                      <w:rFonts w:hint="default" w:ascii="Times New Roman" w:hAnsi="Times New Roman" w:eastAsia="宋体" w:cs="Times New Roman"/>
                      <w:kern w:val="2"/>
                      <w:sz w:val="21"/>
                      <w:szCs w:val="21"/>
                      <w:lang w:val="zh-CN" w:eastAsia="zh-CN" w:bidi="zh-CN"/>
                    </w:rPr>
                  </w:pPr>
                  <w:r>
                    <w:rPr>
                      <w:rFonts w:hint="default" w:ascii="Times New Roman" w:hAnsi="Times New Roman" w:eastAsia="宋体" w:cs="Times New Roman"/>
                      <w:kern w:val="2"/>
                      <w:sz w:val="21"/>
                      <w:szCs w:val="21"/>
                      <w:lang w:val="zh-CN" w:eastAsia="zh-CN" w:bidi="zh-CN"/>
                    </w:rPr>
                    <w:t>固废处置</w:t>
                  </w:r>
                </w:p>
              </w:tc>
              <w:tc>
                <w:tcPr>
                  <w:tcW w:w="5340" w:type="dxa"/>
                  <w:vAlign w:val="top"/>
                </w:tcPr>
                <w:p w14:paraId="4C8E24DB">
                  <w:pPr>
                    <w:pStyle w:val="40"/>
                    <w:keepNext w:val="0"/>
                    <w:keepLines w:val="0"/>
                    <w:widowControl/>
                    <w:suppressLineNumbers w:val="0"/>
                    <w:spacing w:before="20" w:beforeAutospacing="0" w:after="20" w:afterAutospacing="0"/>
                    <w:ind w:left="0" w:leftChars="0" w:right="0" w:rightChars="0"/>
                    <w:jc w:val="both"/>
                    <w:rPr>
                      <w:rFonts w:hint="default" w:ascii="Times New Roman" w:hAnsi="Times New Roman" w:eastAsia="宋体" w:cs="Times New Roman"/>
                      <w:kern w:val="2"/>
                      <w:sz w:val="21"/>
                      <w:szCs w:val="21"/>
                      <w:lang w:val="zh-CN" w:eastAsia="zh-CN" w:bidi="zh-CN"/>
                    </w:rPr>
                  </w:pPr>
                  <w:r>
                    <w:rPr>
                      <w:rFonts w:hint="default" w:ascii="Times New Roman" w:hAnsi="Times New Roman" w:eastAsia="宋体" w:cs="Times New Roman"/>
                      <w:kern w:val="2"/>
                      <w:sz w:val="21"/>
                      <w:szCs w:val="21"/>
                      <w:lang w:val="zh-CN" w:eastAsia="zh-CN" w:bidi="zh-CN"/>
                    </w:rPr>
                    <w:t>生活垃圾依托当地环卫部门清运处置；废铅蓄电池、废变压器油、废润滑油等危险废物依托产业园（一期）厂区危险废物暂存间暂存，交有相应危险废物经营许可资质的单位处置</w:t>
                  </w:r>
                </w:p>
              </w:tc>
            </w:tr>
            <w:tr w14:paraId="5EFA9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rPr>
                <w:trHeight w:val="397" w:hRule="atLeast"/>
                <w:jc w:val="center"/>
              </w:trPr>
              <w:tc>
                <w:tcPr>
                  <w:tcW w:w="528" w:type="pct"/>
                  <w:vMerge w:val="continue"/>
                  <w:vAlign w:val="center"/>
                </w:tcPr>
                <w:p w14:paraId="5D2261BE">
                  <w:pPr>
                    <w:pStyle w:val="58"/>
                    <w:autoSpaceDE/>
                    <w:autoSpaceDN/>
                    <w:spacing w:before="0"/>
                    <w:jc w:val="center"/>
                    <w:rPr>
                      <w:rFonts w:hint="default" w:ascii="Times New Roman" w:hAnsi="Times New Roman" w:eastAsia="宋体" w:cs="Times New Roman"/>
                      <w:kern w:val="2"/>
                      <w:sz w:val="21"/>
                      <w:szCs w:val="21"/>
                      <w:lang w:eastAsia="en-US"/>
                    </w:rPr>
                  </w:pPr>
                </w:p>
              </w:tc>
              <w:tc>
                <w:tcPr>
                  <w:tcW w:w="1447" w:type="dxa"/>
                  <w:vAlign w:val="center"/>
                </w:tcPr>
                <w:p w14:paraId="54E5B832">
                  <w:pPr>
                    <w:pStyle w:val="40"/>
                    <w:keepNext w:val="0"/>
                    <w:keepLines w:val="0"/>
                    <w:widowControl/>
                    <w:suppressLineNumbers w:val="0"/>
                    <w:spacing w:before="20" w:beforeAutospacing="0" w:after="20" w:afterAutospacing="0"/>
                    <w:ind w:left="0" w:leftChars="0" w:right="0" w:rightChars="0"/>
                    <w:jc w:val="center"/>
                    <w:rPr>
                      <w:rFonts w:hint="default" w:ascii="Times New Roman" w:hAnsi="Times New Roman" w:eastAsia="宋体" w:cs="Times New Roman"/>
                      <w:kern w:val="2"/>
                      <w:sz w:val="21"/>
                      <w:szCs w:val="21"/>
                      <w:lang w:val="zh-CN" w:eastAsia="zh-CN" w:bidi="zh-CN"/>
                    </w:rPr>
                  </w:pPr>
                  <w:r>
                    <w:rPr>
                      <w:rFonts w:hint="default" w:ascii="Times New Roman" w:hAnsi="Times New Roman" w:eastAsia="宋体" w:cs="Times New Roman"/>
                      <w:kern w:val="2"/>
                      <w:sz w:val="21"/>
                      <w:szCs w:val="21"/>
                      <w:lang w:val="zh-CN" w:eastAsia="zh-CN" w:bidi="zh-CN"/>
                    </w:rPr>
                    <w:t>电源及送出</w:t>
                  </w:r>
                </w:p>
              </w:tc>
              <w:tc>
                <w:tcPr>
                  <w:tcW w:w="5340" w:type="dxa"/>
                  <w:vAlign w:val="top"/>
                </w:tcPr>
                <w:p w14:paraId="55517D05">
                  <w:pPr>
                    <w:pStyle w:val="40"/>
                    <w:keepNext w:val="0"/>
                    <w:keepLines w:val="0"/>
                    <w:widowControl/>
                    <w:suppressLineNumbers w:val="0"/>
                    <w:spacing w:before="20" w:beforeAutospacing="0" w:after="20" w:afterAutospacing="0"/>
                    <w:ind w:left="0" w:leftChars="0" w:right="0" w:rightChars="0"/>
                    <w:jc w:val="left"/>
                    <w:rPr>
                      <w:rFonts w:hint="default" w:ascii="Times New Roman" w:hAnsi="Times New Roman" w:eastAsia="宋体" w:cs="Times New Roman"/>
                      <w:kern w:val="2"/>
                      <w:sz w:val="21"/>
                      <w:szCs w:val="21"/>
                      <w:lang w:val="zh-CN" w:eastAsia="zh-CN" w:bidi="zh-CN"/>
                    </w:rPr>
                  </w:pPr>
                  <w:r>
                    <w:rPr>
                      <w:rFonts w:hint="default" w:ascii="Times New Roman" w:hAnsi="Times New Roman" w:eastAsia="宋体" w:cs="Times New Roman"/>
                      <w:kern w:val="2"/>
                      <w:sz w:val="21"/>
                      <w:szCs w:val="21"/>
                      <w:lang w:val="zh-CN" w:eastAsia="zh-CN" w:bidi="zh-CN"/>
                    </w:rPr>
                    <w:t>110kV电源依托公共电网，破口接入既有110kV尉针二线（电源侧为尉犁220kV变、针织园110kV变）；送出线路工程不在本次评价范围内，另行履行环评手续</w:t>
                  </w:r>
                </w:p>
              </w:tc>
            </w:tr>
            <w:bookmarkEnd w:id="34"/>
          </w:tbl>
          <w:p w14:paraId="18F84B42">
            <w:pPr>
              <w:pStyle w:val="67"/>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firstLine="480" w:firstLineChars="200"/>
              <w:textAlignment w:val="auto"/>
              <w:rPr>
                <w:rFonts w:hint="default" w:ascii="Times New Roman" w:hAnsi="Times New Roman" w:eastAsia="黑体" w:cs="Times New Roman"/>
                <w:sz w:val="24"/>
                <w:lang w:val="en-US" w:eastAsia="zh-CN"/>
              </w:rPr>
            </w:pPr>
            <w:r>
              <w:rPr>
                <w:rFonts w:hint="default" w:ascii="Times New Roman" w:hAnsi="Times New Roman" w:eastAsia="黑体" w:cs="Times New Roman"/>
                <w:sz w:val="24"/>
                <w:lang w:val="en-US" w:eastAsia="zh-CN"/>
              </w:rPr>
              <w:t>1.4 主要技术经济指标</w:t>
            </w:r>
          </w:p>
          <w:p w14:paraId="035A53B9">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cs="Times New Roman"/>
              </w:rPr>
            </w:pPr>
            <w:r>
              <w:rPr>
                <w:rFonts w:hint="default" w:ascii="Times New Roman" w:hAnsi="Times New Roman" w:eastAsia="宋体" w:cs="Times New Roman"/>
                <w:b w:val="0"/>
                <w:bCs w:val="0"/>
                <w:i w:val="0"/>
                <w:iCs w:val="0"/>
                <w:color w:val="000000"/>
                <w:spacing w:val="0"/>
                <w:w w:val="100"/>
                <w:sz w:val="24"/>
                <w:szCs w:val="24"/>
                <w:vertAlign w:val="baseline"/>
              </w:rPr>
              <w:t>本工程主要技术经济指标见表2-3。站区总用地面积0.9422hm</w:t>
            </w:r>
            <w:r>
              <w:rPr>
                <w:rFonts w:hint="default" w:ascii="Times New Roman" w:hAnsi="Times New Roman" w:eastAsia="宋体" w:cs="Times New Roman"/>
                <w:b w:val="0"/>
                <w:bCs w:val="0"/>
                <w:i w:val="0"/>
                <w:iCs w:val="0"/>
                <w:color w:val="000000"/>
                <w:spacing w:val="0"/>
                <w:w w:val="100"/>
                <w:sz w:val="24"/>
                <w:szCs w:val="24"/>
                <w:vertAlign w:val="superscript"/>
                <w:lang w:val="en-US" w:eastAsia="zh-CN"/>
              </w:rPr>
              <w:t>2</w:t>
            </w:r>
            <w:r>
              <w:rPr>
                <w:rFonts w:hint="default" w:ascii="Times New Roman" w:hAnsi="Times New Roman" w:eastAsia="宋体" w:cs="Times New Roman"/>
                <w:b w:val="0"/>
                <w:bCs w:val="0"/>
                <w:i w:val="0"/>
                <w:iCs w:val="0"/>
                <w:color w:val="000000"/>
                <w:spacing w:val="0"/>
                <w:w w:val="100"/>
                <w:sz w:val="24"/>
                <w:szCs w:val="24"/>
                <w:vertAlign w:val="baseline"/>
              </w:rPr>
              <w:t>（约14.13亩），其中围墙内用地0.3586hm</w:t>
            </w:r>
            <w:r>
              <w:rPr>
                <w:rFonts w:hint="default" w:ascii="Times New Roman" w:hAnsi="Times New Roman" w:eastAsia="宋体" w:cs="Times New Roman"/>
                <w:b w:val="0"/>
                <w:bCs w:val="0"/>
                <w:i w:val="0"/>
                <w:iCs w:val="0"/>
                <w:color w:val="000000"/>
                <w:spacing w:val="0"/>
                <w:w w:val="100"/>
                <w:sz w:val="24"/>
                <w:szCs w:val="24"/>
                <w:vertAlign w:val="superscript"/>
                <w:lang w:val="en-US" w:eastAsia="zh-CN"/>
              </w:rPr>
              <w:t>2</w:t>
            </w:r>
            <w:r>
              <w:rPr>
                <w:rFonts w:hint="default" w:ascii="Times New Roman" w:hAnsi="Times New Roman" w:eastAsia="宋体" w:cs="Times New Roman"/>
                <w:b w:val="0"/>
                <w:bCs w:val="0"/>
                <w:i w:val="0"/>
                <w:iCs w:val="0"/>
                <w:color w:val="000000"/>
                <w:spacing w:val="0"/>
                <w:w w:val="100"/>
                <w:sz w:val="24"/>
                <w:szCs w:val="24"/>
                <w:vertAlign w:val="baseline"/>
              </w:rPr>
              <w:t>，其他用地（进站道路、边坡及站外场地等）0.5836hm</w:t>
            </w:r>
            <w:r>
              <w:rPr>
                <w:rFonts w:hint="default" w:ascii="Times New Roman" w:hAnsi="Times New Roman" w:eastAsia="宋体" w:cs="Times New Roman"/>
                <w:b w:val="0"/>
                <w:bCs w:val="0"/>
                <w:i w:val="0"/>
                <w:iCs w:val="0"/>
                <w:color w:val="000000"/>
                <w:spacing w:val="0"/>
                <w:w w:val="100"/>
                <w:sz w:val="24"/>
                <w:szCs w:val="24"/>
                <w:vertAlign w:val="superscript"/>
                <w:lang w:val="en-US" w:eastAsia="zh-CN"/>
              </w:rPr>
              <w:t>2</w:t>
            </w:r>
            <w:r>
              <w:rPr>
                <w:rFonts w:hint="default" w:ascii="Times New Roman" w:hAnsi="Times New Roman" w:eastAsia="宋体" w:cs="Times New Roman"/>
                <w:b w:val="0"/>
                <w:bCs w:val="0"/>
                <w:i w:val="0"/>
                <w:iCs w:val="0"/>
                <w:color w:val="000000"/>
                <w:spacing w:val="0"/>
                <w:w w:val="100"/>
                <w:sz w:val="24"/>
                <w:szCs w:val="24"/>
                <w:vertAlign w:val="baseline"/>
              </w:rPr>
              <w:t>。站址为产业园厂区规划预留的电力设施用地，不涉及新增征地、拆迁及青苗补偿。</w:t>
            </w:r>
          </w:p>
          <w:p w14:paraId="37CB73D5">
            <w:pPr>
              <w:pStyle w:val="67"/>
              <w:numPr>
                <w:ilvl w:val="0"/>
                <w:numId w:val="0"/>
              </w:numPr>
              <w:tabs>
                <w:tab w:val="center" w:pos="2721"/>
              </w:tabs>
              <w:spacing w:line="480" w:lineRule="exact"/>
              <w:ind w:left="420" w:leftChars="0"/>
              <w:jc w:val="center"/>
              <w:rPr>
                <w:rFonts w:hint="default" w:ascii="Times New Roman" w:hAnsi="Times New Roman" w:eastAsia="黑体" w:cs="Times New Roman"/>
                <w:lang w:val="en-US" w:eastAsia="zh-CN"/>
              </w:rPr>
            </w:pPr>
            <w:r>
              <w:rPr>
                <w:rFonts w:hint="default" w:ascii="Times New Roman" w:hAnsi="Times New Roman" w:eastAsia="黑体" w:cs="Times New Roman"/>
                <w:lang w:val="en-US" w:eastAsia="zh-CN"/>
              </w:rPr>
              <w:t>表2-3 主要技术经济指标表</w:t>
            </w:r>
          </w:p>
          <w:tbl>
            <w:tblPr>
              <w:tblStyle w:val="43"/>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736"/>
              <w:gridCol w:w="2459"/>
              <w:gridCol w:w="870"/>
              <w:gridCol w:w="1276"/>
              <w:gridCol w:w="2484"/>
            </w:tblGrid>
            <w:tr w14:paraId="26F8D0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jc w:val="center"/>
              </w:trPr>
              <w:tc>
                <w:tcPr>
                  <w:tcW w:w="794"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1F69BC27">
                  <w:pPr>
                    <w:pStyle w:val="40"/>
                    <w:keepNext w:val="0"/>
                    <w:keepLines w:val="0"/>
                    <w:widowControl/>
                    <w:suppressLineNumbers w:val="0"/>
                    <w:spacing w:before="20" w:beforeAutospacing="0" w:after="20" w:afterAutospacing="0"/>
                    <w:ind w:left="0" w:right="0"/>
                    <w:jc w:val="center"/>
                    <w:rPr>
                      <w:rFonts w:hint="default" w:ascii="Times New Roman" w:hAnsi="Times New Roman" w:eastAsia="宋体" w:cs="Times New Roman"/>
                      <w:sz w:val="21"/>
                      <w:szCs w:val="21"/>
                    </w:rPr>
                  </w:pPr>
                  <w:r>
                    <w:rPr>
                      <w:rFonts w:hint="default" w:ascii="Times New Roman" w:hAnsi="Times New Roman" w:eastAsia="宋体" w:cs="Times New Roman"/>
                      <w:b/>
                      <w:bCs/>
                      <w:i w:val="0"/>
                      <w:iCs w:val="0"/>
                      <w:color w:val="000000"/>
                      <w:spacing w:val="0"/>
                      <w:w w:val="100"/>
                      <w:sz w:val="21"/>
                      <w:szCs w:val="21"/>
                      <w:vertAlign w:val="baseline"/>
                    </w:rPr>
                    <w:t>序号</w:t>
                  </w:r>
                </w:p>
              </w:tc>
              <w:tc>
                <w:tcPr>
                  <w:tcW w:w="283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0D8516BF">
                  <w:pPr>
                    <w:pStyle w:val="40"/>
                    <w:keepNext w:val="0"/>
                    <w:keepLines w:val="0"/>
                    <w:widowControl/>
                    <w:suppressLineNumbers w:val="0"/>
                    <w:spacing w:before="20" w:beforeAutospacing="0" w:after="20" w:afterAutospacing="0"/>
                    <w:ind w:left="0" w:right="0"/>
                    <w:jc w:val="center"/>
                    <w:rPr>
                      <w:rFonts w:hint="default" w:ascii="Times New Roman" w:hAnsi="Times New Roman" w:eastAsia="宋体" w:cs="Times New Roman"/>
                      <w:sz w:val="21"/>
                      <w:szCs w:val="21"/>
                    </w:rPr>
                  </w:pPr>
                  <w:r>
                    <w:rPr>
                      <w:rFonts w:hint="default" w:ascii="Times New Roman" w:hAnsi="Times New Roman" w:eastAsia="宋体" w:cs="Times New Roman"/>
                      <w:b/>
                      <w:bCs/>
                      <w:i w:val="0"/>
                      <w:iCs w:val="0"/>
                      <w:color w:val="000000"/>
                      <w:spacing w:val="0"/>
                      <w:w w:val="100"/>
                      <w:sz w:val="21"/>
                      <w:szCs w:val="21"/>
                      <w:vertAlign w:val="baseline"/>
                    </w:rPr>
                    <w:t>指标名称</w:t>
                  </w:r>
                </w:p>
              </w:tc>
              <w:tc>
                <w:tcPr>
                  <w:tcW w:w="90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35FC2AE9">
                  <w:pPr>
                    <w:pStyle w:val="40"/>
                    <w:keepNext w:val="0"/>
                    <w:keepLines w:val="0"/>
                    <w:widowControl/>
                    <w:suppressLineNumbers w:val="0"/>
                    <w:spacing w:before="20" w:beforeAutospacing="0" w:after="20" w:afterAutospacing="0"/>
                    <w:ind w:left="0" w:right="0"/>
                    <w:jc w:val="center"/>
                    <w:rPr>
                      <w:rFonts w:hint="default" w:ascii="Times New Roman" w:hAnsi="Times New Roman" w:eastAsia="宋体" w:cs="Times New Roman"/>
                      <w:sz w:val="21"/>
                      <w:szCs w:val="21"/>
                    </w:rPr>
                  </w:pPr>
                  <w:r>
                    <w:rPr>
                      <w:rFonts w:hint="default" w:ascii="Times New Roman" w:hAnsi="Times New Roman" w:eastAsia="宋体" w:cs="Times New Roman"/>
                      <w:b/>
                      <w:bCs/>
                      <w:i w:val="0"/>
                      <w:iCs w:val="0"/>
                      <w:color w:val="000000"/>
                      <w:spacing w:val="0"/>
                      <w:w w:val="100"/>
                      <w:sz w:val="21"/>
                      <w:szCs w:val="21"/>
                      <w:vertAlign w:val="baseline"/>
                    </w:rPr>
                    <w:t>单位</w:t>
                  </w:r>
                </w:p>
              </w:tc>
              <w:tc>
                <w:tcPr>
                  <w:tcW w:w="136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42D692E8">
                  <w:pPr>
                    <w:pStyle w:val="40"/>
                    <w:keepNext w:val="0"/>
                    <w:keepLines w:val="0"/>
                    <w:widowControl/>
                    <w:suppressLineNumbers w:val="0"/>
                    <w:spacing w:before="20" w:beforeAutospacing="0" w:after="20" w:afterAutospacing="0"/>
                    <w:ind w:left="0" w:right="0"/>
                    <w:jc w:val="center"/>
                    <w:rPr>
                      <w:rFonts w:hint="default" w:ascii="Times New Roman" w:hAnsi="Times New Roman" w:eastAsia="宋体" w:cs="Times New Roman"/>
                      <w:sz w:val="21"/>
                      <w:szCs w:val="21"/>
                    </w:rPr>
                  </w:pPr>
                  <w:r>
                    <w:rPr>
                      <w:rFonts w:hint="default" w:ascii="Times New Roman" w:hAnsi="Times New Roman" w:eastAsia="宋体" w:cs="Times New Roman"/>
                      <w:b/>
                      <w:bCs/>
                      <w:i w:val="0"/>
                      <w:iCs w:val="0"/>
                      <w:color w:val="000000"/>
                      <w:spacing w:val="0"/>
                      <w:w w:val="100"/>
                      <w:sz w:val="21"/>
                      <w:szCs w:val="21"/>
                      <w:vertAlign w:val="baseline"/>
                    </w:rPr>
                    <w:t>数量</w:t>
                  </w:r>
                </w:p>
              </w:tc>
              <w:tc>
                <w:tcPr>
                  <w:tcW w:w="272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6E685118">
                  <w:pPr>
                    <w:pStyle w:val="40"/>
                    <w:keepNext w:val="0"/>
                    <w:keepLines w:val="0"/>
                    <w:widowControl/>
                    <w:suppressLineNumbers w:val="0"/>
                    <w:spacing w:before="20" w:beforeAutospacing="0" w:after="20" w:afterAutospacing="0"/>
                    <w:ind w:left="0" w:right="0"/>
                    <w:jc w:val="center"/>
                    <w:rPr>
                      <w:rFonts w:hint="default" w:ascii="Times New Roman" w:hAnsi="Times New Roman" w:eastAsia="宋体" w:cs="Times New Roman"/>
                      <w:sz w:val="21"/>
                      <w:szCs w:val="21"/>
                    </w:rPr>
                  </w:pPr>
                  <w:r>
                    <w:rPr>
                      <w:rFonts w:hint="default" w:ascii="Times New Roman" w:hAnsi="Times New Roman" w:eastAsia="宋体" w:cs="Times New Roman"/>
                      <w:b/>
                      <w:bCs/>
                      <w:i w:val="0"/>
                      <w:iCs w:val="0"/>
                      <w:color w:val="000000"/>
                      <w:spacing w:val="0"/>
                      <w:w w:val="100"/>
                      <w:sz w:val="21"/>
                      <w:szCs w:val="21"/>
                      <w:vertAlign w:val="baseline"/>
                    </w:rPr>
                    <w:t>备注</w:t>
                  </w:r>
                </w:p>
              </w:tc>
            </w:tr>
            <w:tr w14:paraId="198550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jc w:val="center"/>
              </w:trPr>
              <w:tc>
                <w:tcPr>
                  <w:tcW w:w="794"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5CB6EDDD">
                  <w:pPr>
                    <w:pStyle w:val="40"/>
                    <w:keepNext w:val="0"/>
                    <w:keepLines w:val="0"/>
                    <w:widowControl/>
                    <w:suppressLineNumbers w:val="0"/>
                    <w:spacing w:before="20" w:beforeAutospacing="0" w:after="20" w:afterAutospacing="0"/>
                    <w:ind w:left="0" w:right="0"/>
                    <w:jc w:val="center"/>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1</w:t>
                  </w:r>
                </w:p>
              </w:tc>
              <w:tc>
                <w:tcPr>
                  <w:tcW w:w="283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4A0C4D88">
                  <w:pPr>
                    <w:pStyle w:val="40"/>
                    <w:keepNext w:val="0"/>
                    <w:keepLines w:val="0"/>
                    <w:widowControl/>
                    <w:suppressLineNumbers w:val="0"/>
                    <w:spacing w:before="20" w:beforeAutospacing="0" w:after="20" w:afterAutospacing="0"/>
                    <w:ind w:left="0" w:right="0"/>
                    <w:jc w:val="center"/>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站区总用地面积</w:t>
                  </w:r>
                </w:p>
              </w:tc>
              <w:tc>
                <w:tcPr>
                  <w:tcW w:w="90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0C13879C">
                  <w:pPr>
                    <w:pStyle w:val="40"/>
                    <w:keepNext w:val="0"/>
                    <w:keepLines w:val="0"/>
                    <w:widowControl/>
                    <w:suppressLineNumbers w:val="0"/>
                    <w:spacing w:before="20" w:beforeAutospacing="0" w:after="20" w:afterAutospacing="0"/>
                    <w:ind w:left="0" w:right="0"/>
                    <w:jc w:val="center"/>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hm²</w:t>
                  </w:r>
                </w:p>
              </w:tc>
              <w:tc>
                <w:tcPr>
                  <w:tcW w:w="136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5D129D16">
                  <w:pPr>
                    <w:pStyle w:val="40"/>
                    <w:keepNext w:val="0"/>
                    <w:keepLines w:val="0"/>
                    <w:widowControl/>
                    <w:suppressLineNumbers w:val="0"/>
                    <w:spacing w:before="20" w:beforeAutospacing="0" w:after="20" w:afterAutospacing="0"/>
                    <w:ind w:left="0" w:right="0"/>
                    <w:jc w:val="center"/>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0.9422</w:t>
                  </w:r>
                </w:p>
              </w:tc>
              <w:tc>
                <w:tcPr>
                  <w:tcW w:w="272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17FE4099">
                  <w:pPr>
                    <w:pStyle w:val="40"/>
                    <w:keepNext w:val="0"/>
                    <w:keepLines w:val="0"/>
                    <w:widowControl/>
                    <w:suppressLineNumbers w:val="0"/>
                    <w:spacing w:before="20" w:beforeAutospacing="0" w:after="20" w:afterAutospacing="0"/>
                    <w:ind w:left="0" w:right="0"/>
                    <w:jc w:val="center"/>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约14.13亩</w:t>
                  </w:r>
                </w:p>
              </w:tc>
            </w:tr>
            <w:tr w14:paraId="39F2E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jc w:val="center"/>
              </w:trPr>
              <w:tc>
                <w:tcPr>
                  <w:tcW w:w="794"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3D724D44">
                  <w:pPr>
                    <w:pStyle w:val="40"/>
                    <w:keepNext w:val="0"/>
                    <w:keepLines w:val="0"/>
                    <w:widowControl/>
                    <w:suppressLineNumbers w:val="0"/>
                    <w:spacing w:before="20" w:beforeAutospacing="0" w:after="20" w:afterAutospacing="0"/>
                    <w:ind w:left="0" w:right="0"/>
                    <w:jc w:val="center"/>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1.1</w:t>
                  </w:r>
                </w:p>
              </w:tc>
              <w:tc>
                <w:tcPr>
                  <w:tcW w:w="283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3F2FD9D5">
                  <w:pPr>
                    <w:pStyle w:val="40"/>
                    <w:keepNext w:val="0"/>
                    <w:keepLines w:val="0"/>
                    <w:widowControl/>
                    <w:suppressLineNumbers w:val="0"/>
                    <w:spacing w:before="20" w:beforeAutospacing="0" w:after="20" w:afterAutospacing="0"/>
                    <w:ind w:left="0" w:right="0"/>
                    <w:jc w:val="center"/>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围墙内用地面积</w:t>
                  </w:r>
                </w:p>
              </w:tc>
              <w:tc>
                <w:tcPr>
                  <w:tcW w:w="90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24D3C1D9">
                  <w:pPr>
                    <w:pStyle w:val="40"/>
                    <w:keepNext w:val="0"/>
                    <w:keepLines w:val="0"/>
                    <w:widowControl/>
                    <w:suppressLineNumbers w:val="0"/>
                    <w:spacing w:before="20" w:beforeAutospacing="0" w:after="20" w:afterAutospacing="0"/>
                    <w:ind w:left="0" w:right="0"/>
                    <w:jc w:val="center"/>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hm²</w:t>
                  </w:r>
                </w:p>
              </w:tc>
              <w:tc>
                <w:tcPr>
                  <w:tcW w:w="136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18858AE3">
                  <w:pPr>
                    <w:pStyle w:val="40"/>
                    <w:keepNext w:val="0"/>
                    <w:keepLines w:val="0"/>
                    <w:widowControl/>
                    <w:suppressLineNumbers w:val="0"/>
                    <w:spacing w:before="20" w:beforeAutospacing="0" w:after="20" w:afterAutospacing="0"/>
                    <w:ind w:left="0" w:right="0"/>
                    <w:jc w:val="center"/>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0.3586</w:t>
                  </w:r>
                </w:p>
              </w:tc>
              <w:tc>
                <w:tcPr>
                  <w:tcW w:w="272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6A5DEDDD">
                  <w:pPr>
                    <w:pStyle w:val="40"/>
                    <w:keepNext w:val="0"/>
                    <w:keepLines w:val="0"/>
                    <w:widowControl/>
                    <w:suppressLineNumbers w:val="0"/>
                    <w:spacing w:before="20" w:beforeAutospacing="0" w:after="20" w:afterAutospacing="0"/>
                    <w:ind w:left="0" w:right="0"/>
                    <w:jc w:val="center"/>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围墙轴线尺寸81.5m×44m</w:t>
                  </w:r>
                </w:p>
              </w:tc>
            </w:tr>
            <w:tr w14:paraId="7C3C15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jc w:val="center"/>
              </w:trPr>
              <w:tc>
                <w:tcPr>
                  <w:tcW w:w="794"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3B37BDB5">
                  <w:pPr>
                    <w:pStyle w:val="40"/>
                    <w:keepNext w:val="0"/>
                    <w:keepLines w:val="0"/>
                    <w:widowControl/>
                    <w:suppressLineNumbers w:val="0"/>
                    <w:spacing w:before="20" w:beforeAutospacing="0" w:after="20" w:afterAutospacing="0"/>
                    <w:ind w:left="0" w:right="0"/>
                    <w:jc w:val="center"/>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1.2</w:t>
                  </w:r>
                </w:p>
              </w:tc>
              <w:tc>
                <w:tcPr>
                  <w:tcW w:w="283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7E9EB6CE">
                  <w:pPr>
                    <w:pStyle w:val="40"/>
                    <w:keepNext w:val="0"/>
                    <w:keepLines w:val="0"/>
                    <w:widowControl/>
                    <w:suppressLineNumbers w:val="0"/>
                    <w:spacing w:before="20" w:beforeAutospacing="0" w:after="20" w:afterAutospacing="0"/>
                    <w:ind w:left="0" w:right="0"/>
                    <w:jc w:val="center"/>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其他用地面积</w:t>
                  </w:r>
                </w:p>
              </w:tc>
              <w:tc>
                <w:tcPr>
                  <w:tcW w:w="90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608A2D7B">
                  <w:pPr>
                    <w:pStyle w:val="40"/>
                    <w:keepNext w:val="0"/>
                    <w:keepLines w:val="0"/>
                    <w:widowControl/>
                    <w:suppressLineNumbers w:val="0"/>
                    <w:spacing w:before="20" w:beforeAutospacing="0" w:after="20" w:afterAutospacing="0"/>
                    <w:ind w:left="0" w:right="0"/>
                    <w:jc w:val="center"/>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hm²</w:t>
                  </w:r>
                </w:p>
              </w:tc>
              <w:tc>
                <w:tcPr>
                  <w:tcW w:w="136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66CB4974">
                  <w:pPr>
                    <w:pStyle w:val="40"/>
                    <w:keepNext w:val="0"/>
                    <w:keepLines w:val="0"/>
                    <w:widowControl/>
                    <w:suppressLineNumbers w:val="0"/>
                    <w:spacing w:before="20" w:beforeAutospacing="0" w:after="20" w:afterAutospacing="0"/>
                    <w:ind w:left="0" w:right="0"/>
                    <w:jc w:val="center"/>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0.5836</w:t>
                  </w:r>
                </w:p>
              </w:tc>
              <w:tc>
                <w:tcPr>
                  <w:tcW w:w="272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0EF398FD">
                  <w:pPr>
                    <w:pStyle w:val="40"/>
                    <w:keepNext w:val="0"/>
                    <w:keepLines w:val="0"/>
                    <w:widowControl/>
                    <w:suppressLineNumbers w:val="0"/>
                    <w:spacing w:before="20" w:beforeAutospacing="0" w:after="20" w:afterAutospacing="0"/>
                    <w:ind w:left="0" w:right="0"/>
                    <w:jc w:val="center"/>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含进站道路及站外场地</w:t>
                  </w:r>
                </w:p>
              </w:tc>
            </w:tr>
            <w:tr w14:paraId="65BC90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jc w:val="center"/>
              </w:trPr>
              <w:tc>
                <w:tcPr>
                  <w:tcW w:w="794"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52459E83">
                  <w:pPr>
                    <w:pStyle w:val="40"/>
                    <w:keepNext w:val="0"/>
                    <w:keepLines w:val="0"/>
                    <w:widowControl/>
                    <w:suppressLineNumbers w:val="0"/>
                    <w:spacing w:before="20" w:beforeAutospacing="0" w:after="20" w:afterAutospacing="0"/>
                    <w:ind w:left="0" w:right="0"/>
                    <w:jc w:val="center"/>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2</w:t>
                  </w:r>
                </w:p>
              </w:tc>
              <w:tc>
                <w:tcPr>
                  <w:tcW w:w="283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29D0772D">
                  <w:pPr>
                    <w:pStyle w:val="40"/>
                    <w:keepNext w:val="0"/>
                    <w:keepLines w:val="0"/>
                    <w:widowControl/>
                    <w:suppressLineNumbers w:val="0"/>
                    <w:spacing w:before="20" w:beforeAutospacing="0" w:after="20" w:afterAutospacing="0"/>
                    <w:ind w:left="0" w:right="0"/>
                    <w:jc w:val="center"/>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围墙长度</w:t>
                  </w:r>
                </w:p>
              </w:tc>
              <w:tc>
                <w:tcPr>
                  <w:tcW w:w="90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0D5931D0">
                  <w:pPr>
                    <w:pStyle w:val="40"/>
                    <w:keepNext w:val="0"/>
                    <w:keepLines w:val="0"/>
                    <w:widowControl/>
                    <w:suppressLineNumbers w:val="0"/>
                    <w:spacing w:before="20" w:beforeAutospacing="0" w:after="20" w:afterAutospacing="0"/>
                    <w:ind w:left="0" w:right="0"/>
                    <w:jc w:val="center"/>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m</w:t>
                  </w:r>
                </w:p>
              </w:tc>
              <w:tc>
                <w:tcPr>
                  <w:tcW w:w="136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6EC2BF39">
                  <w:pPr>
                    <w:pStyle w:val="40"/>
                    <w:keepNext w:val="0"/>
                    <w:keepLines w:val="0"/>
                    <w:widowControl/>
                    <w:suppressLineNumbers w:val="0"/>
                    <w:spacing w:before="20" w:beforeAutospacing="0" w:after="20" w:afterAutospacing="0"/>
                    <w:ind w:left="0" w:right="0"/>
                    <w:jc w:val="center"/>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251</w:t>
                  </w:r>
                </w:p>
              </w:tc>
              <w:tc>
                <w:tcPr>
                  <w:tcW w:w="272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05351637">
                  <w:pPr>
                    <w:pStyle w:val="40"/>
                    <w:keepNext w:val="0"/>
                    <w:keepLines w:val="0"/>
                    <w:widowControl/>
                    <w:suppressLineNumbers w:val="0"/>
                    <w:spacing w:before="20" w:beforeAutospacing="0" w:after="20" w:afterAutospacing="0"/>
                    <w:ind w:left="0" w:right="0"/>
                    <w:jc w:val="center"/>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含大门</w:t>
                  </w:r>
                </w:p>
              </w:tc>
            </w:tr>
            <w:tr w14:paraId="4E0924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jc w:val="center"/>
              </w:trPr>
              <w:tc>
                <w:tcPr>
                  <w:tcW w:w="794"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3E21DD87">
                  <w:pPr>
                    <w:pStyle w:val="40"/>
                    <w:keepNext w:val="0"/>
                    <w:keepLines w:val="0"/>
                    <w:widowControl/>
                    <w:suppressLineNumbers w:val="0"/>
                    <w:spacing w:before="20" w:beforeAutospacing="0" w:after="20" w:afterAutospacing="0"/>
                    <w:ind w:left="0" w:right="0"/>
                    <w:jc w:val="center"/>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3</w:t>
                  </w:r>
                </w:p>
              </w:tc>
              <w:tc>
                <w:tcPr>
                  <w:tcW w:w="283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78A4F5F1">
                  <w:pPr>
                    <w:pStyle w:val="40"/>
                    <w:keepNext w:val="0"/>
                    <w:keepLines w:val="0"/>
                    <w:widowControl/>
                    <w:suppressLineNumbers w:val="0"/>
                    <w:spacing w:before="20" w:beforeAutospacing="0" w:after="20" w:afterAutospacing="0"/>
                    <w:ind w:left="0" w:right="0"/>
                    <w:jc w:val="center"/>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站区总建筑面积</w:t>
                  </w:r>
                </w:p>
              </w:tc>
              <w:tc>
                <w:tcPr>
                  <w:tcW w:w="90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0F638064">
                  <w:pPr>
                    <w:pStyle w:val="40"/>
                    <w:keepNext w:val="0"/>
                    <w:keepLines w:val="0"/>
                    <w:widowControl/>
                    <w:suppressLineNumbers w:val="0"/>
                    <w:spacing w:before="20" w:beforeAutospacing="0" w:after="20" w:afterAutospacing="0"/>
                    <w:ind w:left="0" w:right="0"/>
                    <w:jc w:val="center"/>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m²</w:t>
                  </w:r>
                </w:p>
              </w:tc>
              <w:tc>
                <w:tcPr>
                  <w:tcW w:w="136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28105090">
                  <w:pPr>
                    <w:pStyle w:val="40"/>
                    <w:keepNext w:val="0"/>
                    <w:keepLines w:val="0"/>
                    <w:widowControl/>
                    <w:suppressLineNumbers w:val="0"/>
                    <w:spacing w:before="20" w:beforeAutospacing="0" w:after="20" w:afterAutospacing="0"/>
                    <w:ind w:left="0" w:right="0"/>
                    <w:jc w:val="center"/>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1681.72</w:t>
                  </w:r>
                </w:p>
              </w:tc>
              <w:tc>
                <w:tcPr>
                  <w:tcW w:w="272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1D0D3A28">
                  <w:pPr>
                    <w:pStyle w:val="40"/>
                    <w:keepNext w:val="0"/>
                    <w:keepLines w:val="0"/>
                    <w:widowControl/>
                    <w:suppressLineNumbers w:val="0"/>
                    <w:spacing w:before="20" w:beforeAutospacing="0" w:after="20" w:afterAutospacing="0"/>
                    <w:ind w:left="0" w:right="0"/>
                    <w:jc w:val="center"/>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综合配电装置楼1栋（2层）</w:t>
                  </w:r>
                </w:p>
              </w:tc>
            </w:tr>
            <w:tr w14:paraId="157AD9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jc w:val="center"/>
              </w:trPr>
              <w:tc>
                <w:tcPr>
                  <w:tcW w:w="794"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03B167B5">
                  <w:pPr>
                    <w:pStyle w:val="40"/>
                    <w:keepNext w:val="0"/>
                    <w:keepLines w:val="0"/>
                    <w:widowControl/>
                    <w:suppressLineNumbers w:val="0"/>
                    <w:spacing w:before="20" w:beforeAutospacing="0" w:after="20" w:afterAutospacing="0"/>
                    <w:ind w:left="0" w:right="0"/>
                    <w:jc w:val="center"/>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4</w:t>
                  </w:r>
                </w:p>
              </w:tc>
              <w:tc>
                <w:tcPr>
                  <w:tcW w:w="283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5B56CC15">
                  <w:pPr>
                    <w:pStyle w:val="40"/>
                    <w:keepNext w:val="0"/>
                    <w:keepLines w:val="0"/>
                    <w:widowControl/>
                    <w:suppressLineNumbers w:val="0"/>
                    <w:spacing w:before="20" w:beforeAutospacing="0" w:after="20" w:afterAutospacing="0"/>
                    <w:ind w:left="0" w:right="0"/>
                    <w:jc w:val="center"/>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站内道路面积</w:t>
                  </w:r>
                </w:p>
              </w:tc>
              <w:tc>
                <w:tcPr>
                  <w:tcW w:w="90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55F6159F">
                  <w:pPr>
                    <w:pStyle w:val="40"/>
                    <w:keepNext w:val="0"/>
                    <w:keepLines w:val="0"/>
                    <w:widowControl/>
                    <w:suppressLineNumbers w:val="0"/>
                    <w:spacing w:before="20" w:beforeAutospacing="0" w:after="20" w:afterAutospacing="0"/>
                    <w:ind w:left="0" w:right="0"/>
                    <w:jc w:val="center"/>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m²</w:t>
                  </w:r>
                </w:p>
              </w:tc>
              <w:tc>
                <w:tcPr>
                  <w:tcW w:w="136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6B749466">
                  <w:pPr>
                    <w:pStyle w:val="40"/>
                    <w:keepNext w:val="0"/>
                    <w:keepLines w:val="0"/>
                    <w:widowControl/>
                    <w:suppressLineNumbers w:val="0"/>
                    <w:spacing w:before="20" w:beforeAutospacing="0" w:after="20" w:afterAutospacing="0"/>
                    <w:ind w:left="0" w:right="0"/>
                    <w:jc w:val="center"/>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910</w:t>
                  </w:r>
                </w:p>
              </w:tc>
              <w:tc>
                <w:tcPr>
                  <w:tcW w:w="272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14DA05B0">
                  <w:pPr>
                    <w:pStyle w:val="40"/>
                    <w:keepNext w:val="0"/>
                    <w:keepLines w:val="0"/>
                    <w:widowControl/>
                    <w:suppressLineNumbers w:val="0"/>
                    <w:spacing w:before="20" w:beforeAutospacing="0" w:after="20" w:afterAutospacing="0"/>
                    <w:ind w:left="0" w:right="0"/>
                    <w:jc w:val="center"/>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C30混凝土，宽4.0m</w:t>
                  </w:r>
                </w:p>
              </w:tc>
            </w:tr>
            <w:tr w14:paraId="6E2F51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jc w:val="center"/>
              </w:trPr>
              <w:tc>
                <w:tcPr>
                  <w:tcW w:w="794"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2CCFE62F">
                  <w:pPr>
                    <w:pStyle w:val="40"/>
                    <w:keepNext w:val="0"/>
                    <w:keepLines w:val="0"/>
                    <w:widowControl/>
                    <w:suppressLineNumbers w:val="0"/>
                    <w:spacing w:before="20" w:beforeAutospacing="0" w:after="20" w:afterAutospacing="0"/>
                    <w:ind w:left="0" w:right="0"/>
                    <w:jc w:val="center"/>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5</w:t>
                  </w:r>
                </w:p>
              </w:tc>
              <w:tc>
                <w:tcPr>
                  <w:tcW w:w="283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3B2E526E">
                  <w:pPr>
                    <w:pStyle w:val="40"/>
                    <w:keepNext w:val="0"/>
                    <w:keepLines w:val="0"/>
                    <w:widowControl/>
                    <w:suppressLineNumbers w:val="0"/>
                    <w:spacing w:before="20" w:beforeAutospacing="0" w:after="20" w:afterAutospacing="0"/>
                    <w:ind w:left="0" w:right="0"/>
                    <w:jc w:val="center"/>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碎石地面</w:t>
                  </w:r>
                </w:p>
              </w:tc>
              <w:tc>
                <w:tcPr>
                  <w:tcW w:w="90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530C6BF9">
                  <w:pPr>
                    <w:pStyle w:val="40"/>
                    <w:keepNext w:val="0"/>
                    <w:keepLines w:val="0"/>
                    <w:widowControl/>
                    <w:suppressLineNumbers w:val="0"/>
                    <w:spacing w:before="20" w:beforeAutospacing="0" w:after="20" w:afterAutospacing="0"/>
                    <w:ind w:left="0" w:right="0"/>
                    <w:jc w:val="center"/>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m²</w:t>
                  </w:r>
                </w:p>
              </w:tc>
              <w:tc>
                <w:tcPr>
                  <w:tcW w:w="136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7B360F7C">
                  <w:pPr>
                    <w:pStyle w:val="40"/>
                    <w:keepNext w:val="0"/>
                    <w:keepLines w:val="0"/>
                    <w:widowControl/>
                    <w:suppressLineNumbers w:val="0"/>
                    <w:spacing w:before="20" w:beforeAutospacing="0" w:after="20" w:afterAutospacing="0"/>
                    <w:ind w:left="0" w:right="0"/>
                    <w:jc w:val="center"/>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1270</w:t>
                  </w:r>
                </w:p>
              </w:tc>
              <w:tc>
                <w:tcPr>
                  <w:tcW w:w="272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7FDF96BC">
                  <w:pPr>
                    <w:pStyle w:val="40"/>
                    <w:keepNext w:val="0"/>
                    <w:keepLines w:val="0"/>
                    <w:widowControl/>
                    <w:suppressLineNumbers w:val="0"/>
                    <w:spacing w:before="20" w:beforeAutospacing="0" w:after="20" w:afterAutospacing="0"/>
                    <w:ind w:left="0" w:right="0"/>
                    <w:jc w:val="center"/>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100mm厚碎石</w:t>
                  </w:r>
                </w:p>
              </w:tc>
            </w:tr>
            <w:tr w14:paraId="5F1F11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jc w:val="center"/>
              </w:trPr>
              <w:tc>
                <w:tcPr>
                  <w:tcW w:w="794"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30F6376C">
                  <w:pPr>
                    <w:pStyle w:val="40"/>
                    <w:keepNext w:val="0"/>
                    <w:keepLines w:val="0"/>
                    <w:widowControl/>
                    <w:suppressLineNumbers w:val="0"/>
                    <w:spacing w:before="20" w:beforeAutospacing="0" w:after="20" w:afterAutospacing="0"/>
                    <w:ind w:left="0" w:right="0"/>
                    <w:jc w:val="center"/>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6</w:t>
                  </w:r>
                </w:p>
              </w:tc>
              <w:tc>
                <w:tcPr>
                  <w:tcW w:w="283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04D21A22">
                  <w:pPr>
                    <w:pStyle w:val="40"/>
                    <w:keepNext w:val="0"/>
                    <w:keepLines w:val="0"/>
                    <w:widowControl/>
                    <w:suppressLineNumbers w:val="0"/>
                    <w:spacing w:before="20" w:beforeAutospacing="0" w:after="20" w:afterAutospacing="0"/>
                    <w:ind w:left="0" w:right="0"/>
                    <w:jc w:val="center"/>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绝缘操作地坪（广场花砖）</w:t>
                  </w:r>
                </w:p>
              </w:tc>
              <w:tc>
                <w:tcPr>
                  <w:tcW w:w="90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75068124">
                  <w:pPr>
                    <w:pStyle w:val="40"/>
                    <w:keepNext w:val="0"/>
                    <w:keepLines w:val="0"/>
                    <w:widowControl/>
                    <w:suppressLineNumbers w:val="0"/>
                    <w:spacing w:before="20" w:beforeAutospacing="0" w:after="20" w:afterAutospacing="0"/>
                    <w:ind w:left="0" w:right="0"/>
                    <w:jc w:val="center"/>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m²</w:t>
                  </w:r>
                </w:p>
              </w:tc>
              <w:tc>
                <w:tcPr>
                  <w:tcW w:w="136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4561796D">
                  <w:pPr>
                    <w:pStyle w:val="40"/>
                    <w:keepNext w:val="0"/>
                    <w:keepLines w:val="0"/>
                    <w:widowControl/>
                    <w:suppressLineNumbers w:val="0"/>
                    <w:spacing w:before="20" w:beforeAutospacing="0" w:after="20" w:afterAutospacing="0"/>
                    <w:ind w:left="0" w:right="0"/>
                    <w:jc w:val="center"/>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150</w:t>
                  </w:r>
                </w:p>
              </w:tc>
              <w:tc>
                <w:tcPr>
                  <w:tcW w:w="272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746FF32A">
                  <w:pPr>
                    <w:pStyle w:val="40"/>
                    <w:keepNext w:val="0"/>
                    <w:keepLines w:val="0"/>
                    <w:widowControl/>
                    <w:suppressLineNumbers w:val="0"/>
                    <w:spacing w:before="20" w:beforeAutospacing="0" w:after="20" w:afterAutospacing="0"/>
                    <w:ind w:left="0" w:right="0"/>
                    <w:jc w:val="center"/>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设备支架周边及主变油池周围</w:t>
                  </w:r>
                </w:p>
              </w:tc>
            </w:tr>
            <w:tr w14:paraId="355A00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jc w:val="center"/>
              </w:trPr>
              <w:tc>
                <w:tcPr>
                  <w:tcW w:w="794"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3A626B87">
                  <w:pPr>
                    <w:pStyle w:val="40"/>
                    <w:keepNext w:val="0"/>
                    <w:keepLines w:val="0"/>
                    <w:widowControl/>
                    <w:suppressLineNumbers w:val="0"/>
                    <w:spacing w:before="20" w:beforeAutospacing="0" w:after="20" w:afterAutospacing="0"/>
                    <w:ind w:left="0" w:right="0"/>
                    <w:jc w:val="center"/>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7</w:t>
                  </w:r>
                </w:p>
              </w:tc>
              <w:tc>
                <w:tcPr>
                  <w:tcW w:w="283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6F59D17C">
                  <w:pPr>
                    <w:pStyle w:val="40"/>
                    <w:keepNext w:val="0"/>
                    <w:keepLines w:val="0"/>
                    <w:widowControl/>
                    <w:suppressLineNumbers w:val="0"/>
                    <w:spacing w:before="20" w:beforeAutospacing="0" w:after="20" w:afterAutospacing="0"/>
                    <w:ind w:left="0" w:right="0"/>
                    <w:jc w:val="center"/>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室外电缆沟长度</w:t>
                  </w:r>
                </w:p>
              </w:tc>
              <w:tc>
                <w:tcPr>
                  <w:tcW w:w="90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7409A94F">
                  <w:pPr>
                    <w:pStyle w:val="40"/>
                    <w:keepNext w:val="0"/>
                    <w:keepLines w:val="0"/>
                    <w:widowControl/>
                    <w:suppressLineNumbers w:val="0"/>
                    <w:spacing w:before="20" w:beforeAutospacing="0" w:after="20" w:afterAutospacing="0"/>
                    <w:ind w:left="0" w:right="0"/>
                    <w:jc w:val="center"/>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m</w:t>
                  </w:r>
                </w:p>
              </w:tc>
              <w:tc>
                <w:tcPr>
                  <w:tcW w:w="136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4B6F176B">
                  <w:pPr>
                    <w:pStyle w:val="40"/>
                    <w:keepNext w:val="0"/>
                    <w:keepLines w:val="0"/>
                    <w:widowControl/>
                    <w:suppressLineNumbers w:val="0"/>
                    <w:spacing w:before="20" w:beforeAutospacing="0" w:after="20" w:afterAutospacing="0"/>
                    <w:ind w:left="0" w:right="0"/>
                    <w:jc w:val="center"/>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104</w:t>
                  </w:r>
                </w:p>
              </w:tc>
              <w:tc>
                <w:tcPr>
                  <w:tcW w:w="272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26299310">
                  <w:pPr>
                    <w:pStyle w:val="40"/>
                    <w:keepNext w:val="0"/>
                    <w:keepLines w:val="0"/>
                    <w:widowControl/>
                    <w:suppressLineNumbers w:val="0"/>
                    <w:spacing w:before="20" w:beforeAutospacing="0" w:after="20" w:afterAutospacing="0"/>
                    <w:ind w:left="0" w:right="0"/>
                    <w:jc w:val="center"/>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钢筋混凝土结构</w:t>
                  </w:r>
                </w:p>
              </w:tc>
            </w:tr>
            <w:tr w14:paraId="09F97E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jc w:val="center"/>
              </w:trPr>
              <w:tc>
                <w:tcPr>
                  <w:tcW w:w="794"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7D22C0FE">
                  <w:pPr>
                    <w:pStyle w:val="40"/>
                    <w:keepNext w:val="0"/>
                    <w:keepLines w:val="0"/>
                    <w:widowControl/>
                    <w:suppressLineNumbers w:val="0"/>
                    <w:spacing w:before="20" w:beforeAutospacing="0" w:after="20" w:afterAutospacing="0"/>
                    <w:ind w:left="0" w:right="0"/>
                    <w:jc w:val="center"/>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8</w:t>
                  </w:r>
                </w:p>
              </w:tc>
              <w:tc>
                <w:tcPr>
                  <w:tcW w:w="283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19B384A6">
                  <w:pPr>
                    <w:pStyle w:val="40"/>
                    <w:keepNext w:val="0"/>
                    <w:keepLines w:val="0"/>
                    <w:widowControl/>
                    <w:suppressLineNumbers w:val="0"/>
                    <w:spacing w:before="20" w:beforeAutospacing="0" w:after="20" w:afterAutospacing="0"/>
                    <w:ind w:left="0" w:right="0"/>
                    <w:jc w:val="center"/>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站内给水管线长度</w:t>
                  </w:r>
                </w:p>
              </w:tc>
              <w:tc>
                <w:tcPr>
                  <w:tcW w:w="90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6110FBA6">
                  <w:pPr>
                    <w:pStyle w:val="40"/>
                    <w:keepNext w:val="0"/>
                    <w:keepLines w:val="0"/>
                    <w:widowControl/>
                    <w:suppressLineNumbers w:val="0"/>
                    <w:spacing w:before="20" w:beforeAutospacing="0" w:after="20" w:afterAutospacing="0"/>
                    <w:ind w:left="0" w:right="0"/>
                    <w:jc w:val="center"/>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m</w:t>
                  </w:r>
                </w:p>
              </w:tc>
              <w:tc>
                <w:tcPr>
                  <w:tcW w:w="136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397659EC">
                  <w:pPr>
                    <w:pStyle w:val="40"/>
                    <w:keepNext w:val="0"/>
                    <w:keepLines w:val="0"/>
                    <w:widowControl/>
                    <w:suppressLineNumbers w:val="0"/>
                    <w:spacing w:before="20" w:beforeAutospacing="0" w:after="20" w:afterAutospacing="0"/>
                    <w:ind w:left="0" w:right="0"/>
                    <w:jc w:val="center"/>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330</w:t>
                  </w:r>
                </w:p>
              </w:tc>
              <w:tc>
                <w:tcPr>
                  <w:tcW w:w="272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524571C9">
                  <w:pPr>
                    <w:pStyle w:val="40"/>
                    <w:keepNext w:val="0"/>
                    <w:keepLines w:val="0"/>
                    <w:widowControl/>
                    <w:suppressLineNumbers w:val="0"/>
                    <w:spacing w:before="20" w:beforeAutospacing="0" w:after="20" w:afterAutospacing="0"/>
                    <w:ind w:left="0" w:right="0"/>
                    <w:jc w:val="center"/>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含消防给水</w:t>
                  </w:r>
                </w:p>
              </w:tc>
            </w:tr>
            <w:tr w14:paraId="68F7A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jc w:val="center"/>
              </w:trPr>
              <w:tc>
                <w:tcPr>
                  <w:tcW w:w="794"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50278EBA">
                  <w:pPr>
                    <w:pStyle w:val="40"/>
                    <w:keepNext w:val="0"/>
                    <w:keepLines w:val="0"/>
                    <w:widowControl/>
                    <w:suppressLineNumbers w:val="0"/>
                    <w:spacing w:before="20" w:beforeAutospacing="0" w:after="20" w:afterAutospacing="0"/>
                    <w:ind w:left="0" w:right="0"/>
                    <w:jc w:val="center"/>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9</w:t>
                  </w:r>
                </w:p>
              </w:tc>
              <w:tc>
                <w:tcPr>
                  <w:tcW w:w="283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6120DA1C">
                  <w:pPr>
                    <w:pStyle w:val="40"/>
                    <w:keepNext w:val="0"/>
                    <w:keepLines w:val="0"/>
                    <w:widowControl/>
                    <w:suppressLineNumbers w:val="0"/>
                    <w:spacing w:before="20" w:beforeAutospacing="0" w:after="20" w:afterAutospacing="0"/>
                    <w:ind w:left="0" w:right="0"/>
                    <w:jc w:val="center"/>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站内排水管线长度</w:t>
                  </w:r>
                </w:p>
              </w:tc>
              <w:tc>
                <w:tcPr>
                  <w:tcW w:w="90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10A93682">
                  <w:pPr>
                    <w:pStyle w:val="40"/>
                    <w:keepNext w:val="0"/>
                    <w:keepLines w:val="0"/>
                    <w:widowControl/>
                    <w:suppressLineNumbers w:val="0"/>
                    <w:spacing w:before="20" w:beforeAutospacing="0" w:after="20" w:afterAutospacing="0"/>
                    <w:ind w:left="0" w:right="0"/>
                    <w:jc w:val="center"/>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m</w:t>
                  </w:r>
                </w:p>
              </w:tc>
              <w:tc>
                <w:tcPr>
                  <w:tcW w:w="136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32558B27">
                  <w:pPr>
                    <w:pStyle w:val="40"/>
                    <w:keepNext w:val="0"/>
                    <w:keepLines w:val="0"/>
                    <w:widowControl/>
                    <w:suppressLineNumbers w:val="0"/>
                    <w:spacing w:before="20" w:beforeAutospacing="0" w:after="20" w:afterAutospacing="0"/>
                    <w:ind w:left="0" w:right="0"/>
                    <w:jc w:val="center"/>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60</w:t>
                  </w:r>
                </w:p>
              </w:tc>
              <w:tc>
                <w:tcPr>
                  <w:tcW w:w="272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548D2E68">
                  <w:pPr>
                    <w:pStyle w:val="40"/>
                    <w:keepNext w:val="0"/>
                    <w:keepLines w:val="0"/>
                    <w:widowControl/>
                    <w:suppressLineNumbers w:val="0"/>
                    <w:spacing w:before="20" w:beforeAutospacing="0" w:after="20" w:afterAutospacing="0"/>
                    <w:ind w:left="0" w:right="0"/>
                    <w:jc w:val="center"/>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生活污水</w:t>
                  </w:r>
                </w:p>
              </w:tc>
            </w:tr>
            <w:tr w14:paraId="606799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jc w:val="center"/>
              </w:trPr>
              <w:tc>
                <w:tcPr>
                  <w:tcW w:w="794"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08ACA0B1">
                  <w:pPr>
                    <w:pStyle w:val="40"/>
                    <w:keepNext w:val="0"/>
                    <w:keepLines w:val="0"/>
                    <w:widowControl/>
                    <w:suppressLineNumbers w:val="0"/>
                    <w:spacing w:before="20" w:beforeAutospacing="0" w:after="20" w:afterAutospacing="0"/>
                    <w:ind w:left="0" w:right="0"/>
                    <w:jc w:val="center"/>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10</w:t>
                  </w:r>
                </w:p>
              </w:tc>
              <w:tc>
                <w:tcPr>
                  <w:tcW w:w="283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5A00D690">
                  <w:pPr>
                    <w:pStyle w:val="40"/>
                    <w:keepNext w:val="0"/>
                    <w:keepLines w:val="0"/>
                    <w:widowControl/>
                    <w:suppressLineNumbers w:val="0"/>
                    <w:spacing w:before="20" w:beforeAutospacing="0" w:after="20" w:afterAutospacing="0"/>
                    <w:ind w:left="0" w:right="0"/>
                    <w:jc w:val="center"/>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站外供水管线长度</w:t>
                  </w:r>
                </w:p>
              </w:tc>
              <w:tc>
                <w:tcPr>
                  <w:tcW w:w="90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77E936C1">
                  <w:pPr>
                    <w:pStyle w:val="40"/>
                    <w:keepNext w:val="0"/>
                    <w:keepLines w:val="0"/>
                    <w:widowControl/>
                    <w:suppressLineNumbers w:val="0"/>
                    <w:spacing w:before="20" w:beforeAutospacing="0" w:after="20" w:afterAutospacing="0"/>
                    <w:ind w:left="0" w:right="0"/>
                    <w:jc w:val="center"/>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m</w:t>
                  </w:r>
                </w:p>
              </w:tc>
              <w:tc>
                <w:tcPr>
                  <w:tcW w:w="136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36BEA19E">
                  <w:pPr>
                    <w:pStyle w:val="40"/>
                    <w:keepNext w:val="0"/>
                    <w:keepLines w:val="0"/>
                    <w:widowControl/>
                    <w:suppressLineNumbers w:val="0"/>
                    <w:spacing w:before="20" w:beforeAutospacing="0" w:after="20" w:afterAutospacing="0"/>
                    <w:ind w:left="0" w:right="0"/>
                    <w:jc w:val="center"/>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100</w:t>
                  </w:r>
                </w:p>
              </w:tc>
              <w:tc>
                <w:tcPr>
                  <w:tcW w:w="272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2E84D3CC">
                  <w:pPr>
                    <w:pStyle w:val="40"/>
                    <w:keepNext w:val="0"/>
                    <w:keepLines w:val="0"/>
                    <w:widowControl/>
                    <w:suppressLineNumbers w:val="0"/>
                    <w:spacing w:before="20" w:beforeAutospacing="0" w:after="20" w:afterAutospacing="0"/>
                    <w:ind w:left="0" w:right="0"/>
                    <w:jc w:val="center"/>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接厂区给水管网</w:t>
                  </w:r>
                </w:p>
              </w:tc>
            </w:tr>
            <w:tr w14:paraId="48A80A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jc w:val="center"/>
              </w:trPr>
              <w:tc>
                <w:tcPr>
                  <w:tcW w:w="794"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62D641BD">
                  <w:pPr>
                    <w:pStyle w:val="40"/>
                    <w:keepNext w:val="0"/>
                    <w:keepLines w:val="0"/>
                    <w:widowControl/>
                    <w:suppressLineNumbers w:val="0"/>
                    <w:spacing w:before="20" w:beforeAutospacing="0" w:after="20" w:afterAutospacing="0"/>
                    <w:ind w:left="0" w:right="0"/>
                    <w:jc w:val="center"/>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11</w:t>
                  </w:r>
                </w:p>
              </w:tc>
              <w:tc>
                <w:tcPr>
                  <w:tcW w:w="283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2C996C70">
                  <w:pPr>
                    <w:pStyle w:val="40"/>
                    <w:keepNext w:val="0"/>
                    <w:keepLines w:val="0"/>
                    <w:widowControl/>
                    <w:suppressLineNumbers w:val="0"/>
                    <w:spacing w:before="20" w:beforeAutospacing="0" w:after="20" w:afterAutospacing="0"/>
                    <w:ind w:left="0" w:right="0"/>
                    <w:jc w:val="center"/>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土石方工程量（填方/挖方）</w:t>
                  </w:r>
                </w:p>
              </w:tc>
              <w:tc>
                <w:tcPr>
                  <w:tcW w:w="90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21F6A4DC">
                  <w:pPr>
                    <w:pStyle w:val="40"/>
                    <w:keepNext w:val="0"/>
                    <w:keepLines w:val="0"/>
                    <w:widowControl/>
                    <w:suppressLineNumbers w:val="0"/>
                    <w:spacing w:before="20" w:beforeAutospacing="0" w:after="20" w:afterAutospacing="0"/>
                    <w:ind w:left="0" w:right="0"/>
                    <w:jc w:val="center"/>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m³</w:t>
                  </w:r>
                </w:p>
              </w:tc>
              <w:tc>
                <w:tcPr>
                  <w:tcW w:w="136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18D724DD">
                  <w:pPr>
                    <w:pStyle w:val="40"/>
                    <w:keepNext w:val="0"/>
                    <w:keepLines w:val="0"/>
                    <w:widowControl/>
                    <w:suppressLineNumbers w:val="0"/>
                    <w:spacing w:before="20" w:beforeAutospacing="0" w:after="20" w:afterAutospacing="0"/>
                    <w:ind w:left="0" w:right="0"/>
                    <w:jc w:val="center"/>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1000/0</w:t>
                  </w:r>
                </w:p>
              </w:tc>
              <w:tc>
                <w:tcPr>
                  <w:tcW w:w="272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4EFC2AB1">
                  <w:pPr>
                    <w:pStyle w:val="40"/>
                    <w:keepNext w:val="0"/>
                    <w:keepLines w:val="0"/>
                    <w:widowControl/>
                    <w:suppressLineNumbers w:val="0"/>
                    <w:spacing w:before="20" w:beforeAutospacing="0" w:after="20" w:afterAutospacing="0"/>
                    <w:ind w:left="0" w:right="0"/>
                    <w:jc w:val="center"/>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站区土方自平衡，无外购、外弃</w:t>
                  </w:r>
                </w:p>
              </w:tc>
            </w:tr>
            <w:tr w14:paraId="592E1B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jc w:val="center"/>
              </w:trPr>
              <w:tc>
                <w:tcPr>
                  <w:tcW w:w="794"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2E95E5F1">
                  <w:pPr>
                    <w:pStyle w:val="40"/>
                    <w:keepNext w:val="0"/>
                    <w:keepLines w:val="0"/>
                    <w:widowControl/>
                    <w:suppressLineNumbers w:val="0"/>
                    <w:spacing w:before="20" w:beforeAutospacing="0" w:after="20" w:afterAutospacing="0"/>
                    <w:ind w:left="0" w:right="0"/>
                    <w:jc w:val="center"/>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12</w:t>
                  </w:r>
                </w:p>
              </w:tc>
              <w:tc>
                <w:tcPr>
                  <w:tcW w:w="283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7EA5B4AD">
                  <w:pPr>
                    <w:pStyle w:val="40"/>
                    <w:keepNext w:val="0"/>
                    <w:keepLines w:val="0"/>
                    <w:widowControl/>
                    <w:suppressLineNumbers w:val="0"/>
                    <w:spacing w:before="20" w:beforeAutospacing="0" w:after="20" w:afterAutospacing="0"/>
                    <w:ind w:left="0" w:right="0"/>
                    <w:jc w:val="center"/>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主变压器容量</w:t>
                  </w:r>
                </w:p>
              </w:tc>
              <w:tc>
                <w:tcPr>
                  <w:tcW w:w="90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23288BF6">
                  <w:pPr>
                    <w:pStyle w:val="40"/>
                    <w:keepNext w:val="0"/>
                    <w:keepLines w:val="0"/>
                    <w:widowControl/>
                    <w:suppressLineNumbers w:val="0"/>
                    <w:spacing w:before="20" w:beforeAutospacing="0" w:after="20" w:afterAutospacing="0"/>
                    <w:ind w:left="0" w:right="0"/>
                    <w:jc w:val="center"/>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MVA</w:t>
                  </w:r>
                </w:p>
              </w:tc>
              <w:tc>
                <w:tcPr>
                  <w:tcW w:w="136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4C7C1536">
                  <w:pPr>
                    <w:pStyle w:val="40"/>
                    <w:keepNext w:val="0"/>
                    <w:keepLines w:val="0"/>
                    <w:widowControl/>
                    <w:suppressLineNumbers w:val="0"/>
                    <w:spacing w:before="20" w:beforeAutospacing="0" w:after="20" w:afterAutospacing="0"/>
                    <w:ind w:left="0" w:right="0"/>
                    <w:jc w:val="center"/>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2×63</w:t>
                  </w:r>
                </w:p>
              </w:tc>
              <w:tc>
                <w:tcPr>
                  <w:tcW w:w="272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477BD8FC">
                  <w:pPr>
                    <w:pStyle w:val="40"/>
                    <w:keepNext w:val="0"/>
                    <w:keepLines w:val="0"/>
                    <w:widowControl/>
                    <w:suppressLineNumbers w:val="0"/>
                    <w:spacing w:before="20" w:beforeAutospacing="0" w:after="20" w:afterAutospacing="0"/>
                    <w:ind w:left="0" w:right="0"/>
                    <w:jc w:val="center"/>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SZ-63000/110</w:t>
                  </w:r>
                </w:p>
              </w:tc>
            </w:tr>
            <w:tr w14:paraId="066B49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jc w:val="center"/>
              </w:trPr>
              <w:tc>
                <w:tcPr>
                  <w:tcW w:w="794"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7A75D9DE">
                  <w:pPr>
                    <w:pStyle w:val="40"/>
                    <w:keepNext w:val="0"/>
                    <w:keepLines w:val="0"/>
                    <w:widowControl/>
                    <w:suppressLineNumbers w:val="0"/>
                    <w:spacing w:before="20" w:beforeAutospacing="0" w:after="20" w:afterAutospacing="0"/>
                    <w:ind w:left="0" w:right="0"/>
                    <w:jc w:val="center"/>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13</w:t>
                  </w:r>
                </w:p>
              </w:tc>
              <w:tc>
                <w:tcPr>
                  <w:tcW w:w="283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70095D3A">
                  <w:pPr>
                    <w:pStyle w:val="40"/>
                    <w:keepNext w:val="0"/>
                    <w:keepLines w:val="0"/>
                    <w:widowControl/>
                    <w:suppressLineNumbers w:val="0"/>
                    <w:spacing w:before="20" w:beforeAutospacing="0" w:after="20" w:afterAutospacing="0"/>
                    <w:ind w:left="0" w:right="0"/>
                    <w:jc w:val="center"/>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110kV出线回路数</w:t>
                  </w:r>
                </w:p>
              </w:tc>
              <w:tc>
                <w:tcPr>
                  <w:tcW w:w="90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615A581E">
                  <w:pPr>
                    <w:pStyle w:val="40"/>
                    <w:keepNext w:val="0"/>
                    <w:keepLines w:val="0"/>
                    <w:widowControl/>
                    <w:suppressLineNumbers w:val="0"/>
                    <w:spacing w:before="20" w:beforeAutospacing="0" w:after="20" w:afterAutospacing="0"/>
                    <w:ind w:left="0" w:right="0"/>
                    <w:jc w:val="center"/>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回</w:t>
                  </w:r>
                </w:p>
              </w:tc>
              <w:tc>
                <w:tcPr>
                  <w:tcW w:w="136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68891795">
                  <w:pPr>
                    <w:pStyle w:val="40"/>
                    <w:keepNext w:val="0"/>
                    <w:keepLines w:val="0"/>
                    <w:widowControl/>
                    <w:suppressLineNumbers w:val="0"/>
                    <w:spacing w:before="20" w:beforeAutospacing="0" w:after="20" w:afterAutospacing="0"/>
                    <w:ind w:left="0" w:right="0"/>
                    <w:jc w:val="center"/>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2</w:t>
                  </w:r>
                </w:p>
              </w:tc>
              <w:tc>
                <w:tcPr>
                  <w:tcW w:w="272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2A0AAC59">
                  <w:pPr>
                    <w:pStyle w:val="40"/>
                    <w:keepNext w:val="0"/>
                    <w:keepLines w:val="0"/>
                    <w:widowControl/>
                    <w:suppressLineNumbers w:val="0"/>
                    <w:spacing w:before="20" w:beforeAutospacing="0" w:after="20" w:afterAutospacing="0"/>
                    <w:ind w:left="0" w:right="0"/>
                    <w:jc w:val="center"/>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向北架空出线</w:t>
                  </w:r>
                </w:p>
              </w:tc>
            </w:tr>
            <w:tr w14:paraId="67BD24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jc w:val="center"/>
              </w:trPr>
              <w:tc>
                <w:tcPr>
                  <w:tcW w:w="794"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5EDC0CF4">
                  <w:pPr>
                    <w:pStyle w:val="40"/>
                    <w:keepNext w:val="0"/>
                    <w:keepLines w:val="0"/>
                    <w:widowControl/>
                    <w:suppressLineNumbers w:val="0"/>
                    <w:spacing w:before="20" w:beforeAutospacing="0" w:after="20" w:afterAutospacing="0"/>
                    <w:ind w:left="0" w:right="0"/>
                    <w:jc w:val="center"/>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14</w:t>
                  </w:r>
                </w:p>
              </w:tc>
              <w:tc>
                <w:tcPr>
                  <w:tcW w:w="283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719FCE04">
                  <w:pPr>
                    <w:pStyle w:val="40"/>
                    <w:keepNext w:val="0"/>
                    <w:keepLines w:val="0"/>
                    <w:widowControl/>
                    <w:suppressLineNumbers w:val="0"/>
                    <w:spacing w:before="20" w:beforeAutospacing="0" w:after="20" w:afterAutospacing="0"/>
                    <w:ind w:left="0" w:right="0"/>
                    <w:jc w:val="center"/>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10kV出线回路数</w:t>
                  </w:r>
                </w:p>
              </w:tc>
              <w:tc>
                <w:tcPr>
                  <w:tcW w:w="90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69D777DA">
                  <w:pPr>
                    <w:pStyle w:val="40"/>
                    <w:keepNext w:val="0"/>
                    <w:keepLines w:val="0"/>
                    <w:widowControl/>
                    <w:suppressLineNumbers w:val="0"/>
                    <w:spacing w:before="20" w:beforeAutospacing="0" w:after="20" w:afterAutospacing="0"/>
                    <w:ind w:left="0" w:right="0"/>
                    <w:jc w:val="center"/>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回</w:t>
                  </w:r>
                </w:p>
              </w:tc>
              <w:tc>
                <w:tcPr>
                  <w:tcW w:w="136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3C753E42">
                  <w:pPr>
                    <w:pStyle w:val="40"/>
                    <w:keepNext w:val="0"/>
                    <w:keepLines w:val="0"/>
                    <w:widowControl/>
                    <w:suppressLineNumbers w:val="0"/>
                    <w:spacing w:before="20" w:beforeAutospacing="0" w:after="20" w:afterAutospacing="0"/>
                    <w:ind w:left="0" w:right="0"/>
                    <w:jc w:val="center"/>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32</w:t>
                  </w:r>
                </w:p>
              </w:tc>
              <w:tc>
                <w:tcPr>
                  <w:tcW w:w="272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4019F77B">
                  <w:pPr>
                    <w:pStyle w:val="40"/>
                    <w:keepNext w:val="0"/>
                    <w:keepLines w:val="0"/>
                    <w:widowControl/>
                    <w:suppressLineNumbers w:val="0"/>
                    <w:spacing w:before="20" w:beforeAutospacing="0" w:after="20" w:afterAutospacing="0"/>
                    <w:ind w:left="0" w:right="0"/>
                    <w:jc w:val="center"/>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向西电缆出线</w:t>
                  </w:r>
                </w:p>
              </w:tc>
            </w:tr>
            <w:tr w14:paraId="0E0B98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jc w:val="center"/>
              </w:trPr>
              <w:tc>
                <w:tcPr>
                  <w:tcW w:w="794"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47529789">
                  <w:pPr>
                    <w:pStyle w:val="40"/>
                    <w:keepNext w:val="0"/>
                    <w:keepLines w:val="0"/>
                    <w:widowControl/>
                    <w:suppressLineNumbers w:val="0"/>
                    <w:spacing w:before="20" w:beforeAutospacing="0" w:after="20" w:afterAutospacing="0"/>
                    <w:ind w:left="0" w:right="0"/>
                    <w:jc w:val="center"/>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15</w:t>
                  </w:r>
                </w:p>
              </w:tc>
              <w:tc>
                <w:tcPr>
                  <w:tcW w:w="283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69FABCA4">
                  <w:pPr>
                    <w:pStyle w:val="40"/>
                    <w:keepNext w:val="0"/>
                    <w:keepLines w:val="0"/>
                    <w:widowControl/>
                    <w:suppressLineNumbers w:val="0"/>
                    <w:spacing w:before="20" w:beforeAutospacing="0" w:after="20" w:afterAutospacing="0"/>
                    <w:ind w:left="0" w:right="0"/>
                    <w:jc w:val="center"/>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无功补偿容量</w:t>
                  </w:r>
                </w:p>
              </w:tc>
              <w:tc>
                <w:tcPr>
                  <w:tcW w:w="90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6EEDBF2B">
                  <w:pPr>
                    <w:pStyle w:val="40"/>
                    <w:keepNext w:val="0"/>
                    <w:keepLines w:val="0"/>
                    <w:widowControl/>
                    <w:suppressLineNumbers w:val="0"/>
                    <w:spacing w:before="20" w:beforeAutospacing="0" w:after="20" w:afterAutospacing="0"/>
                    <w:ind w:left="0" w:right="0"/>
                    <w:jc w:val="center"/>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Mvar</w:t>
                  </w:r>
                </w:p>
              </w:tc>
              <w:tc>
                <w:tcPr>
                  <w:tcW w:w="136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233ADAF2">
                  <w:pPr>
                    <w:pStyle w:val="40"/>
                    <w:keepNext w:val="0"/>
                    <w:keepLines w:val="0"/>
                    <w:widowControl/>
                    <w:suppressLineNumbers w:val="0"/>
                    <w:spacing w:before="20" w:beforeAutospacing="0" w:after="20" w:afterAutospacing="0"/>
                    <w:ind w:left="0" w:right="0"/>
                    <w:jc w:val="center"/>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4×5</w:t>
                  </w:r>
                </w:p>
              </w:tc>
              <w:tc>
                <w:tcPr>
                  <w:tcW w:w="272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14ACCA4E">
                  <w:pPr>
                    <w:pStyle w:val="40"/>
                    <w:keepNext w:val="0"/>
                    <w:keepLines w:val="0"/>
                    <w:widowControl/>
                    <w:suppressLineNumbers w:val="0"/>
                    <w:spacing w:before="20" w:beforeAutospacing="0" w:after="20" w:afterAutospacing="0"/>
                    <w:ind w:left="0" w:right="0"/>
                    <w:jc w:val="center"/>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户内并联电容器成套装置</w:t>
                  </w:r>
                </w:p>
              </w:tc>
            </w:tr>
          </w:tbl>
          <w:p w14:paraId="6482EA0A">
            <w:pPr>
              <w:pStyle w:val="67"/>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firstLine="480" w:firstLineChars="200"/>
              <w:textAlignment w:val="auto"/>
              <w:rPr>
                <w:rFonts w:hint="default" w:ascii="Times New Roman" w:hAnsi="Times New Roman" w:eastAsia="黑体" w:cs="Times New Roman"/>
                <w:sz w:val="24"/>
                <w:lang w:val="en-US" w:eastAsia="zh-CN"/>
              </w:rPr>
            </w:pPr>
            <w:r>
              <w:rPr>
                <w:rFonts w:hint="default" w:ascii="Times New Roman" w:hAnsi="Times New Roman" w:eastAsia="黑体" w:cs="Times New Roman"/>
                <w:sz w:val="24"/>
                <w:lang w:val="en-US" w:eastAsia="zh-CN"/>
              </w:rPr>
              <w:t>1.5 依托工程</w:t>
            </w:r>
          </w:p>
          <w:p w14:paraId="3D0ACD54">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b w:val="0"/>
                <w:bCs w:val="0"/>
                <w:i w:val="0"/>
                <w:iCs w:val="0"/>
                <w:color w:val="000000"/>
                <w:spacing w:val="0"/>
                <w:w w:val="100"/>
                <w:sz w:val="24"/>
                <w:szCs w:val="24"/>
                <w:vertAlign w:val="baseline"/>
              </w:rPr>
            </w:pPr>
            <w:r>
              <w:rPr>
                <w:rFonts w:hint="default" w:ascii="Times New Roman" w:hAnsi="Times New Roman" w:eastAsia="宋体" w:cs="Times New Roman"/>
                <w:b w:val="0"/>
                <w:bCs w:val="0"/>
                <w:i w:val="0"/>
                <w:iCs w:val="0"/>
                <w:color w:val="000000"/>
                <w:spacing w:val="0"/>
                <w:w w:val="100"/>
                <w:sz w:val="24"/>
                <w:szCs w:val="24"/>
                <w:vertAlign w:val="baseline"/>
              </w:rPr>
              <w:t>本工程为产业园（一期）项目的配套供电工程，主体工程（产业园）环境影响报告书已取得巴州生态环境局批复（巴环评价函〔2026〕190号）。本工程与主体工程的依托关系见表2-2"依托工程"栏，主要包括：①用地依托产业园厂区规划预留用地，不新增征地；②给水依托厂区给水管网，排水依托厂区污水管网及尉犁工业园区工业污水处理厂；③消防依托厂区消防供水管网及厂区消防控制中心；④进站道路依托厂区规划道路，施工用电依托厂区施工电源，施工营地依托厂区既有设施；⑤生活垃圾清运依托当地环卫部门，危险废物暂存依托产业园（一期）厂区危险废物暂存间、处置依托有资质单位；⑥电源依托公共电网（破口接入110kV尉针二线），送出线路工程另行履行环评手续。上述依托设施中，厂区给水、消防、污水管网及道路由主体工程统一建设，其建设进度早于或同步于本工程，依托能力可满足本工程需求，不存在依托设施能力不足的问题。</w:t>
            </w:r>
          </w:p>
          <w:p w14:paraId="5602F157">
            <w:pPr>
              <w:pStyle w:val="67"/>
              <w:numPr>
                <w:ilvl w:val="0"/>
                <w:numId w:val="0"/>
              </w:numPr>
              <w:spacing w:line="480" w:lineRule="exact"/>
              <w:ind w:leftChars="0"/>
              <w:rPr>
                <w:rFonts w:hint="default" w:ascii="Times New Roman" w:hAnsi="Times New Roman" w:eastAsia="黑体" w:cs="Times New Roman"/>
                <w:sz w:val="24"/>
                <w:lang w:val="en-US" w:eastAsia="zh-CN"/>
              </w:rPr>
            </w:pPr>
            <w:r>
              <w:rPr>
                <w:rFonts w:hint="default" w:ascii="Times New Roman" w:hAnsi="Times New Roman" w:eastAsia="黑体" w:cs="Times New Roman"/>
                <w:sz w:val="24"/>
                <w:lang w:val="en-US" w:eastAsia="zh-CN"/>
              </w:rPr>
              <w:t>2.主要设备</w:t>
            </w:r>
          </w:p>
          <w:p w14:paraId="081B6197">
            <w:pPr>
              <w:spacing w:line="480" w:lineRule="exact"/>
              <w:ind w:firstLine="522"/>
              <w:rPr>
                <w:rFonts w:hint="default" w:ascii="Times New Roman" w:hAnsi="Times New Roman" w:cs="Times New Roman"/>
                <w:sz w:val="24"/>
              </w:rPr>
            </w:pPr>
            <w:r>
              <w:rPr>
                <w:rFonts w:hint="default" w:ascii="Times New Roman" w:hAnsi="Times New Roman" w:cs="Times New Roman"/>
                <w:sz w:val="24"/>
              </w:rPr>
              <w:t>本工程主要设备见表2-</w:t>
            </w:r>
            <w:r>
              <w:rPr>
                <w:rFonts w:hint="default" w:ascii="Times New Roman" w:hAnsi="Times New Roman" w:cs="Times New Roman"/>
                <w:sz w:val="24"/>
                <w:lang w:val="en-US" w:eastAsia="zh-CN"/>
              </w:rPr>
              <w:t>4</w:t>
            </w:r>
            <w:r>
              <w:rPr>
                <w:rFonts w:hint="default" w:ascii="Times New Roman" w:hAnsi="Times New Roman" w:cs="Times New Roman"/>
                <w:sz w:val="24"/>
              </w:rPr>
              <w:t>。</w:t>
            </w:r>
          </w:p>
          <w:p w14:paraId="50D7DB8A">
            <w:pPr>
              <w:pStyle w:val="67"/>
              <w:numPr>
                <w:ilvl w:val="0"/>
                <w:numId w:val="0"/>
              </w:numPr>
              <w:tabs>
                <w:tab w:val="center" w:pos="2721"/>
              </w:tabs>
              <w:spacing w:line="480" w:lineRule="exact"/>
              <w:ind w:left="420" w:leftChars="0"/>
              <w:jc w:val="center"/>
              <w:rPr>
                <w:rFonts w:hint="default" w:ascii="Times New Roman" w:hAnsi="Times New Roman" w:eastAsia="黑体" w:cs="Times New Roman"/>
              </w:rPr>
            </w:pPr>
            <w:r>
              <w:rPr>
                <w:rFonts w:hint="default" w:ascii="Times New Roman" w:hAnsi="Times New Roman" w:eastAsia="黑体" w:cs="Times New Roman"/>
              </w:rPr>
              <w:t>表2-</w:t>
            </w:r>
            <w:r>
              <w:rPr>
                <w:rFonts w:hint="default" w:ascii="Times New Roman" w:hAnsi="Times New Roman" w:eastAsia="黑体" w:cs="Times New Roman"/>
                <w:lang w:val="en-US" w:eastAsia="zh-CN"/>
              </w:rPr>
              <w:t xml:space="preserve">4 </w:t>
            </w:r>
            <w:r>
              <w:rPr>
                <w:rFonts w:hint="default" w:ascii="Times New Roman" w:hAnsi="Times New Roman" w:eastAsia="黑体" w:cs="Times New Roman"/>
              </w:rPr>
              <w:t>主要设备表</w:t>
            </w:r>
          </w:p>
          <w:tbl>
            <w:tblPr>
              <w:tblStyle w:val="43"/>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427"/>
              <w:gridCol w:w="1103"/>
              <w:gridCol w:w="427"/>
              <w:gridCol w:w="427"/>
              <w:gridCol w:w="5428"/>
            </w:tblGrid>
            <w:tr w14:paraId="75FE35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97" w:hRule="atLeast"/>
                <w:tblHeader/>
                <w:jc w:val="center"/>
              </w:trPr>
              <w:tc>
                <w:tcPr>
                  <w:tcW w:w="0" w:type="auto"/>
                  <w:shd w:val="clear" w:color="auto" w:fill="auto"/>
                  <w:vAlign w:val="center"/>
                </w:tcPr>
                <w:p w14:paraId="5CB8B3B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sz w:val="21"/>
                      <w:szCs w:val="21"/>
                    </w:rPr>
                    <w:t>序号</w:t>
                  </w:r>
                </w:p>
              </w:tc>
              <w:tc>
                <w:tcPr>
                  <w:tcW w:w="0" w:type="auto"/>
                  <w:shd w:val="clear" w:color="auto" w:fill="auto"/>
                  <w:vAlign w:val="center"/>
                </w:tcPr>
                <w:p w14:paraId="103ED4F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sz w:val="21"/>
                      <w:szCs w:val="21"/>
                    </w:rPr>
                    <w:t>设备名称</w:t>
                  </w:r>
                </w:p>
              </w:tc>
              <w:tc>
                <w:tcPr>
                  <w:tcW w:w="280" w:type="pct"/>
                  <w:shd w:val="clear" w:color="auto" w:fill="auto"/>
                  <w:vAlign w:val="center"/>
                </w:tcPr>
                <w:p w14:paraId="1A4E6DC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sz w:val="21"/>
                      <w:szCs w:val="21"/>
                    </w:rPr>
                    <w:t>单位</w:t>
                  </w:r>
                </w:p>
              </w:tc>
              <w:tc>
                <w:tcPr>
                  <w:tcW w:w="281" w:type="pct"/>
                  <w:shd w:val="clear" w:color="auto" w:fill="auto"/>
                  <w:vAlign w:val="center"/>
                </w:tcPr>
                <w:p w14:paraId="681AFAB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sz w:val="21"/>
                      <w:szCs w:val="21"/>
                    </w:rPr>
                    <w:t>数量</w:t>
                  </w:r>
                </w:p>
              </w:tc>
              <w:tc>
                <w:tcPr>
                  <w:tcW w:w="0" w:type="auto"/>
                  <w:shd w:val="clear" w:color="auto" w:fill="auto"/>
                  <w:vAlign w:val="center"/>
                </w:tcPr>
                <w:p w14:paraId="6502287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sz w:val="21"/>
                      <w:szCs w:val="21"/>
                    </w:rPr>
                    <w:t>型号及主要技术参数</w:t>
                  </w:r>
                </w:p>
              </w:tc>
            </w:tr>
            <w:tr w14:paraId="34AD22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0" w:type="auto"/>
                  <w:shd w:val="clear" w:color="auto" w:fill="auto"/>
                  <w:vAlign w:val="center"/>
                </w:tcPr>
                <w:p w14:paraId="2690AE0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一</w:t>
                  </w:r>
                </w:p>
              </w:tc>
              <w:tc>
                <w:tcPr>
                  <w:tcW w:w="4719" w:type="pct"/>
                  <w:gridSpan w:val="4"/>
                  <w:shd w:val="clear" w:color="auto" w:fill="auto"/>
                  <w:vAlign w:val="center"/>
                </w:tcPr>
                <w:p w14:paraId="4B7DBE2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一次设备</w:t>
                  </w:r>
                </w:p>
              </w:tc>
            </w:tr>
            <w:tr w14:paraId="6399D8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0" w:type="auto"/>
                  <w:shd w:val="clear" w:color="auto" w:fill="auto"/>
                  <w:vAlign w:val="center"/>
                </w:tcPr>
                <w:p w14:paraId="1D6B610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1</w:t>
                  </w:r>
                </w:p>
              </w:tc>
              <w:tc>
                <w:tcPr>
                  <w:tcW w:w="0" w:type="auto"/>
                  <w:shd w:val="clear" w:color="auto" w:fill="auto"/>
                  <w:vAlign w:val="center"/>
                </w:tcPr>
                <w:p w14:paraId="0C9A2B6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主变压器</w:t>
                  </w:r>
                </w:p>
              </w:tc>
              <w:tc>
                <w:tcPr>
                  <w:tcW w:w="280" w:type="pct"/>
                  <w:shd w:val="clear" w:color="auto" w:fill="auto"/>
                  <w:vAlign w:val="center"/>
                </w:tcPr>
                <w:p w14:paraId="6E5AC91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台</w:t>
                  </w:r>
                </w:p>
              </w:tc>
              <w:tc>
                <w:tcPr>
                  <w:tcW w:w="281" w:type="pct"/>
                  <w:shd w:val="clear" w:color="auto" w:fill="auto"/>
                  <w:vAlign w:val="center"/>
                </w:tcPr>
                <w:p w14:paraId="514E599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2</w:t>
                  </w:r>
                </w:p>
              </w:tc>
              <w:tc>
                <w:tcPr>
                  <w:tcW w:w="0" w:type="auto"/>
                  <w:shd w:val="clear" w:color="auto" w:fill="auto"/>
                  <w:vAlign w:val="center"/>
                </w:tcPr>
                <w:p w14:paraId="727C7DF9">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SZ-63000/110，三相双绕组有载调压自冷式（2级能效），110±8×1.25%/10.5kV，容量比100%/100%，YNd11，Ud≈10.5%，户外布置</w:t>
                  </w:r>
                </w:p>
              </w:tc>
            </w:tr>
            <w:tr w14:paraId="79DC30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0" w:type="auto"/>
                  <w:shd w:val="clear" w:color="auto" w:fill="auto"/>
                  <w:vAlign w:val="center"/>
                </w:tcPr>
                <w:p w14:paraId="14BA20C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2</w:t>
                  </w:r>
                </w:p>
              </w:tc>
              <w:tc>
                <w:tcPr>
                  <w:tcW w:w="0" w:type="auto"/>
                  <w:shd w:val="clear" w:color="auto" w:fill="auto"/>
                  <w:vAlign w:val="center"/>
                </w:tcPr>
                <w:p w14:paraId="0D3ADEE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110kV GIS 主变进线间隔</w:t>
                  </w:r>
                </w:p>
              </w:tc>
              <w:tc>
                <w:tcPr>
                  <w:tcW w:w="280" w:type="pct"/>
                  <w:shd w:val="clear" w:color="auto" w:fill="auto"/>
                  <w:vAlign w:val="center"/>
                </w:tcPr>
                <w:p w14:paraId="17934AE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个</w:t>
                  </w:r>
                </w:p>
              </w:tc>
              <w:tc>
                <w:tcPr>
                  <w:tcW w:w="281" w:type="pct"/>
                  <w:shd w:val="clear" w:color="auto" w:fill="auto"/>
                  <w:vAlign w:val="center"/>
                </w:tcPr>
                <w:p w14:paraId="3504D77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2</w:t>
                  </w:r>
                </w:p>
              </w:tc>
              <w:tc>
                <w:tcPr>
                  <w:tcW w:w="0" w:type="auto"/>
                  <w:shd w:val="clear" w:color="auto" w:fill="auto"/>
                  <w:vAlign w:val="center"/>
                </w:tcPr>
                <w:p w14:paraId="2415E177">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126kV/3150A/40kA（3s），额定动稳定电流100kA，含断路器、隔离开关、电流互感器（400-800-1200/1A，5P30/5P30/5P30/5P30/0.2/0.2S）、避雷器</w:t>
                  </w:r>
                </w:p>
              </w:tc>
            </w:tr>
            <w:tr w14:paraId="6D7A3A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0" w:type="auto"/>
                  <w:shd w:val="clear" w:color="auto" w:fill="auto"/>
                  <w:vAlign w:val="center"/>
                </w:tcPr>
                <w:p w14:paraId="001AF53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3</w:t>
                  </w:r>
                </w:p>
              </w:tc>
              <w:tc>
                <w:tcPr>
                  <w:tcW w:w="0" w:type="auto"/>
                  <w:shd w:val="clear" w:color="auto" w:fill="auto"/>
                  <w:vAlign w:val="center"/>
                </w:tcPr>
                <w:p w14:paraId="1AF16A3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110kV GIS 出线间隔</w:t>
                  </w:r>
                </w:p>
              </w:tc>
              <w:tc>
                <w:tcPr>
                  <w:tcW w:w="280" w:type="pct"/>
                  <w:shd w:val="clear" w:color="auto" w:fill="auto"/>
                  <w:vAlign w:val="center"/>
                </w:tcPr>
                <w:p w14:paraId="73915F8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个</w:t>
                  </w:r>
                </w:p>
              </w:tc>
              <w:tc>
                <w:tcPr>
                  <w:tcW w:w="281" w:type="pct"/>
                  <w:shd w:val="clear" w:color="auto" w:fill="auto"/>
                  <w:vAlign w:val="center"/>
                </w:tcPr>
                <w:p w14:paraId="14A9609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2</w:t>
                  </w:r>
                </w:p>
              </w:tc>
              <w:tc>
                <w:tcPr>
                  <w:tcW w:w="0" w:type="auto"/>
                  <w:shd w:val="clear" w:color="auto" w:fill="auto"/>
                  <w:vAlign w:val="center"/>
                </w:tcPr>
                <w:p w14:paraId="71EF1F79">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126kV/3150A/40kA（3s），含断路器、隔离开关、电流互感器、线路电压互感器（单相GIS内置式，布置于C相）、外置避雷器YH10W-102/266W</w:t>
                  </w:r>
                </w:p>
              </w:tc>
            </w:tr>
            <w:tr w14:paraId="512E33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0" w:type="auto"/>
                  <w:shd w:val="clear" w:color="auto" w:fill="auto"/>
                  <w:vAlign w:val="center"/>
                </w:tcPr>
                <w:p w14:paraId="6B89B95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4</w:t>
                  </w:r>
                </w:p>
              </w:tc>
              <w:tc>
                <w:tcPr>
                  <w:tcW w:w="0" w:type="auto"/>
                  <w:shd w:val="clear" w:color="auto" w:fill="auto"/>
                  <w:vAlign w:val="center"/>
                </w:tcPr>
                <w:p w14:paraId="0C62359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110kV GIS 母线PT间隔</w:t>
                  </w:r>
                </w:p>
              </w:tc>
              <w:tc>
                <w:tcPr>
                  <w:tcW w:w="280" w:type="pct"/>
                  <w:shd w:val="clear" w:color="auto" w:fill="auto"/>
                  <w:vAlign w:val="center"/>
                </w:tcPr>
                <w:p w14:paraId="3C5AD74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个</w:t>
                  </w:r>
                </w:p>
              </w:tc>
              <w:tc>
                <w:tcPr>
                  <w:tcW w:w="281" w:type="pct"/>
                  <w:shd w:val="clear" w:color="auto" w:fill="auto"/>
                  <w:vAlign w:val="center"/>
                </w:tcPr>
                <w:p w14:paraId="40272C6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1</w:t>
                  </w:r>
                </w:p>
              </w:tc>
              <w:tc>
                <w:tcPr>
                  <w:tcW w:w="0" w:type="auto"/>
                  <w:shd w:val="clear" w:color="auto" w:fill="auto"/>
                  <w:vAlign w:val="center"/>
                </w:tcPr>
                <w:p w14:paraId="4DE5F833">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126kV，含三相电压互感器110/√3/0.1/√3/0.1/√3/0.1/√3/0.1kV，0.2/0.5(3P)/0.5(3P)/3P</w:t>
                  </w:r>
                </w:p>
              </w:tc>
            </w:tr>
            <w:tr w14:paraId="6D0B64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0" w:type="auto"/>
                  <w:shd w:val="clear" w:color="auto" w:fill="auto"/>
                  <w:vAlign w:val="center"/>
                </w:tcPr>
                <w:p w14:paraId="06E434F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5</w:t>
                  </w:r>
                </w:p>
              </w:tc>
              <w:tc>
                <w:tcPr>
                  <w:tcW w:w="0" w:type="auto"/>
                  <w:shd w:val="clear" w:color="auto" w:fill="auto"/>
                  <w:vAlign w:val="center"/>
                </w:tcPr>
                <w:p w14:paraId="7EA95A8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10kV 主变进线柜</w:t>
                  </w:r>
                </w:p>
              </w:tc>
              <w:tc>
                <w:tcPr>
                  <w:tcW w:w="280" w:type="pct"/>
                  <w:shd w:val="clear" w:color="auto" w:fill="auto"/>
                  <w:vAlign w:val="center"/>
                </w:tcPr>
                <w:p w14:paraId="0DB18CC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面</w:t>
                  </w:r>
                </w:p>
              </w:tc>
              <w:tc>
                <w:tcPr>
                  <w:tcW w:w="281" w:type="pct"/>
                  <w:shd w:val="clear" w:color="auto" w:fill="auto"/>
                  <w:vAlign w:val="center"/>
                </w:tcPr>
                <w:p w14:paraId="04FE950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2</w:t>
                  </w:r>
                </w:p>
              </w:tc>
              <w:tc>
                <w:tcPr>
                  <w:tcW w:w="0" w:type="auto"/>
                  <w:shd w:val="clear" w:color="auto" w:fill="auto"/>
                  <w:vAlign w:val="center"/>
                </w:tcPr>
                <w:p w14:paraId="06286384">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KYN-12，4000A/40kA（3s），真空单断口断路器，含电流互感器4000/1A（5P30/5P30/5P30/0.2/0.2S）</w:t>
                  </w:r>
                </w:p>
              </w:tc>
            </w:tr>
            <w:tr w14:paraId="3DD9DD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0" w:type="auto"/>
                  <w:shd w:val="clear" w:color="auto" w:fill="auto"/>
                  <w:vAlign w:val="center"/>
                </w:tcPr>
                <w:p w14:paraId="31A1786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6</w:t>
                  </w:r>
                </w:p>
              </w:tc>
              <w:tc>
                <w:tcPr>
                  <w:tcW w:w="0" w:type="auto"/>
                  <w:shd w:val="clear" w:color="auto" w:fill="auto"/>
                  <w:vAlign w:val="center"/>
                </w:tcPr>
                <w:p w14:paraId="5DDC94C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10kV 分段柜</w:t>
                  </w:r>
                </w:p>
              </w:tc>
              <w:tc>
                <w:tcPr>
                  <w:tcW w:w="280" w:type="pct"/>
                  <w:shd w:val="clear" w:color="auto" w:fill="auto"/>
                  <w:vAlign w:val="center"/>
                </w:tcPr>
                <w:p w14:paraId="354F9F5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面</w:t>
                  </w:r>
                </w:p>
              </w:tc>
              <w:tc>
                <w:tcPr>
                  <w:tcW w:w="281" w:type="pct"/>
                  <w:shd w:val="clear" w:color="auto" w:fill="auto"/>
                  <w:vAlign w:val="center"/>
                </w:tcPr>
                <w:p w14:paraId="0ECFEE7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1</w:t>
                  </w:r>
                </w:p>
              </w:tc>
              <w:tc>
                <w:tcPr>
                  <w:tcW w:w="0" w:type="auto"/>
                  <w:shd w:val="clear" w:color="auto" w:fill="auto"/>
                  <w:vAlign w:val="center"/>
                </w:tcPr>
                <w:p w14:paraId="2756229E">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KYN-12，4000A/40kA（3s），含分段断路器、电流互感器4000/1A</w:t>
                  </w:r>
                </w:p>
              </w:tc>
            </w:tr>
            <w:tr w14:paraId="73CA39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0" w:type="auto"/>
                  <w:shd w:val="clear" w:color="auto" w:fill="auto"/>
                  <w:vAlign w:val="center"/>
                </w:tcPr>
                <w:p w14:paraId="2DD8521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7</w:t>
                  </w:r>
                </w:p>
              </w:tc>
              <w:tc>
                <w:tcPr>
                  <w:tcW w:w="0" w:type="auto"/>
                  <w:shd w:val="clear" w:color="auto" w:fill="auto"/>
                  <w:vAlign w:val="center"/>
                </w:tcPr>
                <w:p w14:paraId="0BE060C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10kV 馈线柜</w:t>
                  </w:r>
                </w:p>
              </w:tc>
              <w:tc>
                <w:tcPr>
                  <w:tcW w:w="280" w:type="pct"/>
                  <w:shd w:val="clear" w:color="auto" w:fill="auto"/>
                  <w:vAlign w:val="center"/>
                </w:tcPr>
                <w:p w14:paraId="42C1FD8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面</w:t>
                  </w:r>
                </w:p>
              </w:tc>
              <w:tc>
                <w:tcPr>
                  <w:tcW w:w="281" w:type="pct"/>
                  <w:shd w:val="clear" w:color="auto" w:fill="auto"/>
                  <w:vAlign w:val="center"/>
                </w:tcPr>
                <w:p w14:paraId="31E71CE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32</w:t>
                  </w:r>
                </w:p>
              </w:tc>
              <w:tc>
                <w:tcPr>
                  <w:tcW w:w="0" w:type="auto"/>
                  <w:shd w:val="clear" w:color="auto" w:fill="auto"/>
                  <w:vAlign w:val="center"/>
                </w:tcPr>
                <w:p w14:paraId="45E155C0">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KYN-12，1600A/31.5kA（3s），真空断路器，电流互感器1600/1A（5P30/5P30/0.2/0.2S），电缆出线</w:t>
                  </w:r>
                </w:p>
              </w:tc>
            </w:tr>
            <w:tr w14:paraId="4C34DD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0" w:type="auto"/>
                  <w:shd w:val="clear" w:color="auto" w:fill="auto"/>
                  <w:vAlign w:val="center"/>
                </w:tcPr>
                <w:p w14:paraId="776555D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8</w:t>
                  </w:r>
                </w:p>
              </w:tc>
              <w:tc>
                <w:tcPr>
                  <w:tcW w:w="0" w:type="auto"/>
                  <w:shd w:val="clear" w:color="auto" w:fill="auto"/>
                  <w:vAlign w:val="center"/>
                </w:tcPr>
                <w:p w14:paraId="6D0C227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10kV 电容器出线柜</w:t>
                  </w:r>
                </w:p>
              </w:tc>
              <w:tc>
                <w:tcPr>
                  <w:tcW w:w="280" w:type="pct"/>
                  <w:shd w:val="clear" w:color="auto" w:fill="auto"/>
                  <w:vAlign w:val="center"/>
                </w:tcPr>
                <w:p w14:paraId="213F9DF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面</w:t>
                  </w:r>
                </w:p>
              </w:tc>
              <w:tc>
                <w:tcPr>
                  <w:tcW w:w="281" w:type="pct"/>
                  <w:shd w:val="clear" w:color="auto" w:fill="auto"/>
                  <w:vAlign w:val="center"/>
                </w:tcPr>
                <w:p w14:paraId="1C2581A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4</w:t>
                  </w:r>
                </w:p>
              </w:tc>
              <w:tc>
                <w:tcPr>
                  <w:tcW w:w="0" w:type="auto"/>
                  <w:shd w:val="clear" w:color="auto" w:fill="auto"/>
                  <w:vAlign w:val="center"/>
                </w:tcPr>
                <w:p w14:paraId="30686239">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KYN-12，1250A/31.5kA，电流互感器300-600/1A</w:t>
                  </w:r>
                </w:p>
              </w:tc>
            </w:tr>
            <w:tr w14:paraId="420B88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0" w:type="auto"/>
                  <w:shd w:val="clear" w:color="auto" w:fill="auto"/>
                  <w:vAlign w:val="center"/>
                </w:tcPr>
                <w:p w14:paraId="35F5FB7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9</w:t>
                  </w:r>
                </w:p>
              </w:tc>
              <w:tc>
                <w:tcPr>
                  <w:tcW w:w="0" w:type="auto"/>
                  <w:shd w:val="clear" w:color="auto" w:fill="auto"/>
                  <w:vAlign w:val="center"/>
                </w:tcPr>
                <w:p w14:paraId="045493D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10kV 站用变出线柜</w:t>
                  </w:r>
                </w:p>
              </w:tc>
              <w:tc>
                <w:tcPr>
                  <w:tcW w:w="280" w:type="pct"/>
                  <w:shd w:val="clear" w:color="auto" w:fill="auto"/>
                  <w:vAlign w:val="center"/>
                </w:tcPr>
                <w:p w14:paraId="5598CA4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面</w:t>
                  </w:r>
                </w:p>
              </w:tc>
              <w:tc>
                <w:tcPr>
                  <w:tcW w:w="281" w:type="pct"/>
                  <w:shd w:val="clear" w:color="auto" w:fill="auto"/>
                  <w:vAlign w:val="center"/>
                </w:tcPr>
                <w:p w14:paraId="51EA15A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2</w:t>
                  </w:r>
                </w:p>
              </w:tc>
              <w:tc>
                <w:tcPr>
                  <w:tcW w:w="0" w:type="auto"/>
                  <w:shd w:val="clear" w:color="auto" w:fill="auto"/>
                  <w:vAlign w:val="center"/>
                </w:tcPr>
                <w:p w14:paraId="13719174">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KYN-12，1250A/31.5kA，电流互感器300-600/1A、50-100/1A</w:t>
                  </w:r>
                </w:p>
              </w:tc>
            </w:tr>
            <w:tr w14:paraId="06677E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0" w:type="auto"/>
                  <w:shd w:val="clear" w:color="auto" w:fill="auto"/>
                  <w:vAlign w:val="center"/>
                </w:tcPr>
                <w:p w14:paraId="7CC9603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10</w:t>
                  </w:r>
                </w:p>
              </w:tc>
              <w:tc>
                <w:tcPr>
                  <w:tcW w:w="0" w:type="auto"/>
                  <w:shd w:val="clear" w:color="auto" w:fill="auto"/>
                  <w:vAlign w:val="center"/>
                </w:tcPr>
                <w:p w14:paraId="2857230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10kV 接地变出线柜</w:t>
                  </w:r>
                </w:p>
              </w:tc>
              <w:tc>
                <w:tcPr>
                  <w:tcW w:w="280" w:type="pct"/>
                  <w:shd w:val="clear" w:color="auto" w:fill="auto"/>
                  <w:vAlign w:val="center"/>
                </w:tcPr>
                <w:p w14:paraId="608FC63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面</w:t>
                  </w:r>
                </w:p>
              </w:tc>
              <w:tc>
                <w:tcPr>
                  <w:tcW w:w="281" w:type="pct"/>
                  <w:shd w:val="clear" w:color="auto" w:fill="auto"/>
                  <w:vAlign w:val="center"/>
                </w:tcPr>
                <w:p w14:paraId="596E37B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2</w:t>
                  </w:r>
                </w:p>
              </w:tc>
              <w:tc>
                <w:tcPr>
                  <w:tcW w:w="0" w:type="auto"/>
                  <w:shd w:val="clear" w:color="auto" w:fill="auto"/>
                  <w:vAlign w:val="center"/>
                </w:tcPr>
                <w:p w14:paraId="42A4393F">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KYN-12，1250A/31.5kA，电流互感器300-600/1A、50-100/1A</w:t>
                  </w:r>
                </w:p>
              </w:tc>
            </w:tr>
            <w:tr w14:paraId="56FA1E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0" w:type="auto"/>
                  <w:shd w:val="clear" w:color="auto" w:fill="auto"/>
                  <w:vAlign w:val="center"/>
                </w:tcPr>
                <w:p w14:paraId="0AA61BF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11</w:t>
                  </w:r>
                </w:p>
              </w:tc>
              <w:tc>
                <w:tcPr>
                  <w:tcW w:w="0" w:type="auto"/>
                  <w:shd w:val="clear" w:color="auto" w:fill="auto"/>
                  <w:vAlign w:val="center"/>
                </w:tcPr>
                <w:p w14:paraId="518C8CE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10kV 母线设备柜（PT柜）</w:t>
                  </w:r>
                </w:p>
              </w:tc>
              <w:tc>
                <w:tcPr>
                  <w:tcW w:w="280" w:type="pct"/>
                  <w:shd w:val="clear" w:color="auto" w:fill="auto"/>
                  <w:vAlign w:val="center"/>
                </w:tcPr>
                <w:p w14:paraId="29B9D31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面</w:t>
                  </w:r>
                </w:p>
              </w:tc>
              <w:tc>
                <w:tcPr>
                  <w:tcW w:w="281" w:type="pct"/>
                  <w:shd w:val="clear" w:color="auto" w:fill="auto"/>
                  <w:vAlign w:val="center"/>
                </w:tcPr>
                <w:p w14:paraId="674A66B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2</w:t>
                  </w:r>
                </w:p>
              </w:tc>
              <w:tc>
                <w:tcPr>
                  <w:tcW w:w="0" w:type="auto"/>
                  <w:shd w:val="clear" w:color="auto" w:fill="auto"/>
                  <w:vAlign w:val="center"/>
                </w:tcPr>
                <w:p w14:paraId="01E96AA7">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KYN-12，含户内干式全绝缘抗铁磁谐振型电压互感器（10/√3）/（0.1/√3）/（0.1/√3）/（0.1/√3）/（0.1/3）kV，0.2/0.5(3P)/0.5(3P)/3P</w:t>
                  </w:r>
                </w:p>
              </w:tc>
            </w:tr>
            <w:tr w14:paraId="660520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0" w:type="auto"/>
                  <w:shd w:val="clear" w:color="auto" w:fill="auto"/>
                  <w:vAlign w:val="center"/>
                </w:tcPr>
                <w:p w14:paraId="2A37125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12</w:t>
                  </w:r>
                </w:p>
              </w:tc>
              <w:tc>
                <w:tcPr>
                  <w:tcW w:w="0" w:type="auto"/>
                  <w:shd w:val="clear" w:color="auto" w:fill="auto"/>
                  <w:vAlign w:val="center"/>
                </w:tcPr>
                <w:p w14:paraId="24D0B1E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并联电容器成套装置</w:t>
                  </w:r>
                </w:p>
              </w:tc>
              <w:tc>
                <w:tcPr>
                  <w:tcW w:w="280" w:type="pct"/>
                  <w:shd w:val="clear" w:color="auto" w:fill="auto"/>
                  <w:vAlign w:val="center"/>
                </w:tcPr>
                <w:p w14:paraId="2DE01CA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组</w:t>
                  </w:r>
                </w:p>
              </w:tc>
              <w:tc>
                <w:tcPr>
                  <w:tcW w:w="281" w:type="pct"/>
                  <w:shd w:val="clear" w:color="auto" w:fill="auto"/>
                  <w:vAlign w:val="center"/>
                </w:tcPr>
                <w:p w14:paraId="5A08D71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4</w:t>
                  </w:r>
                </w:p>
              </w:tc>
              <w:tc>
                <w:tcPr>
                  <w:tcW w:w="0" w:type="auto"/>
                  <w:shd w:val="clear" w:color="auto" w:fill="auto"/>
                  <w:vAlign w:val="center"/>
                </w:tcPr>
                <w:p w14:paraId="544839F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10kV、5Mvar/组，户内布置，含串联电抗器、放电线圈、避雷器、围栏等</w:t>
                  </w:r>
                </w:p>
              </w:tc>
            </w:tr>
            <w:tr w14:paraId="04DEF5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0" w:type="auto"/>
                  <w:shd w:val="clear" w:color="auto" w:fill="auto"/>
                  <w:vAlign w:val="center"/>
                </w:tcPr>
                <w:p w14:paraId="07604AD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13</w:t>
                  </w:r>
                </w:p>
              </w:tc>
              <w:tc>
                <w:tcPr>
                  <w:tcW w:w="0" w:type="auto"/>
                  <w:shd w:val="clear" w:color="auto" w:fill="auto"/>
                  <w:vAlign w:val="center"/>
                </w:tcPr>
                <w:p w14:paraId="459D82F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站用变压器</w:t>
                  </w:r>
                </w:p>
              </w:tc>
              <w:tc>
                <w:tcPr>
                  <w:tcW w:w="280" w:type="pct"/>
                  <w:shd w:val="clear" w:color="auto" w:fill="auto"/>
                  <w:vAlign w:val="center"/>
                </w:tcPr>
                <w:p w14:paraId="4D3377D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台</w:t>
                  </w:r>
                </w:p>
              </w:tc>
              <w:tc>
                <w:tcPr>
                  <w:tcW w:w="281" w:type="pct"/>
                  <w:shd w:val="clear" w:color="auto" w:fill="auto"/>
                  <w:vAlign w:val="center"/>
                </w:tcPr>
                <w:p w14:paraId="2D2C968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2</w:t>
                  </w:r>
                </w:p>
              </w:tc>
              <w:tc>
                <w:tcPr>
                  <w:tcW w:w="0" w:type="auto"/>
                  <w:shd w:val="clear" w:color="auto" w:fill="auto"/>
                  <w:vAlign w:val="center"/>
                </w:tcPr>
                <w:p w14:paraId="68E883C0">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SC</w:t>
                  </w:r>
                  <w:r>
                    <w:rPr>
                      <w:rFonts w:hint="default" w:ascii="Times New Roman" w:hAnsi="Times New Roman" w:cs="Times New Roman"/>
                      <w:b w:val="0"/>
                      <w:sz w:val="21"/>
                      <w:szCs w:val="21"/>
                      <w:lang w:val="en-US" w:eastAsia="zh-CN"/>
                    </w:rPr>
                    <w:t xml:space="preserve"> </w:t>
                  </w:r>
                  <w:r>
                    <w:rPr>
                      <w:rFonts w:hint="default" w:ascii="Times New Roman" w:hAnsi="Times New Roman" w:eastAsia="宋体" w:cs="Times New Roman"/>
                      <w:b w:val="0"/>
                      <w:sz w:val="21"/>
                      <w:szCs w:val="21"/>
                    </w:rPr>
                    <w:t>200/10.5，200kVA，干式带外壳（2级能效），Dyn11，U%=4，10.5±2×2.5%/0.4kV</w:t>
                  </w:r>
                </w:p>
              </w:tc>
            </w:tr>
            <w:tr w14:paraId="242EC9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0" w:type="auto"/>
                  <w:shd w:val="clear" w:color="auto" w:fill="auto"/>
                  <w:vAlign w:val="center"/>
                </w:tcPr>
                <w:p w14:paraId="45948D9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14</w:t>
                  </w:r>
                </w:p>
              </w:tc>
              <w:tc>
                <w:tcPr>
                  <w:tcW w:w="0" w:type="auto"/>
                  <w:shd w:val="clear" w:color="auto" w:fill="auto"/>
                  <w:vAlign w:val="center"/>
                </w:tcPr>
                <w:p w14:paraId="223EA24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接地变及小电阻成套装置</w:t>
                  </w:r>
                </w:p>
              </w:tc>
              <w:tc>
                <w:tcPr>
                  <w:tcW w:w="280" w:type="pct"/>
                  <w:shd w:val="clear" w:color="auto" w:fill="auto"/>
                  <w:vAlign w:val="center"/>
                </w:tcPr>
                <w:p w14:paraId="1D35D02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套</w:t>
                  </w:r>
                </w:p>
              </w:tc>
              <w:tc>
                <w:tcPr>
                  <w:tcW w:w="281" w:type="pct"/>
                  <w:shd w:val="clear" w:color="auto" w:fill="auto"/>
                  <w:vAlign w:val="center"/>
                </w:tcPr>
                <w:p w14:paraId="684BADF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2</w:t>
                  </w:r>
                </w:p>
              </w:tc>
              <w:tc>
                <w:tcPr>
                  <w:tcW w:w="0" w:type="auto"/>
                  <w:shd w:val="clear" w:color="auto" w:fill="auto"/>
                  <w:vAlign w:val="center"/>
                </w:tcPr>
                <w:p w14:paraId="5E86C29E">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接地变容量400kVA，小电阻电流600A、阻值不大于32Ω，含电流互感器、隔离开关等，户内布置</w:t>
                  </w:r>
                </w:p>
              </w:tc>
            </w:tr>
            <w:tr w14:paraId="759018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0" w:type="auto"/>
                  <w:shd w:val="clear" w:color="auto" w:fill="auto"/>
                  <w:vAlign w:val="center"/>
                </w:tcPr>
                <w:p w14:paraId="4DF7065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15</w:t>
                  </w:r>
                </w:p>
              </w:tc>
              <w:tc>
                <w:tcPr>
                  <w:tcW w:w="0" w:type="auto"/>
                  <w:shd w:val="clear" w:color="auto" w:fill="auto"/>
                  <w:vAlign w:val="center"/>
                </w:tcPr>
                <w:p w14:paraId="699C5B5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氧化锌避雷器（10kV）</w:t>
                  </w:r>
                </w:p>
              </w:tc>
              <w:tc>
                <w:tcPr>
                  <w:tcW w:w="280" w:type="pct"/>
                  <w:shd w:val="clear" w:color="auto" w:fill="auto"/>
                  <w:vAlign w:val="center"/>
                </w:tcPr>
                <w:p w14:paraId="33D6790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只</w:t>
                  </w:r>
                </w:p>
              </w:tc>
              <w:tc>
                <w:tcPr>
                  <w:tcW w:w="281" w:type="pct"/>
                  <w:shd w:val="clear" w:color="auto" w:fill="auto"/>
                  <w:vAlign w:val="center"/>
                </w:tcPr>
                <w:p w14:paraId="5A16EA6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按需</w:t>
                  </w:r>
                </w:p>
              </w:tc>
              <w:tc>
                <w:tcPr>
                  <w:tcW w:w="0" w:type="auto"/>
                  <w:shd w:val="clear" w:color="auto" w:fill="auto"/>
                  <w:vAlign w:val="center"/>
                </w:tcPr>
                <w:p w14:paraId="6B8F93B8">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HY5W-17/45，额定电压17kV，雷电冲击残压45kV</w:t>
                  </w:r>
                </w:p>
              </w:tc>
            </w:tr>
            <w:tr w14:paraId="42D641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0" w:type="auto"/>
                  <w:shd w:val="clear" w:color="auto" w:fill="auto"/>
                  <w:vAlign w:val="center"/>
                </w:tcPr>
                <w:p w14:paraId="2E48AD0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16</w:t>
                  </w:r>
                </w:p>
              </w:tc>
              <w:tc>
                <w:tcPr>
                  <w:tcW w:w="0" w:type="auto"/>
                  <w:shd w:val="clear" w:color="auto" w:fill="auto"/>
                  <w:vAlign w:val="center"/>
                </w:tcPr>
                <w:p w14:paraId="1E44E0D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独立避雷针</w:t>
                  </w:r>
                </w:p>
              </w:tc>
              <w:tc>
                <w:tcPr>
                  <w:tcW w:w="280" w:type="pct"/>
                  <w:shd w:val="clear" w:color="auto" w:fill="auto"/>
                  <w:vAlign w:val="center"/>
                </w:tcPr>
                <w:p w14:paraId="048BCBC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支</w:t>
                  </w:r>
                </w:p>
              </w:tc>
              <w:tc>
                <w:tcPr>
                  <w:tcW w:w="281" w:type="pct"/>
                  <w:shd w:val="clear" w:color="auto" w:fill="auto"/>
                  <w:vAlign w:val="center"/>
                </w:tcPr>
                <w:p w14:paraId="67A12D3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2</w:t>
                  </w:r>
                </w:p>
              </w:tc>
              <w:tc>
                <w:tcPr>
                  <w:tcW w:w="0" w:type="auto"/>
                  <w:shd w:val="clear" w:color="auto" w:fill="auto"/>
                  <w:vAlign w:val="center"/>
                </w:tcPr>
                <w:p w14:paraId="0D073551">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格构式，高30m，主材Q355C角钢</w:t>
                  </w:r>
                </w:p>
              </w:tc>
            </w:tr>
            <w:tr w14:paraId="37D25E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0" w:type="auto"/>
                  <w:shd w:val="clear" w:color="auto" w:fill="auto"/>
                  <w:vAlign w:val="center"/>
                </w:tcPr>
                <w:p w14:paraId="2EEC0AE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二</w:t>
                  </w:r>
                </w:p>
              </w:tc>
              <w:tc>
                <w:tcPr>
                  <w:tcW w:w="4719" w:type="pct"/>
                  <w:gridSpan w:val="4"/>
                  <w:shd w:val="clear" w:color="auto" w:fill="auto"/>
                  <w:vAlign w:val="center"/>
                </w:tcPr>
                <w:p w14:paraId="38EE335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二次及通信设备</w:t>
                  </w:r>
                </w:p>
              </w:tc>
            </w:tr>
            <w:tr w14:paraId="2F340B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0" w:type="auto"/>
                  <w:shd w:val="clear" w:color="auto" w:fill="auto"/>
                  <w:vAlign w:val="center"/>
                </w:tcPr>
                <w:p w14:paraId="7737262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17</w:t>
                  </w:r>
                </w:p>
              </w:tc>
              <w:tc>
                <w:tcPr>
                  <w:tcW w:w="0" w:type="auto"/>
                  <w:shd w:val="clear" w:color="auto" w:fill="auto"/>
                  <w:vAlign w:val="center"/>
                </w:tcPr>
                <w:p w14:paraId="52A0E75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计算机监控系统</w:t>
                  </w:r>
                </w:p>
              </w:tc>
              <w:tc>
                <w:tcPr>
                  <w:tcW w:w="280" w:type="pct"/>
                  <w:shd w:val="clear" w:color="auto" w:fill="auto"/>
                  <w:vAlign w:val="center"/>
                </w:tcPr>
                <w:p w14:paraId="1CBAF5E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套</w:t>
                  </w:r>
                </w:p>
              </w:tc>
              <w:tc>
                <w:tcPr>
                  <w:tcW w:w="281" w:type="pct"/>
                  <w:shd w:val="clear" w:color="auto" w:fill="auto"/>
                  <w:vAlign w:val="center"/>
                </w:tcPr>
                <w:p w14:paraId="6A4370E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1</w:t>
                  </w:r>
                </w:p>
              </w:tc>
              <w:tc>
                <w:tcPr>
                  <w:tcW w:w="0" w:type="auto"/>
                  <w:shd w:val="clear" w:color="auto" w:fill="auto"/>
                  <w:vAlign w:val="center"/>
                </w:tcPr>
                <w:p w14:paraId="1F6BECEE">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分层分布式、DL/T860（IEC61850）标准，主机兼操作员/工程师站及数据服务器1套、Ⅰ区数据通信网关机兼图形网关机2台，Ⅱ区、Ⅲ/Ⅳ区网关机各1套</w:t>
                  </w:r>
                </w:p>
              </w:tc>
            </w:tr>
            <w:tr w14:paraId="581BD9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0" w:type="auto"/>
                  <w:shd w:val="clear" w:color="auto" w:fill="auto"/>
                  <w:vAlign w:val="center"/>
                </w:tcPr>
                <w:p w14:paraId="5936E6E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18</w:t>
                  </w:r>
                </w:p>
              </w:tc>
              <w:tc>
                <w:tcPr>
                  <w:tcW w:w="0" w:type="auto"/>
                  <w:shd w:val="clear" w:color="auto" w:fill="auto"/>
                  <w:vAlign w:val="center"/>
                </w:tcPr>
                <w:p w14:paraId="383495E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110kV线路保护装置</w:t>
                  </w:r>
                </w:p>
              </w:tc>
              <w:tc>
                <w:tcPr>
                  <w:tcW w:w="280" w:type="pct"/>
                  <w:shd w:val="clear" w:color="auto" w:fill="auto"/>
                  <w:vAlign w:val="center"/>
                </w:tcPr>
                <w:p w14:paraId="04BA4FD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套</w:t>
                  </w:r>
                </w:p>
              </w:tc>
              <w:tc>
                <w:tcPr>
                  <w:tcW w:w="281" w:type="pct"/>
                  <w:shd w:val="clear" w:color="auto" w:fill="auto"/>
                  <w:vAlign w:val="center"/>
                </w:tcPr>
                <w:p w14:paraId="54F1CA5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2</w:t>
                  </w:r>
                </w:p>
              </w:tc>
              <w:tc>
                <w:tcPr>
                  <w:tcW w:w="0" w:type="auto"/>
                  <w:shd w:val="clear" w:color="auto" w:fill="auto"/>
                  <w:vAlign w:val="center"/>
                </w:tcPr>
                <w:p w14:paraId="70D1921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光纤电流纵差保护（含三段相间及接地距离、四段零序方向过流后备保护、三相一次重合闸），与对侧站型号一致</w:t>
                  </w:r>
                </w:p>
              </w:tc>
            </w:tr>
            <w:tr w14:paraId="0B394F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0" w:type="auto"/>
                  <w:shd w:val="clear" w:color="auto" w:fill="auto"/>
                  <w:vAlign w:val="center"/>
                </w:tcPr>
                <w:p w14:paraId="5EA9439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19</w:t>
                  </w:r>
                </w:p>
              </w:tc>
              <w:tc>
                <w:tcPr>
                  <w:tcW w:w="0" w:type="auto"/>
                  <w:shd w:val="clear" w:color="auto" w:fill="auto"/>
                  <w:vAlign w:val="center"/>
                </w:tcPr>
                <w:p w14:paraId="34CFDB7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主变保护装置</w:t>
                  </w:r>
                </w:p>
              </w:tc>
              <w:tc>
                <w:tcPr>
                  <w:tcW w:w="280" w:type="pct"/>
                  <w:shd w:val="clear" w:color="auto" w:fill="auto"/>
                  <w:vAlign w:val="center"/>
                </w:tcPr>
                <w:p w14:paraId="7239321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套</w:t>
                  </w:r>
                </w:p>
              </w:tc>
              <w:tc>
                <w:tcPr>
                  <w:tcW w:w="281" w:type="pct"/>
                  <w:shd w:val="clear" w:color="auto" w:fill="auto"/>
                  <w:vAlign w:val="center"/>
                </w:tcPr>
                <w:p w14:paraId="63F2777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2</w:t>
                  </w:r>
                </w:p>
              </w:tc>
              <w:tc>
                <w:tcPr>
                  <w:tcW w:w="0" w:type="auto"/>
                  <w:shd w:val="clear" w:color="auto" w:fill="auto"/>
                  <w:vAlign w:val="center"/>
                </w:tcPr>
                <w:p w14:paraId="304C4591">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每台主变配主后一体化保护装置2台、非电量保护装置1台；含差动速断、比率差动、复压闭锁过流、间隙零序、零序方向、过负荷、瓦斯等</w:t>
                  </w:r>
                </w:p>
              </w:tc>
            </w:tr>
            <w:tr w14:paraId="26B989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0" w:type="auto"/>
                  <w:shd w:val="clear" w:color="auto" w:fill="auto"/>
                  <w:vAlign w:val="center"/>
                </w:tcPr>
                <w:p w14:paraId="3546E18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20</w:t>
                  </w:r>
                </w:p>
              </w:tc>
              <w:tc>
                <w:tcPr>
                  <w:tcW w:w="0" w:type="auto"/>
                  <w:shd w:val="clear" w:color="auto" w:fill="auto"/>
                  <w:vAlign w:val="center"/>
                </w:tcPr>
                <w:p w14:paraId="04D35C3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10kV保护测控一体化装置</w:t>
                  </w:r>
                </w:p>
              </w:tc>
              <w:tc>
                <w:tcPr>
                  <w:tcW w:w="280" w:type="pct"/>
                  <w:shd w:val="clear" w:color="auto" w:fill="auto"/>
                  <w:vAlign w:val="center"/>
                </w:tcPr>
                <w:p w14:paraId="31F5AC0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台</w:t>
                  </w:r>
                </w:p>
              </w:tc>
              <w:tc>
                <w:tcPr>
                  <w:tcW w:w="281" w:type="pct"/>
                  <w:shd w:val="clear" w:color="auto" w:fill="auto"/>
                  <w:vAlign w:val="center"/>
                </w:tcPr>
                <w:p w14:paraId="7FEC233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43</w:t>
                  </w:r>
                </w:p>
              </w:tc>
              <w:tc>
                <w:tcPr>
                  <w:tcW w:w="0" w:type="auto"/>
                  <w:shd w:val="clear" w:color="auto" w:fill="auto"/>
                  <w:vAlign w:val="center"/>
                </w:tcPr>
                <w:p w14:paraId="3811F4E6">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线路32台、分段1台、备自投1台、电容器4台、所用变及接地变2台、母线测控2台、电压并列1台</w:t>
                  </w:r>
                </w:p>
              </w:tc>
            </w:tr>
            <w:tr w14:paraId="30D94F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0" w:type="auto"/>
                  <w:shd w:val="clear" w:color="auto" w:fill="auto"/>
                  <w:vAlign w:val="center"/>
                </w:tcPr>
                <w:p w14:paraId="5A5FB57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21</w:t>
                  </w:r>
                </w:p>
              </w:tc>
              <w:tc>
                <w:tcPr>
                  <w:tcW w:w="0" w:type="auto"/>
                  <w:shd w:val="clear" w:color="auto" w:fill="auto"/>
                  <w:vAlign w:val="center"/>
                </w:tcPr>
                <w:p w14:paraId="250545B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小电流接地选线装置</w:t>
                  </w:r>
                </w:p>
              </w:tc>
              <w:tc>
                <w:tcPr>
                  <w:tcW w:w="280" w:type="pct"/>
                  <w:shd w:val="clear" w:color="auto" w:fill="auto"/>
                  <w:vAlign w:val="center"/>
                </w:tcPr>
                <w:p w14:paraId="764C864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套</w:t>
                  </w:r>
                </w:p>
              </w:tc>
              <w:tc>
                <w:tcPr>
                  <w:tcW w:w="281" w:type="pct"/>
                  <w:shd w:val="clear" w:color="auto" w:fill="auto"/>
                  <w:vAlign w:val="center"/>
                </w:tcPr>
                <w:p w14:paraId="26FD3A4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1</w:t>
                  </w:r>
                </w:p>
              </w:tc>
              <w:tc>
                <w:tcPr>
                  <w:tcW w:w="0" w:type="auto"/>
                  <w:shd w:val="clear" w:color="auto" w:fill="auto"/>
                  <w:vAlign w:val="center"/>
                </w:tcPr>
                <w:p w14:paraId="0956F3A7">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满足48回出线间隔接入要求，组屏1面</w:t>
                  </w:r>
                </w:p>
              </w:tc>
            </w:tr>
            <w:tr w14:paraId="56AE3B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0" w:type="auto"/>
                  <w:shd w:val="clear" w:color="auto" w:fill="auto"/>
                  <w:vAlign w:val="center"/>
                </w:tcPr>
                <w:p w14:paraId="3CF5843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22</w:t>
                  </w:r>
                </w:p>
              </w:tc>
              <w:tc>
                <w:tcPr>
                  <w:tcW w:w="0" w:type="auto"/>
                  <w:shd w:val="clear" w:color="auto" w:fill="auto"/>
                  <w:vAlign w:val="center"/>
                </w:tcPr>
                <w:p w14:paraId="3B7490A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故障录波装置</w:t>
                  </w:r>
                </w:p>
              </w:tc>
              <w:tc>
                <w:tcPr>
                  <w:tcW w:w="280" w:type="pct"/>
                  <w:shd w:val="clear" w:color="auto" w:fill="auto"/>
                  <w:vAlign w:val="center"/>
                </w:tcPr>
                <w:p w14:paraId="0A3C024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套</w:t>
                  </w:r>
                </w:p>
              </w:tc>
              <w:tc>
                <w:tcPr>
                  <w:tcW w:w="281" w:type="pct"/>
                  <w:shd w:val="clear" w:color="auto" w:fill="auto"/>
                  <w:vAlign w:val="center"/>
                </w:tcPr>
                <w:p w14:paraId="6449F3C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1</w:t>
                  </w:r>
                </w:p>
              </w:tc>
              <w:tc>
                <w:tcPr>
                  <w:tcW w:w="0" w:type="auto"/>
                  <w:shd w:val="clear" w:color="auto" w:fill="auto"/>
                  <w:vAlign w:val="center"/>
                </w:tcPr>
                <w:p w14:paraId="6BC5BB0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96路模拟量、256路开关量，具备直流母线电压对地检测功能</w:t>
                  </w:r>
                </w:p>
              </w:tc>
            </w:tr>
            <w:tr w14:paraId="45352E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0" w:type="auto"/>
                  <w:shd w:val="clear" w:color="auto" w:fill="auto"/>
                  <w:vAlign w:val="center"/>
                </w:tcPr>
                <w:p w14:paraId="34BEA16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23</w:t>
                  </w:r>
                </w:p>
              </w:tc>
              <w:tc>
                <w:tcPr>
                  <w:tcW w:w="0" w:type="auto"/>
                  <w:shd w:val="clear" w:color="auto" w:fill="auto"/>
                  <w:vAlign w:val="center"/>
                </w:tcPr>
                <w:p w14:paraId="41B8DE1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电能表及电能量远方终端</w:t>
                  </w:r>
                </w:p>
              </w:tc>
              <w:tc>
                <w:tcPr>
                  <w:tcW w:w="280" w:type="pct"/>
                  <w:shd w:val="clear" w:color="auto" w:fill="auto"/>
                  <w:vAlign w:val="center"/>
                </w:tcPr>
                <w:p w14:paraId="5393118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套</w:t>
                  </w:r>
                </w:p>
              </w:tc>
              <w:tc>
                <w:tcPr>
                  <w:tcW w:w="281" w:type="pct"/>
                  <w:shd w:val="clear" w:color="auto" w:fill="auto"/>
                  <w:vAlign w:val="center"/>
                </w:tcPr>
                <w:p w14:paraId="15A3686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1</w:t>
                  </w:r>
                </w:p>
              </w:tc>
              <w:tc>
                <w:tcPr>
                  <w:tcW w:w="0" w:type="auto"/>
                  <w:shd w:val="clear" w:color="auto" w:fill="auto"/>
                  <w:vAlign w:val="center"/>
                </w:tcPr>
                <w:p w14:paraId="327613F1">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关口表（主变高压侧，主副表，D级/0.2S级）、考核表（0.2S级/0.5S级）；电能量远方终端2台，组屏安装</w:t>
                  </w:r>
                </w:p>
              </w:tc>
            </w:tr>
            <w:tr w14:paraId="16B2B0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0" w:type="auto"/>
                  <w:shd w:val="clear" w:color="auto" w:fill="auto"/>
                  <w:vAlign w:val="center"/>
                </w:tcPr>
                <w:p w14:paraId="5569BD6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24</w:t>
                  </w:r>
                </w:p>
              </w:tc>
              <w:tc>
                <w:tcPr>
                  <w:tcW w:w="0" w:type="auto"/>
                  <w:shd w:val="clear" w:color="auto" w:fill="auto"/>
                  <w:vAlign w:val="center"/>
                </w:tcPr>
                <w:p w14:paraId="5566558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调度数据网及二次安防设备</w:t>
                  </w:r>
                </w:p>
              </w:tc>
              <w:tc>
                <w:tcPr>
                  <w:tcW w:w="280" w:type="pct"/>
                  <w:shd w:val="clear" w:color="auto" w:fill="auto"/>
                  <w:vAlign w:val="center"/>
                </w:tcPr>
                <w:p w14:paraId="61EEEF8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套</w:t>
                  </w:r>
                </w:p>
              </w:tc>
              <w:tc>
                <w:tcPr>
                  <w:tcW w:w="281" w:type="pct"/>
                  <w:shd w:val="clear" w:color="auto" w:fill="auto"/>
                  <w:vAlign w:val="center"/>
                </w:tcPr>
                <w:p w14:paraId="00AABE1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1</w:t>
                  </w:r>
                </w:p>
              </w:tc>
              <w:tc>
                <w:tcPr>
                  <w:tcW w:w="0" w:type="auto"/>
                  <w:shd w:val="clear" w:color="auto" w:fill="auto"/>
                  <w:vAlign w:val="center"/>
                </w:tcPr>
                <w:p w14:paraId="02181C69">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路由器2台、交换机4台、纵向加密装置4套、硬件防火墙2套、正/反向隔离装置各1台、网络安全监测装置2套、IDS、日志审计、防病毒网关、堡垒机等，共组2面屏</w:t>
                  </w:r>
                </w:p>
              </w:tc>
            </w:tr>
            <w:tr w14:paraId="2AF785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0" w:type="auto"/>
                  <w:shd w:val="clear" w:color="auto" w:fill="auto"/>
                  <w:vAlign w:val="center"/>
                </w:tcPr>
                <w:p w14:paraId="765344D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25</w:t>
                  </w:r>
                </w:p>
              </w:tc>
              <w:tc>
                <w:tcPr>
                  <w:tcW w:w="0" w:type="auto"/>
                  <w:shd w:val="clear" w:color="auto" w:fill="auto"/>
                  <w:vAlign w:val="center"/>
                </w:tcPr>
                <w:p w14:paraId="2F5DF37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交直流一体化电源系统</w:t>
                  </w:r>
                </w:p>
              </w:tc>
              <w:tc>
                <w:tcPr>
                  <w:tcW w:w="280" w:type="pct"/>
                  <w:shd w:val="clear" w:color="auto" w:fill="auto"/>
                  <w:vAlign w:val="center"/>
                </w:tcPr>
                <w:p w14:paraId="691EE38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套</w:t>
                  </w:r>
                </w:p>
              </w:tc>
              <w:tc>
                <w:tcPr>
                  <w:tcW w:w="281" w:type="pct"/>
                  <w:shd w:val="clear" w:color="auto" w:fill="auto"/>
                  <w:vAlign w:val="center"/>
                </w:tcPr>
                <w:p w14:paraId="66DB7BD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1</w:t>
                  </w:r>
                </w:p>
              </w:tc>
              <w:tc>
                <w:tcPr>
                  <w:tcW w:w="0" w:type="auto"/>
                  <w:shd w:val="clear" w:color="auto" w:fill="auto"/>
                  <w:vAlign w:val="center"/>
                </w:tcPr>
                <w:p w14:paraId="750D8DB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DC220V、300Ah蓄电池1组（104只），充电装置1套（5×20A，4+1冗余），UPS 10kVA双主机；直流屏5面、交流屏4面</w:t>
                  </w:r>
                </w:p>
              </w:tc>
            </w:tr>
            <w:tr w14:paraId="5CC7CC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0" w:type="auto"/>
                  <w:shd w:val="clear" w:color="auto" w:fill="auto"/>
                  <w:vAlign w:val="center"/>
                </w:tcPr>
                <w:p w14:paraId="0ACBFA4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26</w:t>
                  </w:r>
                </w:p>
              </w:tc>
              <w:tc>
                <w:tcPr>
                  <w:tcW w:w="0" w:type="auto"/>
                  <w:shd w:val="clear" w:color="auto" w:fill="auto"/>
                  <w:vAlign w:val="center"/>
                </w:tcPr>
                <w:p w14:paraId="7B00977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时间同步系统</w:t>
                  </w:r>
                </w:p>
              </w:tc>
              <w:tc>
                <w:tcPr>
                  <w:tcW w:w="280" w:type="pct"/>
                  <w:shd w:val="clear" w:color="auto" w:fill="auto"/>
                  <w:vAlign w:val="center"/>
                </w:tcPr>
                <w:p w14:paraId="07E819C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套</w:t>
                  </w:r>
                </w:p>
              </w:tc>
              <w:tc>
                <w:tcPr>
                  <w:tcW w:w="281" w:type="pct"/>
                  <w:shd w:val="clear" w:color="auto" w:fill="auto"/>
                  <w:vAlign w:val="center"/>
                </w:tcPr>
                <w:p w14:paraId="35E538C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1</w:t>
                  </w:r>
                </w:p>
              </w:tc>
              <w:tc>
                <w:tcPr>
                  <w:tcW w:w="0" w:type="auto"/>
                  <w:shd w:val="clear" w:color="auto" w:fill="auto"/>
                  <w:vAlign w:val="center"/>
                </w:tcPr>
                <w:p w14:paraId="641823B3">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主时钟2台（北斗授时），支持IRIG-B（DC）、SNTP对时，组屏1面</w:t>
                  </w:r>
                </w:p>
              </w:tc>
            </w:tr>
            <w:tr w14:paraId="01071D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0" w:type="auto"/>
                  <w:shd w:val="clear" w:color="auto" w:fill="auto"/>
                  <w:vAlign w:val="center"/>
                </w:tcPr>
                <w:p w14:paraId="4A8C1B4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27</w:t>
                  </w:r>
                </w:p>
              </w:tc>
              <w:tc>
                <w:tcPr>
                  <w:tcW w:w="0" w:type="auto"/>
                  <w:shd w:val="clear" w:color="auto" w:fill="auto"/>
                  <w:vAlign w:val="center"/>
                </w:tcPr>
                <w:p w14:paraId="1451B5F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智能辅助控制系统</w:t>
                  </w:r>
                </w:p>
              </w:tc>
              <w:tc>
                <w:tcPr>
                  <w:tcW w:w="280" w:type="pct"/>
                  <w:shd w:val="clear" w:color="auto" w:fill="auto"/>
                  <w:vAlign w:val="center"/>
                </w:tcPr>
                <w:p w14:paraId="584A2B7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套</w:t>
                  </w:r>
                </w:p>
              </w:tc>
              <w:tc>
                <w:tcPr>
                  <w:tcW w:w="281" w:type="pct"/>
                  <w:shd w:val="clear" w:color="auto" w:fill="auto"/>
                  <w:vAlign w:val="center"/>
                </w:tcPr>
                <w:p w14:paraId="4DFECAD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1</w:t>
                  </w:r>
                </w:p>
              </w:tc>
              <w:tc>
                <w:tcPr>
                  <w:tcW w:w="0" w:type="auto"/>
                  <w:shd w:val="clear" w:color="auto" w:fill="auto"/>
                  <w:vAlign w:val="center"/>
                </w:tcPr>
                <w:p w14:paraId="5B645A79">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含图像监视（摄像机约31台）、环境监测（温湿度、SF₆/O₂、水浸、漏水、水位）、火灾消防、安全防卫、动环等子系统</w:t>
                  </w:r>
                </w:p>
              </w:tc>
            </w:tr>
            <w:tr w14:paraId="6859C8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0" w:type="auto"/>
                  <w:shd w:val="clear" w:color="auto" w:fill="auto"/>
                  <w:vAlign w:val="center"/>
                </w:tcPr>
                <w:p w14:paraId="7B1EC90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28</w:t>
                  </w:r>
                </w:p>
              </w:tc>
              <w:tc>
                <w:tcPr>
                  <w:tcW w:w="0" w:type="auto"/>
                  <w:shd w:val="clear" w:color="auto" w:fill="auto"/>
                  <w:vAlign w:val="center"/>
                </w:tcPr>
                <w:p w14:paraId="1952313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独立安防系统</w:t>
                  </w:r>
                </w:p>
              </w:tc>
              <w:tc>
                <w:tcPr>
                  <w:tcW w:w="280" w:type="pct"/>
                  <w:shd w:val="clear" w:color="auto" w:fill="auto"/>
                  <w:vAlign w:val="center"/>
                </w:tcPr>
                <w:p w14:paraId="3368CB3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套</w:t>
                  </w:r>
                </w:p>
              </w:tc>
              <w:tc>
                <w:tcPr>
                  <w:tcW w:w="281" w:type="pct"/>
                  <w:shd w:val="clear" w:color="auto" w:fill="auto"/>
                  <w:vAlign w:val="center"/>
                </w:tcPr>
                <w:p w14:paraId="0FF07D0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1</w:t>
                  </w:r>
                </w:p>
              </w:tc>
              <w:tc>
                <w:tcPr>
                  <w:tcW w:w="0" w:type="auto"/>
                  <w:shd w:val="clear" w:color="auto" w:fill="auto"/>
                  <w:vAlign w:val="center"/>
                </w:tcPr>
                <w:p w14:paraId="13F45BF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全景快球2台、大门枪机1台、围墙枪机4台、红外对射、门禁装置、一键报警按钮等，与智能辅助系统物理隔离</w:t>
                  </w:r>
                </w:p>
              </w:tc>
            </w:tr>
            <w:tr w14:paraId="075FA5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0" w:type="auto"/>
                  <w:shd w:val="clear" w:color="auto" w:fill="auto"/>
                  <w:vAlign w:val="center"/>
                </w:tcPr>
                <w:p w14:paraId="45A48C5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29</w:t>
                  </w:r>
                </w:p>
              </w:tc>
              <w:tc>
                <w:tcPr>
                  <w:tcW w:w="0" w:type="auto"/>
                  <w:shd w:val="clear" w:color="auto" w:fill="auto"/>
                  <w:vAlign w:val="center"/>
                </w:tcPr>
                <w:p w14:paraId="4960406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火灾自动报警系统</w:t>
                  </w:r>
                </w:p>
              </w:tc>
              <w:tc>
                <w:tcPr>
                  <w:tcW w:w="280" w:type="pct"/>
                  <w:shd w:val="clear" w:color="auto" w:fill="auto"/>
                  <w:vAlign w:val="center"/>
                </w:tcPr>
                <w:p w14:paraId="2E4E8E9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套</w:t>
                  </w:r>
                </w:p>
              </w:tc>
              <w:tc>
                <w:tcPr>
                  <w:tcW w:w="281" w:type="pct"/>
                  <w:shd w:val="clear" w:color="auto" w:fill="auto"/>
                  <w:vAlign w:val="center"/>
                </w:tcPr>
                <w:p w14:paraId="1A57838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1</w:t>
                  </w:r>
                </w:p>
              </w:tc>
              <w:tc>
                <w:tcPr>
                  <w:tcW w:w="0" w:type="auto"/>
                  <w:shd w:val="clear" w:color="auto" w:fill="auto"/>
                  <w:vAlign w:val="center"/>
                </w:tcPr>
                <w:p w14:paraId="04B7D0C0">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联动型火灾报警控制器1台，含探测器、模块、手报按钮等，预留接入厂区消防控制中心</w:t>
                  </w:r>
                </w:p>
              </w:tc>
            </w:tr>
            <w:tr w14:paraId="668ECD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0" w:type="auto"/>
                  <w:shd w:val="clear" w:color="auto" w:fill="auto"/>
                  <w:vAlign w:val="center"/>
                </w:tcPr>
                <w:p w14:paraId="63A5347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30</w:t>
                  </w:r>
                </w:p>
              </w:tc>
              <w:tc>
                <w:tcPr>
                  <w:tcW w:w="0" w:type="auto"/>
                  <w:shd w:val="clear" w:color="auto" w:fill="auto"/>
                  <w:vAlign w:val="center"/>
                </w:tcPr>
                <w:p w14:paraId="6E8112D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微机防误闭锁系统</w:t>
                  </w:r>
                </w:p>
              </w:tc>
              <w:tc>
                <w:tcPr>
                  <w:tcW w:w="280" w:type="pct"/>
                  <w:shd w:val="clear" w:color="auto" w:fill="auto"/>
                  <w:vAlign w:val="center"/>
                </w:tcPr>
                <w:p w14:paraId="1985F0B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套</w:t>
                  </w:r>
                </w:p>
              </w:tc>
              <w:tc>
                <w:tcPr>
                  <w:tcW w:w="281" w:type="pct"/>
                  <w:shd w:val="clear" w:color="auto" w:fill="auto"/>
                  <w:vAlign w:val="center"/>
                </w:tcPr>
                <w:p w14:paraId="7632982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1</w:t>
                  </w:r>
                </w:p>
              </w:tc>
              <w:tc>
                <w:tcPr>
                  <w:tcW w:w="0" w:type="auto"/>
                  <w:shd w:val="clear" w:color="auto" w:fill="auto"/>
                  <w:vAlign w:val="center"/>
                </w:tcPr>
                <w:p w14:paraId="170D8087">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工控主机、汉字显示器、电脑钥匙、闭锁控制器等，不设模拟屏</w:t>
                  </w:r>
                </w:p>
              </w:tc>
            </w:tr>
            <w:tr w14:paraId="6B92D3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0" w:type="auto"/>
                  <w:shd w:val="clear" w:color="auto" w:fill="auto"/>
                  <w:vAlign w:val="center"/>
                </w:tcPr>
                <w:p w14:paraId="4488F86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31</w:t>
                  </w:r>
                </w:p>
              </w:tc>
              <w:tc>
                <w:tcPr>
                  <w:tcW w:w="0" w:type="auto"/>
                  <w:shd w:val="clear" w:color="auto" w:fill="auto"/>
                  <w:vAlign w:val="center"/>
                </w:tcPr>
                <w:p w14:paraId="5FCCEFD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电能质量监测装置</w:t>
                  </w:r>
                </w:p>
              </w:tc>
              <w:tc>
                <w:tcPr>
                  <w:tcW w:w="280" w:type="pct"/>
                  <w:shd w:val="clear" w:color="auto" w:fill="auto"/>
                  <w:vAlign w:val="center"/>
                </w:tcPr>
                <w:p w14:paraId="53185C5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套</w:t>
                  </w:r>
                </w:p>
              </w:tc>
              <w:tc>
                <w:tcPr>
                  <w:tcW w:w="281" w:type="pct"/>
                  <w:shd w:val="clear" w:color="auto" w:fill="auto"/>
                  <w:vAlign w:val="center"/>
                </w:tcPr>
                <w:p w14:paraId="10CBF46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1</w:t>
                  </w:r>
                </w:p>
              </w:tc>
              <w:tc>
                <w:tcPr>
                  <w:tcW w:w="0" w:type="auto"/>
                  <w:shd w:val="clear" w:color="auto" w:fill="auto"/>
                  <w:vAlign w:val="center"/>
                </w:tcPr>
                <w:p w14:paraId="5A0573A2">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满足2回110kV出线接入，具备无线传输功能，数据上传电科院，组屏1面</w:t>
                  </w:r>
                </w:p>
              </w:tc>
            </w:tr>
            <w:tr w14:paraId="1C53A7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0" w:type="auto"/>
                  <w:shd w:val="clear" w:color="auto" w:fill="auto"/>
                  <w:vAlign w:val="center"/>
                </w:tcPr>
                <w:p w14:paraId="7AE13B4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32</w:t>
                  </w:r>
                </w:p>
              </w:tc>
              <w:tc>
                <w:tcPr>
                  <w:tcW w:w="0" w:type="auto"/>
                  <w:shd w:val="clear" w:color="auto" w:fill="auto"/>
                  <w:vAlign w:val="center"/>
                </w:tcPr>
                <w:p w14:paraId="317ACF5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通信设备</w:t>
                  </w:r>
                </w:p>
              </w:tc>
              <w:tc>
                <w:tcPr>
                  <w:tcW w:w="280" w:type="pct"/>
                  <w:shd w:val="clear" w:color="auto" w:fill="auto"/>
                  <w:vAlign w:val="center"/>
                </w:tcPr>
                <w:p w14:paraId="2089247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套</w:t>
                  </w:r>
                </w:p>
              </w:tc>
              <w:tc>
                <w:tcPr>
                  <w:tcW w:w="281" w:type="pct"/>
                  <w:shd w:val="clear" w:color="auto" w:fill="auto"/>
                  <w:vAlign w:val="center"/>
                </w:tcPr>
                <w:p w14:paraId="5605554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1</w:t>
                  </w:r>
                </w:p>
              </w:tc>
              <w:tc>
                <w:tcPr>
                  <w:tcW w:w="0" w:type="auto"/>
                  <w:shd w:val="clear" w:color="auto" w:fill="auto"/>
                  <w:vAlign w:val="center"/>
                </w:tcPr>
                <w:p w14:paraId="08138C7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2.5G平台SDH设备1套（2块622Mb/s四光口板）、E1综合接入设备1套、录音设备1套、动环监控设备1套、综合配线柜1面、光纤配线柜1面</w:t>
                  </w:r>
                </w:p>
              </w:tc>
            </w:tr>
          </w:tbl>
          <w:p w14:paraId="388DF947">
            <w:pPr>
              <w:pStyle w:val="67"/>
              <w:numPr>
                <w:ilvl w:val="0"/>
                <w:numId w:val="0"/>
              </w:numPr>
              <w:spacing w:line="480" w:lineRule="exact"/>
              <w:ind w:leftChars="0"/>
              <w:rPr>
                <w:rFonts w:hint="default" w:ascii="Times New Roman" w:hAnsi="Times New Roman" w:eastAsia="黑体" w:cs="Times New Roman"/>
                <w:sz w:val="24"/>
                <w:lang w:val="en-US" w:eastAsia="zh-CN"/>
              </w:rPr>
            </w:pPr>
            <w:r>
              <w:rPr>
                <w:rFonts w:hint="default" w:ascii="Times New Roman" w:hAnsi="Times New Roman" w:eastAsia="黑体" w:cs="Times New Roman"/>
                <w:sz w:val="24"/>
                <w:lang w:val="en-US" w:eastAsia="zh-CN"/>
              </w:rPr>
              <w:t>3.工程占地</w:t>
            </w:r>
          </w:p>
          <w:p w14:paraId="562B02F4">
            <w:pPr>
              <w:keepNext w:val="0"/>
              <w:keepLines w:val="0"/>
              <w:pageBreakBefore w:val="0"/>
              <w:widowControl w:val="0"/>
              <w:kinsoku/>
              <w:wordWrap/>
              <w:overflowPunct/>
              <w:topLinePunct w:val="0"/>
              <w:autoSpaceDE/>
              <w:autoSpaceDN/>
              <w:bidi w:val="0"/>
              <w:adjustRightInd/>
              <w:snapToGrid/>
              <w:spacing w:before="0" w:after="0" w:line="480" w:lineRule="exact"/>
              <w:ind w:firstLine="480" w:firstLineChars="200"/>
              <w:textAlignment w:val="auto"/>
              <w:rPr>
                <w:rFonts w:hint="default" w:ascii="Times New Roman" w:hAnsi="Times New Roman" w:cs="Times New Roman"/>
              </w:rPr>
            </w:pPr>
            <w:r>
              <w:rPr>
                <w:rFonts w:hint="default" w:ascii="Times New Roman" w:hAnsi="Times New Roman" w:eastAsia="宋体" w:cs="Times New Roman"/>
                <w:b w:val="0"/>
                <w:sz w:val="24"/>
              </w:rPr>
              <w:t>本工程永久占地即站区总用地面积0.9422hm</w:t>
            </w:r>
            <w:r>
              <w:rPr>
                <w:rFonts w:hint="default" w:ascii="Times New Roman" w:hAnsi="Times New Roman" w:eastAsia="宋体" w:cs="Times New Roman"/>
                <w:b w:val="0"/>
                <w:sz w:val="24"/>
                <w:vertAlign w:val="superscript"/>
                <w:lang w:val="en-US" w:eastAsia="zh-CN"/>
              </w:rPr>
              <w:t>2</w:t>
            </w:r>
            <w:r>
              <w:rPr>
                <w:rFonts w:hint="default" w:ascii="Times New Roman" w:hAnsi="Times New Roman" w:eastAsia="宋体" w:cs="Times New Roman"/>
                <w:b w:val="0"/>
                <w:sz w:val="24"/>
              </w:rPr>
              <w:t>（9422m</w:t>
            </w:r>
            <w:r>
              <w:rPr>
                <w:rFonts w:hint="default" w:ascii="Times New Roman" w:hAnsi="Times New Roman" w:eastAsia="宋体" w:cs="Times New Roman"/>
                <w:b w:val="0"/>
                <w:sz w:val="24"/>
                <w:vertAlign w:val="superscript"/>
                <w:lang w:val="en-US" w:eastAsia="zh-CN"/>
              </w:rPr>
              <w:t>2</w:t>
            </w:r>
            <w:r>
              <w:rPr>
                <w:rFonts w:hint="default" w:ascii="Times New Roman" w:hAnsi="Times New Roman" w:eastAsia="宋体" w:cs="Times New Roman"/>
                <w:b w:val="0"/>
                <w:sz w:val="24"/>
              </w:rPr>
              <w:t>），其中围墙内占地0.3586hm</w:t>
            </w:r>
            <w:r>
              <w:rPr>
                <w:rFonts w:hint="default" w:ascii="Times New Roman" w:hAnsi="Times New Roman" w:eastAsia="宋体" w:cs="Times New Roman"/>
                <w:b w:val="0"/>
                <w:sz w:val="24"/>
                <w:vertAlign w:val="superscript"/>
                <w:lang w:val="en-US" w:eastAsia="zh-CN"/>
              </w:rPr>
              <w:t>2</w:t>
            </w:r>
            <w:r>
              <w:rPr>
                <w:rFonts w:hint="default" w:ascii="Times New Roman" w:hAnsi="Times New Roman" w:eastAsia="宋体" w:cs="Times New Roman"/>
                <w:b w:val="0"/>
                <w:sz w:val="24"/>
              </w:rPr>
              <w:t>，进站道路及站外场地等其他占地0.5836hm</w:t>
            </w:r>
            <w:r>
              <w:rPr>
                <w:rFonts w:hint="default" w:ascii="Times New Roman" w:hAnsi="Times New Roman" w:eastAsia="宋体" w:cs="Times New Roman"/>
                <w:b w:val="0"/>
                <w:sz w:val="24"/>
                <w:vertAlign w:val="superscript"/>
                <w:lang w:val="en-US" w:eastAsia="zh-CN"/>
              </w:rPr>
              <w:t>2</w:t>
            </w:r>
            <w:r>
              <w:rPr>
                <w:rFonts w:hint="default" w:ascii="Times New Roman" w:hAnsi="Times New Roman" w:eastAsia="宋体" w:cs="Times New Roman"/>
                <w:b w:val="0"/>
                <w:sz w:val="24"/>
              </w:rPr>
              <w:t>。依据第三次全国国土调查成果，项目占地地类为干旱荒漠区其他灌木林地，不属于国家特别规定灌木林地，不占用耕地、乔木林地、基本农田、湿地；用地属于产业园规划预留电力建设用地。本项目无临时占地，施工活动全部控制在永久占地范围内。</w:t>
            </w:r>
          </w:p>
          <w:p w14:paraId="33E8F673">
            <w:pPr>
              <w:keepNext w:val="0"/>
              <w:keepLines w:val="0"/>
              <w:pageBreakBefore w:val="0"/>
              <w:widowControl w:val="0"/>
              <w:kinsoku/>
              <w:wordWrap/>
              <w:overflowPunct/>
              <w:topLinePunct w:val="0"/>
              <w:autoSpaceDE/>
              <w:autoSpaceDN/>
              <w:bidi w:val="0"/>
              <w:adjustRightInd/>
              <w:snapToGrid/>
              <w:spacing w:before="0" w:after="0" w:line="480" w:lineRule="exact"/>
              <w:ind w:firstLine="480" w:firstLineChars="200"/>
              <w:textAlignment w:val="auto"/>
              <w:rPr>
                <w:rFonts w:hint="default" w:ascii="Times New Roman" w:hAnsi="Times New Roman" w:cs="Times New Roman"/>
              </w:rPr>
            </w:pPr>
            <w:r>
              <w:rPr>
                <w:rFonts w:hint="default" w:ascii="Times New Roman" w:hAnsi="Times New Roman" w:eastAsia="宋体" w:cs="Times New Roman"/>
                <w:b w:val="0"/>
                <w:sz w:val="24"/>
              </w:rPr>
              <w:t>本工程施工利用站区围墙内场地及厂区既有道路组织，施工营地、材料堆场及混凝土均依托厂区及尉犁县城既有设施，施工区不设混凝土搅拌站、不设施工营地，不新增临时占地。工程占地情况见表2-</w:t>
            </w:r>
            <w:r>
              <w:rPr>
                <w:rFonts w:hint="default" w:ascii="Times New Roman" w:hAnsi="Times New Roman" w:cs="Times New Roman"/>
                <w:b w:val="0"/>
                <w:sz w:val="24"/>
                <w:lang w:val="en-US" w:eastAsia="zh-CN"/>
              </w:rPr>
              <w:t>5</w:t>
            </w:r>
            <w:r>
              <w:rPr>
                <w:rFonts w:hint="default" w:ascii="Times New Roman" w:hAnsi="Times New Roman" w:eastAsia="宋体" w:cs="Times New Roman"/>
                <w:b w:val="0"/>
                <w:sz w:val="24"/>
              </w:rPr>
              <w:t>。</w:t>
            </w:r>
          </w:p>
          <w:p w14:paraId="5EF3BA55">
            <w:pPr>
              <w:pStyle w:val="67"/>
              <w:numPr>
                <w:ilvl w:val="0"/>
                <w:numId w:val="0"/>
              </w:numPr>
              <w:tabs>
                <w:tab w:val="center" w:pos="2721"/>
              </w:tabs>
              <w:spacing w:line="480" w:lineRule="exact"/>
              <w:ind w:left="420" w:leftChars="0"/>
              <w:jc w:val="center"/>
              <w:rPr>
                <w:rFonts w:hint="default" w:ascii="Times New Roman" w:hAnsi="Times New Roman" w:eastAsia="黑体" w:cs="Times New Roman"/>
              </w:rPr>
            </w:pPr>
            <w:bookmarkStart w:id="35" w:name="_Hlk85708031"/>
            <w:r>
              <w:rPr>
                <w:rFonts w:hint="default" w:ascii="Times New Roman" w:hAnsi="Times New Roman" w:eastAsia="黑体" w:cs="Times New Roman"/>
              </w:rPr>
              <w:t>表2-</w:t>
            </w:r>
            <w:r>
              <w:rPr>
                <w:rFonts w:hint="default" w:ascii="Times New Roman" w:hAnsi="Times New Roman" w:eastAsia="黑体" w:cs="Times New Roman"/>
                <w:lang w:val="en-US" w:eastAsia="zh-CN"/>
              </w:rPr>
              <w:t xml:space="preserve">5 </w:t>
            </w:r>
            <w:r>
              <w:rPr>
                <w:rFonts w:hint="default" w:ascii="Times New Roman" w:hAnsi="Times New Roman" w:eastAsia="黑体" w:cs="Times New Roman"/>
              </w:rPr>
              <w:t>工程占地情况一览表</w:t>
            </w:r>
          </w:p>
          <w:tbl>
            <w:tblPr>
              <w:tblStyle w:val="44"/>
              <w:tblW w:w="4995"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1678"/>
              <w:gridCol w:w="1141"/>
              <w:gridCol w:w="1233"/>
              <w:gridCol w:w="976"/>
              <w:gridCol w:w="2774"/>
            </w:tblGrid>
            <w:tr w14:paraId="68E0AA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075" w:type="pct"/>
                  <w:tcBorders>
                    <w:tl2br w:val="nil"/>
                    <w:tr2bl w:val="nil"/>
                  </w:tcBorders>
                  <w:noWrap w:val="0"/>
                  <w:vAlign w:val="center"/>
                </w:tcPr>
                <w:p w14:paraId="5FFA21D2">
                  <w:pPr>
                    <w:pStyle w:val="58"/>
                    <w:spacing w:before="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工程内容</w:t>
                  </w:r>
                </w:p>
              </w:tc>
              <w:tc>
                <w:tcPr>
                  <w:tcW w:w="731" w:type="pct"/>
                  <w:tcBorders>
                    <w:tl2br w:val="nil"/>
                    <w:tr2bl w:val="nil"/>
                  </w:tcBorders>
                  <w:noWrap w:val="0"/>
                  <w:vAlign w:val="center"/>
                </w:tcPr>
                <w:p w14:paraId="0A00C50D">
                  <w:pPr>
                    <w:pStyle w:val="58"/>
                    <w:spacing w:before="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永久占地（m</w:t>
                  </w:r>
                  <w:r>
                    <w:rPr>
                      <w:rFonts w:hint="default" w:ascii="Times New Roman" w:hAnsi="Times New Roman" w:eastAsia="宋体" w:cs="Times New Roman"/>
                      <w:color w:val="auto"/>
                      <w:sz w:val="21"/>
                      <w:szCs w:val="21"/>
                      <w:vertAlign w:val="superscript"/>
                      <w:lang w:val="en-US" w:eastAsia="zh-CN"/>
                    </w:rPr>
                    <w:t>2</w:t>
                  </w:r>
                  <w:r>
                    <w:rPr>
                      <w:rFonts w:hint="default" w:ascii="Times New Roman" w:hAnsi="Times New Roman" w:eastAsia="宋体" w:cs="Times New Roman"/>
                      <w:color w:val="auto"/>
                      <w:sz w:val="21"/>
                      <w:szCs w:val="21"/>
                      <w:lang w:val="en-US" w:eastAsia="zh-CN"/>
                    </w:rPr>
                    <w:t>）</w:t>
                  </w:r>
                </w:p>
              </w:tc>
              <w:tc>
                <w:tcPr>
                  <w:tcW w:w="790" w:type="pct"/>
                  <w:tcBorders>
                    <w:tl2br w:val="nil"/>
                    <w:tr2bl w:val="nil"/>
                  </w:tcBorders>
                  <w:noWrap w:val="0"/>
                  <w:vAlign w:val="center"/>
                </w:tcPr>
                <w:p w14:paraId="632438EB">
                  <w:pPr>
                    <w:pStyle w:val="58"/>
                    <w:spacing w:before="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临时占地（m</w:t>
                  </w:r>
                  <w:r>
                    <w:rPr>
                      <w:rFonts w:hint="default" w:ascii="Times New Roman" w:hAnsi="Times New Roman" w:eastAsia="宋体" w:cs="Times New Roman"/>
                      <w:color w:val="auto"/>
                      <w:sz w:val="21"/>
                      <w:szCs w:val="21"/>
                      <w:vertAlign w:val="superscript"/>
                      <w:lang w:val="en-US" w:eastAsia="zh-CN"/>
                    </w:rPr>
                    <w:t>2</w:t>
                  </w:r>
                  <w:r>
                    <w:rPr>
                      <w:rFonts w:hint="default" w:ascii="Times New Roman" w:hAnsi="Times New Roman" w:eastAsia="宋体" w:cs="Times New Roman"/>
                      <w:color w:val="auto"/>
                      <w:sz w:val="21"/>
                      <w:szCs w:val="21"/>
                      <w:lang w:val="en-US" w:eastAsia="zh-CN"/>
                    </w:rPr>
                    <w:t>）</w:t>
                  </w:r>
                </w:p>
              </w:tc>
              <w:tc>
                <w:tcPr>
                  <w:tcW w:w="625" w:type="pct"/>
                  <w:tcBorders>
                    <w:tl2br w:val="nil"/>
                    <w:tr2bl w:val="nil"/>
                  </w:tcBorders>
                  <w:noWrap w:val="0"/>
                  <w:vAlign w:val="center"/>
                </w:tcPr>
                <w:p w14:paraId="65923622">
                  <w:pPr>
                    <w:pStyle w:val="58"/>
                    <w:spacing w:before="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占地类型</w:t>
                  </w:r>
                </w:p>
              </w:tc>
              <w:tc>
                <w:tcPr>
                  <w:tcW w:w="1777" w:type="pct"/>
                  <w:tcBorders>
                    <w:tl2br w:val="nil"/>
                    <w:tr2bl w:val="nil"/>
                  </w:tcBorders>
                  <w:noWrap w:val="0"/>
                  <w:vAlign w:val="center"/>
                </w:tcPr>
                <w:p w14:paraId="4D1A3FEA">
                  <w:pPr>
                    <w:pStyle w:val="58"/>
                    <w:spacing w:before="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备注</w:t>
                  </w:r>
                </w:p>
              </w:tc>
            </w:tr>
            <w:tr w14:paraId="7F0F71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075" w:type="pct"/>
                  <w:tcBorders>
                    <w:tl2br w:val="nil"/>
                    <w:tr2bl w:val="nil"/>
                  </w:tcBorders>
                  <w:noWrap w:val="0"/>
                  <w:vAlign w:val="center"/>
                </w:tcPr>
                <w:p w14:paraId="5734A6E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0"/>
                      <w:sz w:val="21"/>
                      <w:szCs w:val="21"/>
                      <w:lang w:val="en-US" w:eastAsia="zh-CN" w:bidi="zh-CN"/>
                    </w:rPr>
                  </w:pPr>
                  <w:r>
                    <w:rPr>
                      <w:rFonts w:hint="default" w:ascii="Times New Roman" w:hAnsi="Times New Roman" w:eastAsia="宋体" w:cs="Times New Roman"/>
                      <w:b w:val="0"/>
                      <w:sz w:val="21"/>
                      <w:szCs w:val="21"/>
                    </w:rPr>
                    <w:t>围墙内用地面积</w:t>
                  </w:r>
                </w:p>
              </w:tc>
              <w:tc>
                <w:tcPr>
                  <w:tcW w:w="731" w:type="pct"/>
                  <w:tcBorders>
                    <w:tl2br w:val="nil"/>
                    <w:tr2bl w:val="nil"/>
                  </w:tcBorders>
                  <w:noWrap w:val="0"/>
                  <w:vAlign w:val="center"/>
                </w:tcPr>
                <w:p w14:paraId="4982104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b w:val="0"/>
                      <w:sz w:val="21"/>
                      <w:szCs w:val="21"/>
                    </w:rPr>
                    <w:t>3586</w:t>
                  </w:r>
                </w:p>
              </w:tc>
              <w:tc>
                <w:tcPr>
                  <w:tcW w:w="790" w:type="pct"/>
                  <w:tcBorders>
                    <w:tl2br w:val="nil"/>
                    <w:tr2bl w:val="nil"/>
                  </w:tcBorders>
                  <w:noWrap w:val="0"/>
                  <w:vAlign w:val="center"/>
                </w:tcPr>
                <w:p w14:paraId="6CDB7E07">
                  <w:pPr>
                    <w:pStyle w:val="58"/>
                    <w:spacing w:before="0"/>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w:t>
                  </w:r>
                </w:p>
              </w:tc>
              <w:tc>
                <w:tcPr>
                  <w:tcW w:w="625" w:type="pct"/>
                  <w:vMerge w:val="restart"/>
                  <w:tcBorders>
                    <w:tl2br w:val="nil"/>
                    <w:tr2bl w:val="nil"/>
                  </w:tcBorders>
                  <w:noWrap w:val="0"/>
                  <w:vAlign w:val="center"/>
                </w:tcPr>
                <w:p w14:paraId="28310DE2">
                  <w:pPr>
                    <w:pStyle w:val="58"/>
                    <w:spacing w:before="0"/>
                    <w:jc w:val="center"/>
                    <w:rPr>
                      <w:rFonts w:hint="default" w:ascii="Times New Roman" w:hAnsi="Times New Roman" w:eastAsia="宋体" w:cs="Times New Roman"/>
                      <w:color w:val="auto"/>
                      <w:sz w:val="21"/>
                      <w:szCs w:val="21"/>
                      <w:highlight w:val="none"/>
                      <w:vertAlign w:val="baseline"/>
                      <w:lang w:val="en-US" w:eastAsia="zh-CN"/>
                    </w:rPr>
                  </w:pPr>
                  <w:r>
                    <w:rPr>
                      <w:rFonts w:hint="eastAsia" w:eastAsia="宋体" w:cs="Times New Roman"/>
                      <w:kern w:val="0"/>
                      <w:sz w:val="21"/>
                      <w:szCs w:val="21"/>
                      <w:lang w:val="en-US" w:eastAsia="zh-CN"/>
                    </w:rPr>
                    <w:t>其他灌木林地</w:t>
                  </w:r>
                </w:p>
              </w:tc>
              <w:tc>
                <w:tcPr>
                  <w:tcW w:w="1777" w:type="pct"/>
                  <w:tcBorders>
                    <w:tl2br w:val="nil"/>
                    <w:tr2bl w:val="nil"/>
                  </w:tcBorders>
                  <w:noWrap w:val="0"/>
                  <w:vAlign w:val="center"/>
                </w:tcPr>
                <w:p w14:paraId="03B25B0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0"/>
                      <w:sz w:val="21"/>
                      <w:szCs w:val="21"/>
                      <w:lang w:val="en-US" w:eastAsia="zh-CN" w:bidi="zh-CN"/>
                    </w:rPr>
                  </w:pPr>
                  <w:r>
                    <w:rPr>
                      <w:rFonts w:hint="default" w:ascii="Times New Roman" w:hAnsi="Times New Roman" w:eastAsia="宋体" w:cs="Times New Roman"/>
                      <w:b w:val="0"/>
                      <w:sz w:val="21"/>
                      <w:szCs w:val="21"/>
                    </w:rPr>
                    <w:t>主变、配电装置楼、道路、电缆沟等</w:t>
                  </w:r>
                </w:p>
              </w:tc>
            </w:tr>
            <w:tr w14:paraId="192D97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075" w:type="pct"/>
                  <w:tcBorders>
                    <w:tl2br w:val="nil"/>
                    <w:tr2bl w:val="nil"/>
                  </w:tcBorders>
                  <w:noWrap w:val="0"/>
                  <w:vAlign w:val="center"/>
                </w:tcPr>
                <w:p w14:paraId="5518AF0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0"/>
                      <w:sz w:val="21"/>
                      <w:szCs w:val="21"/>
                      <w:lang w:val="en-US" w:eastAsia="zh-CN" w:bidi="zh-CN"/>
                    </w:rPr>
                  </w:pPr>
                  <w:r>
                    <w:rPr>
                      <w:rFonts w:hint="default" w:ascii="Times New Roman" w:hAnsi="Times New Roman" w:eastAsia="宋体" w:cs="Times New Roman"/>
                      <w:b w:val="0"/>
                      <w:sz w:val="21"/>
                      <w:szCs w:val="21"/>
                    </w:rPr>
                    <w:t>围墙外其他用地面积</w:t>
                  </w:r>
                </w:p>
              </w:tc>
              <w:tc>
                <w:tcPr>
                  <w:tcW w:w="731" w:type="pct"/>
                  <w:tcBorders>
                    <w:tl2br w:val="nil"/>
                    <w:tr2bl w:val="nil"/>
                  </w:tcBorders>
                  <w:noWrap w:val="0"/>
                  <w:vAlign w:val="center"/>
                </w:tcPr>
                <w:p w14:paraId="79DAA11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b w:val="0"/>
                      <w:sz w:val="21"/>
                      <w:szCs w:val="21"/>
                    </w:rPr>
                    <w:t>5836</w:t>
                  </w:r>
                </w:p>
              </w:tc>
              <w:tc>
                <w:tcPr>
                  <w:tcW w:w="790" w:type="pct"/>
                  <w:tcBorders>
                    <w:tl2br w:val="nil"/>
                    <w:tr2bl w:val="nil"/>
                  </w:tcBorders>
                  <w:noWrap w:val="0"/>
                  <w:vAlign w:val="center"/>
                </w:tcPr>
                <w:p w14:paraId="4B024318">
                  <w:pPr>
                    <w:pStyle w:val="58"/>
                    <w:spacing w:before="0"/>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w:t>
                  </w:r>
                </w:p>
              </w:tc>
              <w:tc>
                <w:tcPr>
                  <w:tcW w:w="625" w:type="pct"/>
                  <w:vMerge w:val="continue"/>
                  <w:tcBorders>
                    <w:tl2br w:val="nil"/>
                    <w:tr2bl w:val="nil"/>
                  </w:tcBorders>
                  <w:noWrap w:val="0"/>
                  <w:vAlign w:val="center"/>
                </w:tcPr>
                <w:p w14:paraId="7BF3381F">
                  <w:pPr>
                    <w:pStyle w:val="58"/>
                    <w:spacing w:before="0"/>
                    <w:jc w:val="center"/>
                    <w:rPr>
                      <w:rFonts w:hint="default" w:ascii="Times New Roman" w:hAnsi="Times New Roman" w:eastAsia="宋体" w:cs="Times New Roman"/>
                      <w:color w:val="auto"/>
                      <w:sz w:val="21"/>
                      <w:szCs w:val="21"/>
                      <w:highlight w:val="none"/>
                      <w:vertAlign w:val="baseline"/>
                      <w:lang w:val="en-US" w:eastAsia="zh-CN"/>
                    </w:rPr>
                  </w:pPr>
                </w:p>
              </w:tc>
              <w:tc>
                <w:tcPr>
                  <w:tcW w:w="1777" w:type="pct"/>
                  <w:tcBorders>
                    <w:tl2br w:val="nil"/>
                    <w:tr2bl w:val="nil"/>
                  </w:tcBorders>
                  <w:noWrap w:val="0"/>
                  <w:vAlign w:val="center"/>
                </w:tcPr>
                <w:p w14:paraId="4DAD869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0"/>
                      <w:sz w:val="21"/>
                      <w:szCs w:val="21"/>
                      <w:lang w:val="en-US" w:eastAsia="zh-CN" w:bidi="zh-CN"/>
                    </w:rPr>
                  </w:pPr>
                  <w:r>
                    <w:rPr>
                      <w:rFonts w:hint="default" w:ascii="Times New Roman" w:hAnsi="Times New Roman" w:eastAsia="宋体" w:cs="Times New Roman"/>
                      <w:b w:val="0"/>
                      <w:sz w:val="21"/>
                      <w:szCs w:val="21"/>
                    </w:rPr>
                    <w:t>进站道路、站外场地等</w:t>
                  </w:r>
                </w:p>
              </w:tc>
            </w:tr>
            <w:tr w14:paraId="0D05C4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075" w:type="pct"/>
                  <w:tcBorders>
                    <w:tl2br w:val="nil"/>
                    <w:tr2bl w:val="nil"/>
                  </w:tcBorders>
                  <w:noWrap w:val="0"/>
                  <w:vAlign w:val="center"/>
                </w:tcPr>
                <w:p w14:paraId="180A23CC">
                  <w:pPr>
                    <w:pStyle w:val="58"/>
                    <w:spacing w:before="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合计</w:t>
                  </w:r>
                </w:p>
              </w:tc>
              <w:tc>
                <w:tcPr>
                  <w:tcW w:w="731" w:type="pct"/>
                  <w:tcBorders>
                    <w:tl2br w:val="nil"/>
                    <w:tr2bl w:val="nil"/>
                  </w:tcBorders>
                  <w:noWrap w:val="0"/>
                  <w:vAlign w:val="center"/>
                </w:tcPr>
                <w:p w14:paraId="00831181">
                  <w:pPr>
                    <w:pStyle w:val="58"/>
                    <w:spacing w:before="0"/>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b w:val="0"/>
                      <w:sz w:val="21"/>
                      <w:szCs w:val="21"/>
                    </w:rPr>
                    <w:t>9422</w:t>
                  </w:r>
                </w:p>
              </w:tc>
              <w:tc>
                <w:tcPr>
                  <w:tcW w:w="790" w:type="pct"/>
                  <w:tcBorders>
                    <w:tl2br w:val="nil"/>
                    <w:tr2bl w:val="nil"/>
                  </w:tcBorders>
                  <w:noWrap w:val="0"/>
                  <w:vAlign w:val="center"/>
                </w:tcPr>
                <w:p w14:paraId="3CB5C141">
                  <w:pPr>
                    <w:pStyle w:val="58"/>
                    <w:spacing w:before="0"/>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w:t>
                  </w:r>
                </w:p>
              </w:tc>
              <w:tc>
                <w:tcPr>
                  <w:tcW w:w="625" w:type="pct"/>
                  <w:tcBorders>
                    <w:tl2br w:val="nil"/>
                    <w:tr2bl w:val="nil"/>
                  </w:tcBorders>
                  <w:noWrap w:val="0"/>
                  <w:vAlign w:val="center"/>
                </w:tcPr>
                <w:p w14:paraId="5016898C">
                  <w:pPr>
                    <w:spacing w:before="0"/>
                    <w:jc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w:t>
                  </w:r>
                </w:p>
              </w:tc>
              <w:tc>
                <w:tcPr>
                  <w:tcW w:w="1777" w:type="pct"/>
                  <w:tcBorders>
                    <w:tl2br w:val="nil"/>
                    <w:tr2bl w:val="nil"/>
                  </w:tcBorders>
                  <w:noWrap w:val="0"/>
                  <w:vAlign w:val="center"/>
                </w:tcPr>
                <w:p w14:paraId="623E463F">
                  <w:pPr>
                    <w:spacing w:before="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0.9422hm</w:t>
                  </w:r>
                  <w:r>
                    <w:rPr>
                      <w:rFonts w:hint="default" w:ascii="Times New Roman" w:hAnsi="Times New Roman" w:eastAsia="宋体" w:cs="Times New Roman"/>
                      <w:color w:val="auto"/>
                      <w:sz w:val="21"/>
                      <w:szCs w:val="21"/>
                      <w:vertAlign w:val="superscript"/>
                      <w:lang w:val="en-US" w:eastAsia="zh-CN"/>
                    </w:rPr>
                    <w:t>2</w:t>
                  </w:r>
                  <w:r>
                    <w:rPr>
                      <w:rFonts w:hint="default" w:ascii="Times New Roman" w:hAnsi="Times New Roman" w:eastAsia="宋体" w:cs="Times New Roman"/>
                      <w:color w:val="auto"/>
                      <w:sz w:val="21"/>
                      <w:szCs w:val="21"/>
                      <w:lang w:val="en-US" w:eastAsia="zh-CN"/>
                    </w:rPr>
                    <w:t>，已纳入厂区规划用地</w:t>
                  </w:r>
                </w:p>
              </w:tc>
            </w:tr>
          </w:tbl>
          <w:p w14:paraId="5FBCFC82">
            <w:pPr>
              <w:pStyle w:val="67"/>
              <w:numPr>
                <w:ilvl w:val="0"/>
                <w:numId w:val="0"/>
              </w:numPr>
              <w:spacing w:line="480" w:lineRule="exact"/>
              <w:ind w:leftChars="0"/>
              <w:rPr>
                <w:rFonts w:hint="default" w:ascii="Times New Roman" w:hAnsi="Times New Roman" w:eastAsia="黑体" w:cs="Times New Roman"/>
                <w:sz w:val="24"/>
                <w:lang w:val="en-US" w:eastAsia="zh-CN"/>
              </w:rPr>
            </w:pPr>
            <w:r>
              <w:rPr>
                <w:rFonts w:hint="default" w:ascii="Times New Roman" w:hAnsi="Times New Roman" w:eastAsia="黑体" w:cs="Times New Roman"/>
                <w:sz w:val="24"/>
                <w:lang w:val="en-US" w:eastAsia="zh-CN"/>
              </w:rPr>
              <w:t>4.土石方平衡</w:t>
            </w:r>
          </w:p>
          <w:bookmarkEnd w:id="35"/>
          <w:p w14:paraId="1EF18B5B">
            <w:pPr>
              <w:keepNext w:val="0"/>
              <w:keepLines w:val="0"/>
              <w:pageBreakBefore w:val="0"/>
              <w:widowControl w:val="0"/>
              <w:kinsoku/>
              <w:wordWrap/>
              <w:overflowPunct/>
              <w:topLinePunct w:val="0"/>
              <w:autoSpaceDE/>
              <w:autoSpaceDN/>
              <w:bidi w:val="0"/>
              <w:adjustRightInd/>
              <w:snapToGrid/>
              <w:spacing w:before="0" w:after="0" w:line="480" w:lineRule="exact"/>
              <w:ind w:firstLine="482"/>
              <w:textAlignment w:val="auto"/>
              <w:rPr>
                <w:rFonts w:hint="default" w:ascii="Times New Roman" w:hAnsi="Times New Roman" w:cs="Times New Roman"/>
              </w:rPr>
            </w:pPr>
            <w:r>
              <w:rPr>
                <w:rFonts w:hint="default" w:ascii="Times New Roman" w:hAnsi="Times New Roman" w:eastAsia="宋体" w:cs="Times New Roman"/>
                <w:b w:val="0"/>
                <w:sz w:val="24"/>
              </w:rPr>
              <w:t>站址场地地形平坦，地貌属库鲁克山冲洪积扇下部与孔雀河冲洪积平原交汇带，场地已由建设单位初步平整。本工程仅需对站区进行碾压夯实，并利用基槽余土将围墙内场地填高至与周边道路平齐，设计场坪标高883.0m（与进站道路平齐）。</w:t>
            </w:r>
          </w:p>
          <w:p w14:paraId="49314B3E">
            <w:pPr>
              <w:keepNext w:val="0"/>
              <w:keepLines w:val="0"/>
              <w:pageBreakBefore w:val="0"/>
              <w:widowControl w:val="0"/>
              <w:kinsoku/>
              <w:wordWrap/>
              <w:overflowPunct/>
              <w:topLinePunct w:val="0"/>
              <w:autoSpaceDE/>
              <w:autoSpaceDN/>
              <w:bidi w:val="0"/>
              <w:adjustRightInd/>
              <w:snapToGrid/>
              <w:spacing w:before="0" w:after="0" w:line="480" w:lineRule="exact"/>
              <w:ind w:firstLine="482"/>
              <w:textAlignment w:val="auto"/>
              <w:rPr>
                <w:rFonts w:hint="default" w:ascii="Times New Roman" w:hAnsi="Times New Roman" w:eastAsia="宋体" w:cs="Times New Roman"/>
                <w:b w:val="0"/>
                <w:sz w:val="24"/>
              </w:rPr>
            </w:pPr>
            <w:r>
              <w:rPr>
                <w:rFonts w:hint="default" w:ascii="Times New Roman" w:hAnsi="Times New Roman" w:eastAsia="宋体" w:cs="Times New Roman"/>
                <w:b w:val="0"/>
                <w:sz w:val="24"/>
              </w:rPr>
              <w:t>经估算，本工程建构筑物及电缆沟基槽开挖产生土方约1000m³，全部在场内就近回填利用，无外弃土石方；站区整体需要填方约 1000m</w:t>
            </w:r>
            <w:r>
              <w:rPr>
                <w:rFonts w:hint="eastAsia" w:cs="Times New Roman"/>
                <w:b w:val="0"/>
                <w:sz w:val="24"/>
                <w:vertAlign w:val="superscript"/>
                <w:lang w:val="en-US" w:eastAsia="zh-CN"/>
              </w:rPr>
              <w:t>3</w:t>
            </w:r>
            <w:r>
              <w:rPr>
                <w:rFonts w:hint="default" w:ascii="Times New Roman" w:hAnsi="Times New Roman" w:eastAsia="宋体" w:cs="Times New Roman"/>
                <w:b w:val="0"/>
                <w:sz w:val="24"/>
              </w:rPr>
              <w:t>将场地填高至设计场坪标高，填方料源全部来自站内建（构）筑物基槽开挖余土，不外购客土、不设置取土场、弃土场，站区内实现土石方基本平衡。施工过程中将表层粉土表土先行剥离，集中堆存并采取苫盖防护措施，施工结束后回用于站内场地整治以及绿化覆土。</w:t>
            </w:r>
          </w:p>
          <w:p w14:paraId="49A7C7BD">
            <w:pPr>
              <w:keepNext w:val="0"/>
              <w:keepLines w:val="0"/>
              <w:pageBreakBefore w:val="0"/>
              <w:widowControl w:val="0"/>
              <w:kinsoku/>
              <w:wordWrap/>
              <w:overflowPunct/>
              <w:topLinePunct w:val="0"/>
              <w:autoSpaceDE/>
              <w:autoSpaceDN/>
              <w:bidi w:val="0"/>
              <w:adjustRightInd/>
              <w:snapToGrid/>
              <w:spacing w:before="0" w:after="0" w:line="480" w:lineRule="exact"/>
              <w:ind w:firstLine="482"/>
              <w:textAlignment w:val="auto"/>
              <w:rPr>
                <w:rFonts w:hint="default" w:ascii="Times New Roman" w:hAnsi="Times New Roman" w:cs="Times New Roman"/>
              </w:rPr>
            </w:pPr>
            <w:r>
              <w:rPr>
                <w:rFonts w:hint="default" w:ascii="Times New Roman" w:hAnsi="Times New Roman" w:eastAsia="宋体" w:cs="Times New Roman"/>
                <w:b w:val="0"/>
                <w:sz w:val="24"/>
              </w:rPr>
              <w:t>土石方平衡见表2-</w:t>
            </w:r>
            <w:r>
              <w:rPr>
                <w:rFonts w:hint="default" w:ascii="Times New Roman" w:hAnsi="Times New Roman" w:cs="Times New Roman"/>
                <w:b w:val="0"/>
                <w:sz w:val="24"/>
                <w:lang w:val="en-US" w:eastAsia="zh-CN"/>
              </w:rPr>
              <w:t>6</w:t>
            </w:r>
            <w:r>
              <w:rPr>
                <w:rFonts w:hint="default" w:ascii="Times New Roman" w:hAnsi="Times New Roman" w:eastAsia="宋体" w:cs="Times New Roman"/>
                <w:b w:val="0"/>
                <w:sz w:val="24"/>
              </w:rPr>
              <w:t>。</w:t>
            </w:r>
          </w:p>
          <w:p w14:paraId="5D5A6AC2">
            <w:pPr>
              <w:pStyle w:val="67"/>
              <w:numPr>
                <w:ilvl w:val="0"/>
                <w:numId w:val="0"/>
              </w:numPr>
              <w:tabs>
                <w:tab w:val="center" w:pos="2721"/>
              </w:tabs>
              <w:spacing w:line="480" w:lineRule="exact"/>
              <w:ind w:left="420" w:leftChars="0"/>
              <w:jc w:val="center"/>
              <w:rPr>
                <w:rFonts w:hint="default" w:ascii="Times New Roman" w:hAnsi="Times New Roman" w:eastAsia="黑体" w:cs="Times New Roman"/>
              </w:rPr>
            </w:pPr>
            <w:r>
              <w:rPr>
                <w:rFonts w:hint="default" w:ascii="Times New Roman" w:hAnsi="Times New Roman" w:eastAsia="黑体" w:cs="Times New Roman"/>
              </w:rPr>
              <w:t>表2-</w:t>
            </w:r>
            <w:r>
              <w:rPr>
                <w:rFonts w:hint="default" w:ascii="Times New Roman" w:hAnsi="Times New Roman" w:eastAsia="黑体" w:cs="Times New Roman"/>
                <w:lang w:val="en-US" w:eastAsia="zh-CN"/>
              </w:rPr>
              <w:t xml:space="preserve">6 </w:t>
            </w:r>
            <w:r>
              <w:rPr>
                <w:rFonts w:hint="default" w:ascii="Times New Roman" w:hAnsi="Times New Roman" w:eastAsia="黑体" w:cs="Times New Roman"/>
              </w:rPr>
              <w:t>土石方平衡表</w:t>
            </w:r>
            <w:r>
              <w:rPr>
                <w:rFonts w:hint="default" w:ascii="Times New Roman" w:hAnsi="Times New Roman" w:eastAsia="黑体" w:cs="Times New Roman"/>
                <w:lang w:val="en-US" w:eastAsia="zh-CN"/>
              </w:rPr>
              <w:t xml:space="preserve"> </w:t>
            </w:r>
            <w:r>
              <w:rPr>
                <w:rFonts w:hint="default" w:ascii="Times New Roman" w:hAnsi="Times New Roman" w:eastAsia="黑体" w:cs="Times New Roman"/>
              </w:rPr>
              <w:t>单位：m³</w:t>
            </w:r>
          </w:p>
          <w:tbl>
            <w:tblPr>
              <w:tblStyle w:val="43"/>
              <w:tblW w:w="4998" w:type="pct"/>
              <w:jc w:val="center"/>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shd w:val="clear" w:color="auto" w:fill="auto"/>
              <w:tblLayout w:type="autofit"/>
              <w:tblCellMar>
                <w:top w:w="15" w:type="dxa"/>
                <w:left w:w="15" w:type="dxa"/>
                <w:bottom w:w="15" w:type="dxa"/>
                <w:right w:w="15" w:type="dxa"/>
              </w:tblCellMar>
            </w:tblPr>
            <w:tblGrid>
              <w:gridCol w:w="756"/>
              <w:gridCol w:w="1190"/>
              <w:gridCol w:w="1006"/>
              <w:gridCol w:w="1075"/>
              <w:gridCol w:w="1006"/>
              <w:gridCol w:w="1163"/>
              <w:gridCol w:w="1611"/>
            </w:tblGrid>
            <w:tr w14:paraId="24B890E1">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shd w:val="clear" w:color="auto" w:fill="auto"/>
                <w:tblCellMar>
                  <w:top w:w="15" w:type="dxa"/>
                  <w:left w:w="15" w:type="dxa"/>
                  <w:bottom w:w="15" w:type="dxa"/>
                  <w:right w:w="15" w:type="dxa"/>
                </w:tblCellMar>
              </w:tblPrEx>
              <w:trPr>
                <w:trHeight w:val="397" w:hRule="atLeast"/>
                <w:tblHeader/>
                <w:jc w:val="center"/>
              </w:trPr>
              <w:tc>
                <w:tcPr>
                  <w:tcW w:w="484" w:type="pct"/>
                  <w:tcBorders>
                    <w:tl2br w:val="nil"/>
                    <w:tr2bl w:val="nil"/>
                  </w:tcBorders>
                  <w:shd w:val="clear" w:color="auto" w:fill="auto"/>
                  <w:tcMar>
                    <w:top w:w="120" w:type="dxa"/>
                    <w:left w:w="120" w:type="dxa"/>
                    <w:bottom w:w="120" w:type="dxa"/>
                    <w:right w:w="120" w:type="dxa"/>
                  </w:tcMar>
                  <w:vAlign w:val="center"/>
                </w:tcPr>
                <w:p w14:paraId="42EF410B">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rPr>
                  </w:pPr>
                  <w:r>
                    <w:rPr>
                      <w:rFonts w:hint="default" w:ascii="Times New Roman" w:hAnsi="Times New Roman" w:eastAsia="宋体" w:cs="Times New Roman"/>
                      <w:b w:val="0"/>
                      <w:bCs w:val="0"/>
                      <w:kern w:val="0"/>
                      <w:sz w:val="21"/>
                      <w:szCs w:val="21"/>
                      <w:lang w:val="en-US" w:eastAsia="zh-CN" w:bidi="ar"/>
                    </w:rPr>
                    <w:t>项目</w:t>
                  </w:r>
                </w:p>
              </w:tc>
              <w:tc>
                <w:tcPr>
                  <w:tcW w:w="762" w:type="pct"/>
                  <w:tcBorders>
                    <w:tl2br w:val="nil"/>
                    <w:tr2bl w:val="nil"/>
                  </w:tcBorders>
                  <w:shd w:val="clear" w:color="auto" w:fill="auto"/>
                  <w:tcMar>
                    <w:top w:w="120" w:type="dxa"/>
                    <w:left w:w="120" w:type="dxa"/>
                    <w:bottom w:w="120" w:type="dxa"/>
                    <w:right w:w="120" w:type="dxa"/>
                  </w:tcMar>
                  <w:vAlign w:val="center"/>
                </w:tcPr>
                <w:p w14:paraId="34ADEE37">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rPr>
                  </w:pPr>
                  <w:r>
                    <w:rPr>
                      <w:rFonts w:hint="default" w:ascii="Times New Roman" w:hAnsi="Times New Roman" w:eastAsia="宋体" w:cs="Times New Roman"/>
                      <w:b w:val="0"/>
                      <w:bCs w:val="0"/>
                      <w:kern w:val="0"/>
                      <w:sz w:val="21"/>
                      <w:szCs w:val="21"/>
                      <w:lang w:val="en-US" w:eastAsia="zh-CN" w:bidi="ar"/>
                    </w:rPr>
                    <w:t>挖方（m³）</w:t>
                  </w:r>
                </w:p>
              </w:tc>
              <w:tc>
                <w:tcPr>
                  <w:tcW w:w="0" w:type="auto"/>
                  <w:tcBorders>
                    <w:tl2br w:val="nil"/>
                    <w:tr2bl w:val="nil"/>
                  </w:tcBorders>
                  <w:shd w:val="clear" w:color="auto" w:fill="auto"/>
                  <w:tcMar>
                    <w:top w:w="120" w:type="dxa"/>
                    <w:left w:w="120" w:type="dxa"/>
                    <w:bottom w:w="120" w:type="dxa"/>
                    <w:right w:w="120" w:type="dxa"/>
                  </w:tcMar>
                  <w:vAlign w:val="center"/>
                </w:tcPr>
                <w:p w14:paraId="3B3AEBE9">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rPr>
                  </w:pPr>
                  <w:r>
                    <w:rPr>
                      <w:rFonts w:hint="default" w:ascii="Times New Roman" w:hAnsi="Times New Roman" w:eastAsia="宋体" w:cs="Times New Roman"/>
                      <w:b w:val="0"/>
                      <w:bCs w:val="0"/>
                      <w:kern w:val="0"/>
                      <w:sz w:val="21"/>
                      <w:szCs w:val="21"/>
                      <w:lang w:val="en-US" w:eastAsia="zh-CN" w:bidi="ar"/>
                    </w:rPr>
                    <w:t>填方（m³）</w:t>
                  </w:r>
                </w:p>
              </w:tc>
              <w:tc>
                <w:tcPr>
                  <w:tcW w:w="0" w:type="auto"/>
                  <w:tcBorders>
                    <w:tl2br w:val="nil"/>
                    <w:tr2bl w:val="nil"/>
                  </w:tcBorders>
                  <w:shd w:val="clear" w:color="auto" w:fill="auto"/>
                  <w:tcMar>
                    <w:top w:w="120" w:type="dxa"/>
                    <w:left w:w="120" w:type="dxa"/>
                    <w:bottom w:w="120" w:type="dxa"/>
                    <w:right w:w="120" w:type="dxa"/>
                  </w:tcMar>
                  <w:vAlign w:val="center"/>
                </w:tcPr>
                <w:p w14:paraId="3D7C6901">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rPr>
                  </w:pPr>
                  <w:r>
                    <w:rPr>
                      <w:rFonts w:hint="default" w:ascii="Times New Roman" w:hAnsi="Times New Roman" w:eastAsia="宋体" w:cs="Times New Roman"/>
                      <w:b w:val="0"/>
                      <w:bCs w:val="0"/>
                      <w:kern w:val="0"/>
                      <w:sz w:val="21"/>
                      <w:szCs w:val="21"/>
                      <w:lang w:val="en-US" w:eastAsia="zh-CN" w:bidi="ar"/>
                    </w:rPr>
                    <w:t>利用方（m³）</w:t>
                  </w:r>
                </w:p>
              </w:tc>
              <w:tc>
                <w:tcPr>
                  <w:tcW w:w="0" w:type="auto"/>
                  <w:tcBorders>
                    <w:tl2br w:val="nil"/>
                    <w:tr2bl w:val="nil"/>
                  </w:tcBorders>
                  <w:shd w:val="clear" w:color="auto" w:fill="auto"/>
                  <w:tcMar>
                    <w:top w:w="120" w:type="dxa"/>
                    <w:left w:w="120" w:type="dxa"/>
                    <w:bottom w:w="120" w:type="dxa"/>
                    <w:right w:w="120" w:type="dxa"/>
                  </w:tcMar>
                  <w:vAlign w:val="center"/>
                </w:tcPr>
                <w:p w14:paraId="343BE193">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rPr>
                  </w:pPr>
                  <w:r>
                    <w:rPr>
                      <w:rFonts w:hint="default" w:ascii="Times New Roman" w:hAnsi="Times New Roman" w:eastAsia="宋体" w:cs="Times New Roman"/>
                      <w:b w:val="0"/>
                      <w:bCs w:val="0"/>
                      <w:kern w:val="0"/>
                      <w:sz w:val="21"/>
                      <w:szCs w:val="21"/>
                      <w:lang w:val="en-US" w:eastAsia="zh-CN" w:bidi="ar"/>
                    </w:rPr>
                    <w:t>借方（m³）</w:t>
                  </w:r>
                </w:p>
              </w:tc>
              <w:tc>
                <w:tcPr>
                  <w:tcW w:w="745" w:type="pct"/>
                  <w:tcBorders>
                    <w:tl2br w:val="nil"/>
                    <w:tr2bl w:val="nil"/>
                  </w:tcBorders>
                  <w:shd w:val="clear" w:color="auto" w:fill="auto"/>
                  <w:tcMar>
                    <w:top w:w="120" w:type="dxa"/>
                    <w:left w:w="120" w:type="dxa"/>
                    <w:bottom w:w="120" w:type="dxa"/>
                    <w:right w:w="120" w:type="dxa"/>
                  </w:tcMar>
                  <w:vAlign w:val="center"/>
                </w:tcPr>
                <w:p w14:paraId="671B5F91">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rPr>
                  </w:pPr>
                  <w:r>
                    <w:rPr>
                      <w:rFonts w:hint="default" w:ascii="Times New Roman" w:hAnsi="Times New Roman" w:eastAsia="宋体" w:cs="Times New Roman"/>
                      <w:b w:val="0"/>
                      <w:bCs w:val="0"/>
                      <w:kern w:val="0"/>
                      <w:sz w:val="21"/>
                      <w:szCs w:val="21"/>
                      <w:lang w:val="en-US" w:eastAsia="zh-CN" w:bidi="ar"/>
                    </w:rPr>
                    <w:t>弃方（m³）</w:t>
                  </w:r>
                </w:p>
              </w:tc>
              <w:tc>
                <w:tcPr>
                  <w:tcW w:w="1032" w:type="pct"/>
                  <w:tcBorders>
                    <w:tl2br w:val="nil"/>
                    <w:tr2bl w:val="nil"/>
                  </w:tcBorders>
                  <w:shd w:val="clear" w:color="auto" w:fill="auto"/>
                  <w:tcMar>
                    <w:top w:w="120" w:type="dxa"/>
                    <w:left w:w="120" w:type="dxa"/>
                    <w:bottom w:w="120" w:type="dxa"/>
                    <w:right w:w="120" w:type="dxa"/>
                  </w:tcMar>
                  <w:vAlign w:val="center"/>
                </w:tcPr>
                <w:p w14:paraId="4B35C068">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rPr>
                  </w:pPr>
                  <w:r>
                    <w:rPr>
                      <w:rFonts w:hint="default" w:ascii="Times New Roman" w:hAnsi="Times New Roman" w:eastAsia="宋体" w:cs="Times New Roman"/>
                      <w:b w:val="0"/>
                      <w:bCs w:val="0"/>
                      <w:kern w:val="0"/>
                      <w:sz w:val="21"/>
                      <w:szCs w:val="21"/>
                      <w:lang w:val="en-US" w:eastAsia="zh-CN" w:bidi="ar"/>
                    </w:rPr>
                    <w:t>备注</w:t>
                  </w:r>
                </w:p>
              </w:tc>
            </w:tr>
            <w:tr w14:paraId="666A278E">
              <w:tblPrEx>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CellMar>
                  <w:top w:w="15" w:type="dxa"/>
                  <w:left w:w="15" w:type="dxa"/>
                  <w:bottom w:w="15" w:type="dxa"/>
                  <w:right w:w="15" w:type="dxa"/>
                </w:tblCellMar>
              </w:tblPrEx>
              <w:trPr>
                <w:trHeight w:val="397" w:hRule="atLeast"/>
                <w:jc w:val="center"/>
              </w:trPr>
              <w:tc>
                <w:tcPr>
                  <w:tcW w:w="484" w:type="pct"/>
                  <w:tcBorders>
                    <w:tl2br w:val="nil"/>
                    <w:tr2bl w:val="nil"/>
                  </w:tcBorders>
                  <w:shd w:val="clear" w:color="auto" w:fill="auto"/>
                  <w:tcMar>
                    <w:top w:w="120" w:type="dxa"/>
                    <w:left w:w="120" w:type="dxa"/>
                    <w:bottom w:w="120" w:type="dxa"/>
                    <w:right w:w="120" w:type="dxa"/>
                  </w:tcMar>
                  <w:vAlign w:val="center"/>
                </w:tcPr>
                <w:p w14:paraId="56C8D21C">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rPr>
                  </w:pPr>
                  <w:r>
                    <w:rPr>
                      <w:rFonts w:hint="default" w:ascii="Times New Roman" w:hAnsi="Times New Roman" w:eastAsia="宋体" w:cs="Times New Roman"/>
                      <w:b w:val="0"/>
                      <w:bCs w:val="0"/>
                      <w:kern w:val="0"/>
                      <w:sz w:val="21"/>
                      <w:szCs w:val="21"/>
                      <w:lang w:val="en-US" w:eastAsia="zh-CN" w:bidi="ar"/>
                    </w:rPr>
                    <w:t>站区工程</w:t>
                  </w:r>
                </w:p>
              </w:tc>
              <w:tc>
                <w:tcPr>
                  <w:tcW w:w="762" w:type="pct"/>
                  <w:tcBorders>
                    <w:tl2br w:val="nil"/>
                    <w:tr2bl w:val="nil"/>
                  </w:tcBorders>
                  <w:shd w:val="clear" w:color="auto" w:fill="auto"/>
                  <w:tcMar>
                    <w:top w:w="120" w:type="dxa"/>
                    <w:left w:w="120" w:type="dxa"/>
                    <w:bottom w:w="120" w:type="dxa"/>
                    <w:right w:w="120" w:type="dxa"/>
                  </w:tcMar>
                  <w:vAlign w:val="center"/>
                </w:tcPr>
                <w:p w14:paraId="539976C0">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rPr>
                  </w:pPr>
                  <w:r>
                    <w:rPr>
                      <w:rFonts w:hint="default" w:ascii="Times New Roman" w:hAnsi="Times New Roman" w:eastAsia="宋体" w:cs="Times New Roman"/>
                      <w:b w:val="0"/>
                      <w:bCs w:val="0"/>
                      <w:kern w:val="0"/>
                      <w:sz w:val="21"/>
                      <w:szCs w:val="21"/>
                      <w:lang w:val="en-US" w:eastAsia="zh-CN" w:bidi="ar"/>
                    </w:rPr>
                    <w:t>1000</w:t>
                  </w:r>
                </w:p>
              </w:tc>
              <w:tc>
                <w:tcPr>
                  <w:tcW w:w="0" w:type="auto"/>
                  <w:tcBorders>
                    <w:tl2br w:val="nil"/>
                    <w:tr2bl w:val="nil"/>
                  </w:tcBorders>
                  <w:shd w:val="clear" w:color="auto" w:fill="auto"/>
                  <w:tcMar>
                    <w:top w:w="120" w:type="dxa"/>
                    <w:left w:w="120" w:type="dxa"/>
                    <w:bottom w:w="120" w:type="dxa"/>
                    <w:right w:w="120" w:type="dxa"/>
                  </w:tcMar>
                  <w:vAlign w:val="center"/>
                </w:tcPr>
                <w:p w14:paraId="2F558097">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rPr>
                  </w:pPr>
                  <w:r>
                    <w:rPr>
                      <w:rFonts w:hint="default" w:ascii="Times New Roman" w:hAnsi="Times New Roman" w:eastAsia="宋体" w:cs="Times New Roman"/>
                      <w:b w:val="0"/>
                      <w:bCs w:val="0"/>
                      <w:kern w:val="0"/>
                      <w:sz w:val="21"/>
                      <w:szCs w:val="21"/>
                      <w:lang w:val="en-US" w:eastAsia="zh-CN" w:bidi="ar"/>
                    </w:rPr>
                    <w:t>1000</w:t>
                  </w:r>
                </w:p>
              </w:tc>
              <w:tc>
                <w:tcPr>
                  <w:tcW w:w="0" w:type="auto"/>
                  <w:tcBorders>
                    <w:tl2br w:val="nil"/>
                    <w:tr2bl w:val="nil"/>
                  </w:tcBorders>
                  <w:shd w:val="clear" w:color="auto" w:fill="auto"/>
                  <w:tcMar>
                    <w:top w:w="120" w:type="dxa"/>
                    <w:left w:w="120" w:type="dxa"/>
                    <w:bottom w:w="120" w:type="dxa"/>
                    <w:right w:w="120" w:type="dxa"/>
                  </w:tcMar>
                  <w:vAlign w:val="center"/>
                </w:tcPr>
                <w:p w14:paraId="12E19E4A">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rPr>
                  </w:pPr>
                  <w:r>
                    <w:rPr>
                      <w:rFonts w:hint="default" w:ascii="Times New Roman" w:hAnsi="Times New Roman" w:eastAsia="宋体" w:cs="Times New Roman"/>
                      <w:b w:val="0"/>
                      <w:bCs w:val="0"/>
                      <w:kern w:val="0"/>
                      <w:sz w:val="21"/>
                      <w:szCs w:val="21"/>
                      <w:lang w:val="en-US" w:eastAsia="zh-CN" w:bidi="ar"/>
                    </w:rPr>
                    <w:t>基槽余土1000</w:t>
                  </w:r>
                </w:p>
              </w:tc>
              <w:tc>
                <w:tcPr>
                  <w:tcW w:w="0" w:type="auto"/>
                  <w:tcBorders>
                    <w:tl2br w:val="nil"/>
                    <w:tr2bl w:val="nil"/>
                  </w:tcBorders>
                  <w:shd w:val="clear" w:color="auto" w:fill="auto"/>
                  <w:tcMar>
                    <w:top w:w="120" w:type="dxa"/>
                    <w:left w:w="120" w:type="dxa"/>
                    <w:bottom w:w="120" w:type="dxa"/>
                    <w:right w:w="120" w:type="dxa"/>
                  </w:tcMar>
                  <w:vAlign w:val="center"/>
                </w:tcPr>
                <w:p w14:paraId="27D7516B">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rPr>
                  </w:pPr>
                  <w:r>
                    <w:rPr>
                      <w:rFonts w:hint="default" w:ascii="Times New Roman" w:hAnsi="Times New Roman" w:eastAsia="宋体" w:cs="Times New Roman"/>
                      <w:b w:val="0"/>
                      <w:bCs w:val="0"/>
                      <w:kern w:val="0"/>
                      <w:sz w:val="21"/>
                      <w:szCs w:val="21"/>
                      <w:lang w:val="en-US" w:eastAsia="zh-CN" w:bidi="ar"/>
                    </w:rPr>
                    <w:t>0</w:t>
                  </w:r>
                </w:p>
              </w:tc>
              <w:tc>
                <w:tcPr>
                  <w:tcW w:w="745" w:type="pct"/>
                  <w:tcBorders>
                    <w:tl2br w:val="nil"/>
                    <w:tr2bl w:val="nil"/>
                  </w:tcBorders>
                  <w:shd w:val="clear" w:color="auto" w:fill="auto"/>
                  <w:tcMar>
                    <w:top w:w="120" w:type="dxa"/>
                    <w:left w:w="120" w:type="dxa"/>
                    <w:bottom w:w="120" w:type="dxa"/>
                    <w:right w:w="120" w:type="dxa"/>
                  </w:tcMar>
                  <w:vAlign w:val="center"/>
                </w:tcPr>
                <w:p w14:paraId="5BA7732F">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rPr>
                  </w:pPr>
                  <w:r>
                    <w:rPr>
                      <w:rFonts w:hint="default" w:ascii="Times New Roman" w:hAnsi="Times New Roman" w:eastAsia="宋体" w:cs="Times New Roman"/>
                      <w:b w:val="0"/>
                      <w:bCs w:val="0"/>
                      <w:kern w:val="0"/>
                      <w:sz w:val="21"/>
                      <w:szCs w:val="21"/>
                      <w:lang w:val="en-US" w:eastAsia="zh-CN" w:bidi="ar"/>
                    </w:rPr>
                    <w:t>0</w:t>
                  </w:r>
                </w:p>
              </w:tc>
              <w:tc>
                <w:tcPr>
                  <w:tcW w:w="1032" w:type="pct"/>
                  <w:tcBorders>
                    <w:tl2br w:val="nil"/>
                    <w:tr2bl w:val="nil"/>
                  </w:tcBorders>
                  <w:shd w:val="clear" w:color="auto" w:fill="auto"/>
                  <w:tcMar>
                    <w:top w:w="120" w:type="dxa"/>
                    <w:left w:w="120" w:type="dxa"/>
                    <w:bottom w:w="120" w:type="dxa"/>
                    <w:right w:w="120" w:type="dxa"/>
                  </w:tcMar>
                  <w:vAlign w:val="center"/>
                </w:tcPr>
                <w:p w14:paraId="23254E15">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cs="Times New Roman"/>
                      <w:b w:val="0"/>
                      <w:bCs w:val="0"/>
                      <w:sz w:val="21"/>
                      <w:szCs w:val="21"/>
                    </w:rPr>
                  </w:pPr>
                  <w:r>
                    <w:rPr>
                      <w:rFonts w:hint="default" w:ascii="Times New Roman" w:hAnsi="Times New Roman" w:eastAsia="宋体" w:cs="Times New Roman"/>
                      <w:b w:val="0"/>
                      <w:bCs w:val="0"/>
                      <w:kern w:val="0"/>
                      <w:sz w:val="21"/>
                      <w:szCs w:val="21"/>
                      <w:lang w:val="en-US" w:eastAsia="zh-CN" w:bidi="ar"/>
                    </w:rPr>
                    <w:t>无外购、无外弃；表土单独剥离堆存，用于后期绿化覆土</w:t>
                  </w:r>
                </w:p>
              </w:tc>
            </w:tr>
          </w:tbl>
          <w:p w14:paraId="551D8698">
            <w:pPr>
              <w:pStyle w:val="67"/>
              <w:numPr>
                <w:ilvl w:val="0"/>
                <w:numId w:val="0"/>
              </w:numPr>
              <w:spacing w:line="480" w:lineRule="exact"/>
              <w:ind w:leftChars="0"/>
              <w:rPr>
                <w:rFonts w:hint="default" w:ascii="Times New Roman" w:hAnsi="Times New Roman" w:eastAsia="黑体" w:cs="Times New Roman"/>
                <w:sz w:val="24"/>
                <w:lang w:val="en-US" w:eastAsia="zh-CN"/>
              </w:rPr>
            </w:pPr>
            <w:r>
              <w:rPr>
                <w:rFonts w:hint="default" w:ascii="Times New Roman" w:hAnsi="Times New Roman" w:eastAsia="黑体" w:cs="Times New Roman"/>
                <w:sz w:val="24"/>
                <w:lang w:val="en-US" w:eastAsia="zh-CN"/>
              </w:rPr>
              <w:t>5.依托工程</w:t>
            </w:r>
          </w:p>
          <w:p w14:paraId="7DAB5E41">
            <w:pPr>
              <w:keepNext w:val="0"/>
              <w:keepLines w:val="0"/>
              <w:pageBreakBefore w:val="0"/>
              <w:widowControl w:val="0"/>
              <w:kinsoku/>
              <w:wordWrap/>
              <w:overflowPunct/>
              <w:topLinePunct w:val="0"/>
              <w:autoSpaceDE/>
              <w:autoSpaceDN/>
              <w:bidi w:val="0"/>
              <w:adjustRightInd/>
              <w:snapToGrid/>
              <w:spacing w:before="0" w:after="0" w:line="480" w:lineRule="exact"/>
              <w:ind w:firstLine="480" w:firstLineChars="200"/>
              <w:textAlignment w:val="auto"/>
              <w:rPr>
                <w:rFonts w:hint="default" w:ascii="Times New Roman" w:hAnsi="Times New Roman" w:eastAsia="宋体" w:cs="Times New Roman"/>
                <w:b w:val="0"/>
                <w:sz w:val="24"/>
              </w:rPr>
            </w:pPr>
            <w:r>
              <w:rPr>
                <w:rFonts w:hint="default" w:ascii="Times New Roman" w:hAnsi="Times New Roman" w:eastAsia="宋体" w:cs="Times New Roman"/>
                <w:b w:val="0"/>
                <w:sz w:val="24"/>
              </w:rPr>
              <w:t>本工程为产业园（一期）项目的配套供电工程，主体工程（产业园）环境影响报告书已取得巴州生态环境局批复（巴环评价函〔2026〕190号）。本工程与主体工程的依托关系见表2-2"依托工程"栏，主要包括：①用地依托产业园厂区规划预留用地，不新增征地；②给水依托厂区给水管网，排水依托厂区污水管网及尉犁工业园区工业污水处理厂；③消防依托厂区消防供水管网及厂区消防控制中心；④进站道路依托厂区规划道路，施工用电依托厂区施工电源，施工营地依托厂区既有设施；⑤生活垃圾清运依托当地环卫部门，危险废物处置依托有资质单位；⑥电源依托公共电网（破口接入110kV尉针二线），送出线路工程另行履行环评手续。上述依托设施中，厂区给水、消防、污水管网及道路由主体工程统一建设，其建设进度早于或同步于本工程，依托能力可满足本工程需求，不存在依托设施能力不足的问题。</w:t>
            </w:r>
          </w:p>
          <w:p w14:paraId="5F2B636C">
            <w:pPr>
              <w:pStyle w:val="67"/>
              <w:numPr>
                <w:ilvl w:val="0"/>
                <w:numId w:val="0"/>
              </w:numPr>
              <w:spacing w:line="480" w:lineRule="exact"/>
              <w:ind w:leftChars="0"/>
              <w:rPr>
                <w:rFonts w:hint="default" w:ascii="Times New Roman" w:hAnsi="Times New Roman" w:eastAsia="黑体" w:cs="Times New Roman"/>
                <w:sz w:val="24"/>
                <w:lang w:val="en-US" w:eastAsia="zh-CN"/>
              </w:rPr>
            </w:pPr>
            <w:r>
              <w:rPr>
                <w:rFonts w:hint="default" w:ascii="Times New Roman" w:hAnsi="Times New Roman" w:eastAsia="黑体" w:cs="Times New Roman"/>
                <w:sz w:val="24"/>
                <w:lang w:val="en-US" w:eastAsia="zh-CN"/>
              </w:rPr>
              <w:t>6.劳动定员</w:t>
            </w:r>
          </w:p>
          <w:p w14:paraId="5D347788">
            <w:pPr>
              <w:keepNext w:val="0"/>
              <w:keepLines w:val="0"/>
              <w:pageBreakBefore w:val="0"/>
              <w:widowControl w:val="0"/>
              <w:kinsoku/>
              <w:wordWrap/>
              <w:overflowPunct/>
              <w:topLinePunct w:val="0"/>
              <w:autoSpaceDE/>
              <w:autoSpaceDN/>
              <w:bidi w:val="0"/>
              <w:adjustRightInd/>
              <w:snapToGrid/>
              <w:spacing w:before="0" w:after="0" w:line="480" w:lineRule="exact"/>
              <w:ind w:firstLine="480" w:firstLineChars="200"/>
              <w:textAlignment w:val="auto"/>
              <w:rPr>
                <w:rFonts w:hint="default" w:ascii="Times New Roman" w:hAnsi="Times New Roman" w:cs="Times New Roman"/>
                <w:sz w:val="24"/>
              </w:rPr>
            </w:pPr>
            <w:r>
              <w:rPr>
                <w:rFonts w:hint="default" w:ascii="Times New Roman" w:hAnsi="Times New Roman" w:eastAsia="宋体" w:cs="Times New Roman"/>
                <w:b w:val="0"/>
                <w:sz w:val="24"/>
              </w:rPr>
              <w:t>本工程按无人值班变电站设计，全站二次设备采用计算机监控系统（DL/T860标准），远动信息直采直送巴州地调，正常运行时不设常驻运行人员，由建设单位电气运行维护部门负责日常巡视、检修及管理，配置兼职运维人员约</w:t>
            </w:r>
            <w:r>
              <w:rPr>
                <w:rFonts w:hint="eastAsia" w:cs="Times New Roman"/>
                <w:b w:val="0"/>
                <w:sz w:val="24"/>
                <w:lang w:val="en-US" w:eastAsia="zh-CN"/>
              </w:rPr>
              <w:t>5</w:t>
            </w:r>
            <w:r>
              <w:rPr>
                <w:rFonts w:hint="default" w:ascii="Times New Roman" w:hAnsi="Times New Roman" w:eastAsia="宋体" w:cs="Times New Roman"/>
                <w:b w:val="0"/>
                <w:sz w:val="24"/>
              </w:rPr>
              <w:t>人，按巡检周期进站作业，站内不设食堂、宿舍。站用电负荷统计按全站动力、照明、采暖、通风空调及二次设备用电考虑，计算负荷约128kW（冬季），选用2台200kVA站用变压器，单台即可承担全站负荷。</w:t>
            </w:r>
          </w:p>
        </w:tc>
      </w:tr>
      <w:tr w14:paraId="520DF31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274" w:type="pct"/>
            <w:vAlign w:val="center"/>
          </w:tcPr>
          <w:p w14:paraId="65B5FFCD">
            <w:pPr>
              <w:adjustRightInd w:val="0"/>
              <w:snapToGrid w:val="0"/>
              <w:jc w:val="center"/>
              <w:rPr>
                <w:rFonts w:hint="default" w:ascii="Times New Roman" w:hAnsi="Times New Roman" w:cs="Times New Roman" w:eastAsiaTheme="minorEastAsia"/>
                <w:kern w:val="0"/>
                <w:sz w:val="24"/>
              </w:rPr>
            </w:pPr>
            <w:r>
              <w:rPr>
                <w:rFonts w:hint="default" w:ascii="Times New Roman" w:hAnsi="Times New Roman" w:cs="Times New Roman" w:eastAsiaTheme="minorEastAsia"/>
                <w:kern w:val="0"/>
                <w:sz w:val="24"/>
              </w:rPr>
              <w:t>总平面及现场布置</w:t>
            </w:r>
          </w:p>
        </w:tc>
        <w:tc>
          <w:tcPr>
            <w:tcW w:w="4725" w:type="pct"/>
            <w:vAlign w:val="center"/>
          </w:tcPr>
          <w:p w14:paraId="64D6EBE7">
            <w:pPr>
              <w:pStyle w:val="67"/>
              <w:numPr>
                <w:ilvl w:val="0"/>
                <w:numId w:val="0"/>
              </w:numPr>
              <w:spacing w:line="480" w:lineRule="exact"/>
              <w:ind w:leftChars="0"/>
              <w:rPr>
                <w:rFonts w:hint="default" w:ascii="Times New Roman" w:hAnsi="Times New Roman" w:eastAsia="黑体" w:cs="Times New Roman"/>
                <w:sz w:val="24"/>
                <w:lang w:val="en-US" w:eastAsia="zh-CN"/>
              </w:rPr>
            </w:pPr>
            <w:r>
              <w:rPr>
                <w:rFonts w:hint="default" w:ascii="Times New Roman" w:hAnsi="Times New Roman" w:eastAsia="黑体" w:cs="Times New Roman"/>
                <w:sz w:val="24"/>
                <w:lang w:val="en-US" w:eastAsia="zh-CN"/>
              </w:rPr>
              <w:t>1.总平面布置原则</w:t>
            </w:r>
          </w:p>
          <w:p w14:paraId="2A852C69">
            <w:pPr>
              <w:keepNext w:val="0"/>
              <w:keepLines w:val="0"/>
              <w:pageBreakBefore w:val="0"/>
              <w:widowControl w:val="0"/>
              <w:kinsoku/>
              <w:wordWrap/>
              <w:overflowPunct/>
              <w:topLinePunct w:val="0"/>
              <w:autoSpaceDE/>
              <w:autoSpaceDN/>
              <w:bidi w:val="0"/>
              <w:adjustRightInd/>
              <w:snapToGrid/>
              <w:spacing w:before="0" w:after="0" w:line="480" w:lineRule="exact"/>
              <w:ind w:firstLine="480" w:firstLineChars="200"/>
              <w:textAlignment w:val="auto"/>
              <w:rPr>
                <w:rFonts w:hint="default" w:ascii="Times New Roman" w:hAnsi="Times New Roman" w:eastAsia="宋体" w:cs="Times New Roman"/>
                <w:b w:val="0"/>
                <w:sz w:val="24"/>
              </w:rPr>
            </w:pPr>
            <w:r>
              <w:rPr>
                <w:rFonts w:hint="default" w:ascii="Times New Roman" w:hAnsi="Times New Roman" w:eastAsia="宋体" w:cs="Times New Roman"/>
                <w:b w:val="0"/>
                <w:sz w:val="24"/>
              </w:rPr>
              <w:t>站区总平面按最终规模统筹规划、远近结合、一次布置，遵循通用设计模块化和"两型三化"变电站建设要求，在满足工艺流向顺畅、出线方便、运行检修及消防要求的前提下，力求紧凑合理、减少占地；同级电压线路不交叉，各级电压出线顺畅、转角小；建构筑物布置结合站址地形、地质、日照、交通及环境保护要求。变电站建筑北向同磁北方向。</w:t>
            </w:r>
          </w:p>
          <w:p w14:paraId="4D46F121">
            <w:pPr>
              <w:pStyle w:val="67"/>
              <w:numPr>
                <w:ilvl w:val="0"/>
                <w:numId w:val="0"/>
              </w:numPr>
              <w:spacing w:line="480" w:lineRule="exact"/>
              <w:ind w:leftChars="0"/>
              <w:rPr>
                <w:rFonts w:hint="default" w:ascii="Times New Roman" w:hAnsi="Times New Roman" w:eastAsia="黑体" w:cs="Times New Roman"/>
                <w:sz w:val="24"/>
                <w:lang w:val="en-US" w:eastAsia="zh-CN"/>
              </w:rPr>
            </w:pPr>
            <w:r>
              <w:rPr>
                <w:rFonts w:hint="default" w:ascii="Times New Roman" w:hAnsi="Times New Roman" w:eastAsia="黑体" w:cs="Times New Roman"/>
                <w:sz w:val="24"/>
                <w:lang w:val="en-US" w:eastAsia="zh-CN"/>
              </w:rPr>
              <w:t>2.总平面布置方案</w:t>
            </w:r>
          </w:p>
          <w:p w14:paraId="0AB9A87A">
            <w:pPr>
              <w:keepNext w:val="0"/>
              <w:keepLines w:val="0"/>
              <w:pageBreakBefore w:val="0"/>
              <w:widowControl w:val="0"/>
              <w:kinsoku/>
              <w:wordWrap/>
              <w:overflowPunct/>
              <w:topLinePunct w:val="0"/>
              <w:autoSpaceDE/>
              <w:autoSpaceDN/>
              <w:bidi w:val="0"/>
              <w:adjustRightInd/>
              <w:snapToGrid/>
              <w:spacing w:before="0" w:after="0" w:line="480" w:lineRule="exact"/>
              <w:ind w:firstLine="480" w:firstLineChars="200"/>
              <w:textAlignment w:val="auto"/>
              <w:rPr>
                <w:rFonts w:hint="default" w:ascii="Times New Roman" w:hAnsi="Times New Roman" w:eastAsia="宋体" w:cs="Times New Roman"/>
                <w:b w:val="0"/>
                <w:sz w:val="24"/>
              </w:rPr>
            </w:pPr>
            <w:r>
              <w:rPr>
                <w:rFonts w:hint="default" w:ascii="Times New Roman" w:hAnsi="Times New Roman" w:eastAsia="宋体" w:cs="Times New Roman"/>
                <w:b w:val="0"/>
                <w:sz w:val="24"/>
              </w:rPr>
              <w:t>站区呈矩形，围墙轴线尺寸81.5m×44m，围墙内面积3586m</w:t>
            </w:r>
            <w:r>
              <w:rPr>
                <w:rFonts w:hint="default" w:ascii="Times New Roman" w:hAnsi="Times New Roman" w:eastAsia="宋体" w:cs="Times New Roman"/>
                <w:b w:val="0"/>
                <w:sz w:val="24"/>
                <w:vertAlign w:val="superscript"/>
                <w:lang w:val="en-US" w:eastAsia="zh-CN"/>
              </w:rPr>
              <w:t>2</w:t>
            </w:r>
            <w:r>
              <w:rPr>
                <w:rFonts w:hint="default" w:ascii="Times New Roman" w:hAnsi="Times New Roman" w:eastAsia="宋体" w:cs="Times New Roman"/>
                <w:b w:val="0"/>
                <w:sz w:val="24"/>
              </w:rPr>
              <w:t>。综合配电装置楼布置于站区北侧，主变压器布置于站区南侧户外场地，110kV GIS室设于综合配电装置楼二层、10kV配电室及电容器室、接地变室、蓄电池室设于一层，形成"高压在上、低压在下、由北向南出线"的工艺格局。</w:t>
            </w:r>
          </w:p>
          <w:p w14:paraId="46462ADC">
            <w:pPr>
              <w:keepNext w:val="0"/>
              <w:keepLines w:val="0"/>
              <w:pageBreakBefore w:val="0"/>
              <w:widowControl w:val="0"/>
              <w:kinsoku/>
              <w:wordWrap/>
              <w:overflowPunct/>
              <w:topLinePunct w:val="0"/>
              <w:autoSpaceDE/>
              <w:autoSpaceDN/>
              <w:bidi w:val="0"/>
              <w:adjustRightInd/>
              <w:snapToGrid/>
              <w:spacing w:before="0" w:after="0" w:line="480" w:lineRule="exact"/>
              <w:ind w:firstLine="480" w:firstLineChars="200"/>
              <w:textAlignment w:val="auto"/>
              <w:rPr>
                <w:rFonts w:hint="default" w:ascii="Times New Roman" w:hAnsi="Times New Roman" w:eastAsia="宋体" w:cs="Times New Roman"/>
                <w:b w:val="0"/>
                <w:sz w:val="24"/>
              </w:rPr>
            </w:pPr>
            <w:r>
              <w:rPr>
                <w:rFonts w:hint="default" w:ascii="Times New Roman" w:hAnsi="Times New Roman" w:eastAsia="宋体" w:cs="Times New Roman"/>
                <w:b w:val="0"/>
                <w:sz w:val="24"/>
              </w:rPr>
              <w:t>变电站入口设于站区南侧，进站道路自厂区规划道路引接，长约10m、宽4.0m，混凝土路面；站内沿建筑物四周设4.0m宽环形道路（城市型，转弯半径9.0m），兼作设备运输及消防通道，道路与厂区道路衔接成环。站区场地采用平坡式竖向布置，设计标高883.0m，雨水以散排、下渗方式排出站外。站内主要建（构）筑物及设施布置情况见表2-</w:t>
            </w:r>
            <w:r>
              <w:rPr>
                <w:rFonts w:hint="default" w:ascii="Times New Roman" w:hAnsi="Times New Roman" w:cs="Times New Roman"/>
                <w:b w:val="0"/>
                <w:sz w:val="24"/>
                <w:lang w:val="en-US" w:eastAsia="zh-CN"/>
              </w:rPr>
              <w:t>7</w:t>
            </w:r>
            <w:r>
              <w:rPr>
                <w:rFonts w:hint="default" w:ascii="Times New Roman" w:hAnsi="Times New Roman" w:eastAsia="宋体" w:cs="Times New Roman"/>
                <w:b w:val="0"/>
                <w:sz w:val="24"/>
              </w:rPr>
              <w:t>，总平面布置见图2-</w:t>
            </w:r>
            <w:r>
              <w:rPr>
                <w:rFonts w:hint="default" w:ascii="Times New Roman" w:hAnsi="Times New Roman" w:cs="Times New Roman"/>
                <w:b w:val="0"/>
                <w:sz w:val="24"/>
                <w:lang w:val="en-US" w:eastAsia="zh-CN"/>
              </w:rPr>
              <w:t>2</w:t>
            </w:r>
            <w:r>
              <w:rPr>
                <w:rFonts w:hint="default" w:ascii="Times New Roman" w:hAnsi="Times New Roman" w:eastAsia="宋体" w:cs="Times New Roman"/>
                <w:b w:val="0"/>
                <w:sz w:val="24"/>
              </w:rPr>
              <w:t>。</w:t>
            </w:r>
          </w:p>
          <w:p w14:paraId="173C7AC5">
            <w:pPr>
              <w:pStyle w:val="67"/>
              <w:numPr>
                <w:ilvl w:val="0"/>
                <w:numId w:val="0"/>
              </w:numPr>
              <w:tabs>
                <w:tab w:val="center" w:pos="2721"/>
              </w:tabs>
              <w:spacing w:line="480" w:lineRule="exact"/>
              <w:ind w:left="420" w:leftChars="0"/>
              <w:jc w:val="center"/>
              <w:rPr>
                <w:rFonts w:hint="default" w:ascii="Times New Roman" w:hAnsi="Times New Roman" w:eastAsia="黑体" w:cs="Times New Roman"/>
              </w:rPr>
            </w:pPr>
            <w:r>
              <w:rPr>
                <w:rFonts w:hint="default" w:ascii="Times New Roman" w:hAnsi="Times New Roman" w:eastAsia="黑体" w:cs="Times New Roman"/>
              </w:rPr>
              <w:t>表2-</w:t>
            </w:r>
            <w:r>
              <w:rPr>
                <w:rFonts w:hint="default" w:ascii="Times New Roman" w:hAnsi="Times New Roman" w:eastAsia="黑体" w:cs="Times New Roman"/>
                <w:lang w:val="en-US" w:eastAsia="zh-CN"/>
              </w:rPr>
              <w:t xml:space="preserve">7 </w:t>
            </w:r>
            <w:r>
              <w:rPr>
                <w:rFonts w:hint="default" w:ascii="Times New Roman" w:hAnsi="Times New Roman" w:eastAsia="黑体" w:cs="Times New Roman"/>
              </w:rPr>
              <w:t>站内主要建（构）筑物及设施布置一览表</w:t>
            </w:r>
          </w:p>
          <w:tbl>
            <w:tblPr>
              <w:tblStyle w:val="4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538"/>
              <w:gridCol w:w="1837"/>
              <w:gridCol w:w="1389"/>
              <w:gridCol w:w="2356"/>
              <w:gridCol w:w="1695"/>
            </w:tblGrid>
            <w:tr w14:paraId="39C1C7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97" w:hRule="atLeast"/>
                <w:tblHeader/>
                <w:jc w:val="center"/>
              </w:trPr>
              <w:tc>
                <w:tcPr>
                  <w:tcW w:w="567" w:type="dxa"/>
                  <w:shd w:val="clear" w:color="auto" w:fill="auto"/>
                  <w:vAlign w:val="center"/>
                </w:tcPr>
                <w:p w14:paraId="469548D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sz w:val="21"/>
                      <w:szCs w:val="21"/>
                    </w:rPr>
                    <w:t>序号</w:t>
                  </w:r>
                </w:p>
              </w:tc>
              <w:tc>
                <w:tcPr>
                  <w:tcW w:w="2098" w:type="dxa"/>
                  <w:shd w:val="clear" w:color="auto" w:fill="auto"/>
                  <w:vAlign w:val="center"/>
                </w:tcPr>
                <w:p w14:paraId="456DE33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sz w:val="21"/>
                      <w:szCs w:val="21"/>
                    </w:rPr>
                    <w:t>建（构）筑物/设施</w:t>
                  </w:r>
                </w:p>
              </w:tc>
              <w:tc>
                <w:tcPr>
                  <w:tcW w:w="1587" w:type="dxa"/>
                  <w:shd w:val="clear" w:color="auto" w:fill="auto"/>
                  <w:vAlign w:val="center"/>
                </w:tcPr>
                <w:p w14:paraId="2A685DF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sz w:val="21"/>
                      <w:szCs w:val="21"/>
                    </w:rPr>
                    <w:t>位置</w:t>
                  </w:r>
                </w:p>
              </w:tc>
              <w:tc>
                <w:tcPr>
                  <w:tcW w:w="2438" w:type="dxa"/>
                  <w:shd w:val="clear" w:color="auto" w:fill="auto"/>
                  <w:vAlign w:val="center"/>
                </w:tcPr>
                <w:p w14:paraId="16AF3CA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sz w:val="21"/>
                      <w:szCs w:val="21"/>
                    </w:rPr>
                    <w:t>主要尺寸/规模</w:t>
                  </w:r>
                </w:p>
              </w:tc>
              <w:tc>
                <w:tcPr>
                  <w:tcW w:w="1928" w:type="dxa"/>
                  <w:shd w:val="clear" w:color="auto" w:fill="auto"/>
                  <w:vAlign w:val="center"/>
                </w:tcPr>
                <w:p w14:paraId="0C22F00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sz w:val="21"/>
                      <w:szCs w:val="21"/>
                    </w:rPr>
                    <w:t>备注</w:t>
                  </w:r>
                </w:p>
              </w:tc>
            </w:tr>
            <w:tr w14:paraId="1B154C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567" w:type="dxa"/>
                  <w:shd w:val="clear" w:color="auto" w:fill="auto"/>
                  <w:vAlign w:val="center"/>
                </w:tcPr>
                <w:p w14:paraId="736F78A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1</w:t>
                  </w:r>
                </w:p>
              </w:tc>
              <w:tc>
                <w:tcPr>
                  <w:tcW w:w="2098" w:type="dxa"/>
                  <w:shd w:val="clear" w:color="auto" w:fill="auto"/>
                  <w:vAlign w:val="center"/>
                </w:tcPr>
                <w:p w14:paraId="09B69F9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综合配电装置楼</w:t>
                  </w:r>
                </w:p>
              </w:tc>
              <w:tc>
                <w:tcPr>
                  <w:tcW w:w="1587" w:type="dxa"/>
                  <w:shd w:val="clear" w:color="auto" w:fill="auto"/>
                  <w:vAlign w:val="center"/>
                </w:tcPr>
                <w:p w14:paraId="2B2351A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站区北侧</w:t>
                  </w:r>
                </w:p>
              </w:tc>
              <w:tc>
                <w:tcPr>
                  <w:tcW w:w="2438" w:type="dxa"/>
                  <w:shd w:val="clear" w:color="auto" w:fill="auto"/>
                  <w:vAlign w:val="center"/>
                </w:tcPr>
                <w:p w14:paraId="24BA223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2层，建筑面积1681.72m²，建筑高度13.5m</w:t>
                  </w:r>
                </w:p>
              </w:tc>
              <w:tc>
                <w:tcPr>
                  <w:tcW w:w="1928" w:type="dxa"/>
                  <w:shd w:val="clear" w:color="auto" w:fill="auto"/>
                  <w:vAlign w:val="center"/>
                </w:tcPr>
                <w:p w14:paraId="6A496E4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框架结构，"L"字形，丁类、耐火二级</w:t>
                  </w:r>
                </w:p>
              </w:tc>
            </w:tr>
            <w:tr w14:paraId="5169CE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567" w:type="dxa"/>
                  <w:shd w:val="clear" w:color="auto" w:fill="auto"/>
                  <w:vAlign w:val="center"/>
                </w:tcPr>
                <w:p w14:paraId="487EA22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2</w:t>
                  </w:r>
                </w:p>
              </w:tc>
              <w:tc>
                <w:tcPr>
                  <w:tcW w:w="2098" w:type="dxa"/>
                  <w:shd w:val="clear" w:color="auto" w:fill="auto"/>
                  <w:vAlign w:val="center"/>
                </w:tcPr>
                <w:p w14:paraId="0BB2F81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110kV GIS室</w:t>
                  </w:r>
                </w:p>
              </w:tc>
              <w:tc>
                <w:tcPr>
                  <w:tcW w:w="1587" w:type="dxa"/>
                  <w:shd w:val="clear" w:color="auto" w:fill="auto"/>
                  <w:vAlign w:val="center"/>
                </w:tcPr>
                <w:p w14:paraId="4D6D85D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楼内二层</w:t>
                  </w:r>
                </w:p>
              </w:tc>
              <w:tc>
                <w:tcPr>
                  <w:tcW w:w="2438" w:type="dxa"/>
                  <w:shd w:val="clear" w:color="auto" w:fill="auto"/>
                  <w:vAlign w:val="center"/>
                </w:tcPr>
                <w:p w14:paraId="3BD56ED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纵向尺寸30.5m，层高7.5m，间隔宽度1.5m</w:t>
                  </w:r>
                </w:p>
              </w:tc>
              <w:tc>
                <w:tcPr>
                  <w:tcW w:w="1928" w:type="dxa"/>
                  <w:shd w:val="clear" w:color="auto" w:fill="auto"/>
                  <w:vAlign w:val="center"/>
                </w:tcPr>
                <w:p w14:paraId="3C572B0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户内GIS，架空出线</w:t>
                  </w:r>
                </w:p>
              </w:tc>
            </w:tr>
            <w:tr w14:paraId="72C138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567" w:type="dxa"/>
                  <w:shd w:val="clear" w:color="auto" w:fill="auto"/>
                  <w:vAlign w:val="center"/>
                </w:tcPr>
                <w:p w14:paraId="03DF8E8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3</w:t>
                  </w:r>
                </w:p>
              </w:tc>
              <w:tc>
                <w:tcPr>
                  <w:tcW w:w="2098" w:type="dxa"/>
                  <w:shd w:val="clear" w:color="auto" w:fill="auto"/>
                  <w:vAlign w:val="center"/>
                </w:tcPr>
                <w:p w14:paraId="7082D33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10kV配电室</w:t>
                  </w:r>
                </w:p>
              </w:tc>
              <w:tc>
                <w:tcPr>
                  <w:tcW w:w="1587" w:type="dxa"/>
                  <w:shd w:val="clear" w:color="auto" w:fill="auto"/>
                  <w:vAlign w:val="center"/>
                </w:tcPr>
                <w:p w14:paraId="3FBCCD7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楼内一层</w:t>
                  </w:r>
                </w:p>
              </w:tc>
              <w:tc>
                <w:tcPr>
                  <w:tcW w:w="2438" w:type="dxa"/>
                  <w:shd w:val="clear" w:color="auto" w:fill="auto"/>
                  <w:vAlign w:val="center"/>
                </w:tcPr>
                <w:p w14:paraId="55B9981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36.4m×10m，层高4.8m</w:t>
                  </w:r>
                </w:p>
              </w:tc>
              <w:tc>
                <w:tcPr>
                  <w:tcW w:w="1928" w:type="dxa"/>
                  <w:shd w:val="clear" w:color="auto" w:fill="auto"/>
                  <w:vAlign w:val="center"/>
                </w:tcPr>
                <w:p w14:paraId="264BE05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开关柜双列布置，电缆出线</w:t>
                  </w:r>
                </w:p>
              </w:tc>
            </w:tr>
            <w:tr w14:paraId="5ED10A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567" w:type="dxa"/>
                  <w:shd w:val="clear" w:color="auto" w:fill="auto"/>
                  <w:vAlign w:val="center"/>
                </w:tcPr>
                <w:p w14:paraId="1F73348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4</w:t>
                  </w:r>
                </w:p>
              </w:tc>
              <w:tc>
                <w:tcPr>
                  <w:tcW w:w="2098" w:type="dxa"/>
                  <w:shd w:val="clear" w:color="auto" w:fill="auto"/>
                  <w:vAlign w:val="center"/>
                </w:tcPr>
                <w:p w14:paraId="7C75B2D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二次设备室</w:t>
                  </w:r>
                </w:p>
              </w:tc>
              <w:tc>
                <w:tcPr>
                  <w:tcW w:w="1587" w:type="dxa"/>
                  <w:shd w:val="clear" w:color="auto" w:fill="auto"/>
                  <w:vAlign w:val="center"/>
                </w:tcPr>
                <w:p w14:paraId="4A40CC6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楼内二层</w:t>
                  </w:r>
                </w:p>
              </w:tc>
              <w:tc>
                <w:tcPr>
                  <w:tcW w:w="2438" w:type="dxa"/>
                  <w:shd w:val="clear" w:color="auto" w:fill="auto"/>
                  <w:vAlign w:val="center"/>
                </w:tcPr>
                <w:p w14:paraId="10DEF30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w:t>
                  </w:r>
                </w:p>
              </w:tc>
              <w:tc>
                <w:tcPr>
                  <w:tcW w:w="1928" w:type="dxa"/>
                  <w:shd w:val="clear" w:color="auto" w:fill="auto"/>
                  <w:vAlign w:val="center"/>
                </w:tcPr>
                <w:p w14:paraId="7BB3C4D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屏柜组屏安装，备用柜位10%～15%</w:t>
                  </w:r>
                </w:p>
              </w:tc>
            </w:tr>
            <w:tr w14:paraId="38CC87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567" w:type="dxa"/>
                  <w:shd w:val="clear" w:color="auto" w:fill="auto"/>
                  <w:vAlign w:val="center"/>
                </w:tcPr>
                <w:p w14:paraId="454FC14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5</w:t>
                  </w:r>
                </w:p>
              </w:tc>
              <w:tc>
                <w:tcPr>
                  <w:tcW w:w="2098" w:type="dxa"/>
                  <w:shd w:val="clear" w:color="auto" w:fill="auto"/>
                  <w:vAlign w:val="center"/>
                </w:tcPr>
                <w:p w14:paraId="55434EE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电容器室、接地变室、蓄电池室</w:t>
                  </w:r>
                </w:p>
              </w:tc>
              <w:tc>
                <w:tcPr>
                  <w:tcW w:w="1587" w:type="dxa"/>
                  <w:shd w:val="clear" w:color="auto" w:fill="auto"/>
                  <w:vAlign w:val="center"/>
                </w:tcPr>
                <w:p w14:paraId="6D26095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楼内一层</w:t>
                  </w:r>
                </w:p>
              </w:tc>
              <w:tc>
                <w:tcPr>
                  <w:tcW w:w="2438" w:type="dxa"/>
                  <w:shd w:val="clear" w:color="auto" w:fill="auto"/>
                  <w:vAlign w:val="center"/>
                </w:tcPr>
                <w:p w14:paraId="317BC4C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w:t>
                  </w:r>
                </w:p>
              </w:tc>
              <w:tc>
                <w:tcPr>
                  <w:tcW w:w="1928" w:type="dxa"/>
                  <w:shd w:val="clear" w:color="auto" w:fill="auto"/>
                  <w:vAlign w:val="center"/>
                </w:tcPr>
                <w:p w14:paraId="60B123D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户内布置</w:t>
                  </w:r>
                </w:p>
              </w:tc>
            </w:tr>
            <w:tr w14:paraId="42214C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567" w:type="dxa"/>
                  <w:shd w:val="clear" w:color="auto" w:fill="auto"/>
                  <w:vAlign w:val="center"/>
                </w:tcPr>
                <w:p w14:paraId="6242416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6</w:t>
                  </w:r>
                </w:p>
              </w:tc>
              <w:tc>
                <w:tcPr>
                  <w:tcW w:w="2098" w:type="dxa"/>
                  <w:shd w:val="clear" w:color="auto" w:fill="auto"/>
                  <w:vAlign w:val="center"/>
                </w:tcPr>
                <w:p w14:paraId="6C636CA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主变压器</w:t>
                  </w:r>
                </w:p>
              </w:tc>
              <w:tc>
                <w:tcPr>
                  <w:tcW w:w="1587" w:type="dxa"/>
                  <w:shd w:val="clear" w:color="auto" w:fill="auto"/>
                  <w:vAlign w:val="center"/>
                </w:tcPr>
                <w:p w14:paraId="09597E8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站区南侧（户外）</w:t>
                  </w:r>
                </w:p>
              </w:tc>
              <w:tc>
                <w:tcPr>
                  <w:tcW w:w="2438" w:type="dxa"/>
                  <w:shd w:val="clear" w:color="auto" w:fill="auto"/>
                  <w:vAlign w:val="center"/>
                </w:tcPr>
                <w:p w14:paraId="4770533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2×63MVA，基础为筏板+支墩</w:t>
                  </w:r>
                </w:p>
              </w:tc>
              <w:tc>
                <w:tcPr>
                  <w:tcW w:w="1928" w:type="dxa"/>
                  <w:shd w:val="clear" w:color="auto" w:fill="auto"/>
                  <w:vAlign w:val="center"/>
                </w:tcPr>
                <w:p w14:paraId="76912E3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设事故油坑，接事故油池</w:t>
                  </w:r>
                </w:p>
              </w:tc>
            </w:tr>
            <w:tr w14:paraId="6E94F5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567" w:type="dxa"/>
                  <w:shd w:val="clear" w:color="auto" w:fill="auto"/>
                  <w:vAlign w:val="center"/>
                </w:tcPr>
                <w:p w14:paraId="2038264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7</w:t>
                  </w:r>
                </w:p>
              </w:tc>
              <w:tc>
                <w:tcPr>
                  <w:tcW w:w="2098" w:type="dxa"/>
                  <w:shd w:val="clear" w:color="auto" w:fill="auto"/>
                  <w:vAlign w:val="center"/>
                </w:tcPr>
                <w:p w14:paraId="56ED775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主变构架</w:t>
                  </w:r>
                </w:p>
              </w:tc>
              <w:tc>
                <w:tcPr>
                  <w:tcW w:w="1587" w:type="dxa"/>
                  <w:shd w:val="clear" w:color="auto" w:fill="auto"/>
                  <w:vAlign w:val="center"/>
                </w:tcPr>
                <w:p w14:paraId="09D783E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主变区</w:t>
                  </w:r>
                </w:p>
              </w:tc>
              <w:tc>
                <w:tcPr>
                  <w:tcW w:w="2438" w:type="dxa"/>
                  <w:shd w:val="clear" w:color="auto" w:fill="auto"/>
                  <w:vAlign w:val="center"/>
                </w:tcPr>
                <w:p w14:paraId="6242C58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三跨门形架，宽×高=12m×12m</w:t>
                  </w:r>
                </w:p>
              </w:tc>
              <w:tc>
                <w:tcPr>
                  <w:tcW w:w="1928" w:type="dxa"/>
                  <w:shd w:val="clear" w:color="auto" w:fill="auto"/>
                  <w:vAlign w:val="center"/>
                </w:tcPr>
                <w:p w14:paraId="752EF40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型钢构架，构架柱设爬梯及防坠装置</w:t>
                  </w:r>
                </w:p>
              </w:tc>
            </w:tr>
            <w:tr w14:paraId="58958C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567" w:type="dxa"/>
                  <w:shd w:val="clear" w:color="auto" w:fill="auto"/>
                  <w:vAlign w:val="center"/>
                </w:tcPr>
                <w:p w14:paraId="06FC4FC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8</w:t>
                  </w:r>
                </w:p>
              </w:tc>
              <w:tc>
                <w:tcPr>
                  <w:tcW w:w="2098" w:type="dxa"/>
                  <w:shd w:val="clear" w:color="auto" w:fill="auto"/>
                  <w:vAlign w:val="center"/>
                </w:tcPr>
                <w:p w14:paraId="6692FFD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独立避雷针</w:t>
                  </w:r>
                </w:p>
              </w:tc>
              <w:tc>
                <w:tcPr>
                  <w:tcW w:w="1587" w:type="dxa"/>
                  <w:shd w:val="clear" w:color="auto" w:fill="auto"/>
                  <w:vAlign w:val="center"/>
                </w:tcPr>
                <w:p w14:paraId="4453695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站区两端</w:t>
                  </w:r>
                </w:p>
              </w:tc>
              <w:tc>
                <w:tcPr>
                  <w:tcW w:w="2438" w:type="dxa"/>
                  <w:shd w:val="clear" w:color="auto" w:fill="auto"/>
                  <w:vAlign w:val="center"/>
                </w:tcPr>
                <w:p w14:paraId="663F68F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2支，高30m</w:t>
                  </w:r>
                </w:p>
              </w:tc>
              <w:tc>
                <w:tcPr>
                  <w:tcW w:w="1928" w:type="dxa"/>
                  <w:shd w:val="clear" w:color="auto" w:fill="auto"/>
                  <w:vAlign w:val="center"/>
                </w:tcPr>
                <w:p w14:paraId="1A2633F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格构式</w:t>
                  </w:r>
                </w:p>
              </w:tc>
            </w:tr>
            <w:tr w14:paraId="61BAAE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567" w:type="dxa"/>
                  <w:shd w:val="clear" w:color="auto" w:fill="auto"/>
                  <w:vAlign w:val="center"/>
                </w:tcPr>
                <w:p w14:paraId="7B89705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9</w:t>
                  </w:r>
                </w:p>
              </w:tc>
              <w:tc>
                <w:tcPr>
                  <w:tcW w:w="2098" w:type="dxa"/>
                  <w:shd w:val="clear" w:color="auto" w:fill="auto"/>
                  <w:vAlign w:val="center"/>
                </w:tcPr>
                <w:p w14:paraId="5B001E6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事故油池</w:t>
                  </w:r>
                </w:p>
              </w:tc>
              <w:tc>
                <w:tcPr>
                  <w:tcW w:w="1587" w:type="dxa"/>
                  <w:shd w:val="clear" w:color="auto" w:fill="auto"/>
                  <w:vAlign w:val="center"/>
                </w:tcPr>
                <w:p w14:paraId="144F464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站区南侧地下</w:t>
                  </w:r>
                </w:p>
              </w:tc>
              <w:tc>
                <w:tcPr>
                  <w:tcW w:w="2438" w:type="dxa"/>
                  <w:shd w:val="clear" w:color="auto" w:fill="auto"/>
                  <w:vAlign w:val="center"/>
                </w:tcPr>
                <w:p w14:paraId="4D63BEF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4.85m×3.3m×3.8m，有效容积约30m³</w:t>
                  </w:r>
                </w:p>
              </w:tc>
              <w:tc>
                <w:tcPr>
                  <w:tcW w:w="1928" w:type="dxa"/>
                  <w:shd w:val="clear" w:color="auto" w:fill="auto"/>
                  <w:vAlign w:val="center"/>
                </w:tcPr>
                <w:p w14:paraId="5A741A1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地埋式，P10抗渗钢筋混凝土</w:t>
                  </w:r>
                </w:p>
              </w:tc>
            </w:tr>
            <w:tr w14:paraId="19108B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567" w:type="dxa"/>
                  <w:shd w:val="clear" w:color="auto" w:fill="auto"/>
                  <w:vAlign w:val="center"/>
                </w:tcPr>
                <w:p w14:paraId="10ACEE3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10</w:t>
                  </w:r>
                </w:p>
              </w:tc>
              <w:tc>
                <w:tcPr>
                  <w:tcW w:w="2098" w:type="dxa"/>
                  <w:shd w:val="clear" w:color="auto" w:fill="auto"/>
                  <w:vAlign w:val="center"/>
                </w:tcPr>
                <w:p w14:paraId="49129AD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成品消防小间</w:t>
                  </w:r>
                </w:p>
              </w:tc>
              <w:tc>
                <w:tcPr>
                  <w:tcW w:w="1587" w:type="dxa"/>
                  <w:shd w:val="clear" w:color="auto" w:fill="auto"/>
                  <w:vAlign w:val="center"/>
                </w:tcPr>
                <w:p w14:paraId="2CAC15C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主变旁</w:t>
                  </w:r>
                </w:p>
              </w:tc>
              <w:tc>
                <w:tcPr>
                  <w:tcW w:w="2438" w:type="dxa"/>
                  <w:shd w:val="clear" w:color="auto" w:fill="auto"/>
                  <w:vAlign w:val="center"/>
                </w:tcPr>
                <w:p w14:paraId="6267A22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2座</w:t>
                  </w:r>
                </w:p>
              </w:tc>
              <w:tc>
                <w:tcPr>
                  <w:tcW w:w="1928" w:type="dxa"/>
                  <w:shd w:val="clear" w:color="auto" w:fill="auto"/>
                  <w:vAlign w:val="center"/>
                </w:tcPr>
                <w:p w14:paraId="5BA3459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内配推车式灭火器、消防砂、消防铲等</w:t>
                  </w:r>
                </w:p>
              </w:tc>
            </w:tr>
            <w:tr w14:paraId="432AC8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567" w:type="dxa"/>
                  <w:shd w:val="clear" w:color="auto" w:fill="auto"/>
                  <w:vAlign w:val="center"/>
                </w:tcPr>
                <w:p w14:paraId="285A187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11</w:t>
                  </w:r>
                </w:p>
              </w:tc>
              <w:tc>
                <w:tcPr>
                  <w:tcW w:w="2098" w:type="dxa"/>
                  <w:shd w:val="clear" w:color="auto" w:fill="auto"/>
                  <w:vAlign w:val="center"/>
                </w:tcPr>
                <w:p w14:paraId="60944F4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围墙及大门</w:t>
                  </w:r>
                </w:p>
              </w:tc>
              <w:tc>
                <w:tcPr>
                  <w:tcW w:w="1587" w:type="dxa"/>
                  <w:shd w:val="clear" w:color="auto" w:fill="auto"/>
                  <w:vAlign w:val="center"/>
                </w:tcPr>
                <w:p w14:paraId="584EB78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站区四周</w:t>
                  </w:r>
                </w:p>
              </w:tc>
              <w:tc>
                <w:tcPr>
                  <w:tcW w:w="2438" w:type="dxa"/>
                  <w:shd w:val="clear" w:color="auto" w:fill="auto"/>
                  <w:vAlign w:val="center"/>
                </w:tcPr>
                <w:p w14:paraId="6FC1517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围墙长251m、高2.5m</w:t>
                  </w:r>
                </w:p>
              </w:tc>
              <w:tc>
                <w:tcPr>
                  <w:tcW w:w="1928" w:type="dxa"/>
                  <w:shd w:val="clear" w:color="auto" w:fill="auto"/>
                  <w:vAlign w:val="center"/>
                </w:tcPr>
                <w:p w14:paraId="2726197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铁艺围栏，柱下独立基础</w:t>
                  </w:r>
                </w:p>
              </w:tc>
            </w:tr>
          </w:tbl>
          <w:p w14:paraId="7160EB2C">
            <w:pPr>
              <w:pStyle w:val="67"/>
              <w:numPr>
                <w:ilvl w:val="0"/>
                <w:numId w:val="0"/>
              </w:numPr>
              <w:spacing w:line="480" w:lineRule="exact"/>
              <w:ind w:leftChars="0"/>
              <w:rPr>
                <w:rFonts w:hint="default" w:ascii="Times New Roman" w:hAnsi="Times New Roman" w:eastAsia="黑体" w:cs="Times New Roman"/>
                <w:sz w:val="24"/>
                <w:lang w:val="en-US" w:eastAsia="zh-CN"/>
              </w:rPr>
            </w:pPr>
            <w:r>
              <w:rPr>
                <w:rFonts w:hint="default" w:ascii="Times New Roman" w:hAnsi="Times New Roman" w:eastAsia="黑体" w:cs="Times New Roman"/>
                <w:sz w:val="24"/>
                <w:lang w:val="en-US" w:eastAsia="zh-CN"/>
              </w:rPr>
              <w:t>3.施工场地布置</w:t>
            </w:r>
          </w:p>
          <w:p w14:paraId="0108E5D5">
            <w:pPr>
              <w:keepNext w:val="0"/>
              <w:keepLines w:val="0"/>
              <w:pageBreakBefore w:val="0"/>
              <w:widowControl w:val="0"/>
              <w:kinsoku/>
              <w:wordWrap/>
              <w:overflowPunct/>
              <w:topLinePunct w:val="0"/>
              <w:autoSpaceDE/>
              <w:autoSpaceDN/>
              <w:bidi w:val="0"/>
              <w:adjustRightInd/>
              <w:snapToGrid/>
              <w:spacing w:before="0" w:after="0" w:line="480" w:lineRule="exact"/>
              <w:ind w:firstLine="480" w:firstLineChars="200"/>
              <w:textAlignment w:val="auto"/>
              <w:rPr>
                <w:rFonts w:hint="default" w:ascii="Times New Roman" w:hAnsi="Times New Roman" w:cs="Times New Roman"/>
              </w:rPr>
            </w:pPr>
            <w:r>
              <w:rPr>
                <w:rFonts w:hint="default" w:ascii="Times New Roman" w:hAnsi="Times New Roman" w:eastAsia="宋体" w:cs="Times New Roman"/>
                <w:b w:val="0"/>
                <w:sz w:val="24"/>
              </w:rPr>
              <w:t>本工程施工场地位于站区围墙内西侧空地，占地面积约800m</w:t>
            </w:r>
            <w:r>
              <w:rPr>
                <w:rFonts w:hint="default" w:ascii="Times New Roman" w:hAnsi="Times New Roman" w:eastAsia="宋体" w:cs="Times New Roman"/>
                <w:b w:val="0"/>
                <w:sz w:val="24"/>
                <w:vertAlign w:val="superscript"/>
                <w:lang w:val="en-US" w:eastAsia="zh-CN"/>
              </w:rPr>
              <w:t>2</w:t>
            </w:r>
            <w:r>
              <w:rPr>
                <w:rFonts w:hint="default" w:ascii="Times New Roman" w:hAnsi="Times New Roman" w:eastAsia="宋体" w:cs="Times New Roman"/>
                <w:b w:val="0"/>
                <w:sz w:val="24"/>
              </w:rPr>
              <w:t>，布置钢筋加工及堆场、木工加工棚、材料堆放场、设备临时堆放场及小型仓库，办公及生活设施依托产业园厂区既有设施，不另设施工营地。施工围挡沿站区围墙设置，围挡高度不低于1.8m；施工出入口设于站区南侧，配车辆冲洗设施。施工用水由厂区给水管网引接（距离约100m，永临结合），施工用电接入厂区施工电源；混凝土采用商品混凝土，由尉犁县城搅拌站供应，施工区不设混凝土搅拌站。土方开挖及回填量小，不设取土场和弃土场。</w:t>
            </w:r>
          </w:p>
        </w:tc>
      </w:tr>
      <w:tr w14:paraId="146FB5E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274" w:type="pct"/>
            <w:vAlign w:val="center"/>
          </w:tcPr>
          <w:p w14:paraId="7C33EB75">
            <w:pPr>
              <w:adjustRightInd w:val="0"/>
              <w:snapToGrid w:val="0"/>
              <w:jc w:val="center"/>
              <w:rPr>
                <w:rFonts w:hint="default" w:ascii="Times New Roman" w:hAnsi="Times New Roman" w:cs="Times New Roman" w:eastAsiaTheme="minorEastAsia"/>
                <w:kern w:val="0"/>
                <w:sz w:val="24"/>
              </w:rPr>
            </w:pPr>
            <w:r>
              <w:rPr>
                <w:rFonts w:hint="default" w:ascii="Times New Roman" w:hAnsi="Times New Roman" w:cs="Times New Roman" w:eastAsiaTheme="minorEastAsia"/>
                <w:kern w:val="0"/>
                <w:sz w:val="24"/>
              </w:rPr>
              <w:t>施工方案</w:t>
            </w:r>
          </w:p>
        </w:tc>
        <w:tc>
          <w:tcPr>
            <w:tcW w:w="4725" w:type="pct"/>
            <w:vAlign w:val="center"/>
          </w:tcPr>
          <w:p w14:paraId="6EDCDE7D">
            <w:pPr>
              <w:pStyle w:val="67"/>
              <w:numPr>
                <w:ilvl w:val="0"/>
                <w:numId w:val="0"/>
              </w:numPr>
              <w:spacing w:line="480" w:lineRule="exact"/>
              <w:ind w:leftChars="0"/>
              <w:rPr>
                <w:rFonts w:hint="default" w:ascii="Times New Roman" w:hAnsi="Times New Roman" w:cs="Times New Roman"/>
                <w:b/>
                <w:bCs/>
                <w:kern w:val="0"/>
                <w:sz w:val="24"/>
              </w:rPr>
            </w:pPr>
            <w:r>
              <w:rPr>
                <w:rFonts w:hint="default" w:ascii="Times New Roman" w:hAnsi="Times New Roman" w:eastAsia="黑体" w:cs="Times New Roman"/>
                <w:sz w:val="24"/>
                <w:lang w:val="en-US" w:eastAsia="zh-CN"/>
              </w:rPr>
              <w:t>1.</w:t>
            </w:r>
            <w:r>
              <w:rPr>
                <w:rFonts w:hint="default" w:ascii="Times New Roman" w:hAnsi="Times New Roman" w:eastAsia="黑体" w:cs="Times New Roman"/>
                <w:sz w:val="24"/>
              </w:rPr>
              <w:t>施工工艺</w:t>
            </w:r>
          </w:p>
          <w:p w14:paraId="2A504C56">
            <w:pPr>
              <w:spacing w:line="480" w:lineRule="exact"/>
              <w:ind w:firstLine="480" w:firstLineChars="200"/>
              <w:rPr>
                <w:rFonts w:hint="default" w:ascii="Times New Roman" w:hAnsi="Times New Roman" w:cs="Times New Roman"/>
                <w:kern w:val="0"/>
                <w:sz w:val="24"/>
              </w:rPr>
            </w:pPr>
            <w:r>
              <w:rPr>
                <w:rFonts w:hint="default" w:ascii="Times New Roman" w:hAnsi="Times New Roman" w:cs="Times New Roman"/>
                <w:kern w:val="0"/>
                <w:sz w:val="24"/>
              </w:rPr>
              <w:t>本工程</w:t>
            </w:r>
            <w:r>
              <w:rPr>
                <w:rFonts w:hint="default" w:ascii="Times New Roman" w:hAnsi="Times New Roman" w:cs="Times New Roman"/>
                <w:kern w:val="0"/>
                <w:sz w:val="24"/>
                <w:lang w:val="en-US" w:eastAsia="zh-CN"/>
              </w:rPr>
              <w:t>变电站</w:t>
            </w:r>
            <w:r>
              <w:rPr>
                <w:rFonts w:hint="default" w:ascii="Times New Roman" w:hAnsi="Times New Roman" w:cs="Times New Roman"/>
                <w:kern w:val="0"/>
                <w:sz w:val="24"/>
              </w:rPr>
              <w:t>施工工艺流程包括：①场地平整；②基础处理；③构筑物土建施工；④设备进场、安装；⑤设备调试运行等5个阶段。本工程</w:t>
            </w:r>
            <w:r>
              <w:rPr>
                <w:rFonts w:hint="default" w:ascii="Times New Roman" w:hAnsi="Times New Roman" w:cs="Times New Roman"/>
                <w:kern w:val="0"/>
                <w:sz w:val="24"/>
                <w:lang w:eastAsia="zh-CN"/>
              </w:rPr>
              <w:t>变电站</w:t>
            </w:r>
            <w:r>
              <w:rPr>
                <w:rFonts w:hint="default" w:ascii="Times New Roman" w:hAnsi="Times New Roman" w:cs="Times New Roman"/>
                <w:kern w:val="0"/>
                <w:sz w:val="24"/>
              </w:rPr>
              <w:t>施工工艺流程图见图2-</w:t>
            </w:r>
            <w:r>
              <w:rPr>
                <w:rFonts w:hint="default" w:ascii="Times New Roman" w:hAnsi="Times New Roman" w:cs="Times New Roman"/>
                <w:kern w:val="0"/>
                <w:sz w:val="24"/>
                <w:lang w:val="en-US" w:eastAsia="zh-CN"/>
              </w:rPr>
              <w:t>3</w:t>
            </w:r>
            <w:r>
              <w:rPr>
                <w:rFonts w:hint="default" w:ascii="Times New Roman" w:hAnsi="Times New Roman" w:cs="Times New Roman"/>
                <w:kern w:val="0"/>
                <w:sz w:val="24"/>
              </w:rPr>
              <w:t>。</w:t>
            </w:r>
          </w:p>
          <w:p w14:paraId="658D3A82">
            <w:pPr>
              <w:pStyle w:val="17"/>
              <w:keepNext w:val="0"/>
              <w:keepLines w:val="0"/>
              <w:pageBreakBefore w:val="0"/>
              <w:widowControl/>
              <w:kinsoku/>
              <w:wordWrap/>
              <w:overflowPunct/>
              <w:topLinePunct w:val="0"/>
              <w:autoSpaceDE/>
              <w:autoSpaceDN/>
              <w:bidi w:val="0"/>
              <w:adjustRightInd/>
              <w:snapToGrid w:val="0"/>
              <w:spacing w:before="0" w:after="0" w:line="240" w:lineRule="auto"/>
              <w:ind w:right="0"/>
              <w:jc w:val="center"/>
              <w:textAlignment w:val="auto"/>
              <w:rPr>
                <w:rFonts w:hint="default" w:ascii="Times New Roman" w:hAnsi="Times New Roman" w:cs="Times New Roman"/>
              </w:rPr>
            </w:pPr>
            <w:r>
              <w:rPr>
                <w:rFonts w:hint="default" w:ascii="Times New Roman" w:hAnsi="Times New Roman" w:cs="Times New Roman"/>
              </w:rPr>
              <w:drawing>
                <wp:anchor distT="0" distB="0" distL="0" distR="0" simplePos="0" relativeHeight="251660288" behindDoc="0" locked="0" layoutInCell="1" allowOverlap="1">
                  <wp:simplePos x="0" y="0"/>
                  <wp:positionH relativeFrom="column">
                    <wp:posOffset>-18415</wp:posOffset>
                  </wp:positionH>
                  <wp:positionV relativeFrom="paragraph">
                    <wp:posOffset>22860</wp:posOffset>
                  </wp:positionV>
                  <wp:extent cx="4905375" cy="338455"/>
                  <wp:effectExtent l="0" t="0" r="9525" b="4445"/>
                  <wp:wrapNone/>
                  <wp:docPr id="17656383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63830" name="图片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4945014" cy="341150"/>
                          </a:xfrm>
                          <a:prstGeom prst="rect">
                            <a:avLst/>
                          </a:prstGeom>
                          <a:noFill/>
                          <a:ln>
                            <a:noFill/>
                          </a:ln>
                        </pic:spPr>
                      </pic:pic>
                    </a:graphicData>
                  </a:graphic>
                </wp:anchor>
              </w:drawing>
            </w:r>
          </w:p>
          <w:p w14:paraId="248727E6">
            <w:pPr>
              <w:pStyle w:val="39"/>
              <w:numPr>
                <w:ilvl w:val="0"/>
                <w:numId w:val="0"/>
              </w:numPr>
              <w:ind w:leftChars="0"/>
              <w:rPr>
                <w:rFonts w:hint="default" w:ascii="Times New Roman" w:hAnsi="Times New Roman" w:cs="Times New Roman"/>
              </w:rPr>
            </w:pPr>
          </w:p>
          <w:p w14:paraId="760A8110">
            <w:pPr>
              <w:pStyle w:val="67"/>
              <w:numPr>
                <w:ilvl w:val="0"/>
                <w:numId w:val="0"/>
              </w:numPr>
              <w:spacing w:line="480" w:lineRule="exact"/>
              <w:ind w:left="2310" w:leftChars="0"/>
              <w:jc w:val="both"/>
              <w:rPr>
                <w:rFonts w:hint="default" w:ascii="Times New Roman" w:hAnsi="Times New Roman" w:eastAsia="黑体" w:cs="Times New Roman"/>
                <w:kern w:val="0"/>
              </w:rPr>
            </w:pPr>
            <w:r>
              <w:rPr>
                <w:rFonts w:hint="default" w:ascii="Times New Roman" w:hAnsi="Times New Roman" w:eastAsia="黑体" w:cs="Times New Roman"/>
                <w:kern w:val="0"/>
                <w:lang w:val="en-US" w:eastAsia="zh-CN"/>
              </w:rPr>
              <w:t xml:space="preserve">图2-3 </w:t>
            </w:r>
            <w:r>
              <w:rPr>
                <w:rFonts w:hint="default" w:ascii="Times New Roman" w:hAnsi="Times New Roman" w:eastAsia="黑体" w:cs="Times New Roman"/>
                <w:kern w:val="0"/>
              </w:rPr>
              <w:t>本工程</w:t>
            </w:r>
            <w:r>
              <w:rPr>
                <w:rFonts w:hint="default" w:ascii="Times New Roman" w:hAnsi="Times New Roman" w:eastAsia="黑体" w:cs="Times New Roman"/>
                <w:kern w:val="0"/>
                <w:lang w:eastAsia="zh-CN"/>
              </w:rPr>
              <w:t>变电站</w:t>
            </w:r>
            <w:r>
              <w:rPr>
                <w:rFonts w:hint="default" w:ascii="Times New Roman" w:hAnsi="Times New Roman" w:eastAsia="黑体" w:cs="Times New Roman"/>
                <w:kern w:val="0"/>
              </w:rPr>
              <w:t>施工工艺流程图</w:t>
            </w:r>
          </w:p>
          <w:p w14:paraId="76FE6634">
            <w:pPr>
              <w:keepNext w:val="0"/>
              <w:keepLines w:val="0"/>
              <w:pageBreakBefore w:val="0"/>
              <w:widowControl w:val="0"/>
              <w:kinsoku/>
              <w:wordWrap/>
              <w:overflowPunct/>
              <w:topLinePunct w:val="0"/>
              <w:autoSpaceDE/>
              <w:autoSpaceDN/>
              <w:bidi w:val="0"/>
              <w:adjustRightInd/>
              <w:snapToGrid/>
              <w:spacing w:before="0" w:after="0" w:line="480" w:lineRule="exact"/>
              <w:ind w:firstLine="480" w:firstLineChars="200"/>
              <w:textAlignment w:val="auto"/>
              <w:rPr>
                <w:rFonts w:hint="default" w:ascii="Times New Roman" w:hAnsi="Times New Roman" w:cs="Times New Roman"/>
              </w:rPr>
            </w:pPr>
            <w:r>
              <w:rPr>
                <w:rFonts w:hint="default" w:ascii="Times New Roman" w:hAnsi="Times New Roman" w:eastAsia="宋体" w:cs="Times New Roman"/>
                <w:b w:val="0"/>
                <w:sz w:val="24"/>
              </w:rPr>
              <w:t>①场地平整：对站区场地进行碾压夯实，局部填高至设计标高，分层碾压密实；表土先行剥离、集中堆存并苫盖，用于后期场地整治及绿化覆土。</w:t>
            </w:r>
          </w:p>
          <w:p w14:paraId="7E25B2DF">
            <w:pPr>
              <w:keepNext w:val="0"/>
              <w:keepLines w:val="0"/>
              <w:pageBreakBefore w:val="0"/>
              <w:widowControl w:val="0"/>
              <w:kinsoku/>
              <w:wordWrap/>
              <w:overflowPunct/>
              <w:topLinePunct w:val="0"/>
              <w:autoSpaceDE/>
              <w:autoSpaceDN/>
              <w:bidi w:val="0"/>
              <w:adjustRightInd/>
              <w:snapToGrid/>
              <w:spacing w:before="0" w:after="0" w:line="480" w:lineRule="exact"/>
              <w:ind w:firstLine="480" w:firstLineChars="200"/>
              <w:textAlignment w:val="auto"/>
              <w:rPr>
                <w:rFonts w:hint="default" w:ascii="Times New Roman" w:hAnsi="Times New Roman" w:cs="Times New Roman"/>
              </w:rPr>
            </w:pPr>
            <w:r>
              <w:rPr>
                <w:rFonts w:hint="default" w:ascii="Times New Roman" w:hAnsi="Times New Roman" w:eastAsia="宋体" w:cs="Times New Roman"/>
                <w:b w:val="0"/>
                <w:sz w:val="24"/>
              </w:rPr>
              <w:t>②基础施工：按设计采用机械配合人工开挖基坑（主变基础、构架及设备支架基础、配电装置楼基础、事故油池等），基坑开挖边坡按1:1.5放坡；持力层为①粉土层或②粉砂层，地基承载力特征值120kPa；建筑物基础埋深约-2.5m，事故油池基础埋深约-4.0m。因场地土对混凝土结构及钢筋具强腐蚀性，所有基础采用C40混凝土、垫层采用100mm厚C20聚合物水泥混凝土，地下设施外表面刷环氧沥青防腐涂层（厚度≥500μm）。</w:t>
            </w:r>
          </w:p>
          <w:p w14:paraId="6B1B311F">
            <w:pPr>
              <w:keepNext w:val="0"/>
              <w:keepLines w:val="0"/>
              <w:pageBreakBefore w:val="0"/>
              <w:widowControl w:val="0"/>
              <w:kinsoku/>
              <w:wordWrap/>
              <w:overflowPunct/>
              <w:topLinePunct w:val="0"/>
              <w:autoSpaceDE/>
              <w:autoSpaceDN/>
              <w:bidi w:val="0"/>
              <w:adjustRightInd/>
              <w:snapToGrid/>
              <w:spacing w:before="0" w:after="0" w:line="480" w:lineRule="exact"/>
              <w:ind w:firstLine="480" w:firstLineChars="200"/>
              <w:textAlignment w:val="auto"/>
              <w:rPr>
                <w:rFonts w:hint="default" w:ascii="Times New Roman" w:hAnsi="Times New Roman" w:cs="Times New Roman"/>
              </w:rPr>
            </w:pPr>
            <w:r>
              <w:rPr>
                <w:rFonts w:hint="default" w:ascii="Times New Roman" w:hAnsi="Times New Roman" w:eastAsia="宋体" w:cs="Times New Roman"/>
                <w:b w:val="0"/>
                <w:sz w:val="24"/>
              </w:rPr>
              <w:t>③建构筑物施工：综合配电装置楼采用现浇钢筋混凝土框架结构，内外墙采用加气混凝土砌块，基础为柱下独立基础+基础梁；构架柱与钢梁采用工厂加工、现场螺栓拼接组装，构架柱与基础采用地脚螺栓连接，钢材热浸镀锌防腐（厚度≥150μm）；围墙、电缆沟、道路同期施工。</w:t>
            </w:r>
          </w:p>
          <w:p w14:paraId="66EA9756">
            <w:pPr>
              <w:keepNext w:val="0"/>
              <w:keepLines w:val="0"/>
              <w:pageBreakBefore w:val="0"/>
              <w:widowControl w:val="0"/>
              <w:kinsoku/>
              <w:wordWrap/>
              <w:overflowPunct/>
              <w:topLinePunct w:val="0"/>
              <w:autoSpaceDE/>
              <w:autoSpaceDN/>
              <w:bidi w:val="0"/>
              <w:adjustRightInd/>
              <w:snapToGrid/>
              <w:spacing w:before="0" w:after="0" w:line="480" w:lineRule="exact"/>
              <w:ind w:firstLine="480" w:firstLineChars="200"/>
              <w:textAlignment w:val="auto"/>
              <w:rPr>
                <w:rFonts w:hint="default" w:ascii="Times New Roman" w:hAnsi="Times New Roman" w:cs="Times New Roman"/>
              </w:rPr>
            </w:pPr>
            <w:r>
              <w:rPr>
                <w:rFonts w:hint="default" w:ascii="Times New Roman" w:hAnsi="Times New Roman" w:eastAsia="宋体" w:cs="Times New Roman"/>
                <w:b w:val="0"/>
                <w:sz w:val="24"/>
              </w:rPr>
              <w:t>④设备安装：主变压器采用百吨液压重型运输车运至站址，经厂区道路直接进入主变区，采用汽车吊卸车并就位；110kV GIS、10kV开关柜、二次屏柜等设备由厂家运至现场后，在室内完成组装、母线连接及二次接线；电缆敷设采用电缆沟、桥架及穿管方式，电力电缆与控制电缆分沟分层敷设。</w:t>
            </w:r>
          </w:p>
          <w:p w14:paraId="3D0D20C6">
            <w:pPr>
              <w:keepNext w:val="0"/>
              <w:keepLines w:val="0"/>
              <w:pageBreakBefore w:val="0"/>
              <w:widowControl w:val="0"/>
              <w:kinsoku/>
              <w:wordWrap/>
              <w:overflowPunct/>
              <w:topLinePunct w:val="0"/>
              <w:autoSpaceDE/>
              <w:autoSpaceDN/>
              <w:bidi w:val="0"/>
              <w:adjustRightInd/>
              <w:snapToGrid/>
              <w:spacing w:before="0" w:after="0" w:line="480" w:lineRule="exact"/>
              <w:ind w:firstLine="480" w:firstLineChars="200"/>
              <w:textAlignment w:val="auto"/>
              <w:rPr>
                <w:rFonts w:hint="default" w:ascii="Times New Roman" w:hAnsi="Times New Roman" w:cs="Times New Roman"/>
              </w:rPr>
            </w:pPr>
            <w:r>
              <w:rPr>
                <w:rFonts w:hint="default" w:ascii="Times New Roman" w:hAnsi="Times New Roman" w:eastAsia="宋体" w:cs="Times New Roman"/>
                <w:b w:val="0"/>
                <w:sz w:val="24"/>
              </w:rPr>
              <w:t>⑤调试运行：完成设备单体调试、分系统调试及整组传动试验，具备条件后接入系统带电调试运行。</w:t>
            </w:r>
          </w:p>
          <w:p w14:paraId="6E7E6D3C">
            <w:pPr>
              <w:pStyle w:val="67"/>
              <w:numPr>
                <w:ilvl w:val="0"/>
                <w:numId w:val="0"/>
              </w:numPr>
              <w:spacing w:line="480" w:lineRule="exact"/>
              <w:ind w:leftChars="0"/>
              <w:rPr>
                <w:rFonts w:hint="default" w:ascii="Times New Roman" w:hAnsi="Times New Roman" w:eastAsia="黑体" w:cs="Times New Roman"/>
                <w:sz w:val="24"/>
                <w:lang w:val="en-US" w:eastAsia="zh-CN"/>
              </w:rPr>
            </w:pPr>
            <w:r>
              <w:rPr>
                <w:rFonts w:hint="default" w:ascii="Times New Roman" w:hAnsi="Times New Roman" w:eastAsia="黑体" w:cs="Times New Roman"/>
                <w:sz w:val="24"/>
                <w:lang w:val="en-US" w:eastAsia="zh-CN"/>
              </w:rPr>
              <w:t>2.施工条件</w:t>
            </w:r>
          </w:p>
          <w:p w14:paraId="133CFD49">
            <w:pPr>
              <w:keepNext w:val="0"/>
              <w:keepLines w:val="0"/>
              <w:pageBreakBefore w:val="0"/>
              <w:widowControl w:val="0"/>
              <w:kinsoku/>
              <w:wordWrap/>
              <w:overflowPunct/>
              <w:topLinePunct w:val="0"/>
              <w:autoSpaceDE/>
              <w:autoSpaceDN/>
              <w:bidi w:val="0"/>
              <w:adjustRightInd/>
              <w:snapToGrid/>
              <w:spacing w:before="0" w:after="0" w:line="480" w:lineRule="exact"/>
              <w:ind w:firstLine="480" w:firstLineChars="200"/>
              <w:textAlignment w:val="auto"/>
              <w:rPr>
                <w:rFonts w:hint="default" w:ascii="Times New Roman" w:hAnsi="Times New Roman" w:cs="Times New Roman"/>
              </w:rPr>
            </w:pPr>
            <w:bookmarkStart w:id="36" w:name="9.3.2_施工工厂及仓库布置"/>
            <w:bookmarkEnd w:id="36"/>
            <w:r>
              <w:rPr>
                <w:rFonts w:hint="default" w:ascii="Times New Roman" w:hAnsi="Times New Roman" w:eastAsia="宋体" w:cs="Times New Roman"/>
                <w:b w:val="0"/>
                <w:sz w:val="24"/>
              </w:rPr>
              <w:t>站址位于尉犁县工业园区，北侧紧临园区乌尉路，距尉犁县城约5km、乌若高速公路入口约3.0km，交通运输条件便利，主变大件运输沿途空障及桥梁较少、无需穿越铁路，可直达站址。主要建筑材料砂石料就近采购，商品混凝土由尉犁县城搅拌站供应，钢材、水泥、砌体材料及电气设备由乌鲁木齐市或库尔勒市采购，来源可靠。施工用水引接厂区给水管网（约100m），施工用电接入厂区施工电源，通信条件良好。</w:t>
            </w:r>
          </w:p>
          <w:p w14:paraId="3C0AB3E6">
            <w:pPr>
              <w:keepNext w:val="0"/>
              <w:keepLines w:val="0"/>
              <w:pageBreakBefore w:val="0"/>
              <w:widowControl w:val="0"/>
              <w:kinsoku/>
              <w:wordWrap/>
              <w:overflowPunct/>
              <w:topLinePunct w:val="0"/>
              <w:autoSpaceDE/>
              <w:autoSpaceDN/>
              <w:bidi w:val="0"/>
              <w:adjustRightInd/>
              <w:snapToGrid/>
              <w:spacing w:before="0" w:after="0" w:line="480" w:lineRule="exact"/>
              <w:ind w:firstLine="480" w:firstLineChars="200"/>
              <w:textAlignment w:val="auto"/>
              <w:rPr>
                <w:rFonts w:hint="default" w:ascii="Times New Roman" w:hAnsi="Times New Roman" w:cs="Times New Roman"/>
              </w:rPr>
            </w:pPr>
            <w:r>
              <w:rPr>
                <w:rFonts w:hint="default" w:ascii="Times New Roman" w:hAnsi="Times New Roman" w:eastAsia="宋体" w:cs="Times New Roman"/>
                <w:b w:val="0"/>
                <w:sz w:val="24"/>
              </w:rPr>
              <w:t>站址所在区域属温带干旱大陆性气候，年平均气温10.5℃，极端最高气温42.2℃、极端最低气温-30.9℃，年平均降水量41.2mm、年蒸发量2806.7mm，最大冻土深度100cm，累年主导风向偏东，基本风压0.36kN/m²，抗震设防烈度7度（0.10g）。施工应避开大风、沙尘天气，冬季施工采取防冻措施，混凝土浇筑及养护按冬期施工规程执行。</w:t>
            </w:r>
          </w:p>
          <w:p w14:paraId="3E727233">
            <w:pPr>
              <w:pStyle w:val="67"/>
              <w:numPr>
                <w:ilvl w:val="0"/>
                <w:numId w:val="0"/>
              </w:numPr>
              <w:spacing w:line="480" w:lineRule="exact"/>
              <w:ind w:leftChars="0"/>
              <w:rPr>
                <w:rFonts w:hint="default" w:ascii="Times New Roman" w:hAnsi="Times New Roman" w:eastAsia="黑体" w:cs="Times New Roman"/>
                <w:sz w:val="24"/>
                <w:lang w:val="en-US" w:eastAsia="zh-CN"/>
              </w:rPr>
            </w:pPr>
            <w:r>
              <w:rPr>
                <w:rFonts w:hint="default" w:ascii="Times New Roman" w:hAnsi="Times New Roman" w:eastAsia="黑体" w:cs="Times New Roman"/>
                <w:sz w:val="24"/>
                <w:lang w:val="en-US" w:eastAsia="zh-CN"/>
              </w:rPr>
              <w:t>3.施工组织及进度</w:t>
            </w:r>
          </w:p>
          <w:p w14:paraId="5C666303">
            <w:pPr>
              <w:keepNext w:val="0"/>
              <w:keepLines w:val="0"/>
              <w:pageBreakBefore w:val="0"/>
              <w:widowControl w:val="0"/>
              <w:kinsoku/>
              <w:wordWrap/>
              <w:overflowPunct/>
              <w:topLinePunct w:val="0"/>
              <w:autoSpaceDE/>
              <w:autoSpaceDN/>
              <w:bidi w:val="0"/>
              <w:adjustRightInd/>
              <w:snapToGrid/>
              <w:spacing w:before="0" w:after="0" w:line="480" w:lineRule="exact"/>
              <w:ind w:firstLine="480" w:firstLineChars="200"/>
              <w:textAlignment w:val="auto"/>
              <w:rPr>
                <w:rFonts w:hint="default" w:ascii="Times New Roman" w:hAnsi="Times New Roman" w:eastAsia="宋体" w:cs="Times New Roman"/>
                <w:b w:val="0"/>
                <w:sz w:val="24"/>
              </w:rPr>
            </w:pPr>
            <w:r>
              <w:rPr>
                <w:rFonts w:hint="default" w:ascii="Times New Roman" w:hAnsi="Times New Roman" w:eastAsia="宋体" w:cs="Times New Roman"/>
                <w:b w:val="0"/>
                <w:sz w:val="24"/>
              </w:rPr>
              <w:t>本工程由具备相应资质的施工单位承担土建及电气安装施工，施工期设置项目管理机构，施工高峰期施工人员约</w:t>
            </w:r>
            <w:r>
              <w:rPr>
                <w:rFonts w:hint="eastAsia" w:cs="Times New Roman"/>
                <w:b w:val="0"/>
                <w:sz w:val="24"/>
                <w:lang w:val="en-US" w:eastAsia="zh-CN"/>
              </w:rPr>
              <w:t>150</w:t>
            </w:r>
            <w:r>
              <w:rPr>
                <w:rFonts w:hint="default" w:ascii="Times New Roman" w:hAnsi="Times New Roman" w:eastAsia="宋体" w:cs="Times New Roman"/>
                <w:b w:val="0"/>
                <w:sz w:val="24"/>
              </w:rPr>
              <w:t>人，施工期约12个月。工程计划2026年11月完成施工准备，2027年建成投运。施工进度安排见表2-</w:t>
            </w:r>
            <w:r>
              <w:rPr>
                <w:rFonts w:hint="default" w:ascii="Times New Roman" w:hAnsi="Times New Roman" w:cs="Times New Roman"/>
                <w:b w:val="0"/>
                <w:sz w:val="24"/>
                <w:lang w:val="en-US" w:eastAsia="zh-CN"/>
              </w:rPr>
              <w:t>8</w:t>
            </w:r>
            <w:r>
              <w:rPr>
                <w:rFonts w:hint="default" w:ascii="Times New Roman" w:hAnsi="Times New Roman" w:eastAsia="宋体" w:cs="Times New Roman"/>
                <w:b w:val="0"/>
                <w:sz w:val="24"/>
              </w:rPr>
              <w:t>。</w:t>
            </w:r>
          </w:p>
          <w:p w14:paraId="32B394BE">
            <w:pPr>
              <w:pStyle w:val="67"/>
              <w:numPr>
                <w:ilvl w:val="0"/>
                <w:numId w:val="0"/>
              </w:numPr>
              <w:tabs>
                <w:tab w:val="center" w:pos="2721"/>
              </w:tabs>
              <w:spacing w:line="480" w:lineRule="exact"/>
              <w:ind w:left="420" w:leftChars="0"/>
              <w:jc w:val="center"/>
              <w:rPr>
                <w:rFonts w:hint="default" w:ascii="Times New Roman" w:hAnsi="Times New Roman" w:eastAsia="黑体" w:cs="Times New Roman"/>
              </w:rPr>
            </w:pPr>
            <w:r>
              <w:rPr>
                <w:rFonts w:hint="default" w:ascii="Times New Roman" w:hAnsi="Times New Roman" w:eastAsia="黑体" w:cs="Times New Roman"/>
              </w:rPr>
              <w:t>表2-</w:t>
            </w:r>
            <w:r>
              <w:rPr>
                <w:rFonts w:hint="default" w:ascii="Times New Roman" w:hAnsi="Times New Roman" w:eastAsia="黑体" w:cs="Times New Roman"/>
                <w:lang w:val="en-US" w:eastAsia="zh-CN"/>
              </w:rPr>
              <w:t xml:space="preserve">8 </w:t>
            </w:r>
            <w:r>
              <w:rPr>
                <w:rFonts w:hint="default" w:ascii="Times New Roman" w:hAnsi="Times New Roman" w:eastAsia="黑体" w:cs="Times New Roman"/>
              </w:rPr>
              <w:t>施工进度安排表</w:t>
            </w:r>
          </w:p>
          <w:tbl>
            <w:tblPr>
              <w:tblStyle w:val="4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638"/>
              <w:gridCol w:w="1406"/>
              <w:gridCol w:w="4181"/>
              <w:gridCol w:w="1363"/>
            </w:tblGrid>
            <w:tr w14:paraId="3603B2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97" w:hRule="atLeast"/>
                <w:tblHeader/>
                <w:jc w:val="center"/>
              </w:trPr>
              <w:tc>
                <w:tcPr>
                  <w:tcW w:w="638" w:type="dxa"/>
                  <w:shd w:val="clear" w:color="auto" w:fill="auto"/>
                  <w:vAlign w:val="center"/>
                </w:tcPr>
                <w:p w14:paraId="72ECD17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sz w:val="21"/>
                      <w:szCs w:val="21"/>
                    </w:rPr>
                    <w:t>序号</w:t>
                  </w:r>
                </w:p>
              </w:tc>
              <w:tc>
                <w:tcPr>
                  <w:tcW w:w="1406" w:type="dxa"/>
                  <w:shd w:val="clear" w:color="auto" w:fill="auto"/>
                  <w:vAlign w:val="center"/>
                </w:tcPr>
                <w:p w14:paraId="12CC912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sz w:val="21"/>
                      <w:szCs w:val="21"/>
                    </w:rPr>
                    <w:t>阶段</w:t>
                  </w:r>
                </w:p>
              </w:tc>
              <w:tc>
                <w:tcPr>
                  <w:tcW w:w="4181" w:type="dxa"/>
                  <w:shd w:val="clear" w:color="auto" w:fill="auto"/>
                  <w:vAlign w:val="center"/>
                </w:tcPr>
                <w:p w14:paraId="4240126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sz w:val="21"/>
                      <w:szCs w:val="21"/>
                    </w:rPr>
                    <w:t>主要内容</w:t>
                  </w:r>
                </w:p>
              </w:tc>
              <w:tc>
                <w:tcPr>
                  <w:tcW w:w="1363" w:type="dxa"/>
                  <w:shd w:val="clear" w:color="auto" w:fill="auto"/>
                  <w:vAlign w:val="center"/>
                </w:tcPr>
                <w:p w14:paraId="6CBCF92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sz w:val="21"/>
                      <w:szCs w:val="21"/>
                    </w:rPr>
                    <w:t>工期（月）</w:t>
                  </w:r>
                </w:p>
              </w:tc>
            </w:tr>
            <w:tr w14:paraId="161919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38" w:type="dxa"/>
                  <w:shd w:val="clear" w:color="auto" w:fill="auto"/>
                  <w:vAlign w:val="center"/>
                </w:tcPr>
                <w:p w14:paraId="4960865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1</w:t>
                  </w:r>
                </w:p>
              </w:tc>
              <w:tc>
                <w:tcPr>
                  <w:tcW w:w="1406" w:type="dxa"/>
                  <w:shd w:val="clear" w:color="auto" w:fill="auto"/>
                  <w:vAlign w:val="center"/>
                </w:tcPr>
                <w:p w14:paraId="33DB00C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施工准备</w:t>
                  </w:r>
                </w:p>
              </w:tc>
              <w:tc>
                <w:tcPr>
                  <w:tcW w:w="4181" w:type="dxa"/>
                  <w:shd w:val="clear" w:color="auto" w:fill="auto"/>
                  <w:vAlign w:val="center"/>
                </w:tcPr>
                <w:p w14:paraId="14E07F9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场地移交、临时设施搭设、材料设备订货、图纸会审</w:t>
                  </w:r>
                </w:p>
              </w:tc>
              <w:tc>
                <w:tcPr>
                  <w:tcW w:w="1363" w:type="dxa"/>
                  <w:shd w:val="clear" w:color="auto" w:fill="auto"/>
                  <w:vAlign w:val="center"/>
                </w:tcPr>
                <w:p w14:paraId="2A3C33B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1</w:t>
                  </w:r>
                </w:p>
              </w:tc>
            </w:tr>
            <w:tr w14:paraId="5ABC1B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38" w:type="dxa"/>
                  <w:shd w:val="clear" w:color="auto" w:fill="auto"/>
                  <w:vAlign w:val="center"/>
                </w:tcPr>
                <w:p w14:paraId="658B02A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2</w:t>
                  </w:r>
                </w:p>
              </w:tc>
              <w:tc>
                <w:tcPr>
                  <w:tcW w:w="1406" w:type="dxa"/>
                  <w:shd w:val="clear" w:color="auto" w:fill="auto"/>
                  <w:vAlign w:val="center"/>
                </w:tcPr>
                <w:p w14:paraId="3F0F486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土建施工</w:t>
                  </w:r>
                </w:p>
              </w:tc>
              <w:tc>
                <w:tcPr>
                  <w:tcW w:w="4181" w:type="dxa"/>
                  <w:shd w:val="clear" w:color="auto" w:fill="auto"/>
                  <w:vAlign w:val="center"/>
                </w:tcPr>
                <w:p w14:paraId="5EFA970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场地平整、基础施工、配电装置楼主体及装修、围墙道路电缆沟</w:t>
                  </w:r>
                </w:p>
              </w:tc>
              <w:tc>
                <w:tcPr>
                  <w:tcW w:w="1363" w:type="dxa"/>
                  <w:shd w:val="clear" w:color="auto" w:fill="auto"/>
                  <w:vAlign w:val="center"/>
                </w:tcPr>
                <w:p w14:paraId="4860C4B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6</w:t>
                  </w:r>
                </w:p>
              </w:tc>
            </w:tr>
            <w:tr w14:paraId="74148D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38" w:type="dxa"/>
                  <w:shd w:val="clear" w:color="auto" w:fill="auto"/>
                  <w:vAlign w:val="center"/>
                </w:tcPr>
                <w:p w14:paraId="5275378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3</w:t>
                  </w:r>
                </w:p>
              </w:tc>
              <w:tc>
                <w:tcPr>
                  <w:tcW w:w="1406" w:type="dxa"/>
                  <w:shd w:val="clear" w:color="auto" w:fill="auto"/>
                  <w:vAlign w:val="center"/>
                </w:tcPr>
                <w:p w14:paraId="55A0F88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设备安装</w:t>
                  </w:r>
                </w:p>
              </w:tc>
              <w:tc>
                <w:tcPr>
                  <w:tcW w:w="4181" w:type="dxa"/>
                  <w:shd w:val="clear" w:color="auto" w:fill="auto"/>
                  <w:vAlign w:val="center"/>
                </w:tcPr>
                <w:p w14:paraId="5A7A924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主变就位、GIS及开关柜安装、二次屏柜安装、电缆敷设</w:t>
                  </w:r>
                </w:p>
              </w:tc>
              <w:tc>
                <w:tcPr>
                  <w:tcW w:w="1363" w:type="dxa"/>
                  <w:shd w:val="clear" w:color="auto" w:fill="auto"/>
                  <w:vAlign w:val="center"/>
                </w:tcPr>
                <w:p w14:paraId="3411D34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3</w:t>
                  </w:r>
                </w:p>
              </w:tc>
            </w:tr>
            <w:tr w14:paraId="4E777F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38" w:type="dxa"/>
                  <w:shd w:val="clear" w:color="auto" w:fill="auto"/>
                  <w:vAlign w:val="center"/>
                </w:tcPr>
                <w:p w14:paraId="1F23C9B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4</w:t>
                  </w:r>
                </w:p>
              </w:tc>
              <w:tc>
                <w:tcPr>
                  <w:tcW w:w="1406" w:type="dxa"/>
                  <w:shd w:val="clear" w:color="auto" w:fill="auto"/>
                  <w:vAlign w:val="center"/>
                </w:tcPr>
                <w:p w14:paraId="662AF76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调试及验收</w:t>
                  </w:r>
                </w:p>
              </w:tc>
              <w:tc>
                <w:tcPr>
                  <w:tcW w:w="4181" w:type="dxa"/>
                  <w:shd w:val="clear" w:color="auto" w:fill="auto"/>
                  <w:vAlign w:val="center"/>
                </w:tcPr>
                <w:p w14:paraId="55B0B83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单体调试、系统调试、整组传动、竣工验收</w:t>
                  </w:r>
                </w:p>
              </w:tc>
              <w:tc>
                <w:tcPr>
                  <w:tcW w:w="1363" w:type="dxa"/>
                  <w:shd w:val="clear" w:color="auto" w:fill="auto"/>
                  <w:vAlign w:val="center"/>
                </w:tcPr>
                <w:p w14:paraId="5DC4E12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2</w:t>
                  </w:r>
                </w:p>
              </w:tc>
            </w:tr>
            <w:tr w14:paraId="41AC08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38" w:type="dxa"/>
                  <w:shd w:val="clear" w:color="auto" w:fill="auto"/>
                  <w:vAlign w:val="center"/>
                </w:tcPr>
                <w:p w14:paraId="1A6549D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5</w:t>
                  </w:r>
                </w:p>
              </w:tc>
              <w:tc>
                <w:tcPr>
                  <w:tcW w:w="1406" w:type="dxa"/>
                  <w:shd w:val="clear" w:color="auto" w:fill="auto"/>
                  <w:vAlign w:val="center"/>
                </w:tcPr>
                <w:p w14:paraId="2BBB32F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合计</w:t>
                  </w:r>
                </w:p>
              </w:tc>
              <w:tc>
                <w:tcPr>
                  <w:tcW w:w="4181" w:type="dxa"/>
                  <w:shd w:val="clear" w:color="auto" w:fill="auto"/>
                  <w:vAlign w:val="center"/>
                </w:tcPr>
                <w:p w14:paraId="34E2EEA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w:t>
                  </w:r>
                </w:p>
              </w:tc>
              <w:tc>
                <w:tcPr>
                  <w:tcW w:w="1363" w:type="dxa"/>
                  <w:shd w:val="clear" w:color="auto" w:fill="auto"/>
                  <w:vAlign w:val="center"/>
                </w:tcPr>
                <w:p w14:paraId="1CD0A59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12</w:t>
                  </w:r>
                </w:p>
              </w:tc>
            </w:tr>
          </w:tbl>
          <w:p w14:paraId="7526DE2A">
            <w:pPr>
              <w:spacing w:line="480" w:lineRule="exact"/>
              <w:rPr>
                <w:rFonts w:hint="default" w:ascii="Times New Roman" w:hAnsi="Times New Roman" w:cs="Times New Roman" w:eastAsiaTheme="minorEastAsia"/>
                <w:kern w:val="0"/>
                <w:sz w:val="24"/>
              </w:rPr>
            </w:pPr>
          </w:p>
        </w:tc>
      </w:tr>
      <w:tr w14:paraId="200B11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274" w:type="pct"/>
            <w:vAlign w:val="center"/>
          </w:tcPr>
          <w:p w14:paraId="1CA32C5A">
            <w:pPr>
              <w:adjustRightInd w:val="0"/>
              <w:snapToGrid w:val="0"/>
              <w:jc w:val="center"/>
              <w:rPr>
                <w:rFonts w:hint="default" w:ascii="Times New Roman" w:hAnsi="Times New Roman" w:cs="Times New Roman" w:eastAsiaTheme="minorEastAsia"/>
                <w:kern w:val="0"/>
                <w:sz w:val="24"/>
              </w:rPr>
            </w:pPr>
            <w:r>
              <w:rPr>
                <w:rFonts w:hint="default" w:ascii="Times New Roman" w:hAnsi="Times New Roman" w:cs="Times New Roman" w:eastAsiaTheme="minorEastAsia"/>
                <w:kern w:val="0"/>
                <w:sz w:val="24"/>
              </w:rPr>
              <w:t>其他</w:t>
            </w:r>
          </w:p>
        </w:tc>
        <w:tc>
          <w:tcPr>
            <w:tcW w:w="4725" w:type="pct"/>
            <w:vAlign w:val="center"/>
          </w:tcPr>
          <w:p w14:paraId="15373E85">
            <w:pPr>
              <w:spacing w:line="480" w:lineRule="exact"/>
              <w:ind w:firstLine="522"/>
              <w:jc w:val="center"/>
              <w:rPr>
                <w:rFonts w:hint="default" w:ascii="Times New Roman" w:hAnsi="Times New Roman" w:cs="Times New Roman"/>
                <w:kern w:val="0"/>
                <w:sz w:val="24"/>
              </w:rPr>
            </w:pPr>
          </w:p>
          <w:p w14:paraId="022BD973">
            <w:pPr>
              <w:spacing w:line="480" w:lineRule="exact"/>
              <w:ind w:firstLine="522"/>
              <w:jc w:val="center"/>
              <w:rPr>
                <w:rFonts w:hint="default" w:ascii="Times New Roman" w:hAnsi="Times New Roman" w:cs="Times New Roman"/>
                <w:kern w:val="0"/>
                <w:sz w:val="24"/>
              </w:rPr>
            </w:pPr>
          </w:p>
          <w:p w14:paraId="03199B23">
            <w:pPr>
              <w:spacing w:line="480" w:lineRule="exact"/>
              <w:ind w:firstLine="522"/>
              <w:jc w:val="center"/>
              <w:rPr>
                <w:rFonts w:hint="default" w:ascii="Times New Roman" w:hAnsi="Times New Roman" w:cs="Times New Roman"/>
                <w:kern w:val="0"/>
                <w:sz w:val="24"/>
              </w:rPr>
            </w:pPr>
          </w:p>
          <w:p w14:paraId="389AFD7A">
            <w:pPr>
              <w:spacing w:line="480" w:lineRule="exact"/>
              <w:ind w:firstLine="522"/>
              <w:jc w:val="center"/>
              <w:rPr>
                <w:rFonts w:hint="default" w:ascii="Times New Roman" w:hAnsi="Times New Roman" w:cs="Times New Roman"/>
                <w:kern w:val="0"/>
                <w:sz w:val="24"/>
              </w:rPr>
            </w:pPr>
          </w:p>
          <w:p w14:paraId="7041BFEE">
            <w:pPr>
              <w:spacing w:line="480" w:lineRule="exact"/>
              <w:ind w:firstLine="522"/>
              <w:jc w:val="center"/>
              <w:rPr>
                <w:rFonts w:hint="default" w:ascii="Times New Roman" w:hAnsi="Times New Roman" w:cs="Times New Roman"/>
                <w:kern w:val="0"/>
                <w:sz w:val="24"/>
              </w:rPr>
            </w:pPr>
            <w:r>
              <w:rPr>
                <w:rFonts w:hint="default" w:ascii="Times New Roman" w:hAnsi="Times New Roman" w:cs="Times New Roman"/>
                <w:kern w:val="0"/>
                <w:sz w:val="24"/>
              </w:rPr>
              <w:t>无</w:t>
            </w:r>
          </w:p>
          <w:p w14:paraId="4570B7F1">
            <w:pPr>
              <w:spacing w:line="480" w:lineRule="exact"/>
              <w:ind w:firstLine="522"/>
              <w:jc w:val="center"/>
              <w:rPr>
                <w:rFonts w:hint="default" w:ascii="Times New Roman" w:hAnsi="Times New Roman" w:cs="Times New Roman"/>
                <w:kern w:val="0"/>
                <w:sz w:val="24"/>
              </w:rPr>
            </w:pPr>
          </w:p>
          <w:p w14:paraId="42BA965F">
            <w:pPr>
              <w:spacing w:line="480" w:lineRule="exact"/>
              <w:ind w:firstLine="522"/>
              <w:jc w:val="center"/>
              <w:rPr>
                <w:rFonts w:hint="default" w:ascii="Times New Roman" w:hAnsi="Times New Roman" w:cs="Times New Roman"/>
                <w:kern w:val="0"/>
                <w:sz w:val="24"/>
              </w:rPr>
            </w:pPr>
          </w:p>
          <w:p w14:paraId="25E57AB8">
            <w:pPr>
              <w:spacing w:line="480" w:lineRule="exact"/>
              <w:ind w:firstLine="522"/>
              <w:jc w:val="center"/>
              <w:rPr>
                <w:rFonts w:hint="default" w:ascii="Times New Roman" w:hAnsi="Times New Roman" w:cs="Times New Roman"/>
                <w:kern w:val="0"/>
                <w:sz w:val="24"/>
              </w:rPr>
            </w:pPr>
          </w:p>
          <w:p w14:paraId="1ACBA4BB">
            <w:pPr>
              <w:spacing w:line="480" w:lineRule="exact"/>
              <w:jc w:val="both"/>
              <w:rPr>
                <w:rFonts w:hint="default" w:ascii="Times New Roman" w:hAnsi="Times New Roman" w:cs="Times New Roman"/>
                <w:kern w:val="0"/>
                <w:sz w:val="24"/>
              </w:rPr>
            </w:pPr>
          </w:p>
        </w:tc>
      </w:tr>
    </w:tbl>
    <w:p w14:paraId="63B46A95">
      <w:pPr>
        <w:pStyle w:val="3"/>
        <w:rPr>
          <w:rFonts w:hint="default" w:ascii="Times New Roman" w:hAnsi="Times New Roman" w:cs="Times New Roman"/>
        </w:rPr>
      </w:pPr>
      <w:r>
        <w:rPr>
          <w:rFonts w:hint="default" w:ascii="Times New Roman" w:hAnsi="Times New Roman" w:cs="Times New Roman"/>
        </w:rPr>
        <w:br w:type="page"/>
      </w:r>
      <w:bookmarkStart w:id="37" w:name="_Toc5057"/>
      <w:r>
        <w:rPr>
          <w:rFonts w:hint="default" w:ascii="Times New Roman" w:hAnsi="Times New Roman" w:cs="Times New Roman"/>
        </w:rPr>
        <w:t>生态环境现状、保护目标及评价标准</w:t>
      </w:r>
      <w:bookmarkEnd w:id="37"/>
    </w:p>
    <w:tbl>
      <w:tblPr>
        <w:tblStyle w:val="43"/>
        <w:tblW w:w="4987"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585"/>
        <w:gridCol w:w="7922"/>
      </w:tblGrid>
      <w:tr w14:paraId="0898FC3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8" w:hRule="atLeast"/>
          <w:jc w:val="center"/>
        </w:trPr>
        <w:tc>
          <w:tcPr>
            <w:tcW w:w="344" w:type="pct"/>
            <w:vAlign w:val="center"/>
          </w:tcPr>
          <w:p w14:paraId="1B69B7B0">
            <w:pPr>
              <w:adjustRightInd w:val="0"/>
              <w:snapToGrid w:val="0"/>
              <w:jc w:val="center"/>
              <w:rPr>
                <w:rFonts w:hint="default" w:ascii="Times New Roman" w:hAnsi="Times New Roman" w:cs="Times New Roman" w:eastAsiaTheme="minorEastAsia"/>
                <w:kern w:val="0"/>
                <w:sz w:val="24"/>
              </w:rPr>
            </w:pPr>
            <w:r>
              <w:rPr>
                <w:rFonts w:hint="default" w:ascii="Times New Roman" w:hAnsi="Times New Roman" w:cs="Times New Roman" w:eastAsiaTheme="minorEastAsia"/>
                <w:kern w:val="0"/>
                <w:sz w:val="24"/>
              </w:rPr>
              <w:t>生态环境现状</w:t>
            </w:r>
          </w:p>
        </w:tc>
        <w:tc>
          <w:tcPr>
            <w:tcW w:w="4655" w:type="pct"/>
            <w:vAlign w:val="center"/>
          </w:tcPr>
          <w:p w14:paraId="41B8A172">
            <w:pPr>
              <w:pStyle w:val="67"/>
              <w:numPr>
                <w:ilvl w:val="0"/>
                <w:numId w:val="0"/>
              </w:numPr>
              <w:spacing w:line="480" w:lineRule="exact"/>
              <w:ind w:leftChars="0"/>
              <w:rPr>
                <w:rFonts w:hint="default" w:ascii="Times New Roman" w:hAnsi="Times New Roman" w:eastAsia="黑体" w:cs="Times New Roman"/>
                <w:sz w:val="25"/>
              </w:rPr>
            </w:pPr>
            <w:r>
              <w:rPr>
                <w:rFonts w:hint="default" w:ascii="Times New Roman" w:hAnsi="Times New Roman" w:eastAsia="黑体" w:cs="Times New Roman"/>
                <w:sz w:val="25"/>
                <w:lang w:val="en-US" w:eastAsia="zh-CN"/>
              </w:rPr>
              <w:t>1.</w:t>
            </w:r>
            <w:r>
              <w:rPr>
                <w:rFonts w:hint="default" w:ascii="Times New Roman" w:hAnsi="Times New Roman" w:eastAsia="黑体" w:cs="Times New Roman"/>
                <w:sz w:val="25"/>
              </w:rPr>
              <w:t>生态环境质量现状</w:t>
            </w:r>
          </w:p>
          <w:p w14:paraId="63166954">
            <w:pPr>
              <w:pStyle w:val="67"/>
              <w:numPr>
                <w:ilvl w:val="0"/>
                <w:numId w:val="0"/>
              </w:numPr>
              <w:spacing w:line="468" w:lineRule="exact"/>
              <w:ind w:left="480" w:leftChars="0"/>
              <w:rPr>
                <w:rFonts w:hint="default" w:ascii="Times New Roman" w:hAnsi="Times New Roman" w:cs="Times New Roman"/>
                <w:kern w:val="0"/>
                <w:sz w:val="24"/>
              </w:rPr>
            </w:pPr>
            <w:r>
              <w:rPr>
                <w:rFonts w:hint="default" w:ascii="Times New Roman" w:hAnsi="Times New Roman" w:eastAsia="黑体" w:cs="Times New Roman"/>
                <w:sz w:val="24"/>
                <w:lang w:val="en-US" w:eastAsia="zh-CN"/>
              </w:rPr>
              <w:t>1.1</w:t>
            </w:r>
            <w:r>
              <w:rPr>
                <w:rFonts w:hint="default" w:ascii="Times New Roman" w:hAnsi="Times New Roman" w:eastAsia="黑体" w:cs="Times New Roman"/>
                <w:sz w:val="24"/>
              </w:rPr>
              <w:t>生态功能区划</w:t>
            </w:r>
          </w:p>
          <w:p w14:paraId="10A57E85">
            <w:pPr>
              <w:pStyle w:val="17"/>
              <w:keepNext w:val="0"/>
              <w:keepLines w:val="0"/>
              <w:pageBreakBefore w:val="0"/>
              <w:widowControl/>
              <w:kinsoku/>
              <w:wordWrap/>
              <w:overflowPunct/>
              <w:topLinePunct w:val="0"/>
              <w:autoSpaceDE/>
              <w:autoSpaceDN/>
              <w:bidi w:val="0"/>
              <w:adjustRightInd/>
              <w:snapToGrid/>
              <w:spacing w:before="0" w:after="0" w:line="480" w:lineRule="exact"/>
              <w:ind w:right="0"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根据《新疆生态功能区划》，项目所在区域属于Ⅳ塔里木盆地暖温荒漠及绿洲农业生态区，Ⅳ1塔里木盆地西部、北部荒漠及绿洲农业生态亚区，54.库尔勒-轮台城镇和石油基地建设生态功能区。本项目所在区域生态功能区详见表3-1，生态功能区划见图3-1。</w:t>
            </w:r>
          </w:p>
          <w:p w14:paraId="338380CA">
            <w:pPr>
              <w:pStyle w:val="209"/>
              <w:keepNext w:val="0"/>
              <w:keepLines w:val="0"/>
              <w:pageBreakBefore w:val="0"/>
              <w:widowControl w:val="0"/>
              <w:kinsoku/>
              <w:wordWrap/>
              <w:overflowPunct/>
              <w:topLinePunct w:val="0"/>
              <w:autoSpaceDE/>
              <w:autoSpaceDN/>
              <w:bidi w:val="0"/>
              <w:adjustRightInd/>
              <w:snapToGrid/>
              <w:spacing w:beforeLines="0" w:line="480" w:lineRule="exact"/>
              <w:textAlignment w:val="auto"/>
              <w:rPr>
                <w:rFonts w:hint="default" w:ascii="Times New Roman" w:hAnsi="Times New Roman" w:eastAsia="黑体" w:cs="Times New Roman"/>
                <w:smallCaps w:val="0"/>
                <w:color w:val="auto"/>
                <w:spacing w:val="0"/>
                <w:w w:val="100"/>
                <w:position w:val="0"/>
                <w:sz w:val="21"/>
                <w:szCs w:val="21"/>
                <w:highlight w:val="none"/>
                <w:lang w:val="en-US" w:eastAsia="zh-CN"/>
              </w:rPr>
            </w:pPr>
            <w:r>
              <w:rPr>
                <w:rFonts w:hint="default" w:ascii="Times New Roman" w:hAnsi="Times New Roman" w:eastAsia="黑体" w:cs="Times New Roman"/>
                <w:smallCaps w:val="0"/>
                <w:color w:val="auto"/>
                <w:spacing w:val="0"/>
                <w:w w:val="100"/>
                <w:position w:val="0"/>
                <w:sz w:val="21"/>
                <w:szCs w:val="21"/>
                <w:highlight w:val="none"/>
                <w:lang w:val="en-US" w:eastAsia="zh-CN"/>
              </w:rPr>
              <w:t>表</w:t>
            </w:r>
            <w:r>
              <w:rPr>
                <w:rFonts w:hint="default" w:ascii="Times New Roman" w:hAnsi="Times New Roman" w:cs="Times New Roman"/>
                <w:smallCaps w:val="0"/>
                <w:color w:val="auto"/>
                <w:spacing w:val="0"/>
                <w:w w:val="100"/>
                <w:position w:val="0"/>
                <w:sz w:val="21"/>
                <w:szCs w:val="21"/>
                <w:highlight w:val="none"/>
                <w:lang w:val="en-US" w:eastAsia="zh-CN"/>
              </w:rPr>
              <w:t>3-1</w:t>
            </w:r>
            <w:r>
              <w:rPr>
                <w:rFonts w:hint="default" w:ascii="Times New Roman" w:hAnsi="Times New Roman" w:eastAsia="黑体" w:cs="Times New Roman"/>
                <w:smallCaps w:val="0"/>
                <w:color w:val="auto"/>
                <w:spacing w:val="0"/>
                <w:w w:val="100"/>
                <w:position w:val="0"/>
                <w:sz w:val="21"/>
                <w:szCs w:val="21"/>
                <w:highlight w:val="none"/>
                <w:lang w:val="en-US" w:eastAsia="zh-CN"/>
              </w:rPr>
              <w:t xml:space="preserve">  本项目生态功能区划</w:t>
            </w:r>
          </w:p>
          <w:tbl>
            <w:tblPr>
              <w:tblStyle w:val="43"/>
              <w:tblW w:w="5000"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919"/>
              <w:gridCol w:w="1091"/>
              <w:gridCol w:w="5681"/>
            </w:tblGrid>
            <w:tr w14:paraId="457AB3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5000" w:type="pct"/>
                  <w:gridSpan w:val="3"/>
                  <w:tcBorders>
                    <w:tl2br w:val="nil"/>
                    <w:tr2bl w:val="nil"/>
                  </w:tcBorders>
                  <w:vAlign w:val="center"/>
                </w:tcPr>
                <w:p w14:paraId="736F0863">
                  <w:pPr>
                    <w:pStyle w:val="76"/>
                    <w:keepNext w:val="0"/>
                    <w:keepLines w:val="0"/>
                    <w:pageBreakBefore w:val="0"/>
                    <w:tabs>
                      <w:tab w:val="left" w:pos="1119"/>
                    </w:tabs>
                    <w:kinsoku/>
                    <w:wordWrap/>
                    <w:overflowPunct/>
                    <w:topLinePunct w:val="0"/>
                    <w:autoSpaceDE/>
                    <w:autoSpaceDN/>
                    <w:bidi w:val="0"/>
                    <w:spacing w:before="0" w:after="0" w:line="240" w:lineRule="auto"/>
                    <w:ind w:right="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生态功能区划</w:t>
                  </w:r>
                </w:p>
              </w:tc>
            </w:tr>
            <w:tr w14:paraId="232D78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598" w:type="pct"/>
                  <w:vMerge w:val="restart"/>
                  <w:tcBorders>
                    <w:tl2br w:val="nil"/>
                    <w:tr2bl w:val="nil"/>
                  </w:tcBorders>
                  <w:vAlign w:val="center"/>
                </w:tcPr>
                <w:p w14:paraId="6AA50EB7">
                  <w:pPr>
                    <w:keepNext w:val="0"/>
                    <w:keepLines w:val="0"/>
                    <w:pageBreakBefore w:val="0"/>
                    <w:kinsoku/>
                    <w:wordWrap/>
                    <w:overflowPunct/>
                    <w:topLinePunct w:val="0"/>
                    <w:autoSpaceDE/>
                    <w:autoSpaceDN/>
                    <w:bidi w:val="0"/>
                    <w:spacing w:line="240" w:lineRule="auto"/>
                    <w:ind w:left="0" w:leftChars="0" w:right="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生态功能分区单元</w:t>
                  </w:r>
                </w:p>
              </w:tc>
              <w:tc>
                <w:tcPr>
                  <w:tcW w:w="708" w:type="pct"/>
                  <w:tcBorders>
                    <w:tl2br w:val="nil"/>
                    <w:tr2bl w:val="nil"/>
                  </w:tcBorders>
                  <w:vAlign w:val="center"/>
                </w:tcPr>
                <w:p w14:paraId="693BE8E0">
                  <w:pPr>
                    <w:keepNext w:val="0"/>
                    <w:keepLines w:val="0"/>
                    <w:pageBreakBefore w:val="0"/>
                    <w:kinsoku/>
                    <w:wordWrap/>
                    <w:overflowPunct/>
                    <w:topLinePunct w:val="0"/>
                    <w:autoSpaceDE/>
                    <w:autoSpaceDN/>
                    <w:bidi w:val="0"/>
                    <w:spacing w:line="240" w:lineRule="auto"/>
                    <w:ind w:left="0" w:leftChars="0" w:right="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生态区</w:t>
                  </w:r>
                </w:p>
              </w:tc>
              <w:tc>
                <w:tcPr>
                  <w:tcW w:w="3692" w:type="pct"/>
                  <w:tcBorders>
                    <w:tl2br w:val="nil"/>
                    <w:tr2bl w:val="nil"/>
                  </w:tcBorders>
                  <w:vAlign w:val="center"/>
                </w:tcPr>
                <w:p w14:paraId="17B35A03">
                  <w:pPr>
                    <w:pStyle w:val="76"/>
                    <w:keepNext w:val="0"/>
                    <w:keepLines w:val="0"/>
                    <w:pageBreakBefore w:val="0"/>
                    <w:widowControl w:val="0"/>
                    <w:tabs>
                      <w:tab w:val="left" w:pos="1119"/>
                    </w:tabs>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Ⅳ塔里木盆地暖温荒漠及绿洲农业生态区</w:t>
                  </w:r>
                </w:p>
              </w:tc>
            </w:tr>
            <w:tr w14:paraId="098093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598" w:type="pct"/>
                  <w:vMerge w:val="continue"/>
                  <w:tcBorders>
                    <w:tl2br w:val="nil"/>
                    <w:tr2bl w:val="nil"/>
                  </w:tcBorders>
                  <w:vAlign w:val="center"/>
                </w:tcPr>
                <w:p w14:paraId="0B7BC18A">
                  <w:pPr>
                    <w:keepNext w:val="0"/>
                    <w:keepLines w:val="0"/>
                    <w:pageBreakBefore w:val="0"/>
                    <w:kinsoku/>
                    <w:wordWrap/>
                    <w:overflowPunct/>
                    <w:topLinePunct w:val="0"/>
                    <w:autoSpaceDE/>
                    <w:autoSpaceDN/>
                    <w:bidi w:val="0"/>
                    <w:spacing w:line="240" w:lineRule="auto"/>
                    <w:ind w:right="0"/>
                    <w:jc w:val="center"/>
                    <w:textAlignment w:val="auto"/>
                    <w:rPr>
                      <w:rFonts w:hint="default" w:ascii="Times New Roman" w:hAnsi="Times New Roman" w:eastAsia="宋体" w:cs="Times New Roman"/>
                      <w:b w:val="0"/>
                      <w:bCs w:val="0"/>
                      <w:color w:val="auto"/>
                      <w:sz w:val="21"/>
                      <w:szCs w:val="21"/>
                      <w:highlight w:val="none"/>
                    </w:rPr>
                  </w:pPr>
                </w:p>
              </w:tc>
              <w:tc>
                <w:tcPr>
                  <w:tcW w:w="708" w:type="pct"/>
                  <w:tcBorders>
                    <w:tl2br w:val="nil"/>
                    <w:tr2bl w:val="nil"/>
                  </w:tcBorders>
                  <w:vAlign w:val="center"/>
                </w:tcPr>
                <w:p w14:paraId="518374A2">
                  <w:pPr>
                    <w:keepNext w:val="0"/>
                    <w:keepLines w:val="0"/>
                    <w:pageBreakBefore w:val="0"/>
                    <w:kinsoku/>
                    <w:wordWrap/>
                    <w:overflowPunct/>
                    <w:topLinePunct w:val="0"/>
                    <w:autoSpaceDE/>
                    <w:autoSpaceDN/>
                    <w:bidi w:val="0"/>
                    <w:spacing w:line="240" w:lineRule="auto"/>
                    <w:ind w:left="0" w:leftChars="0" w:right="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生态亚区</w:t>
                  </w:r>
                </w:p>
              </w:tc>
              <w:tc>
                <w:tcPr>
                  <w:tcW w:w="3692" w:type="pct"/>
                  <w:tcBorders>
                    <w:tl2br w:val="nil"/>
                    <w:tr2bl w:val="nil"/>
                  </w:tcBorders>
                  <w:vAlign w:val="center"/>
                </w:tcPr>
                <w:p w14:paraId="4192072B">
                  <w:pPr>
                    <w:pStyle w:val="76"/>
                    <w:keepNext w:val="0"/>
                    <w:keepLines w:val="0"/>
                    <w:pageBreakBefore w:val="0"/>
                    <w:widowControl w:val="0"/>
                    <w:tabs>
                      <w:tab w:val="left" w:pos="1119"/>
                    </w:tabs>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Ⅳ</w:t>
                  </w:r>
                  <w:r>
                    <w:rPr>
                      <w:rFonts w:hint="default" w:ascii="Times New Roman" w:hAnsi="Times New Roman" w:eastAsia="宋体" w:cs="Times New Roman"/>
                      <w:b w:val="0"/>
                      <w:bCs w:val="0"/>
                      <w:color w:val="auto"/>
                      <w:sz w:val="21"/>
                      <w:szCs w:val="21"/>
                      <w:highlight w:val="none"/>
                      <w:vertAlign w:val="subscript"/>
                      <w:lang w:val="en-US" w:eastAsia="zh-CN"/>
                    </w:rPr>
                    <w:t>1</w:t>
                  </w:r>
                  <w:r>
                    <w:rPr>
                      <w:rFonts w:hint="default" w:ascii="Times New Roman" w:hAnsi="Times New Roman" w:eastAsia="宋体" w:cs="Times New Roman"/>
                      <w:b w:val="0"/>
                      <w:bCs w:val="0"/>
                      <w:color w:val="auto"/>
                      <w:sz w:val="21"/>
                      <w:szCs w:val="21"/>
                      <w:highlight w:val="none"/>
                      <w:lang w:val="en-US" w:eastAsia="zh-CN"/>
                    </w:rPr>
                    <w:t>塔里木盆地西部、北部荒漠及绿洲农业生态亚区</w:t>
                  </w:r>
                </w:p>
              </w:tc>
            </w:tr>
            <w:tr w14:paraId="663EE0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598" w:type="pct"/>
                  <w:vMerge w:val="continue"/>
                  <w:tcBorders>
                    <w:tl2br w:val="nil"/>
                    <w:tr2bl w:val="nil"/>
                  </w:tcBorders>
                  <w:vAlign w:val="center"/>
                </w:tcPr>
                <w:p w14:paraId="7E9E9CED">
                  <w:pPr>
                    <w:keepNext w:val="0"/>
                    <w:keepLines w:val="0"/>
                    <w:pageBreakBefore w:val="0"/>
                    <w:kinsoku/>
                    <w:wordWrap/>
                    <w:overflowPunct/>
                    <w:topLinePunct w:val="0"/>
                    <w:autoSpaceDE/>
                    <w:autoSpaceDN/>
                    <w:bidi w:val="0"/>
                    <w:spacing w:line="240" w:lineRule="auto"/>
                    <w:ind w:right="0"/>
                    <w:jc w:val="center"/>
                    <w:textAlignment w:val="auto"/>
                    <w:rPr>
                      <w:rFonts w:hint="default" w:ascii="Times New Roman" w:hAnsi="Times New Roman" w:eastAsia="宋体" w:cs="Times New Roman"/>
                      <w:b w:val="0"/>
                      <w:bCs w:val="0"/>
                      <w:color w:val="auto"/>
                      <w:sz w:val="21"/>
                      <w:szCs w:val="21"/>
                      <w:highlight w:val="none"/>
                    </w:rPr>
                  </w:pPr>
                </w:p>
              </w:tc>
              <w:tc>
                <w:tcPr>
                  <w:tcW w:w="708" w:type="pct"/>
                  <w:tcBorders>
                    <w:tl2br w:val="nil"/>
                    <w:tr2bl w:val="nil"/>
                  </w:tcBorders>
                  <w:vAlign w:val="center"/>
                </w:tcPr>
                <w:p w14:paraId="0A2A7F79">
                  <w:pPr>
                    <w:keepNext w:val="0"/>
                    <w:keepLines w:val="0"/>
                    <w:pageBreakBefore w:val="0"/>
                    <w:kinsoku/>
                    <w:wordWrap/>
                    <w:overflowPunct/>
                    <w:topLinePunct w:val="0"/>
                    <w:autoSpaceDE/>
                    <w:autoSpaceDN/>
                    <w:bidi w:val="0"/>
                    <w:spacing w:line="240" w:lineRule="auto"/>
                    <w:ind w:left="0" w:leftChars="0" w:right="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生态功能区</w:t>
                  </w:r>
                </w:p>
              </w:tc>
              <w:tc>
                <w:tcPr>
                  <w:tcW w:w="3692" w:type="pct"/>
                  <w:tcBorders>
                    <w:tl2br w:val="nil"/>
                    <w:tr2bl w:val="nil"/>
                  </w:tcBorders>
                  <w:vAlign w:val="center"/>
                </w:tcPr>
                <w:p w14:paraId="5DDD8D2C">
                  <w:pPr>
                    <w:pStyle w:val="99"/>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lang w:val="en-US" w:eastAsia="zh-CN"/>
                    </w:rPr>
                    <w:t>54.</w:t>
                  </w:r>
                  <w:r>
                    <w:rPr>
                      <w:rFonts w:hint="default" w:ascii="Times New Roman" w:hAnsi="Times New Roman" w:eastAsia="宋体" w:cs="Times New Roman"/>
                      <w:b w:val="0"/>
                      <w:bCs w:val="0"/>
                      <w:color w:val="auto"/>
                      <w:sz w:val="21"/>
                      <w:szCs w:val="21"/>
                      <w:highlight w:val="none"/>
                    </w:rPr>
                    <w:t>库尔勒—轮台城镇和石油基地建设生态功能区</w:t>
                  </w:r>
                  <w:r>
                    <w:rPr>
                      <w:rFonts w:hint="default" w:ascii="Times New Roman" w:hAnsi="Times New Roman" w:eastAsia="宋体" w:cs="Times New Roman"/>
                      <w:b w:val="0"/>
                      <w:bCs w:val="0"/>
                      <w:color w:val="auto"/>
                      <w:sz w:val="21"/>
                      <w:szCs w:val="21"/>
                      <w:highlight w:val="none"/>
                      <w:lang w:eastAsia="zh-CN"/>
                    </w:rPr>
                    <w:t>（</w:t>
                  </w:r>
                  <w:r>
                    <w:rPr>
                      <w:rFonts w:hint="default" w:ascii="Times New Roman" w:hAnsi="Times New Roman" w:eastAsia="宋体" w:cs="Times New Roman"/>
                      <w:b w:val="0"/>
                      <w:bCs w:val="0"/>
                      <w:color w:val="auto"/>
                      <w:sz w:val="21"/>
                      <w:szCs w:val="21"/>
                      <w:highlight w:val="none"/>
                      <w:lang w:val="en-US" w:eastAsia="zh-CN"/>
                    </w:rPr>
                    <w:t>尉北区、主园区、化工产业集中区</w:t>
                  </w:r>
                  <w:r>
                    <w:rPr>
                      <w:rFonts w:hint="default" w:ascii="Times New Roman" w:hAnsi="Times New Roman" w:eastAsia="宋体" w:cs="Times New Roman"/>
                      <w:b w:val="0"/>
                      <w:bCs w:val="0"/>
                      <w:color w:val="auto"/>
                      <w:sz w:val="21"/>
                      <w:szCs w:val="21"/>
                      <w:highlight w:val="none"/>
                      <w:lang w:eastAsia="zh-CN"/>
                    </w:rPr>
                    <w:t>）</w:t>
                  </w:r>
                </w:p>
              </w:tc>
            </w:tr>
            <w:tr w14:paraId="4C71F0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307" w:type="pct"/>
                  <w:gridSpan w:val="2"/>
                  <w:tcBorders>
                    <w:tl2br w:val="nil"/>
                    <w:tr2bl w:val="nil"/>
                  </w:tcBorders>
                  <w:vAlign w:val="center"/>
                </w:tcPr>
                <w:p w14:paraId="570584BE">
                  <w:pPr>
                    <w:pStyle w:val="99"/>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主要生态服务功能</w:t>
                  </w:r>
                </w:p>
              </w:tc>
              <w:tc>
                <w:tcPr>
                  <w:tcW w:w="3692" w:type="pct"/>
                  <w:tcBorders>
                    <w:tl2br w:val="nil"/>
                    <w:tr2bl w:val="nil"/>
                  </w:tcBorders>
                  <w:vAlign w:val="center"/>
                </w:tcPr>
                <w:p w14:paraId="00B3A16C">
                  <w:pPr>
                    <w:pStyle w:val="99"/>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城市人居环境、工农业产品生产、油气资源</w:t>
                  </w:r>
                </w:p>
              </w:tc>
            </w:tr>
            <w:tr w14:paraId="697405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307" w:type="pct"/>
                  <w:gridSpan w:val="2"/>
                  <w:tcBorders>
                    <w:tl2br w:val="nil"/>
                    <w:tr2bl w:val="nil"/>
                  </w:tcBorders>
                  <w:vAlign w:val="center"/>
                </w:tcPr>
                <w:p w14:paraId="372C88EC">
                  <w:pPr>
                    <w:pStyle w:val="99"/>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主要生态环境问题</w:t>
                  </w:r>
                </w:p>
              </w:tc>
              <w:tc>
                <w:tcPr>
                  <w:tcW w:w="3692" w:type="pct"/>
                  <w:tcBorders>
                    <w:tl2br w:val="nil"/>
                    <w:tr2bl w:val="nil"/>
                  </w:tcBorders>
                  <w:vAlign w:val="center"/>
                </w:tcPr>
                <w:p w14:paraId="2A883933">
                  <w:pPr>
                    <w:pStyle w:val="99"/>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水质污染、风沙危害、土壤盐碱化、洪水灾害、浮尘天气、盲目开荒、土壤环境污染</w:t>
                  </w:r>
                </w:p>
              </w:tc>
            </w:tr>
            <w:tr w14:paraId="5BE876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307" w:type="pct"/>
                  <w:gridSpan w:val="2"/>
                  <w:tcBorders>
                    <w:tl2br w:val="nil"/>
                    <w:tr2bl w:val="nil"/>
                  </w:tcBorders>
                  <w:vAlign w:val="center"/>
                </w:tcPr>
                <w:p w14:paraId="2C6C0B19">
                  <w:pPr>
                    <w:pStyle w:val="99"/>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生态敏感因子敏感程度</w:t>
                  </w:r>
                </w:p>
              </w:tc>
              <w:tc>
                <w:tcPr>
                  <w:tcW w:w="3692" w:type="pct"/>
                  <w:tcBorders>
                    <w:tl2br w:val="nil"/>
                    <w:tr2bl w:val="nil"/>
                  </w:tcBorders>
                  <w:vAlign w:val="center"/>
                </w:tcPr>
                <w:p w14:paraId="3B26139B">
                  <w:pPr>
                    <w:pStyle w:val="99"/>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生物多样性及其生境中度敏感，土壤盐渍化高度敏感</w:t>
                  </w:r>
                </w:p>
              </w:tc>
            </w:tr>
            <w:tr w14:paraId="0F49C4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307" w:type="pct"/>
                  <w:gridSpan w:val="2"/>
                  <w:tcBorders>
                    <w:tl2br w:val="nil"/>
                    <w:tr2bl w:val="nil"/>
                  </w:tcBorders>
                  <w:vAlign w:val="center"/>
                </w:tcPr>
                <w:p w14:paraId="7FCEC331">
                  <w:pPr>
                    <w:pStyle w:val="99"/>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主要保护目标</w:t>
                  </w:r>
                </w:p>
              </w:tc>
              <w:tc>
                <w:tcPr>
                  <w:tcW w:w="3692" w:type="pct"/>
                  <w:tcBorders>
                    <w:tl2br w:val="nil"/>
                    <w:tr2bl w:val="nil"/>
                  </w:tcBorders>
                  <w:vAlign w:val="center"/>
                </w:tcPr>
                <w:p w14:paraId="287D54FF">
                  <w:pPr>
                    <w:pStyle w:val="99"/>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保护城市环境、保护基本农田、保护荒漠植被、保护河流水质、保护土壤环境质量</w:t>
                  </w:r>
                </w:p>
              </w:tc>
            </w:tr>
            <w:tr w14:paraId="4AB46E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307" w:type="pct"/>
                  <w:gridSpan w:val="2"/>
                  <w:tcBorders>
                    <w:tl2br w:val="nil"/>
                    <w:tr2bl w:val="nil"/>
                  </w:tcBorders>
                  <w:vAlign w:val="center"/>
                </w:tcPr>
                <w:p w14:paraId="6C75EF6E">
                  <w:pPr>
                    <w:pStyle w:val="99"/>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主要保护措施</w:t>
                  </w:r>
                </w:p>
              </w:tc>
              <w:tc>
                <w:tcPr>
                  <w:tcW w:w="3692" w:type="pct"/>
                  <w:tcBorders>
                    <w:tl2br w:val="nil"/>
                    <w:tr2bl w:val="nil"/>
                  </w:tcBorders>
                  <w:vAlign w:val="center"/>
                </w:tcPr>
                <w:p w14:paraId="67D30C21">
                  <w:pPr>
                    <w:pStyle w:val="99"/>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增加城市绿地面积、建设城市防护林、污水处理和资源化利用、减少农药地膜化肥污染、改良盐渍土壤</w:t>
                  </w:r>
                </w:p>
              </w:tc>
            </w:tr>
            <w:tr w14:paraId="3014D5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307" w:type="pct"/>
                  <w:gridSpan w:val="2"/>
                  <w:tcBorders>
                    <w:tl2br w:val="nil"/>
                    <w:tr2bl w:val="nil"/>
                  </w:tcBorders>
                  <w:vAlign w:val="center"/>
                </w:tcPr>
                <w:p w14:paraId="301163A5">
                  <w:pPr>
                    <w:pStyle w:val="99"/>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适宜发展方向</w:t>
                  </w:r>
                </w:p>
              </w:tc>
              <w:tc>
                <w:tcPr>
                  <w:tcW w:w="3692" w:type="pct"/>
                  <w:tcBorders>
                    <w:tl2br w:val="nil"/>
                    <w:tr2bl w:val="nil"/>
                  </w:tcBorders>
                  <w:vAlign w:val="center"/>
                </w:tcPr>
                <w:p w14:paraId="73DF510D">
                  <w:pPr>
                    <w:pStyle w:val="99"/>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发展生态农业，建立香梨和人工甘草基地，建成石油基地和南疆商贸中心和物资集散地</w:t>
                  </w:r>
                </w:p>
              </w:tc>
            </w:tr>
          </w:tbl>
          <w:p w14:paraId="35A5744C">
            <w:pPr>
              <w:pStyle w:val="67"/>
              <w:numPr>
                <w:ilvl w:val="0"/>
                <w:numId w:val="0"/>
              </w:numPr>
              <w:spacing w:line="468" w:lineRule="exact"/>
              <w:ind w:left="480" w:leftChars="0"/>
              <w:rPr>
                <w:rFonts w:hint="default" w:ascii="Times New Roman" w:hAnsi="Times New Roman" w:eastAsia="黑体" w:cs="Times New Roman"/>
                <w:sz w:val="24"/>
                <w:lang w:val="en-US" w:eastAsia="zh-CN"/>
              </w:rPr>
            </w:pPr>
            <w:r>
              <w:rPr>
                <w:rFonts w:hint="default" w:ascii="Times New Roman" w:hAnsi="Times New Roman" w:eastAsia="黑体" w:cs="Times New Roman"/>
                <w:sz w:val="24"/>
                <w:lang w:val="en-US" w:eastAsia="zh-CN"/>
              </w:rPr>
              <w:t>1.2新疆维吾尔自治区主体功能区规划</w:t>
            </w:r>
          </w:p>
          <w:p w14:paraId="276B5144">
            <w:pPr>
              <w:pStyle w:val="17"/>
              <w:keepNext w:val="0"/>
              <w:keepLines w:val="0"/>
              <w:pageBreakBefore w:val="0"/>
              <w:widowControl/>
              <w:kinsoku/>
              <w:wordWrap/>
              <w:overflowPunct/>
              <w:topLinePunct w:val="0"/>
              <w:autoSpaceDE/>
              <w:autoSpaceDN/>
              <w:bidi w:val="0"/>
              <w:adjustRightInd/>
              <w:snapToGrid/>
              <w:spacing w:before="0" w:after="0" w:line="480" w:lineRule="exact"/>
              <w:ind w:right="0" w:firstLine="480" w:firstLineChars="200"/>
              <w:textAlignment w:val="auto"/>
              <w:rPr>
                <w:rFonts w:hint="default" w:ascii="Times New Roman" w:hAnsi="Times New Roman" w:cs="Times New Roman"/>
                <w:sz w:val="24"/>
              </w:rPr>
            </w:pPr>
            <w:r>
              <w:rPr>
                <w:rFonts w:hint="default" w:ascii="Times New Roman" w:hAnsi="Times New Roman" w:cs="Times New Roman"/>
                <w:sz w:val="24"/>
                <w:szCs w:val="24"/>
              </w:rPr>
              <w:t>本工程位于</w:t>
            </w:r>
            <w:r>
              <w:rPr>
                <w:rFonts w:hint="default" w:ascii="Times New Roman" w:hAnsi="Times New Roman" w:cs="Times New Roman"/>
                <w:sz w:val="24"/>
                <w:szCs w:val="24"/>
                <w:lang w:val="en-US" w:eastAsia="zh-CN"/>
              </w:rPr>
              <w:t>巴州尉犁县</w:t>
            </w:r>
            <w:r>
              <w:rPr>
                <w:rFonts w:hint="default" w:ascii="Times New Roman" w:hAnsi="Times New Roman" w:cs="Times New Roman"/>
                <w:sz w:val="24"/>
                <w:szCs w:val="24"/>
              </w:rPr>
              <w:t>。根据《新疆维吾尔自治区主体功能区规划》，</w:t>
            </w:r>
            <w:r>
              <w:rPr>
                <w:rFonts w:hint="default" w:ascii="Times New Roman" w:hAnsi="Times New Roman" w:eastAsia="宋体" w:cs="Times New Roman"/>
                <w:color w:val="auto"/>
                <w:spacing w:val="0"/>
                <w:sz w:val="24"/>
                <w:szCs w:val="24"/>
                <w:highlight w:val="none"/>
              </w:rPr>
              <w:t>本项目选址属于新疆维吾尔自治区主体功能区规划自治区重点开发</w:t>
            </w:r>
            <w:r>
              <w:rPr>
                <w:rFonts w:hint="default" w:ascii="Times New Roman" w:hAnsi="Times New Roman" w:eastAsia="宋体" w:cs="Times New Roman"/>
                <w:color w:val="auto"/>
                <w:spacing w:val="0"/>
                <w:sz w:val="24"/>
                <w:szCs w:val="24"/>
                <w:highlight w:val="none"/>
                <w:lang w:val="en-US" w:eastAsia="zh-CN"/>
              </w:rPr>
              <w:t>区域，</w:t>
            </w:r>
            <w:r>
              <w:rPr>
                <w:rFonts w:hint="default" w:ascii="Times New Roman" w:hAnsi="Times New Roman" w:cs="Times New Roman"/>
                <w:sz w:val="24"/>
                <w:szCs w:val="30"/>
              </w:rPr>
              <w:t>重点开发区域的功能定位是：支撑新疆经济增长的重要增长极，落实区域发展总体战略、促进区域协调发展的重要支撑点，新疆重要的人口和经济密集区。</w:t>
            </w:r>
            <w:r>
              <w:rPr>
                <w:rFonts w:hint="default" w:ascii="Times New Roman" w:hAnsi="Times New Roman" w:cs="Times New Roman"/>
                <w:sz w:val="24"/>
              </w:rPr>
              <w:t>本工程属于输变电工程，</w:t>
            </w:r>
            <w:r>
              <w:rPr>
                <w:rFonts w:hint="default" w:ascii="Times New Roman" w:hAnsi="Times New Roman" w:cs="Times New Roman"/>
                <w:sz w:val="24"/>
                <w:szCs w:val="24"/>
              </w:rPr>
              <w:t>符合《新疆维吾尔自治区主体功能区规划》。</w:t>
            </w:r>
          </w:p>
          <w:p w14:paraId="5B196662">
            <w:pPr>
              <w:pStyle w:val="67"/>
              <w:numPr>
                <w:ilvl w:val="0"/>
                <w:numId w:val="0"/>
              </w:numPr>
              <w:spacing w:line="468" w:lineRule="exact"/>
              <w:ind w:left="480" w:leftChars="0"/>
              <w:rPr>
                <w:rFonts w:hint="default" w:ascii="Times New Roman" w:hAnsi="Times New Roman" w:eastAsia="黑体" w:cs="Times New Roman"/>
                <w:sz w:val="24"/>
                <w:lang w:val="en-US" w:eastAsia="zh-CN"/>
              </w:rPr>
            </w:pPr>
            <w:bookmarkStart w:id="38" w:name="OLE_LINK286"/>
            <w:r>
              <w:rPr>
                <w:rFonts w:hint="default" w:ascii="Times New Roman" w:hAnsi="Times New Roman" w:eastAsia="黑体" w:cs="Times New Roman"/>
                <w:sz w:val="24"/>
                <w:lang w:val="en-US" w:eastAsia="zh-CN"/>
              </w:rPr>
              <w:t>1.2土地利用现状</w:t>
            </w:r>
            <w:bookmarkEnd w:id="38"/>
          </w:p>
          <w:p w14:paraId="78799EC8">
            <w:pPr>
              <w:spacing w:line="480" w:lineRule="exact"/>
              <w:ind w:firstLine="480" w:firstLineChars="200"/>
              <w:rPr>
                <w:rFonts w:hint="default" w:ascii="Times New Roman" w:hAnsi="Times New Roman" w:cs="Times New Roman"/>
                <w:kern w:val="0"/>
                <w:sz w:val="24"/>
              </w:rPr>
            </w:pPr>
            <w:r>
              <w:rPr>
                <w:rFonts w:hint="default" w:ascii="Times New Roman" w:hAnsi="Times New Roman" w:cs="Times New Roman"/>
                <w:kern w:val="0"/>
                <w:sz w:val="24"/>
              </w:rPr>
              <w:t>结合实地调查和遥感卫星影像，</w:t>
            </w:r>
            <w:r>
              <w:rPr>
                <w:rFonts w:hint="default" w:ascii="Times New Roman" w:hAnsi="Times New Roman" w:cs="Times New Roman"/>
                <w:kern w:val="0"/>
                <w:sz w:val="24"/>
                <w:lang w:val="en-US" w:eastAsia="zh-CN"/>
              </w:rPr>
              <w:t>本项目</w:t>
            </w:r>
            <w:r>
              <w:rPr>
                <w:rFonts w:hint="default" w:ascii="Times New Roman" w:hAnsi="Times New Roman" w:cs="Times New Roman"/>
                <w:sz w:val="24"/>
              </w:rPr>
              <w:t>土地利用类型为</w:t>
            </w:r>
            <w:r>
              <w:rPr>
                <w:rFonts w:hint="eastAsia" w:cs="Times New Roman"/>
                <w:sz w:val="24"/>
                <w:lang w:val="en-US" w:eastAsia="zh-CN"/>
              </w:rPr>
              <w:t>其他灌木林地</w:t>
            </w:r>
            <w:r>
              <w:rPr>
                <w:rFonts w:hint="default" w:ascii="Times New Roman" w:hAnsi="Times New Roman" w:cs="Times New Roman"/>
                <w:sz w:val="24"/>
              </w:rPr>
              <w:t>。</w:t>
            </w:r>
            <w:r>
              <w:rPr>
                <w:rFonts w:hint="default" w:ascii="Times New Roman" w:hAnsi="Times New Roman" w:cs="Times New Roman"/>
                <w:kern w:val="0"/>
                <w:sz w:val="24"/>
              </w:rPr>
              <w:t>工程区土壤类型为</w:t>
            </w:r>
            <w:r>
              <w:rPr>
                <w:rFonts w:hint="default" w:ascii="Times New Roman" w:hAnsi="Times New Roman" w:cs="Times New Roman"/>
                <w:sz w:val="24"/>
                <w:lang w:val="en-US" w:eastAsia="zh-CN"/>
              </w:rPr>
              <w:t>盐</w:t>
            </w:r>
            <w:r>
              <w:rPr>
                <w:rFonts w:hint="default" w:ascii="Times New Roman" w:hAnsi="Times New Roman" w:cs="Times New Roman"/>
                <w:sz w:val="24"/>
              </w:rPr>
              <w:t>土</w:t>
            </w:r>
            <w:r>
              <w:rPr>
                <w:rFonts w:hint="default" w:ascii="Times New Roman" w:hAnsi="Times New Roman" w:cs="Times New Roman"/>
                <w:kern w:val="0"/>
                <w:sz w:val="24"/>
              </w:rPr>
              <w:t>。</w:t>
            </w:r>
            <w:bookmarkStart w:id="39" w:name="OLE_LINK145"/>
            <w:bookmarkStart w:id="40" w:name="OLE_LINK143"/>
            <w:r>
              <w:rPr>
                <w:rFonts w:hint="default" w:ascii="Times New Roman" w:hAnsi="Times New Roman" w:cs="Times New Roman"/>
                <w:kern w:val="0"/>
                <w:sz w:val="24"/>
              </w:rPr>
              <w:t>工程区</w:t>
            </w:r>
            <w:bookmarkEnd w:id="39"/>
            <w:r>
              <w:rPr>
                <w:rFonts w:hint="default" w:ascii="Times New Roman" w:hAnsi="Times New Roman" w:cs="Times New Roman"/>
                <w:kern w:val="0"/>
                <w:sz w:val="24"/>
              </w:rPr>
              <w:t>土地利用现状图</w:t>
            </w:r>
            <w:r>
              <w:rPr>
                <w:rFonts w:hint="default" w:ascii="Times New Roman" w:hAnsi="Times New Roman" w:cs="Times New Roman"/>
                <w:kern w:val="0"/>
                <w:sz w:val="24"/>
                <w:highlight w:val="none"/>
              </w:rPr>
              <w:t>见附图</w:t>
            </w:r>
            <w:bookmarkEnd w:id="40"/>
            <w:r>
              <w:rPr>
                <w:rFonts w:hint="default" w:ascii="Times New Roman" w:hAnsi="Times New Roman" w:cs="Times New Roman"/>
                <w:kern w:val="0"/>
                <w:sz w:val="24"/>
                <w:highlight w:val="none"/>
              </w:rPr>
              <w:t>3-2。</w:t>
            </w:r>
            <w:bookmarkStart w:id="41" w:name="OLE_LINK148"/>
            <w:bookmarkStart w:id="42" w:name="OLE_LINK146"/>
            <w:r>
              <w:rPr>
                <w:rFonts w:hint="default" w:ascii="Times New Roman" w:hAnsi="Times New Roman" w:cs="Times New Roman"/>
                <w:kern w:val="0"/>
                <w:sz w:val="24"/>
                <w:highlight w:val="none"/>
              </w:rPr>
              <w:t>土壤类型见附图3-3。本工程区</w:t>
            </w:r>
            <w:r>
              <w:rPr>
                <w:rFonts w:hint="default" w:ascii="Times New Roman" w:hAnsi="Times New Roman" w:cs="Times New Roman"/>
                <w:kern w:val="0"/>
                <w:sz w:val="24"/>
                <w:highlight w:val="none"/>
                <w:lang w:val="en-US" w:eastAsia="zh-CN"/>
              </w:rPr>
              <w:t>北侧有农田分布，厂</w:t>
            </w:r>
            <w:r>
              <w:rPr>
                <w:rFonts w:hint="default" w:ascii="Times New Roman" w:hAnsi="Times New Roman" w:cs="Times New Roman"/>
                <w:kern w:val="0"/>
                <w:sz w:val="24"/>
                <w:lang w:val="en-US" w:eastAsia="zh-CN"/>
              </w:rPr>
              <w:t>界距农田最近距离为214m</w:t>
            </w:r>
            <w:bookmarkEnd w:id="41"/>
            <w:bookmarkEnd w:id="42"/>
            <w:bookmarkStart w:id="43" w:name="OLE_LINK147"/>
            <w:r>
              <w:rPr>
                <w:rFonts w:hint="default" w:ascii="Times New Roman" w:hAnsi="Times New Roman" w:cs="Times New Roman"/>
                <w:kern w:val="0"/>
                <w:sz w:val="24"/>
              </w:rPr>
              <w:t>。</w:t>
            </w:r>
            <w:bookmarkEnd w:id="43"/>
          </w:p>
          <w:p w14:paraId="6CCD4F0C">
            <w:pPr>
              <w:pStyle w:val="67"/>
              <w:numPr>
                <w:ilvl w:val="0"/>
                <w:numId w:val="0"/>
              </w:numPr>
              <w:spacing w:line="468" w:lineRule="exact"/>
              <w:ind w:left="480" w:leftChars="0"/>
              <w:rPr>
                <w:rFonts w:hint="default" w:ascii="Times New Roman" w:hAnsi="Times New Roman" w:eastAsia="黑体" w:cs="Times New Roman"/>
                <w:sz w:val="24"/>
                <w:lang w:val="en-US" w:eastAsia="zh-CN"/>
              </w:rPr>
            </w:pPr>
            <w:r>
              <w:rPr>
                <w:rFonts w:hint="default" w:ascii="Times New Roman" w:hAnsi="Times New Roman" w:eastAsia="黑体" w:cs="Times New Roman"/>
                <w:sz w:val="24"/>
                <w:lang w:val="en-US" w:eastAsia="zh-CN"/>
              </w:rPr>
              <w:t>1.3植被类型现状</w:t>
            </w:r>
          </w:p>
          <w:p w14:paraId="4441595C">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default" w:ascii="Times New Roman" w:hAnsi="Times New Roman" w:eastAsia="宋体" w:cs="Times New Roman"/>
                <w:smallCaps w:val="0"/>
                <w:color w:val="auto"/>
                <w:spacing w:val="0"/>
                <w:w w:val="100"/>
                <w:position w:val="0"/>
                <w:sz w:val="24"/>
                <w:szCs w:val="24"/>
                <w:highlight w:val="none"/>
              </w:rPr>
            </w:pPr>
            <w:r>
              <w:rPr>
                <w:rFonts w:hint="default" w:ascii="Times New Roman" w:hAnsi="Times New Roman" w:eastAsia="宋体&quot; '仿宋_GB2312，宋体" w:cs="Times New Roman"/>
                <w:kern w:val="0"/>
                <w:sz w:val="24"/>
              </w:rPr>
              <w:t>根据现场勘查和相关资料，</w:t>
            </w:r>
            <w:r>
              <w:rPr>
                <w:rFonts w:hint="default" w:ascii="Times New Roman" w:hAnsi="Times New Roman" w:eastAsia="宋体" w:cs="Times New Roman"/>
                <w:smallCaps w:val="0"/>
                <w:color w:val="auto"/>
                <w:spacing w:val="0"/>
                <w:w w:val="100"/>
                <w:position w:val="0"/>
                <w:sz w:val="24"/>
                <w:szCs w:val="24"/>
                <w:highlight w:val="none"/>
                <w:lang w:val="en-US" w:eastAsia="zh-CN"/>
              </w:rPr>
              <w:t>项目区</w:t>
            </w:r>
            <w:r>
              <w:rPr>
                <w:rFonts w:hint="default" w:ascii="Times New Roman" w:hAnsi="Times New Roman" w:eastAsia="宋体" w:cs="Times New Roman"/>
                <w:smallCaps w:val="0"/>
                <w:color w:val="auto"/>
                <w:spacing w:val="0"/>
                <w:w w:val="100"/>
                <w:position w:val="0"/>
                <w:sz w:val="24"/>
                <w:szCs w:val="24"/>
                <w:highlight w:val="none"/>
              </w:rPr>
              <w:t>植被类型以荒漠植被为主，种相对较少，植被盖度很低。受气候、土壤和基质条件的制约，植被</w:t>
            </w:r>
            <w:r>
              <w:rPr>
                <w:rFonts w:hint="default" w:ascii="Times New Roman" w:hAnsi="Times New Roman" w:eastAsia="宋体" w:cs="Times New Roman"/>
                <w:smallCaps w:val="0"/>
                <w:color w:val="auto"/>
                <w:spacing w:val="0"/>
                <w:w w:val="100"/>
                <w:position w:val="0"/>
                <w:sz w:val="24"/>
                <w:szCs w:val="24"/>
                <w:highlight w:val="none"/>
                <w:lang w:val="en-US" w:eastAsia="zh-CN"/>
              </w:rPr>
              <w:t>由耐旱的小灌木和半灌木组成，主要植被有白刺、</w:t>
            </w:r>
            <w:r>
              <w:rPr>
                <w:rFonts w:hint="eastAsia" w:cs="Times New Roman"/>
                <w:smallCaps w:val="0"/>
                <w:color w:val="auto"/>
                <w:spacing w:val="0"/>
                <w:w w:val="100"/>
                <w:position w:val="0"/>
                <w:sz w:val="24"/>
                <w:szCs w:val="24"/>
                <w:highlight w:val="none"/>
                <w:lang w:val="en-US" w:eastAsia="zh-CN"/>
              </w:rPr>
              <w:t>柽柳</w:t>
            </w:r>
            <w:r>
              <w:rPr>
                <w:rFonts w:hint="default" w:ascii="Times New Roman" w:hAnsi="Times New Roman" w:eastAsia="宋体" w:cs="Times New Roman"/>
                <w:smallCaps w:val="0"/>
                <w:color w:val="auto"/>
                <w:spacing w:val="0"/>
                <w:w w:val="100"/>
                <w:position w:val="0"/>
                <w:sz w:val="24"/>
                <w:szCs w:val="24"/>
                <w:highlight w:val="none"/>
                <w:lang w:val="en-US" w:eastAsia="zh-CN"/>
              </w:rPr>
              <w:t>、芦苇、大花野麻草甸等，分布稀疏且不均匀</w:t>
            </w:r>
            <w:r>
              <w:rPr>
                <w:rFonts w:hint="default" w:ascii="Times New Roman" w:hAnsi="Times New Roman" w:eastAsia="宋体" w:cs="Times New Roman"/>
                <w:smallCaps w:val="0"/>
                <w:color w:val="auto"/>
                <w:spacing w:val="0"/>
                <w:w w:val="100"/>
                <w:position w:val="0"/>
                <w:sz w:val="24"/>
                <w:szCs w:val="24"/>
                <w:highlight w:val="none"/>
              </w:rPr>
              <w:t>。项目区内无国家和自治区重点保护的野生植物及地方珍稀特有野生植物。</w:t>
            </w:r>
          </w:p>
          <w:p w14:paraId="7436E3F7">
            <w:pPr>
              <w:keepNext w:val="0"/>
              <w:keepLines w:val="0"/>
              <w:pageBreakBefore w:val="0"/>
              <w:widowControl/>
              <w:kinsoku/>
              <w:wordWrap/>
              <w:overflowPunct/>
              <w:topLinePunct w:val="0"/>
              <w:autoSpaceDE/>
              <w:autoSpaceDN/>
              <w:bidi w:val="0"/>
              <w:adjustRightInd/>
              <w:snapToGrid/>
              <w:spacing w:after="0" w:line="480" w:lineRule="exact"/>
              <w:ind w:firstLine="480" w:firstLineChars="200"/>
              <w:jc w:val="both"/>
              <w:textAlignment w:val="auto"/>
            </w:pPr>
            <w:r>
              <w:rPr>
                <w:rFonts w:ascii="Times New Roman" w:hAnsi="Times New Roman" w:eastAsia="宋体"/>
                <w:b w:val="0"/>
                <w:sz w:val="24"/>
              </w:rPr>
              <w:t>根据现场踏勘、卫星遥感影像解译及《新疆第六次沙化土地监测报告》相关成果，项目所在区域为荒漠灌木林地，植被由耐旱小灌木、半灌木（白刺、柽柳等）组成，分布稀疏且不均匀，植被覆盖度约5%~10%。站址经园区统一场平，地表为人工填土并压实，实际植被覆盖度低于周边自然荒漠区，本次按植被覆盖度10%、地上生物量（鲜重）2.0t/hm²估算，本工程永久占地0.9422hm²，植被生物损失量约1.9t（鲜重），生物损失量小；且永久占地在项目建成后形成硬化地面及绿化区，不会对区域植被资源造成明显影响。</w:t>
            </w:r>
          </w:p>
          <w:p w14:paraId="1B5E6AE2">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default" w:ascii="Times New Roman" w:hAnsi="Times New Roman" w:eastAsia="宋体&quot; '仿宋_GB2312，宋体" w:cs="Times New Roman"/>
                <w:kern w:val="0"/>
                <w:sz w:val="24"/>
                <w:highlight w:val="none"/>
              </w:rPr>
            </w:pPr>
            <w:r>
              <w:rPr>
                <w:rFonts w:hint="default" w:ascii="Times New Roman" w:hAnsi="Times New Roman" w:eastAsia="宋体&quot; '仿宋_GB2312，宋体" w:cs="Times New Roman"/>
                <w:kern w:val="0"/>
                <w:sz w:val="24"/>
              </w:rPr>
              <w:t>工程区植被类型</w:t>
            </w:r>
            <w:r>
              <w:rPr>
                <w:rFonts w:hint="default" w:ascii="Times New Roman" w:hAnsi="Times New Roman" w:eastAsia="宋体&quot; '仿宋_GB2312，宋体" w:cs="Times New Roman"/>
                <w:kern w:val="0"/>
                <w:sz w:val="24"/>
                <w:highlight w:val="none"/>
              </w:rPr>
              <w:t>图见附图3-4。</w:t>
            </w:r>
          </w:p>
          <w:p w14:paraId="10372CC2">
            <w:pPr>
              <w:pStyle w:val="67"/>
              <w:numPr>
                <w:ilvl w:val="0"/>
                <w:numId w:val="0"/>
              </w:numPr>
              <w:spacing w:line="468" w:lineRule="exact"/>
              <w:ind w:left="480" w:leftChars="0"/>
              <w:rPr>
                <w:rFonts w:hint="default" w:ascii="Times New Roman" w:hAnsi="Times New Roman" w:eastAsia="黑体" w:cs="Times New Roman"/>
                <w:sz w:val="24"/>
                <w:lang w:val="en-US" w:eastAsia="zh-CN"/>
              </w:rPr>
            </w:pPr>
            <w:r>
              <w:rPr>
                <w:rFonts w:hint="default" w:ascii="Times New Roman" w:hAnsi="Times New Roman" w:eastAsia="黑体" w:cs="Times New Roman"/>
                <w:sz w:val="24"/>
                <w:lang w:val="en-US" w:eastAsia="zh-CN"/>
              </w:rPr>
              <w:t>1.4野生动物现状</w:t>
            </w:r>
          </w:p>
          <w:p w14:paraId="78ABCEE1">
            <w:pPr>
              <w:spacing w:line="480" w:lineRule="exact"/>
              <w:ind w:firstLine="480" w:firstLineChars="200"/>
              <w:rPr>
                <w:rFonts w:hint="default" w:ascii="Times New Roman" w:hAnsi="Times New Roman" w:cs="Times New Roman"/>
                <w:kern w:val="0"/>
                <w:sz w:val="24"/>
                <w:lang w:val="en-US" w:eastAsia="zh-CN"/>
              </w:rPr>
            </w:pPr>
            <w:r>
              <w:rPr>
                <w:rFonts w:hint="default" w:ascii="Times New Roman" w:hAnsi="Times New Roman" w:cs="Times New Roman"/>
                <w:kern w:val="0"/>
                <w:sz w:val="24"/>
              </w:rPr>
              <w:t>根据《</w:t>
            </w:r>
            <w:bookmarkStart w:id="44" w:name="OLE_LINK149"/>
            <w:r>
              <w:rPr>
                <w:rFonts w:hint="default" w:ascii="Times New Roman" w:hAnsi="Times New Roman" w:cs="Times New Roman"/>
                <w:kern w:val="0"/>
                <w:sz w:val="24"/>
              </w:rPr>
              <w:t>新疆维吾尔自治区重点保护野生动物名录</w:t>
            </w:r>
            <w:bookmarkEnd w:id="44"/>
            <w:r>
              <w:rPr>
                <w:rFonts w:hint="default" w:ascii="Times New Roman" w:hAnsi="Times New Roman" w:cs="Times New Roman"/>
                <w:kern w:val="0"/>
                <w:sz w:val="24"/>
              </w:rPr>
              <w:t>》工程所在区域没有重点保护野生动物，</w:t>
            </w:r>
            <w:r>
              <w:rPr>
                <w:rFonts w:hint="default" w:ascii="Times New Roman" w:hAnsi="Times New Roman" w:cs="Times New Roman"/>
                <w:kern w:val="0"/>
                <w:sz w:val="24"/>
                <w:lang w:val="en-US" w:eastAsia="zh-CN"/>
              </w:rPr>
              <w:t>动物组成简单，野生动物分布种类和数量较少。由于受人类活动的影响，区域建成区基本没有野生动物分布，麻雀等鸟类和田鼠、灰仓鼠等啮齿类动物活动区域主要集中在未开发区域。</w:t>
            </w:r>
          </w:p>
          <w:p w14:paraId="765E2B56">
            <w:pPr>
              <w:pStyle w:val="67"/>
              <w:numPr>
                <w:ilvl w:val="0"/>
                <w:numId w:val="0"/>
              </w:numPr>
              <w:spacing w:line="468" w:lineRule="exact"/>
              <w:ind w:left="480" w:leftChars="0"/>
              <w:rPr>
                <w:rFonts w:hint="default" w:ascii="Times New Roman" w:hAnsi="Times New Roman" w:eastAsia="黑体" w:cs="Times New Roman"/>
                <w:sz w:val="24"/>
                <w:highlight w:val="none"/>
                <w:lang w:val="en-US" w:eastAsia="zh-CN"/>
              </w:rPr>
            </w:pPr>
            <w:r>
              <w:rPr>
                <w:rFonts w:hint="default" w:ascii="Times New Roman" w:hAnsi="Times New Roman" w:eastAsia="黑体" w:cs="Times New Roman"/>
                <w:sz w:val="24"/>
                <w:highlight w:val="none"/>
                <w:lang w:val="en-US" w:eastAsia="zh-CN"/>
              </w:rPr>
              <w:t>1.5水土流失现状</w:t>
            </w:r>
          </w:p>
          <w:p w14:paraId="71A529DA">
            <w:pPr>
              <w:spacing w:line="480" w:lineRule="exact"/>
              <w:ind w:firstLine="480" w:firstLineChars="200"/>
              <w:rPr>
                <w:rFonts w:hint="default" w:ascii="Times New Roman" w:hAnsi="Times New Roman" w:eastAsia="宋体&quot; '仿宋_GB2312，宋体" w:cs="Times New Roman"/>
                <w:sz w:val="24"/>
              </w:rPr>
            </w:pPr>
            <w:bookmarkStart w:id="45" w:name="OLE_LINK7"/>
            <w:r>
              <w:rPr>
                <w:rFonts w:hint="default" w:ascii="Times New Roman" w:hAnsi="Times New Roman" w:eastAsia="宋体&quot; '仿宋_GB2312，宋体" w:cs="Times New Roman"/>
                <w:sz w:val="24"/>
              </w:rPr>
              <w:t>根据《关于印发新疆自治区级水土流失重点预防区和重点治理区复核划分成果的通知》（新水水保〔2019〕4号），新疆共划分</w:t>
            </w:r>
            <w:r>
              <w:rPr>
                <w:rFonts w:hint="default" w:ascii="Times New Roman" w:hAnsi="Times New Roman" w:eastAsia="宋体&quot; '仿宋_GB2312，宋体" w:cs="Times New Roman"/>
                <w:sz w:val="24"/>
                <w:lang w:val="en-US" w:eastAsia="zh-CN"/>
              </w:rPr>
              <w:t>2</w:t>
            </w:r>
            <w:r>
              <w:rPr>
                <w:rFonts w:hint="default" w:ascii="Times New Roman" w:hAnsi="Times New Roman" w:eastAsia="宋体&quot; '仿宋_GB2312，宋体" w:cs="Times New Roman"/>
                <w:sz w:val="24"/>
              </w:rPr>
              <w:t>个自治区级重点预防区（天山山区重点预防区、塔里木河中上游重点预防区，面积 19615.9km²）和</w:t>
            </w:r>
            <w:r>
              <w:rPr>
                <w:rFonts w:hint="default" w:ascii="Times New Roman" w:hAnsi="Times New Roman" w:eastAsia="宋体&quot; '仿宋_GB2312，宋体" w:cs="Times New Roman"/>
                <w:sz w:val="24"/>
                <w:lang w:val="en-US" w:eastAsia="zh-CN"/>
              </w:rPr>
              <w:t>4</w:t>
            </w:r>
            <w:r>
              <w:rPr>
                <w:rFonts w:hint="default" w:ascii="Times New Roman" w:hAnsi="Times New Roman" w:eastAsia="宋体&quot; '仿宋_GB2312，宋体" w:cs="Times New Roman"/>
                <w:sz w:val="24"/>
              </w:rPr>
              <w:t>个自治区级重点治理区（额尔齐斯河流域、天山北坡诸小河流域、塔里木河流域、伊犁河流域重点治理区，面积 283963km²）。本工程所在尉犁县涉及塔里木河中上游自治区级重点预防区和塔里木河流域自治区级重点治理区范围。</w:t>
            </w:r>
          </w:p>
          <w:p w14:paraId="5E1F87E3">
            <w:pPr>
              <w:spacing w:line="480" w:lineRule="exact"/>
              <w:ind w:firstLine="480" w:firstLineChars="200"/>
              <w:rPr>
                <w:rFonts w:hint="default" w:ascii="Times New Roman" w:hAnsi="Times New Roman" w:eastAsia="宋体&quot; '仿宋_GB2312，宋体" w:cs="Times New Roman"/>
                <w:sz w:val="24"/>
              </w:rPr>
            </w:pPr>
            <w:r>
              <w:rPr>
                <w:rFonts w:hint="default" w:ascii="Times New Roman" w:hAnsi="Times New Roman" w:eastAsia="宋体&quot; '仿宋_GB2312，宋体" w:cs="Times New Roman"/>
                <w:sz w:val="24"/>
              </w:rPr>
              <w:t>根据《新疆维吾尔自治区水土保持公报（2022 年）》，尉犁县土壤侵蚀类型为风力侵蚀，水土流失面积约占全县土地总面积的60%，属以风力侵蚀为主的中度流失区，水力侵蚀仅见于塔里木河沿岸及绿洲边缘季节性洪沟的局部地段。按侵蚀强度分，轻度侵蚀面积占 16.27%、中度侵蚀占 58.97%、强烈侵蚀占18.04%、极强烈侵蚀占 5.57%、剧烈侵蚀占 1.15%，以中度、强烈侵蚀为主；主要侵蚀土地利用类型为其他土地和草地（沙地、裸土地、戈壁及低覆盖度草地等），林地和耕地次之。</w:t>
            </w:r>
          </w:p>
          <w:p w14:paraId="305188C1">
            <w:pPr>
              <w:spacing w:line="480" w:lineRule="exact"/>
              <w:ind w:firstLine="480" w:firstLineChars="200"/>
              <w:rPr>
                <w:rFonts w:hint="default" w:ascii="Times New Roman" w:hAnsi="Times New Roman" w:eastAsia="宋体&quot; '仿宋_GB2312，宋体" w:cs="Times New Roman"/>
                <w:sz w:val="24"/>
              </w:rPr>
            </w:pPr>
            <w:r>
              <w:rPr>
                <w:rFonts w:hint="default" w:ascii="Times New Roman" w:hAnsi="Times New Roman" w:eastAsia="宋体&quot; '仿宋_GB2312，宋体" w:cs="Times New Roman"/>
                <w:sz w:val="24"/>
              </w:rPr>
              <w:t>站址位于尉犁工业园区厂区内，场地已经园区统一场平，地表为人工填土，植被稀疏，扰动前属轻度风力侵蚀区。工程建设期土方开挖、临时堆土裸露及机械碾压将短时加大局部区域的水土流失强度；施工结束后，随着场地硬化、碎石覆盖和绿化措施的落实，水土流失可得到有效控制。</w:t>
            </w:r>
          </w:p>
          <w:bookmarkEnd w:id="45"/>
          <w:p w14:paraId="283C6599">
            <w:pPr>
              <w:pStyle w:val="67"/>
              <w:numPr>
                <w:ilvl w:val="0"/>
                <w:numId w:val="0"/>
              </w:numPr>
              <w:spacing w:line="468" w:lineRule="exact"/>
              <w:ind w:left="480" w:leftChars="0"/>
              <w:rPr>
                <w:rFonts w:hint="default" w:ascii="Times New Roman" w:hAnsi="Times New Roman" w:eastAsia="黑体" w:cs="Times New Roman"/>
                <w:sz w:val="24"/>
                <w:highlight w:val="none"/>
                <w:lang w:val="en-US" w:eastAsia="zh-CN"/>
              </w:rPr>
            </w:pPr>
            <w:r>
              <w:rPr>
                <w:rFonts w:hint="default" w:ascii="Times New Roman" w:hAnsi="Times New Roman" w:eastAsia="黑体" w:cs="Times New Roman"/>
                <w:sz w:val="24"/>
                <w:highlight w:val="none"/>
                <w:lang w:val="en-US" w:eastAsia="zh-CN"/>
              </w:rPr>
              <w:t>1.6区域沙化土地现状</w:t>
            </w:r>
          </w:p>
          <w:p w14:paraId="40A6FFE7">
            <w:pPr>
              <w:keepNext w:val="0"/>
              <w:keepLines w:val="0"/>
              <w:pageBreakBefore w:val="0"/>
              <w:widowControl/>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kern w:val="0"/>
                <w:sz w:val="24"/>
              </w:rPr>
            </w:pPr>
            <w:r>
              <w:rPr>
                <w:rFonts w:hint="default" w:ascii="Times New Roman" w:hAnsi="Times New Roman" w:eastAsia="宋体" w:cs="Times New Roman"/>
                <w:kern w:val="0"/>
                <w:sz w:val="24"/>
              </w:rPr>
              <w:t>本工程位于塔里木盆地东北缘、塔克拉玛干沙漠东北缘的尉犁县绿洲—荒漠过渡带。区域属温带干旱大陆性气候，年平均降水量仅41.2mm，年蒸发量2806.7mm，主导风向为东北偏东（ENE），大风、沙尘天气多集中于3</w:t>
            </w:r>
            <w:r>
              <w:rPr>
                <w:rFonts w:hint="default" w:ascii="Times New Roman" w:hAnsi="Times New Roman" w:eastAsia="宋体" w:cs="Times New Roman"/>
                <w:kern w:val="0"/>
                <w:sz w:val="24"/>
                <w:lang w:val="en-US" w:eastAsia="zh-CN"/>
              </w:rPr>
              <w:t>-</w:t>
            </w:r>
            <w:r>
              <w:rPr>
                <w:rFonts w:hint="default" w:ascii="Times New Roman" w:hAnsi="Times New Roman" w:eastAsia="宋体" w:cs="Times New Roman"/>
                <w:kern w:val="0"/>
                <w:sz w:val="24"/>
              </w:rPr>
              <w:t>5月。干旱少雨、蒸发强烈、风大沙多的气候条件使区域地表风蚀作用强烈，是全国风沙危害最严重的区域之一，也是新疆防沙治沙的重点区域。</w:t>
            </w:r>
          </w:p>
          <w:p w14:paraId="03F7F0E0">
            <w:pPr>
              <w:keepNext w:val="0"/>
              <w:keepLines w:val="0"/>
              <w:pageBreakBefore w:val="0"/>
              <w:widowControl/>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kern w:val="0"/>
                <w:sz w:val="24"/>
              </w:rPr>
            </w:pPr>
            <w:r>
              <w:rPr>
                <w:rFonts w:hint="default" w:ascii="Times New Roman" w:hAnsi="Times New Roman" w:eastAsia="宋体" w:cs="Times New Roman"/>
                <w:kern w:val="0"/>
                <w:sz w:val="24"/>
              </w:rPr>
              <w:t>根据《新疆第六次沙化土地监测报告》，巴音郭楞蒙古自治州沙化土地面积37381.8万亩（2492.12万hm²），占全疆沙化土地面积的33.37%、占全州国土面积的52.85%，是全国沙化土地面积最大的地州。尉犁县地处塔克拉玛干沙漠东北缘，县域面积5.92万 km²，沙化土地占全县国土面积的77%，是塔克拉玛干沙漠边缘阻击战主战场和环塔克拉玛干沙漠“北增”工程核心区。区域沙化土地以塔里木河南岸的流动沙地、半固定沙地为主体，绿洲内部及外围分布固定沙地、风蚀地和砾质戈壁；沙化成因以干旱多风、沙源丰富等自然因素为主。近年来通过工程固沙、生物治沙、引洪灌溉及锁边林草带建设等综合措施，区域沙化扩张势头得到初步遏制。</w:t>
            </w:r>
          </w:p>
          <w:p w14:paraId="5B40CE49">
            <w:pPr>
              <w:keepNext w:val="0"/>
              <w:keepLines w:val="0"/>
              <w:pageBreakBefore w:val="0"/>
              <w:widowControl/>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kern w:val="0"/>
                <w:sz w:val="24"/>
              </w:rPr>
            </w:pPr>
            <w:r>
              <w:rPr>
                <w:rFonts w:hint="default" w:ascii="Times New Roman" w:hAnsi="Times New Roman" w:eastAsia="宋体" w:cs="Times New Roman"/>
                <w:kern w:val="0"/>
                <w:sz w:val="24"/>
              </w:rPr>
              <w:t>站址位于尉犁工业园区主园区、鸿泰鼎绿色新材料纺织产业园（一期）厂区规划预留用地内，场地已经园区统一场平，表层为人工填土，下伏冲洪积粉土及粉细砂，结构松散、颗粒细、黏结力弱，抗风蚀能力差，属风蚀敏感性较高的土类。经现场踏勘并结合卫星影像判读，站址及场界外 500m 评价范围内为园区道路、已建及在建企业厂区和绿化带，地势平坦，无沙丘、沙垄、风蚀残丘等沙化土地形态，不属于沙化土地；站址不涉及沙化土地封禁保护区，不压覆锁边林带、草方格固沙区等防沙治沙工程用地，距塔里木河南岸防沙治沙核心区约40km以上。</w:t>
            </w:r>
          </w:p>
          <w:p w14:paraId="6CF069B5">
            <w:pPr>
              <w:keepNext w:val="0"/>
              <w:keepLines w:val="0"/>
              <w:pageBreakBefore w:val="0"/>
              <w:widowControl/>
              <w:kinsoku/>
              <w:wordWrap/>
              <w:overflowPunct/>
              <w:topLinePunct w:val="0"/>
              <w:autoSpaceDE/>
              <w:autoSpaceDN/>
              <w:bidi w:val="0"/>
              <w:adjustRightInd/>
              <w:snapToGrid/>
              <w:spacing w:after="0" w:line="480" w:lineRule="exact"/>
              <w:ind w:firstLine="480" w:firstLineChars="200"/>
              <w:jc w:val="both"/>
              <w:textAlignment w:val="auto"/>
            </w:pPr>
            <w:r>
              <w:rPr>
                <w:rFonts w:ascii="Times New Roman" w:hAnsi="Times New Roman" w:eastAsia="宋体"/>
                <w:b w:val="0"/>
                <w:sz w:val="24"/>
              </w:rPr>
              <w:t>站址位于尉犁工业园区主园区产业园（一期）厂区规划预留用地内，场地已经园区统一场平并压实，地表为人工填土，无流动沙地、半固定沙地、沙丘、沙垄及风蚀残丘分布；根据《新疆第六次沙化土地监测报告》，巴州沙化土地主要分布于塔里木河南岸的流动沙地、半固定沙地区域，站址所在区域为园区建设用地，不属于沙化扩张区域。经现场踏勘并结合遥感影像判读，站址及场界外500m评价范围内以园区道路、已建及在建企业厂区和绿化带为主，地势平坦，地表稳定，不存在土地沙化趋势；工程建设不新开辟扰动面、不设置取弃土场，施工期及运营期落实苫盖、洒水、碎石覆盖、绿化等防风蚀措施后，不会加剧区域土地沙化。</w:t>
            </w:r>
          </w:p>
          <w:p w14:paraId="4BE20A7C">
            <w:pPr>
              <w:keepNext w:val="0"/>
              <w:keepLines w:val="0"/>
              <w:pageBreakBefore w:val="0"/>
              <w:widowControl/>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kern w:val="0"/>
                <w:sz w:val="24"/>
                <w:lang w:val="en-US" w:eastAsia="zh-CN"/>
              </w:rPr>
            </w:pPr>
            <w:r>
              <w:rPr>
                <w:rFonts w:hint="eastAsia" w:ascii="Times New Roman" w:hAnsi="Times New Roman" w:cs="Times New Roman"/>
                <w:kern w:val="0"/>
                <w:sz w:val="24"/>
                <w:lang w:val="en-US" w:eastAsia="zh-CN"/>
              </w:rPr>
              <w:t>本项目所在区域土地沙化图见图3-5。</w:t>
            </w:r>
          </w:p>
          <w:p w14:paraId="4D949093">
            <w:pPr>
              <w:pStyle w:val="67"/>
              <w:numPr>
                <w:ilvl w:val="0"/>
                <w:numId w:val="0"/>
              </w:numPr>
              <w:spacing w:line="480" w:lineRule="exact"/>
              <w:ind w:leftChars="0"/>
              <w:rPr>
                <w:rFonts w:hint="default" w:ascii="Times New Roman" w:hAnsi="Times New Roman" w:eastAsia="黑体" w:cs="Times New Roman"/>
                <w:sz w:val="25"/>
              </w:rPr>
            </w:pPr>
            <w:r>
              <w:rPr>
                <w:rFonts w:hint="default" w:ascii="Times New Roman" w:hAnsi="Times New Roman" w:eastAsia="黑体" w:cs="Times New Roman"/>
                <w:sz w:val="25"/>
                <w:lang w:val="en-US" w:eastAsia="zh-CN"/>
              </w:rPr>
              <w:t>2.环境空气质量现状调查与评价</w:t>
            </w:r>
          </w:p>
          <w:p w14:paraId="577B23AE">
            <w:pPr>
              <w:widowControl/>
              <w:spacing w:line="480" w:lineRule="exact"/>
              <w:ind w:firstLine="480" w:firstLineChars="200"/>
              <w:rPr>
                <w:rFonts w:hint="default" w:ascii="Times New Roman" w:hAnsi="Times New Roman" w:cs="Times New Roman"/>
                <w:kern w:val="0"/>
                <w:sz w:val="24"/>
              </w:rPr>
            </w:pPr>
            <w:r>
              <w:rPr>
                <w:rFonts w:hint="default" w:ascii="Times New Roman" w:hAnsi="Times New Roman" w:cs="Times New Roman"/>
                <w:kern w:val="0"/>
                <w:sz w:val="24"/>
              </w:rPr>
              <w:t>根据《建设项目环境影响报告表编制技术指南（生态影响类）（试行）》，本次评价进行本工程所在区域环境质量达标情况的调查。</w:t>
            </w:r>
          </w:p>
          <w:p w14:paraId="2A14A09B">
            <w:pPr>
              <w:keepNext w:val="0"/>
              <w:keepLines w:val="0"/>
              <w:pageBreakBefore w:val="0"/>
              <w:widowControl/>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kern w:val="0"/>
                <w:sz w:val="24"/>
              </w:rPr>
            </w:pPr>
            <w:r>
              <w:rPr>
                <w:rFonts w:hint="default" w:ascii="Times New Roman" w:hAnsi="Times New Roman" w:cs="Times New Roman"/>
                <w:kern w:val="0"/>
                <w:sz w:val="24"/>
              </w:rPr>
              <w:t>根据环境影响评价网环境空气质量模型技术支持服务系统提供的数据，</w:t>
            </w:r>
            <w:r>
              <w:rPr>
                <w:rFonts w:hint="default" w:ascii="Times New Roman" w:hAnsi="Times New Roman" w:eastAsia="宋体" w:cs="Times New Roman"/>
                <w:color w:val="auto"/>
                <w:sz w:val="24"/>
                <w:szCs w:val="24"/>
                <w:highlight w:val="none"/>
                <w:lang w:val="en-US" w:eastAsia="zh-CN"/>
              </w:rPr>
              <w:t>尉犁县</w:t>
            </w:r>
            <w:r>
              <w:rPr>
                <w:rFonts w:hint="default" w:ascii="Times New Roman" w:hAnsi="Times New Roman" w:cs="Times New Roman"/>
                <w:kern w:val="0"/>
                <w:sz w:val="24"/>
              </w:rPr>
              <w:t>2024年SO</w:t>
            </w:r>
            <w:r>
              <w:rPr>
                <w:rFonts w:hint="default" w:ascii="Times New Roman" w:hAnsi="Times New Roman" w:cs="Times New Roman"/>
                <w:kern w:val="0"/>
                <w:sz w:val="24"/>
                <w:vertAlign w:val="subscript"/>
              </w:rPr>
              <w:t>2</w:t>
            </w:r>
            <w:r>
              <w:rPr>
                <w:rFonts w:hint="default" w:ascii="Times New Roman" w:hAnsi="Times New Roman" w:cs="Times New Roman"/>
                <w:kern w:val="0"/>
                <w:sz w:val="24"/>
              </w:rPr>
              <w:t>、NO</w:t>
            </w:r>
            <w:r>
              <w:rPr>
                <w:rFonts w:hint="default" w:ascii="Times New Roman" w:hAnsi="Times New Roman" w:cs="Times New Roman"/>
                <w:kern w:val="0"/>
                <w:sz w:val="24"/>
                <w:vertAlign w:val="subscript"/>
              </w:rPr>
              <w:t>2</w:t>
            </w:r>
            <w:r>
              <w:rPr>
                <w:rFonts w:hint="default" w:ascii="Times New Roman" w:hAnsi="Times New Roman" w:cs="Times New Roman"/>
                <w:kern w:val="0"/>
                <w:sz w:val="24"/>
              </w:rPr>
              <w:t>、PM</w:t>
            </w:r>
            <w:r>
              <w:rPr>
                <w:rFonts w:hint="default" w:ascii="Times New Roman" w:hAnsi="Times New Roman" w:cs="Times New Roman"/>
                <w:kern w:val="0"/>
                <w:sz w:val="24"/>
                <w:vertAlign w:val="subscript"/>
              </w:rPr>
              <w:t>10</w:t>
            </w:r>
            <w:r>
              <w:rPr>
                <w:rFonts w:hint="default" w:ascii="Times New Roman" w:hAnsi="Times New Roman" w:cs="Times New Roman"/>
                <w:kern w:val="0"/>
                <w:sz w:val="24"/>
              </w:rPr>
              <w:t>、PM</w:t>
            </w:r>
            <w:r>
              <w:rPr>
                <w:rFonts w:hint="default" w:ascii="Times New Roman" w:hAnsi="Times New Roman" w:cs="Times New Roman"/>
                <w:kern w:val="0"/>
                <w:sz w:val="24"/>
                <w:vertAlign w:val="subscript"/>
              </w:rPr>
              <w:t>2.5</w:t>
            </w:r>
            <w:r>
              <w:rPr>
                <w:rFonts w:hint="default" w:ascii="Times New Roman" w:hAnsi="Times New Roman" w:cs="Times New Roman"/>
                <w:kern w:val="0"/>
                <w:sz w:val="24"/>
              </w:rPr>
              <w:t>年均浓度分别为</w:t>
            </w:r>
            <w:r>
              <w:rPr>
                <w:rFonts w:hint="default" w:ascii="Times New Roman" w:hAnsi="Times New Roman" w:cs="Times New Roman"/>
                <w:kern w:val="0"/>
                <w:sz w:val="24"/>
                <w:lang w:val="en-US" w:eastAsia="zh-CN"/>
              </w:rPr>
              <w:t>3μg/m</w:t>
            </w:r>
            <w:r>
              <w:rPr>
                <w:rFonts w:hint="default" w:ascii="Times New Roman" w:hAnsi="Times New Roman" w:cs="Times New Roman"/>
                <w:kern w:val="0"/>
                <w:sz w:val="24"/>
                <w:vertAlign w:val="superscript"/>
                <w:lang w:val="en-US" w:eastAsia="zh-CN"/>
              </w:rPr>
              <w:t>3</w:t>
            </w:r>
            <w:r>
              <w:rPr>
                <w:rFonts w:hint="default" w:ascii="Times New Roman" w:hAnsi="Times New Roman" w:cs="Times New Roman"/>
                <w:kern w:val="0"/>
                <w:sz w:val="24"/>
              </w:rPr>
              <w:t>、</w:t>
            </w:r>
            <w:r>
              <w:rPr>
                <w:rFonts w:hint="default" w:ascii="Times New Roman" w:hAnsi="Times New Roman" w:cs="Times New Roman"/>
                <w:kern w:val="0"/>
                <w:sz w:val="24"/>
                <w:lang w:val="en-US" w:eastAsia="zh-CN"/>
              </w:rPr>
              <w:t>17μg/m</w:t>
            </w:r>
            <w:r>
              <w:rPr>
                <w:rFonts w:hint="default" w:ascii="Times New Roman" w:hAnsi="Times New Roman" w:cs="Times New Roman"/>
                <w:kern w:val="0"/>
                <w:sz w:val="24"/>
                <w:vertAlign w:val="superscript"/>
                <w:lang w:val="en-US" w:eastAsia="zh-CN"/>
              </w:rPr>
              <w:t>3</w:t>
            </w:r>
            <w:r>
              <w:rPr>
                <w:rFonts w:hint="default" w:ascii="Times New Roman" w:hAnsi="Times New Roman" w:cs="Times New Roman"/>
                <w:kern w:val="0"/>
                <w:sz w:val="24"/>
              </w:rPr>
              <w:t>、</w:t>
            </w:r>
            <w:r>
              <w:rPr>
                <w:rFonts w:hint="eastAsia" w:cs="Times New Roman"/>
                <w:kern w:val="0"/>
                <w:sz w:val="24"/>
                <w:lang w:val="en-US" w:eastAsia="zh-CN"/>
              </w:rPr>
              <w:t>122</w:t>
            </w:r>
            <w:r>
              <w:rPr>
                <w:rFonts w:hint="default" w:ascii="Times New Roman" w:hAnsi="Times New Roman" w:cs="Times New Roman"/>
                <w:kern w:val="0"/>
                <w:sz w:val="24"/>
                <w:lang w:val="en-US" w:eastAsia="zh-CN"/>
              </w:rPr>
              <w:t>μg/m</w:t>
            </w:r>
            <w:r>
              <w:rPr>
                <w:rFonts w:hint="default" w:ascii="Times New Roman" w:hAnsi="Times New Roman" w:cs="Times New Roman"/>
                <w:kern w:val="0"/>
                <w:sz w:val="24"/>
                <w:vertAlign w:val="superscript"/>
                <w:lang w:val="en-US" w:eastAsia="zh-CN"/>
              </w:rPr>
              <w:t>3</w:t>
            </w:r>
            <w:r>
              <w:rPr>
                <w:rFonts w:hint="default" w:ascii="Times New Roman" w:hAnsi="Times New Roman" w:cs="Times New Roman"/>
                <w:kern w:val="0"/>
                <w:sz w:val="24"/>
              </w:rPr>
              <w:t>、</w:t>
            </w:r>
            <w:r>
              <w:rPr>
                <w:rFonts w:hint="eastAsia" w:cs="Times New Roman"/>
                <w:kern w:val="0"/>
                <w:sz w:val="24"/>
                <w:lang w:val="en-US" w:eastAsia="zh-CN"/>
              </w:rPr>
              <w:t>40</w:t>
            </w:r>
            <w:r>
              <w:rPr>
                <w:rFonts w:hint="default" w:ascii="Times New Roman" w:hAnsi="Times New Roman" w:cs="Times New Roman"/>
                <w:kern w:val="0"/>
                <w:sz w:val="24"/>
                <w:lang w:val="en-US" w:eastAsia="zh-CN"/>
              </w:rPr>
              <w:t>μg/m</w:t>
            </w:r>
            <w:r>
              <w:rPr>
                <w:rFonts w:hint="default" w:ascii="Times New Roman" w:hAnsi="Times New Roman" w:cs="Times New Roman"/>
                <w:kern w:val="0"/>
                <w:sz w:val="24"/>
                <w:vertAlign w:val="superscript"/>
                <w:lang w:val="en-US" w:eastAsia="zh-CN"/>
              </w:rPr>
              <w:t>3</w:t>
            </w:r>
            <w:r>
              <w:rPr>
                <w:rFonts w:hint="default" w:ascii="Times New Roman" w:hAnsi="Times New Roman" w:cs="Times New Roman"/>
                <w:kern w:val="0"/>
                <w:sz w:val="24"/>
              </w:rPr>
              <w:t>；CO</w:t>
            </w:r>
            <w:r>
              <w:rPr>
                <w:rFonts w:hint="default" w:ascii="Times New Roman" w:hAnsi="Times New Roman" w:cs="Times New Roman"/>
                <w:kern w:val="0"/>
                <w:sz w:val="24"/>
                <w:vertAlign w:val="subscript"/>
              </w:rPr>
              <w:t>2</w:t>
            </w:r>
            <w:r>
              <w:rPr>
                <w:rFonts w:hint="default" w:ascii="Times New Roman" w:hAnsi="Times New Roman" w:cs="Times New Roman"/>
                <w:kern w:val="0"/>
                <w:sz w:val="24"/>
              </w:rPr>
              <w:t>4小时平均第95百分位数为</w:t>
            </w:r>
            <w:r>
              <w:rPr>
                <w:rFonts w:hint="default" w:ascii="Times New Roman" w:hAnsi="Times New Roman" w:cs="Times New Roman"/>
                <w:kern w:val="0"/>
                <w:sz w:val="24"/>
                <w:lang w:val="en-US" w:eastAsia="zh-CN"/>
              </w:rPr>
              <w:t>1300μg/m</w:t>
            </w:r>
            <w:r>
              <w:rPr>
                <w:rFonts w:hint="default" w:ascii="Times New Roman" w:hAnsi="Times New Roman" w:cs="Times New Roman"/>
                <w:kern w:val="0"/>
                <w:sz w:val="24"/>
                <w:vertAlign w:val="superscript"/>
                <w:lang w:val="en-US" w:eastAsia="zh-CN"/>
              </w:rPr>
              <w:t>3</w:t>
            </w:r>
            <w:r>
              <w:rPr>
                <w:rFonts w:hint="default" w:ascii="Times New Roman" w:hAnsi="Times New Roman" w:cs="Times New Roman"/>
                <w:kern w:val="0"/>
                <w:sz w:val="24"/>
              </w:rPr>
              <w:t>，O</w:t>
            </w:r>
            <w:r>
              <w:rPr>
                <w:rFonts w:hint="default" w:ascii="Times New Roman" w:hAnsi="Times New Roman" w:cs="Times New Roman"/>
                <w:kern w:val="0"/>
                <w:sz w:val="24"/>
                <w:vertAlign w:val="subscript"/>
              </w:rPr>
              <w:t>3</w:t>
            </w:r>
            <w:r>
              <w:rPr>
                <w:rFonts w:hint="default" w:ascii="Times New Roman" w:hAnsi="Times New Roman" w:cs="Times New Roman"/>
                <w:kern w:val="0"/>
                <w:sz w:val="24"/>
              </w:rPr>
              <w:t>日最大8小时平均第90百分位数为</w:t>
            </w:r>
            <w:r>
              <w:rPr>
                <w:rFonts w:hint="default" w:ascii="Times New Roman" w:hAnsi="Times New Roman" w:cs="Times New Roman"/>
                <w:kern w:val="0"/>
                <w:sz w:val="24"/>
                <w:lang w:val="en-US" w:eastAsia="zh-CN"/>
              </w:rPr>
              <w:t>121μg/m</w:t>
            </w:r>
            <w:r>
              <w:rPr>
                <w:rFonts w:hint="default" w:ascii="Times New Roman" w:hAnsi="Times New Roman" w:cs="Times New Roman"/>
                <w:kern w:val="0"/>
                <w:sz w:val="24"/>
                <w:vertAlign w:val="superscript"/>
                <w:lang w:val="en-US" w:eastAsia="zh-CN"/>
              </w:rPr>
              <w:t>3</w:t>
            </w:r>
            <w:r>
              <w:rPr>
                <w:rFonts w:hint="default" w:ascii="Times New Roman" w:hAnsi="Times New Roman" w:cs="Times New Roman"/>
                <w:kern w:val="0"/>
                <w:sz w:val="24"/>
              </w:rPr>
              <w:t>；超过</w:t>
            </w:r>
            <w:r>
              <w:rPr>
                <w:rFonts w:hint="default" w:ascii="Times New Roman" w:hAnsi="Times New Roman" w:cs="Times New Roman"/>
                <w:kern w:val="0"/>
                <w:sz w:val="24"/>
                <w:lang w:val="en-US" w:eastAsia="zh-CN"/>
              </w:rPr>
              <w:t>《环境空气质量标准》（GB3095-2026）中过渡阶段二级标准限值</w:t>
            </w:r>
            <w:r>
              <w:rPr>
                <w:rFonts w:hint="default" w:ascii="Times New Roman" w:hAnsi="Times New Roman" w:cs="Times New Roman"/>
                <w:kern w:val="0"/>
                <w:sz w:val="24"/>
              </w:rPr>
              <w:t>的污染物为PM</w:t>
            </w:r>
            <w:r>
              <w:rPr>
                <w:rFonts w:hint="default" w:ascii="Times New Roman" w:hAnsi="Times New Roman" w:cs="Times New Roman"/>
                <w:kern w:val="0"/>
                <w:sz w:val="24"/>
                <w:vertAlign w:val="subscript"/>
              </w:rPr>
              <w:t>10</w:t>
            </w:r>
            <w:r>
              <w:rPr>
                <w:rFonts w:hint="default" w:ascii="Times New Roman" w:hAnsi="Times New Roman" w:cs="Times New Roman"/>
                <w:kern w:val="0"/>
                <w:sz w:val="24"/>
              </w:rPr>
              <w:t>、PM</w:t>
            </w:r>
            <w:r>
              <w:rPr>
                <w:rFonts w:hint="default" w:ascii="Times New Roman" w:hAnsi="Times New Roman" w:cs="Times New Roman"/>
                <w:kern w:val="0"/>
                <w:sz w:val="24"/>
                <w:vertAlign w:val="subscript"/>
              </w:rPr>
              <w:t>2.5</w:t>
            </w:r>
            <w:r>
              <w:rPr>
                <w:rFonts w:hint="default" w:ascii="Times New Roman" w:hAnsi="Times New Roman" w:cs="Times New Roman"/>
                <w:kern w:val="0"/>
                <w:sz w:val="24"/>
              </w:rPr>
              <w:t>。</w:t>
            </w:r>
          </w:p>
          <w:p w14:paraId="74621E57">
            <w:pPr>
              <w:keepNext w:val="0"/>
              <w:keepLines w:val="0"/>
              <w:pageBreakBefore w:val="0"/>
              <w:widowControl/>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kern w:val="0"/>
                <w:sz w:val="24"/>
                <w:lang w:val="en-GB"/>
              </w:rPr>
            </w:pPr>
            <w:r>
              <w:rPr>
                <w:rFonts w:hint="default" w:ascii="Times New Roman" w:hAnsi="Times New Roman" w:cs="Times New Roman"/>
                <w:kern w:val="0"/>
                <w:sz w:val="24"/>
              </w:rPr>
              <w:t>空气质量达标区判定结果详见表3-2。</w:t>
            </w:r>
          </w:p>
          <w:p w14:paraId="616C1E4F">
            <w:pPr>
              <w:pStyle w:val="209"/>
              <w:keepNext w:val="0"/>
              <w:keepLines w:val="0"/>
              <w:pageBreakBefore w:val="0"/>
              <w:widowControl w:val="0"/>
              <w:kinsoku/>
              <w:wordWrap/>
              <w:overflowPunct/>
              <w:topLinePunct w:val="0"/>
              <w:autoSpaceDE/>
              <w:autoSpaceDN/>
              <w:bidi w:val="0"/>
              <w:adjustRightInd/>
              <w:snapToGrid/>
              <w:spacing w:beforeLines="0" w:line="480" w:lineRule="exact"/>
              <w:textAlignment w:val="auto"/>
              <w:rPr>
                <w:rFonts w:hint="default" w:ascii="Times New Roman" w:hAnsi="Times New Roman" w:eastAsia="黑体" w:cs="Times New Roman"/>
                <w:smallCaps w:val="0"/>
                <w:color w:val="auto"/>
                <w:spacing w:val="0"/>
                <w:w w:val="100"/>
                <w:position w:val="0"/>
                <w:sz w:val="21"/>
                <w:szCs w:val="21"/>
                <w:highlight w:val="none"/>
                <w:lang w:val="en-US" w:eastAsia="zh-CN"/>
              </w:rPr>
            </w:pPr>
            <w:bookmarkStart w:id="46" w:name="OLE_LINK460"/>
            <w:r>
              <w:rPr>
                <w:rFonts w:hint="default" w:ascii="Times New Roman" w:hAnsi="Times New Roman" w:eastAsia="黑体" w:cs="Times New Roman"/>
                <w:smallCaps w:val="0"/>
                <w:color w:val="auto"/>
                <w:spacing w:val="0"/>
                <w:w w:val="100"/>
                <w:position w:val="0"/>
                <w:sz w:val="21"/>
                <w:szCs w:val="21"/>
                <w:highlight w:val="none"/>
                <w:lang w:val="en-US" w:eastAsia="zh-CN"/>
              </w:rPr>
              <w:t>表3-2 尉犁县2024年环境空气基本污染物环境质量现状表</w:t>
            </w:r>
          </w:p>
          <w:tbl>
            <w:tblPr>
              <w:tblStyle w:val="43"/>
              <w:tblW w:w="4994"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0" w:type="dxa"/>
                <w:bottom w:w="0" w:type="dxa"/>
                <w:right w:w="0" w:type="dxa"/>
              </w:tblCellMar>
            </w:tblPr>
            <w:tblGrid>
              <w:gridCol w:w="507"/>
              <w:gridCol w:w="2460"/>
              <w:gridCol w:w="958"/>
              <w:gridCol w:w="1225"/>
              <w:gridCol w:w="1182"/>
              <w:gridCol w:w="786"/>
              <w:gridCol w:w="564"/>
            </w:tblGrid>
            <w:tr w14:paraId="7208A5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97" w:hRule="atLeast"/>
                <w:jc w:val="center"/>
              </w:trPr>
              <w:tc>
                <w:tcPr>
                  <w:tcW w:w="330" w:type="pct"/>
                  <w:vMerge w:val="restart"/>
                  <w:tcBorders>
                    <w:tl2br w:val="nil"/>
                    <w:tr2bl w:val="nil"/>
                  </w:tcBorders>
                  <w:noWrap w:val="0"/>
                  <w:vAlign w:val="center"/>
                </w:tcPr>
                <w:p w14:paraId="73BC745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评价因子</w:t>
                  </w:r>
                </w:p>
              </w:tc>
              <w:tc>
                <w:tcPr>
                  <w:tcW w:w="1600" w:type="pct"/>
                  <w:vMerge w:val="restart"/>
                  <w:tcBorders>
                    <w:tl2br w:val="nil"/>
                    <w:tr2bl w:val="nil"/>
                  </w:tcBorders>
                  <w:noWrap w:val="0"/>
                  <w:vAlign w:val="center"/>
                </w:tcPr>
                <w:p w14:paraId="6947C94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平均时段</w:t>
                  </w:r>
                </w:p>
              </w:tc>
              <w:tc>
                <w:tcPr>
                  <w:tcW w:w="623" w:type="pct"/>
                  <w:vMerge w:val="restart"/>
                  <w:tcBorders>
                    <w:tl2br w:val="nil"/>
                    <w:tr2bl w:val="nil"/>
                  </w:tcBorders>
                  <w:noWrap w:val="0"/>
                  <w:vAlign w:val="center"/>
                </w:tcPr>
                <w:p w14:paraId="5107275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百分位</w:t>
                  </w:r>
                </w:p>
              </w:tc>
              <w:tc>
                <w:tcPr>
                  <w:tcW w:w="797" w:type="pct"/>
                  <w:tcBorders>
                    <w:tl2br w:val="nil"/>
                    <w:tr2bl w:val="nil"/>
                  </w:tcBorders>
                  <w:noWrap w:val="0"/>
                  <w:vAlign w:val="center"/>
                </w:tcPr>
                <w:p w14:paraId="1FA3267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现状浓度</w:t>
                  </w:r>
                </w:p>
              </w:tc>
              <w:tc>
                <w:tcPr>
                  <w:tcW w:w="769" w:type="pct"/>
                  <w:tcBorders>
                    <w:tl2br w:val="nil"/>
                    <w:tr2bl w:val="nil"/>
                  </w:tcBorders>
                  <w:noWrap w:val="0"/>
                  <w:vAlign w:val="center"/>
                </w:tcPr>
                <w:p w14:paraId="4E82964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标准限值</w:t>
                  </w:r>
                </w:p>
              </w:tc>
              <w:tc>
                <w:tcPr>
                  <w:tcW w:w="511" w:type="pct"/>
                  <w:vMerge w:val="restart"/>
                  <w:tcBorders>
                    <w:tl2br w:val="nil"/>
                    <w:tr2bl w:val="nil"/>
                  </w:tcBorders>
                  <w:noWrap w:val="0"/>
                  <w:vAlign w:val="center"/>
                </w:tcPr>
                <w:p w14:paraId="3F607260">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占标率/%</w:t>
                  </w:r>
                </w:p>
              </w:tc>
              <w:tc>
                <w:tcPr>
                  <w:tcW w:w="367" w:type="pct"/>
                  <w:vMerge w:val="restart"/>
                  <w:tcBorders>
                    <w:tl2br w:val="nil"/>
                    <w:tr2bl w:val="nil"/>
                  </w:tcBorders>
                  <w:noWrap w:val="0"/>
                  <w:vAlign w:val="center"/>
                </w:tcPr>
                <w:p w14:paraId="6D01230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达标情况</w:t>
                  </w:r>
                </w:p>
              </w:tc>
            </w:tr>
            <w:tr w14:paraId="33FD78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97" w:hRule="atLeast"/>
                <w:jc w:val="center"/>
              </w:trPr>
              <w:tc>
                <w:tcPr>
                  <w:tcW w:w="330" w:type="pct"/>
                  <w:vMerge w:val="continue"/>
                  <w:tcBorders>
                    <w:tl2br w:val="nil"/>
                    <w:tr2bl w:val="nil"/>
                  </w:tcBorders>
                  <w:noWrap w:val="0"/>
                  <w:vAlign w:val="center"/>
                </w:tcPr>
                <w:p w14:paraId="50DC199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color w:val="auto"/>
                      <w:sz w:val="21"/>
                      <w:szCs w:val="21"/>
                      <w:highlight w:val="none"/>
                    </w:rPr>
                  </w:pPr>
                </w:p>
              </w:tc>
              <w:tc>
                <w:tcPr>
                  <w:tcW w:w="1600" w:type="pct"/>
                  <w:vMerge w:val="continue"/>
                  <w:tcBorders>
                    <w:tl2br w:val="nil"/>
                    <w:tr2bl w:val="nil"/>
                  </w:tcBorders>
                  <w:noWrap w:val="0"/>
                  <w:vAlign w:val="center"/>
                </w:tcPr>
                <w:p w14:paraId="7205913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color w:val="auto"/>
                      <w:sz w:val="21"/>
                      <w:szCs w:val="21"/>
                      <w:highlight w:val="none"/>
                    </w:rPr>
                  </w:pPr>
                </w:p>
              </w:tc>
              <w:tc>
                <w:tcPr>
                  <w:tcW w:w="623" w:type="pct"/>
                  <w:vMerge w:val="continue"/>
                  <w:tcBorders>
                    <w:tl2br w:val="nil"/>
                    <w:tr2bl w:val="nil"/>
                  </w:tcBorders>
                  <w:noWrap w:val="0"/>
                  <w:vAlign w:val="center"/>
                </w:tcPr>
                <w:p w14:paraId="60061FD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color w:val="auto"/>
                      <w:sz w:val="21"/>
                      <w:szCs w:val="21"/>
                      <w:highlight w:val="none"/>
                    </w:rPr>
                  </w:pPr>
                </w:p>
              </w:tc>
              <w:tc>
                <w:tcPr>
                  <w:tcW w:w="797" w:type="pct"/>
                  <w:tcBorders>
                    <w:tl2br w:val="nil"/>
                    <w:tr2bl w:val="nil"/>
                  </w:tcBorders>
                  <w:noWrap w:val="0"/>
                  <w:vAlign w:val="center"/>
                </w:tcPr>
                <w:p w14:paraId="2481373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eastAsia="zh-CN"/>
                    </w:rPr>
                    <w:t>μg/m</w:t>
                  </w:r>
                  <w:r>
                    <w:rPr>
                      <w:rFonts w:hint="default" w:ascii="Times New Roman" w:hAnsi="Times New Roman" w:eastAsia="宋体" w:cs="Times New Roman"/>
                      <w:color w:val="auto"/>
                      <w:sz w:val="21"/>
                      <w:szCs w:val="21"/>
                      <w:highlight w:val="none"/>
                      <w:vertAlign w:val="superscript"/>
                      <w:lang w:eastAsia="zh-CN"/>
                    </w:rPr>
                    <w:t>3</w:t>
                  </w:r>
                  <w:r>
                    <w:rPr>
                      <w:rFonts w:hint="default" w:ascii="Times New Roman" w:hAnsi="Times New Roman" w:eastAsia="宋体" w:cs="Times New Roman"/>
                      <w:color w:val="auto"/>
                      <w:sz w:val="21"/>
                      <w:szCs w:val="21"/>
                      <w:highlight w:val="none"/>
                    </w:rPr>
                    <w:t>）</w:t>
                  </w:r>
                </w:p>
              </w:tc>
              <w:tc>
                <w:tcPr>
                  <w:tcW w:w="769" w:type="pct"/>
                  <w:tcBorders>
                    <w:tl2br w:val="nil"/>
                    <w:tr2bl w:val="nil"/>
                  </w:tcBorders>
                  <w:noWrap w:val="0"/>
                  <w:vAlign w:val="center"/>
                </w:tcPr>
                <w:p w14:paraId="5C3AEC4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eastAsia="zh-CN"/>
                    </w:rPr>
                    <w:t>μg/m</w:t>
                  </w:r>
                  <w:r>
                    <w:rPr>
                      <w:rFonts w:hint="default" w:ascii="Times New Roman" w:hAnsi="Times New Roman" w:eastAsia="宋体" w:cs="Times New Roman"/>
                      <w:color w:val="auto"/>
                      <w:sz w:val="21"/>
                      <w:szCs w:val="21"/>
                      <w:highlight w:val="none"/>
                      <w:vertAlign w:val="superscript"/>
                      <w:lang w:eastAsia="zh-CN"/>
                    </w:rPr>
                    <w:t>3</w:t>
                  </w:r>
                  <w:r>
                    <w:rPr>
                      <w:rFonts w:hint="default" w:ascii="Times New Roman" w:hAnsi="Times New Roman" w:eastAsia="宋体" w:cs="Times New Roman"/>
                      <w:color w:val="auto"/>
                      <w:sz w:val="21"/>
                      <w:szCs w:val="21"/>
                      <w:highlight w:val="none"/>
                    </w:rPr>
                    <w:t>）</w:t>
                  </w:r>
                </w:p>
              </w:tc>
              <w:tc>
                <w:tcPr>
                  <w:tcW w:w="511" w:type="pct"/>
                  <w:vMerge w:val="continue"/>
                  <w:tcBorders>
                    <w:tl2br w:val="nil"/>
                    <w:tr2bl w:val="nil"/>
                  </w:tcBorders>
                  <w:noWrap w:val="0"/>
                  <w:vAlign w:val="center"/>
                </w:tcPr>
                <w:p w14:paraId="432A65A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color w:val="auto"/>
                      <w:sz w:val="21"/>
                      <w:szCs w:val="21"/>
                      <w:highlight w:val="none"/>
                    </w:rPr>
                  </w:pPr>
                </w:p>
              </w:tc>
              <w:tc>
                <w:tcPr>
                  <w:tcW w:w="367" w:type="pct"/>
                  <w:vMerge w:val="continue"/>
                  <w:tcBorders>
                    <w:tl2br w:val="nil"/>
                    <w:tr2bl w:val="nil"/>
                  </w:tcBorders>
                  <w:noWrap w:val="0"/>
                  <w:vAlign w:val="center"/>
                </w:tcPr>
                <w:p w14:paraId="20788AB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color w:val="auto"/>
                      <w:sz w:val="21"/>
                      <w:szCs w:val="21"/>
                      <w:highlight w:val="none"/>
                    </w:rPr>
                  </w:pPr>
                </w:p>
              </w:tc>
            </w:tr>
            <w:tr w14:paraId="63DDBF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97" w:hRule="atLeast"/>
                <w:jc w:val="center"/>
              </w:trPr>
              <w:tc>
                <w:tcPr>
                  <w:tcW w:w="330" w:type="pct"/>
                  <w:vMerge w:val="restart"/>
                  <w:tcBorders>
                    <w:tl2br w:val="nil"/>
                    <w:tr2bl w:val="nil"/>
                  </w:tcBorders>
                  <w:noWrap w:val="0"/>
                  <w:vAlign w:val="center"/>
                </w:tcPr>
                <w:p w14:paraId="5F3E8514">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SO</w:t>
                  </w:r>
                  <w:r>
                    <w:rPr>
                      <w:rFonts w:hint="default" w:ascii="Times New Roman" w:hAnsi="Times New Roman" w:eastAsia="宋体" w:cs="Times New Roman"/>
                      <w:color w:val="auto"/>
                      <w:sz w:val="21"/>
                      <w:szCs w:val="21"/>
                      <w:highlight w:val="none"/>
                      <w:vertAlign w:val="subscript"/>
                    </w:rPr>
                    <w:t>2</w:t>
                  </w:r>
                </w:p>
              </w:tc>
              <w:tc>
                <w:tcPr>
                  <w:tcW w:w="1600" w:type="pct"/>
                  <w:tcBorders>
                    <w:tl2br w:val="nil"/>
                    <w:tr2bl w:val="nil"/>
                  </w:tcBorders>
                  <w:noWrap w:val="0"/>
                  <w:vAlign w:val="center"/>
                </w:tcPr>
                <w:p w14:paraId="02D08DF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年平均浓度</w:t>
                  </w:r>
                </w:p>
              </w:tc>
              <w:tc>
                <w:tcPr>
                  <w:tcW w:w="623" w:type="pct"/>
                  <w:tcBorders>
                    <w:tl2br w:val="nil"/>
                    <w:tr2bl w:val="nil"/>
                  </w:tcBorders>
                  <w:noWrap w:val="0"/>
                  <w:vAlign w:val="center"/>
                </w:tcPr>
                <w:p w14:paraId="3DDC0F7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797" w:type="pct"/>
                  <w:tcBorders>
                    <w:tl2br w:val="nil"/>
                    <w:tr2bl w:val="nil"/>
                  </w:tcBorders>
                  <w:noWrap w:val="0"/>
                  <w:vAlign w:val="center"/>
                </w:tcPr>
                <w:p w14:paraId="62FEDBC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w:t>
                  </w:r>
                </w:p>
              </w:tc>
              <w:tc>
                <w:tcPr>
                  <w:tcW w:w="769" w:type="pct"/>
                  <w:tcBorders>
                    <w:tl2br w:val="nil"/>
                    <w:tr2bl w:val="nil"/>
                  </w:tcBorders>
                  <w:noWrap w:val="0"/>
                  <w:vAlign w:val="center"/>
                </w:tcPr>
                <w:p w14:paraId="5CD101D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60</w:t>
                  </w:r>
                </w:p>
              </w:tc>
              <w:tc>
                <w:tcPr>
                  <w:tcW w:w="511" w:type="pct"/>
                  <w:tcBorders>
                    <w:tl2br w:val="nil"/>
                    <w:tr2bl w:val="nil"/>
                  </w:tcBorders>
                  <w:noWrap w:val="0"/>
                  <w:vAlign w:val="center"/>
                </w:tcPr>
                <w:p w14:paraId="1C748BF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 xml:space="preserve">5 </w:t>
                  </w:r>
                </w:p>
              </w:tc>
              <w:tc>
                <w:tcPr>
                  <w:tcW w:w="367" w:type="pct"/>
                  <w:tcBorders>
                    <w:tl2br w:val="nil"/>
                    <w:tr2bl w:val="nil"/>
                  </w:tcBorders>
                  <w:noWrap w:val="0"/>
                  <w:vAlign w:val="center"/>
                </w:tcPr>
                <w:p w14:paraId="49326B0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达标</w:t>
                  </w:r>
                </w:p>
              </w:tc>
            </w:tr>
            <w:tr w14:paraId="17611F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97" w:hRule="atLeast"/>
                <w:jc w:val="center"/>
              </w:trPr>
              <w:tc>
                <w:tcPr>
                  <w:tcW w:w="330" w:type="pct"/>
                  <w:vMerge w:val="continue"/>
                  <w:tcBorders>
                    <w:tl2br w:val="nil"/>
                    <w:tr2bl w:val="nil"/>
                  </w:tcBorders>
                  <w:noWrap w:val="0"/>
                  <w:vAlign w:val="center"/>
                </w:tcPr>
                <w:p w14:paraId="763C2DC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color w:val="auto"/>
                      <w:sz w:val="21"/>
                      <w:szCs w:val="21"/>
                      <w:highlight w:val="none"/>
                    </w:rPr>
                  </w:pPr>
                </w:p>
              </w:tc>
              <w:tc>
                <w:tcPr>
                  <w:tcW w:w="1600" w:type="pct"/>
                  <w:tcBorders>
                    <w:tl2br w:val="nil"/>
                    <w:tr2bl w:val="nil"/>
                  </w:tcBorders>
                  <w:noWrap w:val="0"/>
                  <w:vAlign w:val="center"/>
                </w:tcPr>
                <w:p w14:paraId="6017DD1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百分位上日平均质量浓度</w:t>
                  </w:r>
                </w:p>
              </w:tc>
              <w:tc>
                <w:tcPr>
                  <w:tcW w:w="623" w:type="pct"/>
                  <w:tcBorders>
                    <w:tl2br w:val="nil"/>
                    <w:tr2bl w:val="nil"/>
                  </w:tcBorders>
                  <w:noWrap w:val="0"/>
                  <w:vAlign w:val="center"/>
                </w:tcPr>
                <w:p w14:paraId="3E02AA4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98%</w:t>
                  </w:r>
                </w:p>
              </w:tc>
              <w:tc>
                <w:tcPr>
                  <w:tcW w:w="797" w:type="pct"/>
                  <w:tcBorders>
                    <w:tl2br w:val="nil"/>
                    <w:tr2bl w:val="nil"/>
                  </w:tcBorders>
                  <w:noWrap w:val="0"/>
                  <w:vAlign w:val="center"/>
                </w:tcPr>
                <w:p w14:paraId="4349DC7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6</w:t>
                  </w:r>
                </w:p>
              </w:tc>
              <w:tc>
                <w:tcPr>
                  <w:tcW w:w="769" w:type="pct"/>
                  <w:tcBorders>
                    <w:tl2br w:val="nil"/>
                    <w:tr2bl w:val="nil"/>
                  </w:tcBorders>
                  <w:noWrap w:val="0"/>
                  <w:vAlign w:val="center"/>
                </w:tcPr>
                <w:p w14:paraId="333FF58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150</w:t>
                  </w:r>
                </w:p>
              </w:tc>
              <w:tc>
                <w:tcPr>
                  <w:tcW w:w="511" w:type="pct"/>
                  <w:tcBorders>
                    <w:tl2br w:val="nil"/>
                    <w:tr2bl w:val="nil"/>
                  </w:tcBorders>
                  <w:noWrap w:val="0"/>
                  <w:vAlign w:val="center"/>
                </w:tcPr>
                <w:p w14:paraId="15DD75B0">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 xml:space="preserve">4 </w:t>
                  </w:r>
                </w:p>
              </w:tc>
              <w:tc>
                <w:tcPr>
                  <w:tcW w:w="367" w:type="pct"/>
                  <w:tcBorders>
                    <w:tl2br w:val="nil"/>
                    <w:tr2bl w:val="nil"/>
                  </w:tcBorders>
                  <w:noWrap w:val="0"/>
                  <w:vAlign w:val="center"/>
                </w:tcPr>
                <w:p w14:paraId="3E90D79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达标</w:t>
                  </w:r>
                </w:p>
              </w:tc>
            </w:tr>
            <w:tr w14:paraId="79119D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97" w:hRule="atLeast"/>
                <w:jc w:val="center"/>
              </w:trPr>
              <w:tc>
                <w:tcPr>
                  <w:tcW w:w="330" w:type="pct"/>
                  <w:vMerge w:val="restart"/>
                  <w:tcBorders>
                    <w:tl2br w:val="nil"/>
                    <w:tr2bl w:val="nil"/>
                  </w:tcBorders>
                  <w:noWrap w:val="0"/>
                  <w:vAlign w:val="center"/>
                </w:tcPr>
                <w:p w14:paraId="586B0FB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NO</w:t>
                  </w:r>
                  <w:r>
                    <w:rPr>
                      <w:rFonts w:hint="default" w:ascii="Times New Roman" w:hAnsi="Times New Roman" w:eastAsia="宋体" w:cs="Times New Roman"/>
                      <w:color w:val="auto"/>
                      <w:sz w:val="21"/>
                      <w:szCs w:val="21"/>
                      <w:highlight w:val="none"/>
                      <w:vertAlign w:val="subscript"/>
                    </w:rPr>
                    <w:t>2</w:t>
                  </w:r>
                </w:p>
              </w:tc>
              <w:tc>
                <w:tcPr>
                  <w:tcW w:w="1600" w:type="pct"/>
                  <w:tcBorders>
                    <w:tl2br w:val="nil"/>
                    <w:tr2bl w:val="nil"/>
                  </w:tcBorders>
                  <w:noWrap w:val="0"/>
                  <w:vAlign w:val="center"/>
                </w:tcPr>
                <w:p w14:paraId="4F45A5E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年平均浓度</w:t>
                  </w:r>
                </w:p>
              </w:tc>
              <w:tc>
                <w:tcPr>
                  <w:tcW w:w="623" w:type="pct"/>
                  <w:tcBorders>
                    <w:tl2br w:val="nil"/>
                    <w:tr2bl w:val="nil"/>
                  </w:tcBorders>
                  <w:noWrap w:val="0"/>
                  <w:vAlign w:val="center"/>
                </w:tcPr>
                <w:p w14:paraId="76F4C190">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797" w:type="pct"/>
                  <w:tcBorders>
                    <w:tl2br w:val="nil"/>
                    <w:tr2bl w:val="nil"/>
                  </w:tcBorders>
                  <w:noWrap w:val="0"/>
                  <w:vAlign w:val="center"/>
                </w:tcPr>
                <w:p w14:paraId="27A48A9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17</w:t>
                  </w:r>
                </w:p>
              </w:tc>
              <w:tc>
                <w:tcPr>
                  <w:tcW w:w="769" w:type="pct"/>
                  <w:tcBorders>
                    <w:tl2br w:val="nil"/>
                    <w:tr2bl w:val="nil"/>
                  </w:tcBorders>
                  <w:noWrap w:val="0"/>
                  <w:vAlign w:val="center"/>
                </w:tcPr>
                <w:p w14:paraId="1FA9EE8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40</w:t>
                  </w:r>
                </w:p>
              </w:tc>
              <w:tc>
                <w:tcPr>
                  <w:tcW w:w="511" w:type="pct"/>
                  <w:tcBorders>
                    <w:tl2br w:val="nil"/>
                    <w:tr2bl w:val="nil"/>
                  </w:tcBorders>
                  <w:noWrap w:val="0"/>
                  <w:vAlign w:val="center"/>
                </w:tcPr>
                <w:p w14:paraId="519FEC6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 xml:space="preserve">43 </w:t>
                  </w:r>
                </w:p>
              </w:tc>
              <w:tc>
                <w:tcPr>
                  <w:tcW w:w="367" w:type="pct"/>
                  <w:tcBorders>
                    <w:tl2br w:val="nil"/>
                    <w:tr2bl w:val="nil"/>
                  </w:tcBorders>
                  <w:noWrap w:val="0"/>
                  <w:vAlign w:val="center"/>
                </w:tcPr>
                <w:p w14:paraId="1E6767F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达标</w:t>
                  </w:r>
                </w:p>
              </w:tc>
            </w:tr>
            <w:tr w14:paraId="4AD0A4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97" w:hRule="atLeast"/>
                <w:jc w:val="center"/>
              </w:trPr>
              <w:tc>
                <w:tcPr>
                  <w:tcW w:w="330" w:type="pct"/>
                  <w:vMerge w:val="continue"/>
                  <w:tcBorders>
                    <w:tl2br w:val="nil"/>
                    <w:tr2bl w:val="nil"/>
                  </w:tcBorders>
                  <w:noWrap w:val="0"/>
                  <w:vAlign w:val="center"/>
                </w:tcPr>
                <w:p w14:paraId="3D9A895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color w:val="auto"/>
                      <w:sz w:val="21"/>
                      <w:szCs w:val="21"/>
                      <w:highlight w:val="none"/>
                    </w:rPr>
                  </w:pPr>
                </w:p>
              </w:tc>
              <w:tc>
                <w:tcPr>
                  <w:tcW w:w="1600" w:type="pct"/>
                  <w:tcBorders>
                    <w:tl2br w:val="nil"/>
                    <w:tr2bl w:val="nil"/>
                  </w:tcBorders>
                  <w:noWrap w:val="0"/>
                  <w:vAlign w:val="center"/>
                </w:tcPr>
                <w:p w14:paraId="0EF4E23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百分位上日平均质量浓度</w:t>
                  </w:r>
                </w:p>
              </w:tc>
              <w:tc>
                <w:tcPr>
                  <w:tcW w:w="623" w:type="pct"/>
                  <w:tcBorders>
                    <w:tl2br w:val="nil"/>
                    <w:tr2bl w:val="nil"/>
                  </w:tcBorders>
                  <w:noWrap w:val="0"/>
                  <w:vAlign w:val="center"/>
                </w:tcPr>
                <w:p w14:paraId="2C5E480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98%</w:t>
                  </w:r>
                </w:p>
              </w:tc>
              <w:tc>
                <w:tcPr>
                  <w:tcW w:w="797" w:type="pct"/>
                  <w:tcBorders>
                    <w:tl2br w:val="nil"/>
                    <w:tr2bl w:val="nil"/>
                  </w:tcBorders>
                  <w:noWrap w:val="0"/>
                  <w:vAlign w:val="center"/>
                </w:tcPr>
                <w:p w14:paraId="3DDE25E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45</w:t>
                  </w:r>
                </w:p>
              </w:tc>
              <w:tc>
                <w:tcPr>
                  <w:tcW w:w="769" w:type="pct"/>
                  <w:tcBorders>
                    <w:tl2br w:val="nil"/>
                    <w:tr2bl w:val="nil"/>
                  </w:tcBorders>
                  <w:noWrap w:val="0"/>
                  <w:vAlign w:val="center"/>
                </w:tcPr>
                <w:p w14:paraId="6BFB40F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80</w:t>
                  </w:r>
                </w:p>
              </w:tc>
              <w:tc>
                <w:tcPr>
                  <w:tcW w:w="511" w:type="pct"/>
                  <w:tcBorders>
                    <w:tl2br w:val="nil"/>
                    <w:tr2bl w:val="nil"/>
                  </w:tcBorders>
                  <w:noWrap w:val="0"/>
                  <w:vAlign w:val="center"/>
                </w:tcPr>
                <w:p w14:paraId="5AF12F0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 xml:space="preserve">56 </w:t>
                  </w:r>
                </w:p>
              </w:tc>
              <w:tc>
                <w:tcPr>
                  <w:tcW w:w="367" w:type="pct"/>
                  <w:tcBorders>
                    <w:tl2br w:val="nil"/>
                    <w:tr2bl w:val="nil"/>
                  </w:tcBorders>
                  <w:noWrap w:val="0"/>
                  <w:vAlign w:val="center"/>
                </w:tcPr>
                <w:p w14:paraId="69CC816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达标</w:t>
                  </w:r>
                </w:p>
              </w:tc>
            </w:tr>
            <w:tr w14:paraId="60D367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97" w:hRule="atLeast"/>
                <w:jc w:val="center"/>
              </w:trPr>
              <w:tc>
                <w:tcPr>
                  <w:tcW w:w="330" w:type="pct"/>
                  <w:tcBorders>
                    <w:tl2br w:val="nil"/>
                    <w:tr2bl w:val="nil"/>
                  </w:tcBorders>
                  <w:noWrap w:val="0"/>
                  <w:vAlign w:val="center"/>
                </w:tcPr>
                <w:p w14:paraId="7BEED23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CO</w:t>
                  </w:r>
                </w:p>
              </w:tc>
              <w:tc>
                <w:tcPr>
                  <w:tcW w:w="1600" w:type="pct"/>
                  <w:tcBorders>
                    <w:tl2br w:val="nil"/>
                    <w:tr2bl w:val="nil"/>
                  </w:tcBorders>
                  <w:noWrap w:val="0"/>
                  <w:vAlign w:val="center"/>
                </w:tcPr>
                <w:p w14:paraId="0E317CE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百分位上日平均质量浓度</w:t>
                  </w:r>
                </w:p>
              </w:tc>
              <w:tc>
                <w:tcPr>
                  <w:tcW w:w="623" w:type="pct"/>
                  <w:tcBorders>
                    <w:tl2br w:val="nil"/>
                    <w:tr2bl w:val="nil"/>
                  </w:tcBorders>
                  <w:noWrap w:val="0"/>
                  <w:vAlign w:val="center"/>
                </w:tcPr>
                <w:p w14:paraId="4EB0732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95%</w:t>
                  </w:r>
                </w:p>
              </w:tc>
              <w:tc>
                <w:tcPr>
                  <w:tcW w:w="797" w:type="pct"/>
                  <w:tcBorders>
                    <w:tl2br w:val="nil"/>
                    <w:tr2bl w:val="nil"/>
                  </w:tcBorders>
                  <w:noWrap w:val="0"/>
                  <w:vAlign w:val="center"/>
                </w:tcPr>
                <w:p w14:paraId="681561C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1300</w:t>
                  </w:r>
                </w:p>
              </w:tc>
              <w:tc>
                <w:tcPr>
                  <w:tcW w:w="769" w:type="pct"/>
                  <w:tcBorders>
                    <w:tl2br w:val="nil"/>
                    <w:tr2bl w:val="nil"/>
                  </w:tcBorders>
                  <w:noWrap w:val="0"/>
                  <w:vAlign w:val="center"/>
                </w:tcPr>
                <w:p w14:paraId="150D3A2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4000</w:t>
                  </w:r>
                </w:p>
              </w:tc>
              <w:tc>
                <w:tcPr>
                  <w:tcW w:w="511" w:type="pct"/>
                  <w:tcBorders>
                    <w:tl2br w:val="nil"/>
                    <w:tr2bl w:val="nil"/>
                  </w:tcBorders>
                  <w:noWrap w:val="0"/>
                  <w:vAlign w:val="center"/>
                </w:tcPr>
                <w:p w14:paraId="41D34F2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 xml:space="preserve">33 </w:t>
                  </w:r>
                </w:p>
              </w:tc>
              <w:tc>
                <w:tcPr>
                  <w:tcW w:w="367" w:type="pct"/>
                  <w:tcBorders>
                    <w:tl2br w:val="nil"/>
                    <w:tr2bl w:val="nil"/>
                  </w:tcBorders>
                  <w:noWrap w:val="0"/>
                  <w:vAlign w:val="center"/>
                </w:tcPr>
                <w:p w14:paraId="2AB9DE24">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达标</w:t>
                  </w:r>
                </w:p>
              </w:tc>
            </w:tr>
            <w:tr w14:paraId="382D72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97" w:hRule="atLeast"/>
                <w:jc w:val="center"/>
              </w:trPr>
              <w:tc>
                <w:tcPr>
                  <w:tcW w:w="330" w:type="pct"/>
                  <w:tcBorders>
                    <w:tl2br w:val="nil"/>
                    <w:tr2bl w:val="nil"/>
                  </w:tcBorders>
                  <w:noWrap w:val="0"/>
                  <w:vAlign w:val="center"/>
                </w:tcPr>
                <w:p w14:paraId="79FEBAB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O</w:t>
                  </w:r>
                  <w:r>
                    <w:rPr>
                      <w:rFonts w:hint="default" w:ascii="Times New Roman" w:hAnsi="Times New Roman" w:eastAsia="宋体" w:cs="Times New Roman"/>
                      <w:color w:val="auto"/>
                      <w:sz w:val="21"/>
                      <w:szCs w:val="21"/>
                      <w:highlight w:val="none"/>
                      <w:vertAlign w:val="subscript"/>
                    </w:rPr>
                    <w:t>3</w:t>
                  </w:r>
                </w:p>
              </w:tc>
              <w:tc>
                <w:tcPr>
                  <w:tcW w:w="1600" w:type="pct"/>
                  <w:tcBorders>
                    <w:tl2br w:val="nil"/>
                    <w:tr2bl w:val="nil"/>
                  </w:tcBorders>
                  <w:noWrap w:val="0"/>
                  <w:vAlign w:val="center"/>
                </w:tcPr>
                <w:p w14:paraId="641C17A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百分位上8h平均质量浓度</w:t>
                  </w:r>
                </w:p>
              </w:tc>
              <w:tc>
                <w:tcPr>
                  <w:tcW w:w="623" w:type="pct"/>
                  <w:tcBorders>
                    <w:tl2br w:val="nil"/>
                    <w:tr2bl w:val="nil"/>
                  </w:tcBorders>
                  <w:noWrap w:val="0"/>
                  <w:vAlign w:val="center"/>
                </w:tcPr>
                <w:p w14:paraId="355B249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90%</w:t>
                  </w:r>
                </w:p>
              </w:tc>
              <w:tc>
                <w:tcPr>
                  <w:tcW w:w="797" w:type="pct"/>
                  <w:tcBorders>
                    <w:tl2br w:val="nil"/>
                    <w:tr2bl w:val="nil"/>
                  </w:tcBorders>
                  <w:noWrap w:val="0"/>
                  <w:vAlign w:val="center"/>
                </w:tcPr>
                <w:p w14:paraId="2C3B009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121</w:t>
                  </w:r>
                </w:p>
              </w:tc>
              <w:tc>
                <w:tcPr>
                  <w:tcW w:w="769" w:type="pct"/>
                  <w:tcBorders>
                    <w:tl2br w:val="nil"/>
                    <w:tr2bl w:val="nil"/>
                  </w:tcBorders>
                  <w:noWrap w:val="0"/>
                  <w:vAlign w:val="center"/>
                </w:tcPr>
                <w:p w14:paraId="0F25C95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160</w:t>
                  </w:r>
                </w:p>
              </w:tc>
              <w:tc>
                <w:tcPr>
                  <w:tcW w:w="511" w:type="pct"/>
                  <w:tcBorders>
                    <w:tl2br w:val="nil"/>
                    <w:tr2bl w:val="nil"/>
                  </w:tcBorders>
                  <w:noWrap w:val="0"/>
                  <w:vAlign w:val="center"/>
                </w:tcPr>
                <w:p w14:paraId="3765280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 xml:space="preserve">76 </w:t>
                  </w:r>
                </w:p>
              </w:tc>
              <w:tc>
                <w:tcPr>
                  <w:tcW w:w="367" w:type="pct"/>
                  <w:tcBorders>
                    <w:tl2br w:val="nil"/>
                    <w:tr2bl w:val="nil"/>
                  </w:tcBorders>
                  <w:noWrap w:val="0"/>
                  <w:vAlign w:val="center"/>
                </w:tcPr>
                <w:p w14:paraId="1EF244F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达标</w:t>
                  </w:r>
                </w:p>
              </w:tc>
            </w:tr>
            <w:tr w14:paraId="07DB92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97" w:hRule="atLeast"/>
                <w:jc w:val="center"/>
              </w:trPr>
              <w:tc>
                <w:tcPr>
                  <w:tcW w:w="330" w:type="pct"/>
                  <w:vMerge w:val="restart"/>
                  <w:tcBorders>
                    <w:tl2br w:val="nil"/>
                    <w:tr2bl w:val="nil"/>
                  </w:tcBorders>
                  <w:noWrap w:val="0"/>
                  <w:vAlign w:val="center"/>
                </w:tcPr>
                <w:p w14:paraId="0839E81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color w:val="auto"/>
                      <w:sz w:val="21"/>
                      <w:szCs w:val="21"/>
                      <w:highlight w:val="none"/>
                    </w:rPr>
                  </w:pPr>
                  <w:bookmarkStart w:id="47" w:name="OLE_LINK456"/>
                  <w:r>
                    <w:rPr>
                      <w:rFonts w:hint="default" w:ascii="Times New Roman" w:hAnsi="Times New Roman" w:eastAsia="宋体" w:cs="Times New Roman"/>
                      <w:color w:val="auto"/>
                      <w:sz w:val="21"/>
                      <w:szCs w:val="21"/>
                      <w:highlight w:val="none"/>
                    </w:rPr>
                    <w:t>PM</w:t>
                  </w:r>
                  <w:r>
                    <w:rPr>
                      <w:rFonts w:hint="default" w:ascii="Times New Roman" w:hAnsi="Times New Roman" w:eastAsia="宋体" w:cs="Times New Roman"/>
                      <w:color w:val="auto"/>
                      <w:sz w:val="21"/>
                      <w:szCs w:val="21"/>
                      <w:highlight w:val="none"/>
                      <w:vertAlign w:val="subscript"/>
                    </w:rPr>
                    <w:t>2.5</w:t>
                  </w:r>
                  <w:bookmarkEnd w:id="47"/>
                </w:p>
              </w:tc>
              <w:tc>
                <w:tcPr>
                  <w:tcW w:w="1600" w:type="pct"/>
                  <w:tcBorders>
                    <w:tl2br w:val="nil"/>
                    <w:tr2bl w:val="nil"/>
                  </w:tcBorders>
                  <w:noWrap w:val="0"/>
                  <w:vAlign w:val="center"/>
                </w:tcPr>
                <w:p w14:paraId="7E26035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年平均浓度</w:t>
                  </w:r>
                </w:p>
              </w:tc>
              <w:tc>
                <w:tcPr>
                  <w:tcW w:w="623" w:type="pct"/>
                  <w:tcBorders>
                    <w:tl2br w:val="nil"/>
                    <w:tr2bl w:val="nil"/>
                  </w:tcBorders>
                  <w:noWrap w:val="0"/>
                  <w:vAlign w:val="center"/>
                </w:tcPr>
                <w:p w14:paraId="733FE29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797" w:type="pct"/>
                  <w:tcBorders>
                    <w:tl2br w:val="nil"/>
                    <w:tr2bl w:val="nil"/>
                  </w:tcBorders>
                  <w:noWrap w:val="0"/>
                  <w:vAlign w:val="center"/>
                </w:tcPr>
                <w:p w14:paraId="3616D89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40</w:t>
                  </w:r>
                </w:p>
              </w:tc>
              <w:tc>
                <w:tcPr>
                  <w:tcW w:w="769" w:type="pct"/>
                  <w:tcBorders>
                    <w:tl2br w:val="nil"/>
                    <w:tr2bl w:val="nil"/>
                  </w:tcBorders>
                  <w:noWrap w:val="0"/>
                  <w:vAlign w:val="center"/>
                </w:tcPr>
                <w:p w14:paraId="4079279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30</w:t>
                  </w:r>
                </w:p>
              </w:tc>
              <w:tc>
                <w:tcPr>
                  <w:tcW w:w="511" w:type="pct"/>
                  <w:tcBorders>
                    <w:tl2br w:val="nil"/>
                    <w:tr2bl w:val="nil"/>
                  </w:tcBorders>
                  <w:noWrap w:val="0"/>
                  <w:vAlign w:val="center"/>
                </w:tcPr>
                <w:p w14:paraId="336EAF9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 xml:space="preserve">133 </w:t>
                  </w:r>
                </w:p>
              </w:tc>
              <w:tc>
                <w:tcPr>
                  <w:tcW w:w="367" w:type="pct"/>
                  <w:tcBorders>
                    <w:tl2br w:val="nil"/>
                    <w:tr2bl w:val="nil"/>
                  </w:tcBorders>
                  <w:noWrap w:val="0"/>
                  <w:vAlign w:val="center"/>
                </w:tcPr>
                <w:p w14:paraId="2A3D539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bCs/>
                      <w:color w:val="auto"/>
                      <w:sz w:val="21"/>
                      <w:szCs w:val="21"/>
                      <w:highlight w:val="none"/>
                    </w:rPr>
                    <w:t>超标</w:t>
                  </w:r>
                </w:p>
              </w:tc>
            </w:tr>
            <w:tr w14:paraId="47296B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97" w:hRule="atLeast"/>
                <w:jc w:val="center"/>
              </w:trPr>
              <w:tc>
                <w:tcPr>
                  <w:tcW w:w="330" w:type="pct"/>
                  <w:vMerge w:val="continue"/>
                  <w:tcBorders>
                    <w:tl2br w:val="nil"/>
                    <w:tr2bl w:val="nil"/>
                  </w:tcBorders>
                  <w:noWrap w:val="0"/>
                  <w:vAlign w:val="center"/>
                </w:tcPr>
                <w:p w14:paraId="452929B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color w:val="auto"/>
                      <w:sz w:val="21"/>
                      <w:szCs w:val="21"/>
                      <w:highlight w:val="none"/>
                    </w:rPr>
                  </w:pPr>
                </w:p>
              </w:tc>
              <w:tc>
                <w:tcPr>
                  <w:tcW w:w="1600" w:type="pct"/>
                  <w:tcBorders>
                    <w:tl2br w:val="nil"/>
                    <w:tr2bl w:val="nil"/>
                  </w:tcBorders>
                  <w:noWrap w:val="0"/>
                  <w:vAlign w:val="center"/>
                </w:tcPr>
                <w:p w14:paraId="65E401A4">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百分位上日平均质量浓度</w:t>
                  </w:r>
                </w:p>
              </w:tc>
              <w:tc>
                <w:tcPr>
                  <w:tcW w:w="623" w:type="pct"/>
                  <w:tcBorders>
                    <w:tl2br w:val="nil"/>
                    <w:tr2bl w:val="nil"/>
                  </w:tcBorders>
                  <w:noWrap w:val="0"/>
                  <w:vAlign w:val="center"/>
                </w:tcPr>
                <w:p w14:paraId="3C7810F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95%</w:t>
                  </w:r>
                </w:p>
              </w:tc>
              <w:tc>
                <w:tcPr>
                  <w:tcW w:w="797" w:type="pct"/>
                  <w:tcBorders>
                    <w:tl2br w:val="nil"/>
                    <w:tr2bl w:val="nil"/>
                  </w:tcBorders>
                  <w:noWrap w:val="0"/>
                  <w:vAlign w:val="center"/>
                </w:tcPr>
                <w:p w14:paraId="1F7F6AF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100</w:t>
                  </w:r>
                </w:p>
              </w:tc>
              <w:tc>
                <w:tcPr>
                  <w:tcW w:w="769" w:type="pct"/>
                  <w:tcBorders>
                    <w:tl2br w:val="nil"/>
                    <w:tr2bl w:val="nil"/>
                  </w:tcBorders>
                  <w:noWrap w:val="0"/>
                  <w:vAlign w:val="center"/>
                </w:tcPr>
                <w:p w14:paraId="1103028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60</w:t>
                  </w:r>
                </w:p>
              </w:tc>
              <w:tc>
                <w:tcPr>
                  <w:tcW w:w="511" w:type="pct"/>
                  <w:tcBorders>
                    <w:tl2br w:val="nil"/>
                    <w:tr2bl w:val="nil"/>
                  </w:tcBorders>
                  <w:noWrap w:val="0"/>
                  <w:vAlign w:val="center"/>
                </w:tcPr>
                <w:p w14:paraId="5A6896E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 xml:space="preserve">167 </w:t>
                  </w:r>
                </w:p>
              </w:tc>
              <w:tc>
                <w:tcPr>
                  <w:tcW w:w="367" w:type="pct"/>
                  <w:tcBorders>
                    <w:tl2br w:val="nil"/>
                    <w:tr2bl w:val="nil"/>
                  </w:tcBorders>
                  <w:noWrap w:val="0"/>
                  <w:vAlign w:val="center"/>
                </w:tcPr>
                <w:p w14:paraId="3F623BD7">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超标</w:t>
                  </w:r>
                </w:p>
              </w:tc>
            </w:tr>
            <w:tr w14:paraId="54B7A1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97" w:hRule="atLeast"/>
                <w:jc w:val="center"/>
              </w:trPr>
              <w:tc>
                <w:tcPr>
                  <w:tcW w:w="330" w:type="pct"/>
                  <w:vMerge w:val="restart"/>
                  <w:tcBorders>
                    <w:tl2br w:val="nil"/>
                    <w:tr2bl w:val="nil"/>
                  </w:tcBorders>
                  <w:noWrap w:val="0"/>
                  <w:vAlign w:val="center"/>
                </w:tcPr>
                <w:p w14:paraId="2B6E666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color w:val="auto"/>
                      <w:sz w:val="21"/>
                      <w:szCs w:val="21"/>
                      <w:highlight w:val="none"/>
                    </w:rPr>
                  </w:pPr>
                  <w:bookmarkStart w:id="48" w:name="OLE_LINK458"/>
                  <w:r>
                    <w:rPr>
                      <w:rFonts w:hint="default" w:ascii="Times New Roman" w:hAnsi="Times New Roman" w:eastAsia="宋体" w:cs="Times New Roman"/>
                      <w:color w:val="auto"/>
                      <w:sz w:val="21"/>
                      <w:szCs w:val="21"/>
                      <w:highlight w:val="none"/>
                    </w:rPr>
                    <w:t>PM</w:t>
                  </w:r>
                  <w:r>
                    <w:rPr>
                      <w:rFonts w:hint="default" w:ascii="Times New Roman" w:hAnsi="Times New Roman" w:eastAsia="宋体" w:cs="Times New Roman"/>
                      <w:color w:val="auto"/>
                      <w:sz w:val="21"/>
                      <w:szCs w:val="21"/>
                      <w:highlight w:val="none"/>
                      <w:vertAlign w:val="subscript"/>
                    </w:rPr>
                    <w:t>1</w:t>
                  </w:r>
                  <w:bookmarkEnd w:id="48"/>
                  <w:r>
                    <w:rPr>
                      <w:rFonts w:hint="default" w:ascii="Times New Roman" w:hAnsi="Times New Roman" w:eastAsia="宋体" w:cs="Times New Roman"/>
                      <w:color w:val="auto"/>
                      <w:sz w:val="21"/>
                      <w:szCs w:val="21"/>
                      <w:highlight w:val="none"/>
                      <w:vertAlign w:val="subscript"/>
                    </w:rPr>
                    <w:t>0</w:t>
                  </w:r>
                </w:p>
              </w:tc>
              <w:tc>
                <w:tcPr>
                  <w:tcW w:w="1600" w:type="pct"/>
                  <w:tcBorders>
                    <w:tl2br w:val="nil"/>
                    <w:tr2bl w:val="nil"/>
                  </w:tcBorders>
                  <w:noWrap w:val="0"/>
                  <w:vAlign w:val="center"/>
                </w:tcPr>
                <w:p w14:paraId="2BD1709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color w:val="auto"/>
                      <w:sz w:val="21"/>
                      <w:szCs w:val="21"/>
                      <w:highlight w:val="none"/>
                    </w:rPr>
                  </w:pPr>
                  <w:bookmarkStart w:id="49" w:name="OLE_LINK485"/>
                  <w:r>
                    <w:rPr>
                      <w:rFonts w:hint="default" w:ascii="Times New Roman" w:hAnsi="Times New Roman" w:eastAsia="宋体" w:cs="Times New Roman"/>
                      <w:color w:val="auto"/>
                      <w:sz w:val="21"/>
                      <w:szCs w:val="21"/>
                      <w:highlight w:val="none"/>
                    </w:rPr>
                    <w:t>年平均浓度</w:t>
                  </w:r>
                  <w:bookmarkEnd w:id="49"/>
                </w:p>
              </w:tc>
              <w:tc>
                <w:tcPr>
                  <w:tcW w:w="623" w:type="pct"/>
                  <w:tcBorders>
                    <w:tl2br w:val="nil"/>
                    <w:tr2bl w:val="nil"/>
                  </w:tcBorders>
                  <w:noWrap w:val="0"/>
                  <w:vAlign w:val="center"/>
                </w:tcPr>
                <w:p w14:paraId="4FF31A2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797" w:type="pct"/>
                  <w:tcBorders>
                    <w:tl2br w:val="nil"/>
                    <w:tr2bl w:val="nil"/>
                  </w:tcBorders>
                  <w:noWrap w:val="0"/>
                  <w:vAlign w:val="center"/>
                </w:tcPr>
                <w:p w14:paraId="703BFDD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122</w:t>
                  </w:r>
                </w:p>
              </w:tc>
              <w:tc>
                <w:tcPr>
                  <w:tcW w:w="769" w:type="pct"/>
                  <w:tcBorders>
                    <w:tl2br w:val="nil"/>
                    <w:tr2bl w:val="nil"/>
                  </w:tcBorders>
                  <w:noWrap w:val="0"/>
                  <w:vAlign w:val="center"/>
                </w:tcPr>
                <w:p w14:paraId="1F1C445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60</w:t>
                  </w:r>
                </w:p>
              </w:tc>
              <w:tc>
                <w:tcPr>
                  <w:tcW w:w="511" w:type="pct"/>
                  <w:tcBorders>
                    <w:tl2br w:val="nil"/>
                    <w:tr2bl w:val="nil"/>
                  </w:tcBorders>
                  <w:noWrap w:val="0"/>
                  <w:vAlign w:val="center"/>
                </w:tcPr>
                <w:p w14:paraId="6BD1720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 xml:space="preserve">203 </w:t>
                  </w:r>
                </w:p>
              </w:tc>
              <w:tc>
                <w:tcPr>
                  <w:tcW w:w="367" w:type="pct"/>
                  <w:tcBorders>
                    <w:tl2br w:val="nil"/>
                    <w:tr2bl w:val="nil"/>
                  </w:tcBorders>
                  <w:noWrap w:val="0"/>
                  <w:vAlign w:val="center"/>
                </w:tcPr>
                <w:p w14:paraId="6DFA9BB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超标</w:t>
                  </w:r>
                </w:p>
              </w:tc>
            </w:tr>
            <w:tr w14:paraId="508022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97" w:hRule="atLeast"/>
                <w:jc w:val="center"/>
              </w:trPr>
              <w:tc>
                <w:tcPr>
                  <w:tcW w:w="330" w:type="pct"/>
                  <w:vMerge w:val="continue"/>
                  <w:tcBorders>
                    <w:tl2br w:val="nil"/>
                    <w:tr2bl w:val="nil"/>
                  </w:tcBorders>
                  <w:noWrap w:val="0"/>
                  <w:vAlign w:val="center"/>
                </w:tcPr>
                <w:p w14:paraId="58543244">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color w:val="auto"/>
                      <w:sz w:val="21"/>
                      <w:szCs w:val="21"/>
                      <w:highlight w:val="none"/>
                    </w:rPr>
                  </w:pPr>
                </w:p>
              </w:tc>
              <w:tc>
                <w:tcPr>
                  <w:tcW w:w="1600" w:type="pct"/>
                  <w:tcBorders>
                    <w:tl2br w:val="nil"/>
                    <w:tr2bl w:val="nil"/>
                  </w:tcBorders>
                  <w:noWrap w:val="0"/>
                  <w:vAlign w:val="center"/>
                </w:tcPr>
                <w:p w14:paraId="766FD75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百分位上日平均质量浓度</w:t>
                  </w:r>
                </w:p>
              </w:tc>
              <w:tc>
                <w:tcPr>
                  <w:tcW w:w="623" w:type="pct"/>
                  <w:tcBorders>
                    <w:tl2br w:val="nil"/>
                    <w:tr2bl w:val="nil"/>
                  </w:tcBorders>
                  <w:noWrap w:val="0"/>
                  <w:vAlign w:val="center"/>
                </w:tcPr>
                <w:p w14:paraId="7AD153F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95%</w:t>
                  </w:r>
                </w:p>
              </w:tc>
              <w:tc>
                <w:tcPr>
                  <w:tcW w:w="797" w:type="pct"/>
                  <w:tcBorders>
                    <w:tl2br w:val="nil"/>
                    <w:tr2bl w:val="nil"/>
                  </w:tcBorders>
                  <w:noWrap w:val="0"/>
                  <w:vAlign w:val="center"/>
                </w:tcPr>
                <w:p w14:paraId="55C703D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307</w:t>
                  </w:r>
                </w:p>
              </w:tc>
              <w:tc>
                <w:tcPr>
                  <w:tcW w:w="769" w:type="pct"/>
                  <w:tcBorders>
                    <w:tl2br w:val="nil"/>
                    <w:tr2bl w:val="nil"/>
                  </w:tcBorders>
                  <w:noWrap w:val="0"/>
                  <w:vAlign w:val="center"/>
                </w:tcPr>
                <w:p w14:paraId="25AE519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120</w:t>
                  </w:r>
                </w:p>
              </w:tc>
              <w:tc>
                <w:tcPr>
                  <w:tcW w:w="511" w:type="pct"/>
                  <w:tcBorders>
                    <w:tl2br w:val="nil"/>
                    <w:tr2bl w:val="nil"/>
                  </w:tcBorders>
                  <w:noWrap w:val="0"/>
                  <w:vAlign w:val="center"/>
                </w:tcPr>
                <w:p w14:paraId="6E05FFB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 xml:space="preserve">256 </w:t>
                  </w:r>
                </w:p>
              </w:tc>
              <w:tc>
                <w:tcPr>
                  <w:tcW w:w="367" w:type="pct"/>
                  <w:tcBorders>
                    <w:tl2br w:val="nil"/>
                    <w:tr2bl w:val="nil"/>
                  </w:tcBorders>
                  <w:noWrap w:val="0"/>
                  <w:vAlign w:val="center"/>
                </w:tcPr>
                <w:p w14:paraId="534C831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超标</w:t>
                  </w:r>
                </w:p>
              </w:tc>
            </w:tr>
            <w:bookmarkEnd w:id="46"/>
          </w:tbl>
          <w:p w14:paraId="36E2993E">
            <w:pPr>
              <w:pStyle w:val="212"/>
              <w:keepNext w:val="0"/>
              <w:keepLines w:val="0"/>
              <w:pageBreakBefore w:val="0"/>
              <w:widowControl/>
              <w:kinsoku w:val="0"/>
              <w:wordWrap/>
              <w:overflowPunct/>
              <w:topLinePunct w:val="0"/>
              <w:autoSpaceDE w:val="0"/>
              <w:autoSpaceDN w:val="0"/>
              <w:bidi w:val="0"/>
              <w:adjustRightInd w:val="0"/>
              <w:snapToGrid w:val="0"/>
              <w:spacing w:line="480" w:lineRule="exact"/>
              <w:ind w:firstLine="480" w:firstLineChars="200"/>
              <w:jc w:val="both"/>
              <w:textAlignment w:val="baseline"/>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本项目</w:t>
            </w:r>
            <w:r>
              <w:rPr>
                <w:rFonts w:hint="default" w:ascii="Times New Roman" w:hAnsi="Times New Roman" w:cs="Times New Roman"/>
                <w:color w:val="auto"/>
                <w:sz w:val="24"/>
                <w:szCs w:val="24"/>
                <w:highlight w:val="none"/>
              </w:rPr>
              <w:t>所在区域</w:t>
            </w:r>
            <w:r>
              <w:rPr>
                <w:rFonts w:hint="default" w:ascii="Times New Roman" w:hAnsi="Times New Roman" w:cs="Times New Roman"/>
                <w:color w:val="auto"/>
                <w:sz w:val="24"/>
                <w:szCs w:val="24"/>
                <w:highlight w:val="none"/>
                <w:lang w:val="en-US" w:eastAsia="zh-CN"/>
              </w:rPr>
              <w:t>尉犁县</w:t>
            </w:r>
            <w:r>
              <w:rPr>
                <w:rFonts w:hint="default" w:ascii="Times New Roman" w:hAnsi="Times New Roman" w:eastAsia="宋体" w:cs="Times New Roman"/>
                <w:color w:val="auto"/>
                <w:sz w:val="24"/>
                <w:szCs w:val="24"/>
                <w:highlight w:val="none"/>
              </w:rPr>
              <w:t>202</w:t>
            </w:r>
            <w:r>
              <w:rPr>
                <w:rFonts w:hint="default" w:ascii="Times New Roman" w:hAnsi="Times New Roman" w:eastAsia="宋体" w:cs="Times New Roman"/>
                <w:color w:val="auto"/>
                <w:sz w:val="24"/>
                <w:szCs w:val="24"/>
                <w:highlight w:val="none"/>
                <w:lang w:val="en-US" w:eastAsia="zh-CN"/>
              </w:rPr>
              <w:t>4年</w:t>
            </w:r>
            <w:r>
              <w:rPr>
                <w:rFonts w:hint="default" w:ascii="Times New Roman" w:hAnsi="Times New Roman" w:eastAsia="宋体" w:cs="Times New Roman"/>
                <w:color w:val="auto"/>
                <w:spacing w:val="0"/>
                <w:kern w:val="0"/>
                <w:sz w:val="24"/>
                <w:szCs w:val="24"/>
                <w:highlight w:val="none"/>
                <w:vertAlign w:val="baseline"/>
                <w:lang w:val="en-US" w:eastAsia="zh-CN" w:bidi="ar-SA"/>
              </w:rPr>
              <w:t>污染物</w:t>
            </w:r>
            <w:r>
              <w:rPr>
                <w:rFonts w:hint="default" w:ascii="Times New Roman" w:hAnsi="Times New Roman" w:eastAsia="宋体" w:cs="Times New Roman"/>
                <w:snapToGrid w:val="0"/>
                <w:color w:val="auto"/>
                <w:spacing w:val="0"/>
                <w:kern w:val="0"/>
                <w:sz w:val="24"/>
                <w:szCs w:val="24"/>
                <w:highlight w:val="none"/>
                <w:lang w:val="en-US" w:eastAsia="zh-CN" w:bidi="ar-SA"/>
              </w:rPr>
              <w:t>SO</w:t>
            </w:r>
            <w:r>
              <w:rPr>
                <w:rFonts w:hint="default" w:ascii="Times New Roman" w:hAnsi="Times New Roman" w:eastAsia="宋体" w:cs="Times New Roman"/>
                <w:snapToGrid w:val="0"/>
                <w:color w:val="auto"/>
                <w:spacing w:val="0"/>
                <w:kern w:val="0"/>
                <w:sz w:val="24"/>
                <w:szCs w:val="24"/>
                <w:highlight w:val="none"/>
                <w:vertAlign w:val="subscript"/>
                <w:lang w:val="en-US" w:eastAsia="zh-CN" w:bidi="ar-SA"/>
              </w:rPr>
              <w:t>2</w:t>
            </w:r>
            <w:r>
              <w:rPr>
                <w:rFonts w:hint="default" w:ascii="Times New Roman" w:hAnsi="Times New Roman" w:eastAsia="宋体" w:cs="Times New Roman"/>
                <w:snapToGrid w:val="0"/>
                <w:color w:val="auto"/>
                <w:spacing w:val="0"/>
                <w:kern w:val="0"/>
                <w:sz w:val="24"/>
                <w:szCs w:val="24"/>
                <w:highlight w:val="none"/>
                <w:lang w:val="en-US" w:eastAsia="zh-CN" w:bidi="ar-SA"/>
              </w:rPr>
              <w:t>、NO</w:t>
            </w:r>
            <w:r>
              <w:rPr>
                <w:rFonts w:hint="default" w:ascii="Times New Roman" w:hAnsi="Times New Roman" w:eastAsia="宋体" w:cs="Times New Roman"/>
                <w:snapToGrid w:val="0"/>
                <w:color w:val="auto"/>
                <w:spacing w:val="0"/>
                <w:kern w:val="0"/>
                <w:sz w:val="24"/>
                <w:szCs w:val="24"/>
                <w:highlight w:val="none"/>
                <w:vertAlign w:val="subscript"/>
                <w:lang w:val="en-US" w:eastAsia="zh-CN" w:bidi="ar-SA"/>
              </w:rPr>
              <w:t>2</w:t>
            </w:r>
            <w:r>
              <w:rPr>
                <w:rFonts w:hint="default" w:ascii="Times New Roman" w:hAnsi="Times New Roman" w:eastAsia="宋体" w:cs="Times New Roman"/>
                <w:snapToGrid w:val="0"/>
                <w:color w:val="auto"/>
                <w:spacing w:val="0"/>
                <w:kern w:val="0"/>
                <w:sz w:val="24"/>
                <w:szCs w:val="24"/>
                <w:highlight w:val="none"/>
                <w:lang w:val="en-US" w:eastAsia="zh-CN" w:bidi="ar-SA"/>
              </w:rPr>
              <w:t>、CO、O</w:t>
            </w:r>
            <w:r>
              <w:rPr>
                <w:rFonts w:hint="default" w:ascii="Times New Roman" w:hAnsi="Times New Roman" w:eastAsia="宋体" w:cs="Times New Roman"/>
                <w:snapToGrid w:val="0"/>
                <w:color w:val="auto"/>
                <w:spacing w:val="0"/>
                <w:kern w:val="0"/>
                <w:sz w:val="24"/>
                <w:szCs w:val="24"/>
                <w:highlight w:val="none"/>
                <w:vertAlign w:val="subscript"/>
                <w:lang w:val="en-US" w:eastAsia="zh-CN" w:bidi="ar-SA"/>
              </w:rPr>
              <w:t>3</w:t>
            </w:r>
            <w:r>
              <w:rPr>
                <w:rFonts w:hint="default" w:ascii="Times New Roman" w:hAnsi="Times New Roman" w:eastAsia="宋体" w:cs="Times New Roman"/>
                <w:color w:val="auto"/>
                <w:sz w:val="24"/>
                <w:szCs w:val="24"/>
                <w:highlight w:val="none"/>
                <w:lang w:val="en-US" w:eastAsia="zh-CN"/>
              </w:rPr>
              <w:t>现状浓度</w:t>
            </w:r>
            <w:r>
              <w:rPr>
                <w:rFonts w:hint="default" w:ascii="Times New Roman" w:hAnsi="Times New Roman" w:eastAsia="宋体" w:cs="Times New Roman"/>
                <w:color w:val="auto"/>
                <w:spacing w:val="0"/>
                <w:kern w:val="0"/>
                <w:sz w:val="24"/>
                <w:szCs w:val="24"/>
                <w:highlight w:val="none"/>
                <w:vertAlign w:val="baseline"/>
                <w:lang w:val="en-US" w:eastAsia="zh-CN" w:bidi="ar-SA"/>
              </w:rPr>
              <w:t>均满足</w:t>
            </w:r>
            <w:r>
              <w:rPr>
                <w:rFonts w:hint="default" w:ascii="Times New Roman" w:hAnsi="Times New Roman" w:eastAsia="宋体" w:cs="Times New Roman"/>
                <w:color w:val="auto"/>
                <w:spacing w:val="0"/>
                <w:kern w:val="0"/>
                <w:sz w:val="24"/>
                <w:szCs w:val="24"/>
                <w:highlight w:val="none"/>
                <w:lang w:val="en-US" w:eastAsia="zh-CN" w:bidi="ar-SA"/>
              </w:rPr>
              <w:t>《环境空气质量标准》（GB3095-2026）中过渡阶段二级标准限值；</w:t>
            </w:r>
            <w:r>
              <w:rPr>
                <w:rFonts w:hint="default" w:ascii="Times New Roman" w:hAnsi="Times New Roman" w:eastAsia="宋体" w:cs="Times New Roman"/>
                <w:color w:val="auto"/>
                <w:sz w:val="24"/>
                <w:szCs w:val="24"/>
                <w:highlight w:val="none"/>
              </w:rPr>
              <w:t>PM</w:t>
            </w:r>
            <w:r>
              <w:rPr>
                <w:rFonts w:hint="default" w:ascii="Times New Roman" w:hAnsi="Times New Roman" w:eastAsia="宋体" w:cs="Times New Roman"/>
                <w:color w:val="auto"/>
                <w:sz w:val="24"/>
                <w:szCs w:val="24"/>
                <w:highlight w:val="none"/>
                <w:vertAlign w:val="subscript"/>
              </w:rPr>
              <w:t>10</w:t>
            </w:r>
            <w:r>
              <w:rPr>
                <w:rFonts w:hint="default" w:ascii="Times New Roman" w:hAnsi="Times New Roman" w:eastAsia="宋体" w:cs="Times New Roman"/>
                <w:color w:val="auto"/>
                <w:sz w:val="24"/>
                <w:szCs w:val="24"/>
                <w:highlight w:val="none"/>
                <w:vertAlign w:val="baseline"/>
                <w:lang w:val="en-US" w:eastAsia="zh-CN"/>
              </w:rPr>
              <w:t>和</w:t>
            </w:r>
            <w:r>
              <w:rPr>
                <w:rFonts w:hint="default" w:ascii="Times New Roman" w:hAnsi="Times New Roman" w:eastAsia="宋体" w:cs="Times New Roman"/>
                <w:color w:val="auto"/>
                <w:sz w:val="24"/>
                <w:szCs w:val="24"/>
                <w:highlight w:val="none"/>
              </w:rPr>
              <w:t>PM</w:t>
            </w:r>
            <w:r>
              <w:rPr>
                <w:rFonts w:hint="default" w:ascii="Times New Roman" w:hAnsi="Times New Roman" w:eastAsia="宋体" w:cs="Times New Roman"/>
                <w:color w:val="auto"/>
                <w:sz w:val="24"/>
                <w:szCs w:val="24"/>
                <w:highlight w:val="none"/>
                <w:vertAlign w:val="subscript"/>
              </w:rPr>
              <w:t>2.5</w:t>
            </w:r>
            <w:bookmarkStart w:id="50" w:name="OLE_LINK486"/>
            <w:r>
              <w:rPr>
                <w:rFonts w:hint="default" w:ascii="Times New Roman" w:hAnsi="Times New Roman" w:eastAsia="宋体" w:cs="Times New Roman"/>
                <w:color w:val="auto"/>
                <w:sz w:val="24"/>
                <w:szCs w:val="24"/>
                <w:highlight w:val="none"/>
                <w:vertAlign w:val="baseline"/>
                <w:lang w:val="en-US" w:eastAsia="zh-CN"/>
              </w:rPr>
              <w:t>现状</w:t>
            </w:r>
            <w:r>
              <w:rPr>
                <w:rFonts w:hint="default" w:ascii="Times New Roman" w:hAnsi="Times New Roman" w:eastAsia="宋体" w:cs="Times New Roman"/>
                <w:color w:val="auto"/>
                <w:sz w:val="24"/>
                <w:szCs w:val="24"/>
                <w:highlight w:val="none"/>
              </w:rPr>
              <w:t>浓度</w:t>
            </w:r>
            <w:bookmarkEnd w:id="50"/>
            <w:r>
              <w:rPr>
                <w:rFonts w:hint="default" w:ascii="Times New Roman" w:hAnsi="Times New Roman" w:eastAsia="宋体" w:cs="Times New Roman"/>
                <w:color w:val="auto"/>
                <w:sz w:val="24"/>
                <w:szCs w:val="24"/>
                <w:highlight w:val="none"/>
              </w:rPr>
              <w:t>均超出《环境空气质量标准》（GB3095-20</w:t>
            </w:r>
            <w:r>
              <w:rPr>
                <w:rFonts w:hint="default" w:ascii="Times New Roman" w:hAnsi="Times New Roman" w:eastAsia="宋体" w:cs="Times New Roman"/>
                <w:color w:val="auto"/>
                <w:sz w:val="24"/>
                <w:szCs w:val="24"/>
                <w:highlight w:val="none"/>
                <w:lang w:val="en-US" w:eastAsia="zh-CN"/>
              </w:rPr>
              <w:t>26</w:t>
            </w:r>
            <w:r>
              <w:rPr>
                <w:rFonts w:hint="default" w:ascii="Times New Roman" w:hAnsi="Times New Roman" w:eastAsia="宋体" w:cs="Times New Roman"/>
                <w:color w:val="auto"/>
                <w:sz w:val="24"/>
                <w:szCs w:val="24"/>
                <w:highlight w:val="none"/>
              </w:rPr>
              <w:t>）中</w:t>
            </w:r>
            <w:r>
              <w:rPr>
                <w:rFonts w:hint="default" w:ascii="Times New Roman" w:hAnsi="Times New Roman" w:eastAsia="宋体" w:cs="Times New Roman"/>
                <w:color w:val="auto"/>
                <w:spacing w:val="0"/>
                <w:kern w:val="0"/>
                <w:sz w:val="24"/>
                <w:szCs w:val="24"/>
                <w:highlight w:val="none"/>
                <w:lang w:val="en-US" w:eastAsia="zh-CN" w:bidi="ar-SA"/>
              </w:rPr>
              <w:t>过渡阶段二级标准限值</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故</w:t>
            </w:r>
            <w:r>
              <w:rPr>
                <w:rFonts w:hint="default" w:ascii="Times New Roman" w:hAnsi="Times New Roman" w:cs="Times New Roman"/>
                <w:color w:val="auto"/>
                <w:sz w:val="24"/>
                <w:szCs w:val="24"/>
                <w:highlight w:val="none"/>
              </w:rPr>
              <w:t>本项目所在区域尉犁县</w:t>
            </w:r>
            <w:r>
              <w:rPr>
                <w:rFonts w:hint="default" w:ascii="Times New Roman" w:hAnsi="Times New Roman" w:eastAsia="宋体" w:cs="Times New Roman"/>
                <w:color w:val="auto"/>
                <w:sz w:val="24"/>
                <w:szCs w:val="24"/>
                <w:highlight w:val="none"/>
                <w:lang w:val="en-US" w:eastAsia="zh-CN"/>
              </w:rPr>
              <w:t>为</w:t>
            </w:r>
            <w:r>
              <w:rPr>
                <w:rFonts w:hint="default" w:ascii="Times New Roman" w:hAnsi="Times New Roman" w:cs="Times New Roman"/>
                <w:color w:val="auto"/>
                <w:sz w:val="24"/>
                <w:szCs w:val="24"/>
                <w:highlight w:val="none"/>
              </w:rPr>
              <w:t>环境空气质量不达标区域。PM</w:t>
            </w:r>
            <w:r>
              <w:rPr>
                <w:rFonts w:hint="default" w:ascii="Times New Roman" w:hAnsi="Times New Roman" w:cs="Times New Roman"/>
                <w:color w:val="auto"/>
                <w:sz w:val="24"/>
                <w:szCs w:val="24"/>
                <w:highlight w:val="none"/>
                <w:vertAlign w:val="subscript"/>
              </w:rPr>
              <w:t>10</w:t>
            </w:r>
            <w:r>
              <w:rPr>
                <w:rFonts w:hint="default" w:ascii="Times New Roman" w:hAnsi="Times New Roman" w:cs="Times New Roman"/>
                <w:color w:val="auto"/>
                <w:sz w:val="24"/>
                <w:szCs w:val="24"/>
                <w:highlight w:val="none"/>
                <w:vertAlign w:val="subscript"/>
                <w:lang w:eastAsia="zh-CN"/>
              </w:rPr>
              <w:t>、</w:t>
            </w:r>
            <w:r>
              <w:rPr>
                <w:rFonts w:hint="default" w:ascii="Times New Roman" w:hAnsi="Times New Roman" w:cs="Times New Roman"/>
                <w:color w:val="auto"/>
                <w:sz w:val="24"/>
                <w:szCs w:val="24"/>
                <w:highlight w:val="none"/>
                <w:vertAlign w:val="baseline"/>
                <w:lang w:val="en-US" w:eastAsia="zh-CN"/>
              </w:rPr>
              <w:t>PM</w:t>
            </w:r>
            <w:r>
              <w:rPr>
                <w:rFonts w:hint="default" w:ascii="Times New Roman" w:hAnsi="Times New Roman" w:cs="Times New Roman"/>
                <w:color w:val="auto"/>
                <w:sz w:val="24"/>
                <w:szCs w:val="24"/>
                <w:highlight w:val="none"/>
                <w:vertAlign w:val="subscript"/>
                <w:lang w:val="en-US" w:eastAsia="zh-CN"/>
              </w:rPr>
              <w:t>2.5</w:t>
            </w:r>
            <w:r>
              <w:rPr>
                <w:rFonts w:hint="default" w:ascii="Times New Roman" w:hAnsi="Times New Roman" w:cs="Times New Roman"/>
                <w:color w:val="auto"/>
                <w:sz w:val="24"/>
                <w:szCs w:val="24"/>
                <w:highlight w:val="none"/>
                <w:vertAlign w:val="baseline"/>
                <w:lang w:val="en-US" w:eastAsia="zh-CN"/>
              </w:rPr>
              <w:t>浓度</w:t>
            </w:r>
            <w:r>
              <w:rPr>
                <w:rFonts w:hint="default" w:ascii="Times New Roman" w:hAnsi="Times New Roman" w:cs="Times New Roman"/>
                <w:color w:val="auto"/>
                <w:sz w:val="24"/>
                <w:szCs w:val="24"/>
                <w:highlight w:val="none"/>
              </w:rPr>
              <w:t>超标</w:t>
            </w:r>
            <w:r>
              <w:rPr>
                <w:rFonts w:hint="default" w:ascii="Times New Roman" w:hAnsi="Times New Roman" w:cs="Times New Roman"/>
                <w:color w:val="auto"/>
                <w:sz w:val="24"/>
                <w:szCs w:val="24"/>
                <w:highlight w:val="none"/>
                <w:lang w:val="en-US" w:eastAsia="zh-CN"/>
              </w:rPr>
              <w:t>原因是项目区地处南疆沙漠边缘，受全年沙尘天气等自然背景因素影响显著。</w:t>
            </w:r>
          </w:p>
          <w:p w14:paraId="0941159B">
            <w:pPr>
              <w:pStyle w:val="67"/>
              <w:numPr>
                <w:ilvl w:val="0"/>
                <w:numId w:val="0"/>
              </w:numPr>
              <w:spacing w:line="480" w:lineRule="exact"/>
              <w:ind w:leftChars="0"/>
              <w:rPr>
                <w:rFonts w:hint="default" w:ascii="Times New Roman" w:hAnsi="Times New Roman" w:eastAsia="黑体" w:cs="Times New Roman"/>
                <w:sz w:val="25"/>
                <w:lang w:val="en-US" w:eastAsia="zh-CN"/>
              </w:rPr>
            </w:pPr>
            <w:r>
              <w:rPr>
                <w:rFonts w:hint="default" w:ascii="Times New Roman" w:hAnsi="Times New Roman" w:eastAsia="黑体" w:cs="Times New Roman"/>
                <w:sz w:val="25"/>
                <w:lang w:val="en-US" w:eastAsia="zh-CN"/>
              </w:rPr>
              <w:t>3.声环境质量现状监测与评价</w:t>
            </w:r>
          </w:p>
          <w:p w14:paraId="6648D3C8">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firstLine="480" w:firstLineChars="200"/>
              <w:jc w:val="both"/>
              <w:textAlignment w:val="auto"/>
              <w:rPr>
                <w:rFonts w:hint="default" w:ascii="Times New Roman" w:hAnsi="Times New Roman" w:cs="Times New Roman" w:eastAsiaTheme="minorEastAsia"/>
                <w:bCs/>
                <w:color w:val="auto"/>
                <w:kern w:val="2"/>
                <w:sz w:val="24"/>
                <w:szCs w:val="24"/>
                <w:highlight w:val="none"/>
                <w:vertAlign w:val="baseline"/>
                <w:lang w:val="en-US" w:eastAsia="zh-CN" w:bidi="ar-SA"/>
              </w:rPr>
            </w:pPr>
            <w:r>
              <w:rPr>
                <w:rFonts w:hint="default" w:ascii="Times New Roman" w:hAnsi="Times New Roman" w:cs="Times New Roman" w:eastAsiaTheme="minorEastAsia"/>
                <w:bCs/>
                <w:color w:val="auto"/>
                <w:kern w:val="2"/>
                <w:sz w:val="24"/>
                <w:szCs w:val="24"/>
                <w:highlight w:val="none"/>
                <w:vertAlign w:val="baseline"/>
                <w:lang w:val="en-US" w:eastAsia="zh-CN" w:bidi="ar-SA"/>
              </w:rPr>
              <w:t>经现场踏勘，本变电站站界外</w:t>
            </w:r>
            <w:r>
              <w:rPr>
                <w:rFonts w:hint="eastAsia" w:ascii="Times New Roman" w:hAnsi="Times New Roman" w:cs="Times New Roman" w:eastAsiaTheme="minorEastAsia"/>
                <w:bCs/>
                <w:color w:val="auto"/>
                <w:kern w:val="2"/>
                <w:sz w:val="24"/>
                <w:szCs w:val="24"/>
                <w:highlight w:val="none"/>
                <w:vertAlign w:val="baseline"/>
                <w:lang w:val="en-US" w:eastAsia="zh-CN" w:bidi="ar-SA"/>
              </w:rPr>
              <w:t>30</w:t>
            </w:r>
            <w:r>
              <w:rPr>
                <w:rFonts w:hint="default" w:ascii="Times New Roman" w:hAnsi="Times New Roman" w:cs="Times New Roman" w:eastAsiaTheme="minorEastAsia"/>
                <w:bCs/>
                <w:color w:val="auto"/>
                <w:kern w:val="2"/>
                <w:sz w:val="24"/>
                <w:szCs w:val="24"/>
                <w:highlight w:val="none"/>
                <w:vertAlign w:val="baseline"/>
                <w:lang w:val="en-US" w:eastAsia="zh-CN" w:bidi="ar-SA"/>
              </w:rPr>
              <w:t>m范围内无声环境保护目标。拟建变电站位于鸿泰鼎绿色新材料纺织产业园（一期）规划厂区用地内部，本项目未针对拟建变电站站界单独开展噪声现状实测；本次评价引用同厂区内《新疆鸿泰鼎新材料科技有限公司鸿泰鼎绿色新材料纺织产业园（一期）建设项目生态环境影响报告书》厂界噪声监测成果，监测点位为产业园一期纺纱区厂界。</w:t>
            </w:r>
          </w:p>
          <w:p w14:paraId="7586C860">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firstLine="480" w:firstLineChars="200"/>
              <w:jc w:val="both"/>
              <w:textAlignment w:val="auto"/>
              <w:rPr>
                <w:rFonts w:hint="default" w:ascii="Times New Roman" w:hAnsi="Times New Roman" w:cs="Times New Roman" w:eastAsiaTheme="minorEastAsia"/>
                <w:bCs/>
                <w:color w:val="auto"/>
                <w:kern w:val="2"/>
                <w:sz w:val="24"/>
                <w:szCs w:val="24"/>
                <w:highlight w:val="none"/>
                <w:vertAlign w:val="baseline"/>
                <w:lang w:val="en-US" w:eastAsia="zh-CN" w:bidi="ar-SA"/>
              </w:rPr>
            </w:pPr>
            <w:r>
              <w:rPr>
                <w:rFonts w:hint="default" w:ascii="Times New Roman" w:hAnsi="Times New Roman" w:cs="Times New Roman" w:eastAsiaTheme="minorEastAsia"/>
                <w:bCs/>
                <w:color w:val="auto"/>
                <w:kern w:val="2"/>
                <w:sz w:val="24"/>
                <w:szCs w:val="24"/>
                <w:highlight w:val="none"/>
                <w:vertAlign w:val="baseline"/>
                <w:lang w:val="en-US" w:eastAsia="zh-CN" w:bidi="ar-SA"/>
              </w:rPr>
              <w:t>产业园一期噪声监测由新疆中测测试有限责任公司于2025年</w:t>
            </w:r>
            <w:r>
              <w:rPr>
                <w:rFonts w:hint="eastAsia" w:ascii="Times New Roman" w:hAnsi="Times New Roman" w:cs="Times New Roman" w:eastAsiaTheme="minorEastAsia"/>
                <w:bCs/>
                <w:color w:val="auto"/>
                <w:kern w:val="2"/>
                <w:sz w:val="24"/>
                <w:szCs w:val="24"/>
                <w:highlight w:val="none"/>
                <w:vertAlign w:val="baseline"/>
                <w:lang w:val="en-US" w:eastAsia="zh-CN" w:bidi="ar-SA"/>
              </w:rPr>
              <w:t>11</w:t>
            </w:r>
            <w:r>
              <w:rPr>
                <w:rFonts w:hint="default" w:ascii="Times New Roman" w:hAnsi="Times New Roman" w:cs="Times New Roman" w:eastAsiaTheme="minorEastAsia"/>
                <w:bCs/>
                <w:color w:val="auto"/>
                <w:kern w:val="2"/>
                <w:sz w:val="24"/>
                <w:szCs w:val="24"/>
                <w:highlight w:val="none"/>
                <w:vertAlign w:val="baseline"/>
                <w:lang w:val="en-US" w:eastAsia="zh-CN" w:bidi="ar-SA"/>
              </w:rPr>
              <w:t>月24–25日开展，距离本项目评价时间间隔不足</w:t>
            </w:r>
            <w:r>
              <w:rPr>
                <w:rFonts w:hint="eastAsia" w:ascii="Times New Roman" w:hAnsi="Times New Roman" w:cs="Times New Roman" w:eastAsiaTheme="minorEastAsia"/>
                <w:bCs/>
                <w:color w:val="auto"/>
                <w:kern w:val="2"/>
                <w:sz w:val="24"/>
                <w:szCs w:val="24"/>
                <w:highlight w:val="none"/>
                <w:vertAlign w:val="baseline"/>
                <w:lang w:val="en-US" w:eastAsia="zh-CN" w:bidi="ar-SA"/>
              </w:rPr>
              <w:t>3</w:t>
            </w:r>
            <w:r>
              <w:rPr>
                <w:rFonts w:hint="default" w:ascii="Times New Roman" w:hAnsi="Times New Roman" w:cs="Times New Roman" w:eastAsiaTheme="minorEastAsia"/>
                <w:bCs/>
                <w:color w:val="auto"/>
                <w:kern w:val="2"/>
                <w:sz w:val="24"/>
                <w:szCs w:val="24"/>
                <w:highlight w:val="none"/>
                <w:vertAlign w:val="baseline"/>
                <w:lang w:val="en-US" w:eastAsia="zh-CN" w:bidi="ar-SA"/>
              </w:rPr>
              <w:t>年，满足环境影响评价监测数据引用的时效性要求。拟建变电站站址与纺纱区监测厂界同属于产业园一期工业地块，处于同一个声环境功能单元内。</w:t>
            </w:r>
          </w:p>
          <w:p w14:paraId="2DB57F39">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firstLine="480" w:firstLineChars="200"/>
              <w:jc w:val="both"/>
              <w:textAlignment w:val="auto"/>
              <w:rPr>
                <w:rFonts w:hint="default" w:ascii="Times New Roman" w:hAnsi="Times New Roman" w:cs="Times New Roman" w:eastAsiaTheme="minorEastAsia"/>
                <w:bCs/>
                <w:color w:val="auto"/>
                <w:kern w:val="2"/>
                <w:sz w:val="24"/>
                <w:szCs w:val="24"/>
                <w:highlight w:val="none"/>
                <w:vertAlign w:val="baseline"/>
                <w:lang w:val="en-US" w:eastAsia="zh-CN" w:bidi="ar-SA"/>
              </w:rPr>
            </w:pPr>
            <w:r>
              <w:rPr>
                <w:rFonts w:hint="default" w:ascii="Times New Roman" w:hAnsi="Times New Roman" w:cs="Times New Roman" w:eastAsiaTheme="minorEastAsia"/>
                <w:bCs/>
                <w:color w:val="auto"/>
                <w:kern w:val="2"/>
                <w:sz w:val="24"/>
                <w:szCs w:val="24"/>
                <w:highlight w:val="none"/>
                <w:vertAlign w:val="baseline"/>
                <w:lang w:val="en-US" w:eastAsia="zh-CN" w:bidi="ar-SA"/>
              </w:rPr>
              <w:t>对比监测时段与本项目评价阶段：站址所在园区地块现状均为已场平的在建工业用地，周边主要为园区道路、空地及在建工业场地，地块土地利用、周边噪声源、声环境功能区划（3 类工业区）均未发生变化，无新增重大噪声源，区域声环境本底条件未出现明显改变。综上，引用的噪声监测数据具备时效性、区域代表性，可反映本项目站址区域的声环境背景水平，能够满足本项目声环境现状评价工作需要。需说明</w:t>
            </w:r>
            <w:r>
              <w:rPr>
                <w:rFonts w:hint="eastAsia" w:ascii="Times New Roman" w:hAnsi="Times New Roman" w:cs="Times New Roman" w:eastAsiaTheme="minorEastAsia"/>
                <w:bCs/>
                <w:color w:val="auto"/>
                <w:kern w:val="2"/>
                <w:sz w:val="24"/>
                <w:szCs w:val="24"/>
                <w:highlight w:val="none"/>
                <w:vertAlign w:val="baseline"/>
                <w:lang w:val="en-US" w:eastAsia="zh-CN" w:bidi="ar-SA"/>
              </w:rPr>
              <w:t>的是</w:t>
            </w:r>
            <w:r>
              <w:rPr>
                <w:rFonts w:hint="default" w:ascii="Times New Roman" w:hAnsi="Times New Roman" w:cs="Times New Roman" w:eastAsiaTheme="minorEastAsia"/>
                <w:bCs/>
                <w:color w:val="auto"/>
                <w:kern w:val="2"/>
                <w:sz w:val="24"/>
                <w:szCs w:val="24"/>
                <w:highlight w:val="none"/>
                <w:vertAlign w:val="baseline"/>
                <w:lang w:val="en-US" w:eastAsia="zh-CN" w:bidi="ar-SA"/>
              </w:rPr>
              <w:t>该监测结果为产业园纺纱区厂界背景值，不等同于拟建变电站站界的实测值；本项目竣工环境保护验收阶段，将对变电站站界四周开展噪声现场实测，以验收实测结果作为厂界噪声达标的判定依据。</w:t>
            </w:r>
          </w:p>
          <w:p w14:paraId="4A452C91">
            <w:pPr>
              <w:pStyle w:val="61"/>
              <w:keepNext w:val="0"/>
              <w:keepLines w:val="0"/>
              <w:pageBreakBefore w:val="0"/>
              <w:widowControl/>
              <w:kinsoku w:val="0"/>
              <w:wordWrap/>
              <w:overflowPunct/>
              <w:topLinePunct w:val="0"/>
              <w:autoSpaceDE w:val="0"/>
              <w:autoSpaceDN w:val="0"/>
              <w:bidi w:val="0"/>
              <w:adjustRightInd w:val="0"/>
              <w:snapToGrid w:val="0"/>
              <w:spacing w:line="480" w:lineRule="exact"/>
              <w:ind w:left="0" w:right="0" w:firstLine="480" w:firstLineChars="200"/>
              <w:jc w:val="both"/>
              <w:textAlignment w:val="baseline"/>
              <w:rPr>
                <w:rFonts w:hint="default" w:ascii="Times New Roman" w:hAnsi="Times New Roman" w:cs="Times New Roman"/>
                <w:sz w:val="24"/>
              </w:rPr>
            </w:pPr>
            <w:r>
              <w:rPr>
                <w:rFonts w:hint="default" w:ascii="Times New Roman" w:hAnsi="Times New Roman" w:cs="Times New Roman"/>
                <w:sz w:val="24"/>
              </w:rPr>
              <w:t>3.1 监测因子</w:t>
            </w:r>
          </w:p>
          <w:p w14:paraId="5ACB9B9A">
            <w:pPr>
              <w:pStyle w:val="17"/>
              <w:keepNext w:val="0"/>
              <w:keepLines w:val="0"/>
              <w:pageBreakBefore w:val="0"/>
              <w:wordWrap/>
              <w:overflowPunct/>
              <w:topLinePunct w:val="0"/>
              <w:bidi w:val="0"/>
              <w:snapToGrid/>
              <w:spacing w:before="0" w:after="0" w:line="480" w:lineRule="exact"/>
              <w:ind w:right="0" w:firstLine="480" w:firstLineChars="200"/>
              <w:rPr>
                <w:rFonts w:hint="default" w:ascii="Times New Roman" w:hAnsi="Times New Roman" w:cs="Times New Roman"/>
                <w:sz w:val="24"/>
              </w:rPr>
            </w:pPr>
            <w:r>
              <w:rPr>
                <w:rFonts w:hint="default" w:ascii="Times New Roman" w:hAnsi="Times New Roman" w:cs="Times New Roman"/>
                <w:sz w:val="24"/>
              </w:rPr>
              <w:t>监测因子：等效连续A声级。</w:t>
            </w:r>
          </w:p>
          <w:p w14:paraId="6673C95B">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kern w:val="0"/>
                <w:sz w:val="24"/>
              </w:rPr>
            </w:pPr>
            <w:r>
              <w:rPr>
                <w:rFonts w:hint="default" w:ascii="Times New Roman" w:hAnsi="Times New Roman" w:cs="Times New Roman"/>
                <w:sz w:val="24"/>
              </w:rPr>
              <w:t>3</w:t>
            </w:r>
            <w:r>
              <w:rPr>
                <w:rFonts w:hint="default" w:ascii="Times New Roman" w:hAnsi="Times New Roman" w:eastAsia="宋体" w:cs="Times New Roman"/>
                <w:kern w:val="0"/>
                <w:sz w:val="24"/>
              </w:rPr>
              <w:t>.2 监测单位及监测时间</w:t>
            </w:r>
          </w:p>
          <w:p w14:paraId="0300A305">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kern w:val="0"/>
                <w:sz w:val="24"/>
              </w:rPr>
            </w:pPr>
            <w:r>
              <w:rPr>
                <w:rFonts w:hint="default" w:ascii="Times New Roman" w:hAnsi="Times New Roman" w:eastAsia="宋体" w:cs="Times New Roman"/>
                <w:kern w:val="0"/>
                <w:sz w:val="24"/>
              </w:rPr>
              <w:t>监测单位：新疆中测测试有限责任公司</w:t>
            </w:r>
          </w:p>
          <w:p w14:paraId="20B653F7">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kern w:val="0"/>
                <w:sz w:val="24"/>
              </w:rPr>
            </w:pPr>
            <w:r>
              <w:rPr>
                <w:rFonts w:hint="default" w:ascii="Times New Roman" w:hAnsi="Times New Roman" w:eastAsia="宋体" w:cs="Times New Roman"/>
                <w:kern w:val="0"/>
                <w:sz w:val="24"/>
              </w:rPr>
              <w:t>监测时间：202</w:t>
            </w:r>
            <w:r>
              <w:rPr>
                <w:rFonts w:hint="default" w:ascii="Times New Roman" w:hAnsi="Times New Roman" w:eastAsia="宋体" w:cs="Times New Roman"/>
                <w:kern w:val="0"/>
                <w:sz w:val="24"/>
                <w:lang w:val="en-US" w:eastAsia="zh-CN"/>
              </w:rPr>
              <w:t>5</w:t>
            </w:r>
            <w:r>
              <w:rPr>
                <w:rFonts w:hint="default" w:ascii="Times New Roman" w:hAnsi="Times New Roman" w:eastAsia="宋体" w:cs="Times New Roman"/>
                <w:kern w:val="0"/>
                <w:sz w:val="24"/>
              </w:rPr>
              <w:t>年</w:t>
            </w:r>
            <w:r>
              <w:rPr>
                <w:rFonts w:hint="default" w:ascii="Times New Roman" w:hAnsi="Times New Roman" w:eastAsia="宋体" w:cs="Times New Roman"/>
                <w:kern w:val="0"/>
                <w:sz w:val="24"/>
                <w:lang w:val="en-US" w:eastAsia="zh-CN"/>
              </w:rPr>
              <w:t>11</w:t>
            </w:r>
            <w:r>
              <w:rPr>
                <w:rFonts w:hint="default" w:ascii="Times New Roman" w:hAnsi="Times New Roman" w:eastAsia="宋体" w:cs="Times New Roman"/>
                <w:kern w:val="0"/>
                <w:sz w:val="24"/>
              </w:rPr>
              <w:t>月</w:t>
            </w:r>
            <w:r>
              <w:rPr>
                <w:rFonts w:hint="default" w:ascii="Times New Roman" w:hAnsi="Times New Roman" w:eastAsia="宋体" w:cs="Times New Roman"/>
                <w:kern w:val="0"/>
                <w:sz w:val="24"/>
                <w:lang w:val="en-US" w:eastAsia="zh-CN"/>
              </w:rPr>
              <w:t>24日-25</w:t>
            </w:r>
            <w:r>
              <w:rPr>
                <w:rFonts w:hint="default" w:ascii="Times New Roman" w:hAnsi="Times New Roman" w:eastAsia="宋体" w:cs="Times New Roman"/>
                <w:kern w:val="0"/>
                <w:sz w:val="24"/>
              </w:rPr>
              <w:t>日，昼夜代表性时间段。</w:t>
            </w:r>
          </w:p>
          <w:p w14:paraId="501D567C">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kern w:val="0"/>
                <w:sz w:val="24"/>
              </w:rPr>
            </w:pPr>
            <w:r>
              <w:rPr>
                <w:rFonts w:hint="default" w:ascii="Times New Roman" w:hAnsi="Times New Roman" w:eastAsia="宋体" w:cs="Times New Roman"/>
                <w:kern w:val="0"/>
                <w:sz w:val="24"/>
              </w:rPr>
              <w:t>3.3 监测布点</w:t>
            </w:r>
          </w:p>
          <w:p w14:paraId="5426AE97">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kern w:val="0"/>
                <w:sz w:val="24"/>
              </w:rPr>
            </w:pPr>
            <w:r>
              <w:rPr>
                <w:rFonts w:hint="default" w:ascii="Times New Roman" w:hAnsi="Times New Roman" w:eastAsia="宋体" w:cs="Times New Roman"/>
                <w:kern w:val="0"/>
                <w:sz w:val="24"/>
              </w:rPr>
              <w:t>按照《环境影响评价技术导则</w:t>
            </w:r>
            <w:r>
              <w:rPr>
                <w:rFonts w:hint="default" w:ascii="Times New Roman" w:hAnsi="Times New Roman" w:eastAsia="宋体" w:cs="Times New Roman"/>
                <w:kern w:val="0"/>
                <w:sz w:val="24"/>
                <w:lang w:val="en-US" w:eastAsia="zh-CN"/>
              </w:rPr>
              <w:t xml:space="preserve"> </w:t>
            </w:r>
            <w:r>
              <w:rPr>
                <w:rFonts w:hint="default" w:ascii="Times New Roman" w:hAnsi="Times New Roman" w:eastAsia="宋体" w:cs="Times New Roman"/>
                <w:kern w:val="0"/>
                <w:sz w:val="24"/>
              </w:rPr>
              <w:t>输变电》（HJ24-2020）及《声环境质量标准》（GB3096-2008）规定，噪声环境现状调查、影响预测及评价需要对本工程</w:t>
            </w:r>
            <w:r>
              <w:rPr>
                <w:rFonts w:hint="eastAsia" w:cs="Times New Roman"/>
                <w:kern w:val="0"/>
                <w:sz w:val="24"/>
                <w:lang w:val="en-US" w:eastAsia="zh-CN"/>
              </w:rPr>
              <w:t>所在厂区</w:t>
            </w:r>
            <w:r>
              <w:rPr>
                <w:rFonts w:hint="default" w:ascii="Times New Roman" w:hAnsi="Times New Roman" w:eastAsia="宋体" w:cs="Times New Roman"/>
                <w:kern w:val="0"/>
                <w:sz w:val="24"/>
              </w:rPr>
              <w:t>四周布点监测，共</w:t>
            </w:r>
            <w:r>
              <w:rPr>
                <w:rFonts w:hint="default" w:ascii="Times New Roman" w:hAnsi="Times New Roman" w:eastAsia="宋体" w:cs="Times New Roman"/>
                <w:kern w:val="0"/>
                <w:sz w:val="24"/>
                <w:lang w:val="en-US" w:eastAsia="zh-CN"/>
              </w:rPr>
              <w:t>4</w:t>
            </w:r>
            <w:r>
              <w:rPr>
                <w:rFonts w:hint="default" w:ascii="Times New Roman" w:hAnsi="Times New Roman" w:eastAsia="宋体" w:cs="Times New Roman"/>
                <w:kern w:val="0"/>
                <w:sz w:val="24"/>
              </w:rPr>
              <w:t>个监测点。本工程声环境现状监测点位见表3-</w:t>
            </w:r>
            <w:r>
              <w:rPr>
                <w:rFonts w:hint="default" w:ascii="Times New Roman" w:hAnsi="Times New Roman" w:eastAsia="宋体" w:cs="Times New Roman"/>
                <w:kern w:val="0"/>
                <w:sz w:val="24"/>
                <w:lang w:val="en-US" w:eastAsia="zh-CN"/>
              </w:rPr>
              <w:t>3</w:t>
            </w:r>
            <w:r>
              <w:rPr>
                <w:rFonts w:hint="eastAsia" w:cs="Times New Roman"/>
                <w:kern w:val="0"/>
                <w:sz w:val="24"/>
                <w:lang w:val="en-US" w:eastAsia="zh-CN"/>
              </w:rPr>
              <w:t>及</w:t>
            </w:r>
            <w:r>
              <w:rPr>
                <w:rFonts w:hint="default" w:ascii="Times New Roman" w:hAnsi="Times New Roman" w:eastAsia="宋体" w:cs="Times New Roman"/>
                <w:kern w:val="0"/>
                <w:sz w:val="24"/>
              </w:rPr>
              <w:t>图3-</w:t>
            </w:r>
            <w:r>
              <w:rPr>
                <w:rFonts w:hint="eastAsia" w:ascii="Times New Roman" w:hAnsi="Times New Roman" w:cs="Times New Roman"/>
                <w:kern w:val="0"/>
                <w:sz w:val="24"/>
                <w:lang w:val="en-US" w:eastAsia="zh-CN"/>
              </w:rPr>
              <w:t>6</w:t>
            </w:r>
            <w:r>
              <w:rPr>
                <w:rFonts w:hint="default" w:ascii="Times New Roman" w:hAnsi="Times New Roman" w:eastAsia="宋体" w:cs="Times New Roman"/>
                <w:kern w:val="0"/>
                <w:sz w:val="24"/>
              </w:rPr>
              <w:t>。</w:t>
            </w:r>
          </w:p>
          <w:p w14:paraId="59F88C30">
            <w:pPr>
              <w:pStyle w:val="67"/>
              <w:numPr>
                <w:ilvl w:val="0"/>
                <w:numId w:val="0"/>
              </w:numPr>
              <w:tabs>
                <w:tab w:val="center" w:pos="2721"/>
              </w:tabs>
              <w:spacing w:line="480" w:lineRule="exact"/>
              <w:ind w:left="420" w:leftChars="0"/>
              <w:jc w:val="center"/>
              <w:rPr>
                <w:rFonts w:hint="default" w:ascii="Times New Roman" w:hAnsi="Times New Roman" w:eastAsia="黑体" w:cs="Times New Roman"/>
              </w:rPr>
            </w:pPr>
            <w:r>
              <w:rPr>
                <w:rFonts w:hint="default" w:ascii="Times New Roman" w:hAnsi="Times New Roman" w:eastAsia="黑体" w:cs="Times New Roman"/>
                <w:smallCaps w:val="0"/>
                <w:color w:val="auto"/>
                <w:spacing w:val="0"/>
                <w:w w:val="100"/>
                <w:position w:val="0"/>
                <w:sz w:val="21"/>
                <w:szCs w:val="21"/>
                <w:highlight w:val="none"/>
                <w:lang w:val="en-US" w:eastAsia="zh-CN"/>
              </w:rPr>
              <w:t xml:space="preserve">表3-3  </w:t>
            </w:r>
            <w:r>
              <w:rPr>
                <w:rFonts w:hint="default" w:ascii="Times New Roman" w:hAnsi="Times New Roman" w:eastAsia="黑体" w:cs="Times New Roman"/>
              </w:rPr>
              <w:t>本工程声环境现状监测点位一览表</w:t>
            </w:r>
          </w:p>
          <w:tbl>
            <w:tblPr>
              <w:tblStyle w:val="44"/>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0" w:type="dxa"/>
                <w:bottom w:w="57" w:type="dxa"/>
                <w:right w:w="0" w:type="dxa"/>
              </w:tblCellMar>
            </w:tblPr>
            <w:tblGrid>
              <w:gridCol w:w="318"/>
              <w:gridCol w:w="816"/>
              <w:gridCol w:w="806"/>
              <w:gridCol w:w="1784"/>
              <w:gridCol w:w="602"/>
              <w:gridCol w:w="960"/>
              <w:gridCol w:w="917"/>
              <w:gridCol w:w="1487"/>
            </w:tblGrid>
            <w:tr w14:paraId="0539F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rPr>
                <w:jc w:val="center"/>
              </w:trPr>
              <w:tc>
                <w:tcPr>
                  <w:tcW w:w="207" w:type="pct"/>
                  <w:vAlign w:val="center"/>
                </w:tcPr>
                <w:p w14:paraId="2F26E913">
                  <w:pPr>
                    <w:jc w:val="center"/>
                    <w:rPr>
                      <w:rFonts w:hint="default" w:ascii="Times New Roman" w:hAnsi="Times New Roman" w:cs="Times New Roman"/>
                    </w:rPr>
                  </w:pPr>
                  <w:r>
                    <w:rPr>
                      <w:rFonts w:hint="default" w:ascii="Times New Roman" w:hAnsi="Times New Roman" w:cs="Times New Roman"/>
                    </w:rPr>
                    <w:t>序号</w:t>
                  </w:r>
                </w:p>
              </w:tc>
              <w:tc>
                <w:tcPr>
                  <w:tcW w:w="530" w:type="pct"/>
                  <w:vAlign w:val="center"/>
                </w:tcPr>
                <w:p w14:paraId="02C85D5D">
                  <w:pPr>
                    <w:jc w:val="center"/>
                    <w:rPr>
                      <w:rFonts w:hint="default" w:ascii="Times New Roman" w:hAnsi="Times New Roman" w:cs="Times New Roman"/>
                    </w:rPr>
                  </w:pPr>
                  <w:r>
                    <w:rPr>
                      <w:rFonts w:hint="default" w:ascii="Times New Roman" w:hAnsi="Times New Roman" w:cs="Times New Roman"/>
                    </w:rPr>
                    <w:t>监测点位置</w:t>
                  </w:r>
                </w:p>
              </w:tc>
              <w:tc>
                <w:tcPr>
                  <w:tcW w:w="524" w:type="pct"/>
                  <w:vAlign w:val="center"/>
                </w:tcPr>
                <w:p w14:paraId="5BB27BFF">
                  <w:pPr>
                    <w:jc w:val="center"/>
                    <w:rPr>
                      <w:rFonts w:hint="default" w:ascii="Times New Roman" w:hAnsi="Times New Roman" w:cs="Times New Roman"/>
                    </w:rPr>
                  </w:pPr>
                  <w:r>
                    <w:rPr>
                      <w:rFonts w:hint="default" w:ascii="Times New Roman" w:hAnsi="Times New Roman" w:cs="Times New Roman"/>
                    </w:rPr>
                    <w:t>编号</w:t>
                  </w:r>
                </w:p>
              </w:tc>
              <w:tc>
                <w:tcPr>
                  <w:tcW w:w="1159" w:type="pct"/>
                  <w:vAlign w:val="center"/>
                </w:tcPr>
                <w:p w14:paraId="694BBCDA">
                  <w:pPr>
                    <w:jc w:val="center"/>
                    <w:rPr>
                      <w:rFonts w:hint="default" w:ascii="Times New Roman" w:hAnsi="Times New Roman" w:cs="Times New Roman"/>
                    </w:rPr>
                  </w:pPr>
                  <w:r>
                    <w:rPr>
                      <w:rFonts w:hint="default" w:ascii="Times New Roman" w:hAnsi="Times New Roman" w:cs="Times New Roman"/>
                    </w:rPr>
                    <w:t>坐标</w:t>
                  </w:r>
                </w:p>
              </w:tc>
              <w:tc>
                <w:tcPr>
                  <w:tcW w:w="391" w:type="pct"/>
                  <w:vAlign w:val="center"/>
                </w:tcPr>
                <w:p w14:paraId="1998F886">
                  <w:pPr>
                    <w:jc w:val="center"/>
                    <w:rPr>
                      <w:rFonts w:hint="default" w:ascii="Times New Roman" w:hAnsi="Times New Roman" w:cs="Times New Roman"/>
                    </w:rPr>
                  </w:pPr>
                  <w:r>
                    <w:rPr>
                      <w:rFonts w:hint="default" w:ascii="Times New Roman" w:hAnsi="Times New Roman" w:cs="Times New Roman"/>
                    </w:rPr>
                    <w:t>监测时间</w:t>
                  </w:r>
                </w:p>
              </w:tc>
              <w:tc>
                <w:tcPr>
                  <w:tcW w:w="624" w:type="pct"/>
                  <w:vAlign w:val="center"/>
                </w:tcPr>
                <w:p w14:paraId="1C82F3CA">
                  <w:pPr>
                    <w:jc w:val="center"/>
                    <w:rPr>
                      <w:rFonts w:hint="default" w:ascii="Times New Roman" w:hAnsi="Times New Roman" w:cs="Times New Roman"/>
                    </w:rPr>
                  </w:pPr>
                  <w:r>
                    <w:rPr>
                      <w:rFonts w:hint="default" w:ascii="Times New Roman" w:hAnsi="Times New Roman" w:cs="Times New Roman"/>
                    </w:rPr>
                    <w:t>监测频次</w:t>
                  </w:r>
                </w:p>
              </w:tc>
              <w:tc>
                <w:tcPr>
                  <w:tcW w:w="596" w:type="pct"/>
                  <w:vAlign w:val="center"/>
                </w:tcPr>
                <w:p w14:paraId="66CF4E51">
                  <w:pPr>
                    <w:jc w:val="center"/>
                    <w:rPr>
                      <w:rFonts w:hint="default" w:ascii="Times New Roman" w:hAnsi="Times New Roman" w:cs="Times New Roman"/>
                    </w:rPr>
                  </w:pPr>
                  <w:r>
                    <w:rPr>
                      <w:rFonts w:hint="default" w:ascii="Times New Roman" w:hAnsi="Times New Roman" w:cs="Times New Roman"/>
                    </w:rPr>
                    <w:t>监测因子</w:t>
                  </w:r>
                </w:p>
              </w:tc>
              <w:tc>
                <w:tcPr>
                  <w:tcW w:w="966" w:type="pct"/>
                  <w:vAlign w:val="center"/>
                </w:tcPr>
                <w:p w14:paraId="3A2B096B">
                  <w:pPr>
                    <w:jc w:val="center"/>
                    <w:rPr>
                      <w:rFonts w:hint="eastAsia" w:ascii="Times New Roman" w:hAnsi="Times New Roman" w:eastAsia="宋体" w:cs="Times New Roman"/>
                      <w:lang w:val="en-US" w:eastAsia="zh-CN"/>
                    </w:rPr>
                  </w:pPr>
                  <w:r>
                    <w:rPr>
                      <w:rFonts w:hint="eastAsia" w:cs="Times New Roman"/>
                      <w:lang w:val="en-US" w:eastAsia="zh-CN"/>
                    </w:rPr>
                    <w:t>备注</w:t>
                  </w:r>
                </w:p>
              </w:tc>
            </w:tr>
            <w:tr w14:paraId="5A1B2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rPr>
                <w:jc w:val="center"/>
              </w:trPr>
              <w:tc>
                <w:tcPr>
                  <w:tcW w:w="207" w:type="pct"/>
                  <w:vAlign w:val="center"/>
                </w:tcPr>
                <w:p w14:paraId="24ECF182">
                  <w:pPr>
                    <w:jc w:val="center"/>
                    <w:rPr>
                      <w:rFonts w:hint="default" w:ascii="Times New Roman" w:hAnsi="Times New Roman" w:cs="Times New Roman"/>
                    </w:rPr>
                  </w:pPr>
                  <w:r>
                    <w:rPr>
                      <w:rFonts w:hint="default" w:ascii="Times New Roman" w:hAnsi="Times New Roman" w:cs="Times New Roman"/>
                    </w:rPr>
                    <w:t>1</w:t>
                  </w:r>
                </w:p>
              </w:tc>
              <w:tc>
                <w:tcPr>
                  <w:tcW w:w="530" w:type="pct"/>
                  <w:vAlign w:val="center"/>
                </w:tcPr>
                <w:p w14:paraId="30F9D208">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auto"/>
                    <w:rPr>
                      <w:rFonts w:hint="default" w:ascii="Times New Roman" w:hAnsi="Times New Roman" w:cs="Times New Roman"/>
                    </w:rPr>
                  </w:pPr>
                  <w:r>
                    <w:rPr>
                      <w:rFonts w:hint="default" w:ascii="Times New Roman" w:hAnsi="Times New Roman" w:cs="Times New Roman" w:eastAsiaTheme="minorEastAsia"/>
                      <w:color w:val="auto"/>
                      <w:kern w:val="0"/>
                      <w:sz w:val="21"/>
                      <w:szCs w:val="21"/>
                      <w:highlight w:val="none"/>
                      <w:lang w:val="en-US" w:eastAsia="zh-CN"/>
                    </w:rPr>
                    <w:t>纺纱区东厂界</w:t>
                  </w:r>
                </w:p>
              </w:tc>
              <w:tc>
                <w:tcPr>
                  <w:tcW w:w="524" w:type="pct"/>
                  <w:vAlign w:val="center"/>
                </w:tcPr>
                <w:p w14:paraId="7AFB5385">
                  <w:pPr>
                    <w:jc w:val="center"/>
                    <w:rPr>
                      <w:rFonts w:hint="default" w:ascii="Times New Roman" w:hAnsi="Times New Roman" w:cs="Times New Roman"/>
                    </w:rPr>
                  </w:pPr>
                  <w:r>
                    <w:rPr>
                      <w:rFonts w:hint="default" w:ascii="Times New Roman" w:hAnsi="Times New Roman" w:cs="Times New Roman"/>
                      <w:lang w:val="en-US" w:eastAsia="zh-CN"/>
                    </w:rPr>
                    <w:t>Z</w:t>
                  </w:r>
                  <w:r>
                    <w:rPr>
                      <w:rFonts w:hint="default" w:ascii="Times New Roman" w:hAnsi="Times New Roman" w:cs="Times New Roman"/>
                    </w:rPr>
                    <w:t>1</w:t>
                  </w:r>
                </w:p>
              </w:tc>
              <w:tc>
                <w:tcPr>
                  <w:tcW w:w="1159" w:type="pct"/>
                  <w:vAlign w:val="center"/>
                </w:tcPr>
                <w:p w14:paraId="16C0149F">
                  <w:pPr>
                    <w:jc w:val="center"/>
                    <w:rPr>
                      <w:rFonts w:hint="default" w:ascii="Times New Roman" w:hAnsi="Times New Roman" w:cs="Times New Roman"/>
                    </w:rPr>
                  </w:pPr>
                </w:p>
              </w:tc>
              <w:tc>
                <w:tcPr>
                  <w:tcW w:w="391" w:type="pct"/>
                  <w:vMerge w:val="restart"/>
                  <w:vAlign w:val="center"/>
                </w:tcPr>
                <w:p w14:paraId="61E3E29D">
                  <w:pPr>
                    <w:jc w:val="center"/>
                    <w:rPr>
                      <w:rFonts w:hint="default" w:ascii="Times New Roman" w:hAnsi="Times New Roman" w:cs="Times New Roman"/>
                    </w:rPr>
                  </w:pPr>
                  <w:r>
                    <w:rPr>
                      <w:rFonts w:hint="default" w:ascii="Times New Roman" w:hAnsi="Times New Roman" w:cs="Times New Roman"/>
                    </w:rPr>
                    <w:t>1天</w:t>
                  </w:r>
                </w:p>
              </w:tc>
              <w:tc>
                <w:tcPr>
                  <w:tcW w:w="624" w:type="pct"/>
                  <w:vMerge w:val="restart"/>
                  <w:vAlign w:val="center"/>
                </w:tcPr>
                <w:p w14:paraId="7E798C7B">
                  <w:pPr>
                    <w:jc w:val="center"/>
                    <w:rPr>
                      <w:rFonts w:hint="default" w:ascii="Times New Roman" w:hAnsi="Times New Roman" w:cs="Times New Roman"/>
                    </w:rPr>
                  </w:pPr>
                  <w:r>
                    <w:rPr>
                      <w:rFonts w:hint="default" w:ascii="Times New Roman" w:hAnsi="Times New Roman" w:cs="Times New Roman"/>
                    </w:rPr>
                    <w:t>昼间、夜间各1次</w:t>
                  </w:r>
                </w:p>
              </w:tc>
              <w:tc>
                <w:tcPr>
                  <w:tcW w:w="596" w:type="pct"/>
                  <w:vMerge w:val="restart"/>
                  <w:vAlign w:val="center"/>
                </w:tcPr>
                <w:p w14:paraId="180F36A8">
                  <w:pPr>
                    <w:jc w:val="center"/>
                    <w:rPr>
                      <w:rFonts w:hint="default" w:ascii="Times New Roman" w:hAnsi="Times New Roman" w:cs="Times New Roman"/>
                    </w:rPr>
                  </w:pPr>
                  <w:r>
                    <w:rPr>
                      <w:rFonts w:hint="default" w:ascii="Times New Roman" w:hAnsi="Times New Roman" w:cs="Times New Roman"/>
                    </w:rPr>
                    <w:t>等效连续A声级</w:t>
                  </w:r>
                </w:p>
              </w:tc>
              <w:tc>
                <w:tcPr>
                  <w:tcW w:w="966" w:type="pct"/>
                  <w:vMerge w:val="restart"/>
                  <w:vAlign w:val="center"/>
                </w:tcPr>
                <w:p w14:paraId="79BA67C8">
                  <w:pPr>
                    <w:jc w:val="center"/>
                    <w:rPr>
                      <w:rFonts w:hint="default" w:ascii="Times New Roman" w:hAnsi="Times New Roman" w:cs="Times New Roman"/>
                    </w:rPr>
                  </w:pPr>
                  <w:r>
                    <w:rPr>
                      <w:rFonts w:hint="default" w:ascii="Times New Roman" w:hAnsi="Times New Roman" w:cs="Times New Roman"/>
                    </w:rPr>
                    <w:t>现状噪声数据引自鸿泰鼎绿色新材料纺织产业园（一期）环评监测报告，监测时间：2025</w:t>
                  </w:r>
                  <w:r>
                    <w:rPr>
                      <w:rFonts w:hint="eastAsia" w:cs="Times New Roman"/>
                      <w:lang w:val="en-US" w:eastAsia="zh-CN"/>
                    </w:rPr>
                    <w:t>.</w:t>
                  </w:r>
                  <w:r>
                    <w:rPr>
                      <w:rFonts w:hint="default" w:ascii="Times New Roman" w:hAnsi="Times New Roman" w:cs="Times New Roman"/>
                    </w:rPr>
                    <w:t>11</w:t>
                  </w:r>
                  <w:r>
                    <w:rPr>
                      <w:rFonts w:hint="eastAsia" w:cs="Times New Roman"/>
                      <w:lang w:val="en-US" w:eastAsia="zh-CN"/>
                    </w:rPr>
                    <w:t>.</w:t>
                  </w:r>
                  <w:r>
                    <w:rPr>
                      <w:rFonts w:hint="default" w:ascii="Times New Roman" w:hAnsi="Times New Roman" w:cs="Times New Roman"/>
                    </w:rPr>
                    <w:t>24~25。</w:t>
                  </w:r>
                </w:p>
              </w:tc>
            </w:tr>
            <w:tr w14:paraId="52CE4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rPr>
                <w:jc w:val="center"/>
              </w:trPr>
              <w:tc>
                <w:tcPr>
                  <w:tcW w:w="207" w:type="pct"/>
                  <w:vAlign w:val="center"/>
                </w:tcPr>
                <w:p w14:paraId="043C2180">
                  <w:pPr>
                    <w:jc w:val="center"/>
                    <w:rPr>
                      <w:rFonts w:hint="default" w:ascii="Times New Roman" w:hAnsi="Times New Roman" w:cs="Times New Roman"/>
                    </w:rPr>
                  </w:pPr>
                  <w:r>
                    <w:rPr>
                      <w:rFonts w:hint="default" w:ascii="Times New Roman" w:hAnsi="Times New Roman" w:cs="Times New Roman"/>
                    </w:rPr>
                    <w:t>2</w:t>
                  </w:r>
                </w:p>
              </w:tc>
              <w:tc>
                <w:tcPr>
                  <w:tcW w:w="530" w:type="pct"/>
                  <w:vAlign w:val="center"/>
                </w:tcPr>
                <w:p w14:paraId="11DDDD2E">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auto"/>
                    <w:rPr>
                      <w:rFonts w:hint="default" w:ascii="Times New Roman" w:hAnsi="Times New Roman" w:cs="Times New Roman"/>
                    </w:rPr>
                  </w:pPr>
                  <w:r>
                    <w:rPr>
                      <w:rFonts w:hint="default" w:ascii="Times New Roman" w:hAnsi="Times New Roman" w:cs="Times New Roman" w:eastAsiaTheme="minorEastAsia"/>
                      <w:color w:val="auto"/>
                      <w:kern w:val="0"/>
                      <w:sz w:val="21"/>
                      <w:szCs w:val="21"/>
                      <w:highlight w:val="none"/>
                      <w:lang w:val="en-US" w:eastAsia="zh-CN"/>
                    </w:rPr>
                    <w:t>纺纱区南厂界</w:t>
                  </w:r>
                </w:p>
              </w:tc>
              <w:tc>
                <w:tcPr>
                  <w:tcW w:w="524" w:type="pct"/>
                  <w:vAlign w:val="center"/>
                </w:tcPr>
                <w:p w14:paraId="077AF19A">
                  <w:pPr>
                    <w:jc w:val="center"/>
                    <w:rPr>
                      <w:rFonts w:hint="default" w:ascii="Times New Roman" w:hAnsi="Times New Roman" w:cs="Times New Roman"/>
                    </w:rPr>
                  </w:pPr>
                  <w:r>
                    <w:rPr>
                      <w:rFonts w:hint="default" w:ascii="Times New Roman" w:hAnsi="Times New Roman" w:cs="Times New Roman"/>
                      <w:lang w:val="en-US" w:eastAsia="zh-CN"/>
                    </w:rPr>
                    <w:t>Z</w:t>
                  </w:r>
                  <w:r>
                    <w:rPr>
                      <w:rFonts w:hint="default" w:ascii="Times New Roman" w:hAnsi="Times New Roman" w:cs="Times New Roman"/>
                    </w:rPr>
                    <w:t>2</w:t>
                  </w:r>
                </w:p>
              </w:tc>
              <w:tc>
                <w:tcPr>
                  <w:tcW w:w="1159" w:type="pct"/>
                  <w:vAlign w:val="center"/>
                </w:tcPr>
                <w:p w14:paraId="129343CA">
                  <w:pPr>
                    <w:jc w:val="center"/>
                    <w:rPr>
                      <w:rFonts w:hint="default" w:ascii="Times New Roman" w:hAnsi="Times New Roman" w:cs="Times New Roman"/>
                    </w:rPr>
                  </w:pPr>
                </w:p>
              </w:tc>
              <w:tc>
                <w:tcPr>
                  <w:tcW w:w="391" w:type="pct"/>
                  <w:vMerge w:val="continue"/>
                  <w:vAlign w:val="center"/>
                </w:tcPr>
                <w:p w14:paraId="369C619E">
                  <w:pPr>
                    <w:jc w:val="center"/>
                    <w:rPr>
                      <w:rFonts w:hint="default" w:ascii="Times New Roman" w:hAnsi="Times New Roman" w:cs="Times New Roman"/>
                    </w:rPr>
                  </w:pPr>
                </w:p>
              </w:tc>
              <w:tc>
                <w:tcPr>
                  <w:tcW w:w="624" w:type="pct"/>
                  <w:vMerge w:val="continue"/>
                  <w:vAlign w:val="center"/>
                </w:tcPr>
                <w:p w14:paraId="2859BDF2">
                  <w:pPr>
                    <w:jc w:val="center"/>
                    <w:rPr>
                      <w:rFonts w:hint="default" w:ascii="Times New Roman" w:hAnsi="Times New Roman" w:cs="Times New Roman"/>
                    </w:rPr>
                  </w:pPr>
                </w:p>
              </w:tc>
              <w:tc>
                <w:tcPr>
                  <w:tcW w:w="596" w:type="pct"/>
                  <w:vMerge w:val="continue"/>
                  <w:vAlign w:val="center"/>
                </w:tcPr>
                <w:p w14:paraId="15D8B4B3">
                  <w:pPr>
                    <w:jc w:val="center"/>
                    <w:rPr>
                      <w:rFonts w:hint="default" w:ascii="Times New Roman" w:hAnsi="Times New Roman" w:cs="Times New Roman"/>
                    </w:rPr>
                  </w:pPr>
                </w:p>
              </w:tc>
              <w:tc>
                <w:tcPr>
                  <w:tcW w:w="966" w:type="pct"/>
                  <w:vMerge w:val="continue"/>
                  <w:vAlign w:val="center"/>
                </w:tcPr>
                <w:p w14:paraId="6D5B826F">
                  <w:pPr>
                    <w:jc w:val="center"/>
                    <w:rPr>
                      <w:rFonts w:hint="default" w:ascii="Times New Roman" w:hAnsi="Times New Roman" w:cs="Times New Roman"/>
                    </w:rPr>
                  </w:pPr>
                </w:p>
              </w:tc>
            </w:tr>
            <w:tr w14:paraId="63F63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rPr>
                <w:jc w:val="center"/>
              </w:trPr>
              <w:tc>
                <w:tcPr>
                  <w:tcW w:w="207" w:type="pct"/>
                  <w:vAlign w:val="center"/>
                </w:tcPr>
                <w:p w14:paraId="467A67C2">
                  <w:pPr>
                    <w:jc w:val="center"/>
                    <w:rPr>
                      <w:rFonts w:hint="default" w:ascii="Times New Roman" w:hAnsi="Times New Roman" w:cs="Times New Roman"/>
                    </w:rPr>
                  </w:pPr>
                  <w:r>
                    <w:rPr>
                      <w:rFonts w:hint="default" w:ascii="Times New Roman" w:hAnsi="Times New Roman" w:cs="Times New Roman"/>
                    </w:rPr>
                    <w:t>3</w:t>
                  </w:r>
                </w:p>
              </w:tc>
              <w:tc>
                <w:tcPr>
                  <w:tcW w:w="530" w:type="pct"/>
                  <w:vAlign w:val="center"/>
                </w:tcPr>
                <w:p w14:paraId="60EB6480">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auto"/>
                    <w:rPr>
                      <w:rFonts w:hint="default" w:ascii="Times New Roman" w:hAnsi="Times New Roman" w:cs="Times New Roman"/>
                    </w:rPr>
                  </w:pPr>
                  <w:r>
                    <w:rPr>
                      <w:rFonts w:hint="default" w:ascii="Times New Roman" w:hAnsi="Times New Roman" w:cs="Times New Roman" w:eastAsiaTheme="minorEastAsia"/>
                      <w:color w:val="auto"/>
                      <w:kern w:val="0"/>
                      <w:sz w:val="21"/>
                      <w:szCs w:val="21"/>
                      <w:highlight w:val="none"/>
                      <w:lang w:val="en-US" w:eastAsia="zh-CN"/>
                    </w:rPr>
                    <w:t>纺纱区西厂界</w:t>
                  </w:r>
                </w:p>
              </w:tc>
              <w:tc>
                <w:tcPr>
                  <w:tcW w:w="524" w:type="pct"/>
                  <w:vAlign w:val="center"/>
                </w:tcPr>
                <w:p w14:paraId="417B7956">
                  <w:pPr>
                    <w:jc w:val="center"/>
                    <w:rPr>
                      <w:rFonts w:hint="default" w:ascii="Times New Roman" w:hAnsi="Times New Roman" w:cs="Times New Roman"/>
                    </w:rPr>
                  </w:pPr>
                  <w:r>
                    <w:rPr>
                      <w:rFonts w:hint="default" w:ascii="Times New Roman" w:hAnsi="Times New Roman" w:cs="Times New Roman"/>
                      <w:lang w:val="en-US" w:eastAsia="zh-CN"/>
                    </w:rPr>
                    <w:t>Z</w:t>
                  </w:r>
                  <w:r>
                    <w:rPr>
                      <w:rFonts w:hint="default" w:ascii="Times New Roman" w:hAnsi="Times New Roman" w:cs="Times New Roman"/>
                    </w:rPr>
                    <w:t>3</w:t>
                  </w:r>
                </w:p>
              </w:tc>
              <w:tc>
                <w:tcPr>
                  <w:tcW w:w="1159" w:type="pct"/>
                  <w:vAlign w:val="center"/>
                </w:tcPr>
                <w:p w14:paraId="38EAB53B">
                  <w:pPr>
                    <w:jc w:val="center"/>
                    <w:rPr>
                      <w:rFonts w:hint="default" w:ascii="Times New Roman" w:hAnsi="Times New Roman" w:cs="Times New Roman"/>
                    </w:rPr>
                  </w:pPr>
                </w:p>
              </w:tc>
              <w:tc>
                <w:tcPr>
                  <w:tcW w:w="391" w:type="pct"/>
                  <w:vMerge w:val="continue"/>
                  <w:vAlign w:val="center"/>
                </w:tcPr>
                <w:p w14:paraId="1F375BDF">
                  <w:pPr>
                    <w:jc w:val="center"/>
                    <w:rPr>
                      <w:rFonts w:hint="default" w:ascii="Times New Roman" w:hAnsi="Times New Roman" w:cs="Times New Roman"/>
                    </w:rPr>
                  </w:pPr>
                </w:p>
              </w:tc>
              <w:tc>
                <w:tcPr>
                  <w:tcW w:w="624" w:type="pct"/>
                  <w:vMerge w:val="continue"/>
                  <w:vAlign w:val="center"/>
                </w:tcPr>
                <w:p w14:paraId="29CC3FC6">
                  <w:pPr>
                    <w:jc w:val="center"/>
                    <w:rPr>
                      <w:rFonts w:hint="default" w:ascii="Times New Roman" w:hAnsi="Times New Roman" w:cs="Times New Roman"/>
                    </w:rPr>
                  </w:pPr>
                </w:p>
              </w:tc>
              <w:tc>
                <w:tcPr>
                  <w:tcW w:w="596" w:type="pct"/>
                  <w:vMerge w:val="continue"/>
                  <w:vAlign w:val="center"/>
                </w:tcPr>
                <w:p w14:paraId="1BB74687">
                  <w:pPr>
                    <w:jc w:val="center"/>
                    <w:rPr>
                      <w:rFonts w:hint="default" w:ascii="Times New Roman" w:hAnsi="Times New Roman" w:cs="Times New Roman"/>
                    </w:rPr>
                  </w:pPr>
                </w:p>
              </w:tc>
              <w:tc>
                <w:tcPr>
                  <w:tcW w:w="966" w:type="pct"/>
                  <w:vMerge w:val="continue"/>
                  <w:vAlign w:val="center"/>
                </w:tcPr>
                <w:p w14:paraId="59A4E302">
                  <w:pPr>
                    <w:jc w:val="center"/>
                    <w:rPr>
                      <w:rFonts w:hint="default" w:ascii="Times New Roman" w:hAnsi="Times New Roman" w:cs="Times New Roman"/>
                    </w:rPr>
                  </w:pPr>
                </w:p>
              </w:tc>
            </w:tr>
            <w:tr w14:paraId="61F80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rPr>
                <w:jc w:val="center"/>
              </w:trPr>
              <w:tc>
                <w:tcPr>
                  <w:tcW w:w="207" w:type="pct"/>
                  <w:vAlign w:val="center"/>
                </w:tcPr>
                <w:p w14:paraId="29773885">
                  <w:pPr>
                    <w:jc w:val="center"/>
                    <w:rPr>
                      <w:rFonts w:hint="default" w:ascii="Times New Roman" w:hAnsi="Times New Roman" w:cs="Times New Roman"/>
                    </w:rPr>
                  </w:pPr>
                  <w:r>
                    <w:rPr>
                      <w:rFonts w:hint="default" w:ascii="Times New Roman" w:hAnsi="Times New Roman" w:cs="Times New Roman"/>
                    </w:rPr>
                    <w:t>4</w:t>
                  </w:r>
                </w:p>
              </w:tc>
              <w:tc>
                <w:tcPr>
                  <w:tcW w:w="530" w:type="pct"/>
                  <w:vAlign w:val="center"/>
                </w:tcPr>
                <w:p w14:paraId="5DC002C8">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auto"/>
                    <w:rPr>
                      <w:rFonts w:hint="default" w:ascii="Times New Roman" w:hAnsi="Times New Roman" w:cs="Times New Roman"/>
                    </w:rPr>
                  </w:pPr>
                  <w:r>
                    <w:rPr>
                      <w:rFonts w:hint="default" w:ascii="Times New Roman" w:hAnsi="Times New Roman" w:cs="Times New Roman" w:eastAsiaTheme="minorEastAsia"/>
                      <w:color w:val="auto"/>
                      <w:kern w:val="0"/>
                      <w:sz w:val="21"/>
                      <w:szCs w:val="21"/>
                      <w:highlight w:val="none"/>
                      <w:lang w:val="en-US" w:eastAsia="zh-CN"/>
                    </w:rPr>
                    <w:t>纺纱区北厂界</w:t>
                  </w:r>
                </w:p>
              </w:tc>
              <w:tc>
                <w:tcPr>
                  <w:tcW w:w="524" w:type="pct"/>
                  <w:vAlign w:val="center"/>
                </w:tcPr>
                <w:p w14:paraId="2A37A2E7">
                  <w:pPr>
                    <w:jc w:val="center"/>
                    <w:rPr>
                      <w:rFonts w:hint="default" w:ascii="Times New Roman" w:hAnsi="Times New Roman" w:cs="Times New Roman"/>
                    </w:rPr>
                  </w:pPr>
                  <w:r>
                    <w:rPr>
                      <w:rFonts w:hint="default" w:ascii="Times New Roman" w:hAnsi="Times New Roman" w:cs="Times New Roman"/>
                      <w:lang w:val="en-US" w:eastAsia="zh-CN"/>
                    </w:rPr>
                    <w:t>Z</w:t>
                  </w:r>
                  <w:r>
                    <w:rPr>
                      <w:rFonts w:hint="default" w:ascii="Times New Roman" w:hAnsi="Times New Roman" w:cs="Times New Roman"/>
                    </w:rPr>
                    <w:t>4</w:t>
                  </w:r>
                </w:p>
              </w:tc>
              <w:tc>
                <w:tcPr>
                  <w:tcW w:w="1159" w:type="pct"/>
                  <w:vAlign w:val="center"/>
                </w:tcPr>
                <w:p w14:paraId="33712F24">
                  <w:pPr>
                    <w:jc w:val="center"/>
                    <w:rPr>
                      <w:rFonts w:hint="default" w:ascii="Times New Roman" w:hAnsi="Times New Roman" w:cs="Times New Roman"/>
                    </w:rPr>
                  </w:pPr>
                </w:p>
              </w:tc>
              <w:tc>
                <w:tcPr>
                  <w:tcW w:w="391" w:type="pct"/>
                  <w:vMerge w:val="continue"/>
                  <w:vAlign w:val="center"/>
                </w:tcPr>
                <w:p w14:paraId="182A4CE6">
                  <w:pPr>
                    <w:jc w:val="center"/>
                    <w:rPr>
                      <w:rFonts w:hint="default" w:ascii="Times New Roman" w:hAnsi="Times New Roman" w:cs="Times New Roman"/>
                    </w:rPr>
                  </w:pPr>
                </w:p>
              </w:tc>
              <w:tc>
                <w:tcPr>
                  <w:tcW w:w="624" w:type="pct"/>
                  <w:vMerge w:val="continue"/>
                  <w:vAlign w:val="center"/>
                </w:tcPr>
                <w:p w14:paraId="29D4DEB6">
                  <w:pPr>
                    <w:jc w:val="center"/>
                    <w:rPr>
                      <w:rFonts w:hint="default" w:ascii="Times New Roman" w:hAnsi="Times New Roman" w:cs="Times New Roman"/>
                    </w:rPr>
                  </w:pPr>
                </w:p>
              </w:tc>
              <w:tc>
                <w:tcPr>
                  <w:tcW w:w="596" w:type="pct"/>
                  <w:vMerge w:val="continue"/>
                  <w:vAlign w:val="center"/>
                </w:tcPr>
                <w:p w14:paraId="6670A6B6">
                  <w:pPr>
                    <w:jc w:val="center"/>
                    <w:rPr>
                      <w:rFonts w:hint="default" w:ascii="Times New Roman" w:hAnsi="Times New Roman" w:cs="Times New Roman"/>
                    </w:rPr>
                  </w:pPr>
                </w:p>
              </w:tc>
              <w:tc>
                <w:tcPr>
                  <w:tcW w:w="966" w:type="pct"/>
                  <w:vMerge w:val="continue"/>
                  <w:vAlign w:val="center"/>
                </w:tcPr>
                <w:p w14:paraId="43DA30F2">
                  <w:pPr>
                    <w:jc w:val="center"/>
                    <w:rPr>
                      <w:rFonts w:hint="default" w:ascii="Times New Roman" w:hAnsi="Times New Roman" w:cs="Times New Roman"/>
                    </w:rPr>
                  </w:pPr>
                </w:p>
              </w:tc>
            </w:tr>
          </w:tbl>
          <w:p w14:paraId="19655F6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b/>
                <w:bCs/>
                <w:sz w:val="21"/>
                <w:szCs w:val="21"/>
              </w:rPr>
            </w:pPr>
            <w:r>
              <w:rPr>
                <w:rFonts w:hint="eastAsia" w:ascii="宋体" w:hAnsi="宋体" w:eastAsia="宋体" w:cs="宋体"/>
                <w:b/>
                <w:bCs/>
                <w:sz w:val="21"/>
                <w:szCs w:val="21"/>
              </w:rPr>
              <w:t>注：引用产业园一期环评纺纱区厂界监测，非本变电站站界实测；项目竣工环保验收需实测本变电站站界噪声。</w:t>
            </w:r>
          </w:p>
          <w:p w14:paraId="75D08C95">
            <w:pPr>
              <w:spacing w:line="480" w:lineRule="exact"/>
              <w:ind w:firstLine="240" w:firstLineChars="100"/>
              <w:rPr>
                <w:rFonts w:hint="default" w:ascii="Times New Roman" w:hAnsi="Times New Roman" w:cs="Times New Roman"/>
                <w:sz w:val="24"/>
              </w:rPr>
            </w:pPr>
            <w:r>
              <w:rPr>
                <w:rFonts w:hint="default" w:ascii="Times New Roman" w:hAnsi="Times New Roman" w:cs="Times New Roman"/>
                <w:sz w:val="24"/>
              </w:rPr>
              <w:t>3.4监测方法及监测仪器及质量保证</w:t>
            </w:r>
          </w:p>
          <w:p w14:paraId="5CAE1E92">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kern w:val="0"/>
                <w:sz w:val="24"/>
              </w:rPr>
            </w:pPr>
            <w:r>
              <w:rPr>
                <w:rFonts w:hint="default" w:ascii="Times New Roman" w:hAnsi="Times New Roman" w:eastAsia="宋体" w:cs="Times New Roman"/>
                <w:kern w:val="0"/>
                <w:sz w:val="24"/>
              </w:rPr>
              <w:t>监测方法采用《声环境质量标准》（GB3096-2008）中规定的方法，监测仪器</w:t>
            </w:r>
            <w:r>
              <w:rPr>
                <w:rFonts w:hint="default" w:ascii="Times New Roman" w:hAnsi="Times New Roman" w:eastAsia="宋体" w:cs="Times New Roman"/>
                <w:kern w:val="0"/>
                <w:sz w:val="24"/>
                <w:lang w:val="en-US" w:eastAsia="zh-CN"/>
              </w:rPr>
              <w:t>采用AWA5688多功能声级计XJZC125</w:t>
            </w:r>
            <w:r>
              <w:rPr>
                <w:rFonts w:hint="default" w:ascii="Times New Roman" w:hAnsi="Times New Roman" w:eastAsia="宋体" w:cs="Times New Roman"/>
                <w:kern w:val="0"/>
                <w:sz w:val="24"/>
              </w:rPr>
              <w:t>。</w:t>
            </w:r>
          </w:p>
          <w:p w14:paraId="558BE2A6">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kern w:val="0"/>
                <w:sz w:val="24"/>
              </w:rPr>
            </w:pPr>
            <w:r>
              <w:rPr>
                <w:rFonts w:hint="default" w:ascii="Times New Roman" w:hAnsi="Times New Roman" w:eastAsia="宋体" w:cs="Times New Roman"/>
                <w:kern w:val="0"/>
                <w:sz w:val="24"/>
              </w:rPr>
              <w:t>质量保证措施：</w:t>
            </w:r>
          </w:p>
          <w:p w14:paraId="77A4998C">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kern w:val="0"/>
                <w:sz w:val="24"/>
              </w:rPr>
            </w:pPr>
            <w:r>
              <w:rPr>
                <w:rFonts w:hint="default" w:ascii="Times New Roman" w:hAnsi="Times New Roman" w:eastAsia="宋体" w:cs="Times New Roman"/>
                <w:kern w:val="0"/>
                <w:sz w:val="24"/>
              </w:rPr>
              <w:t>（1）噪声监测设备使用经计量检定合格且在有效期内的积分平均声级计，其性能不低于2型声级计标准（GB/T3785.1-2010）。监测前，使用声校准器（如1级或2级活塞发声器，标称声压级94dB，频率1000Hz）在监测现场对声级计进行校准，校准示值偏差不得超过±0.5dB。监测结束后，再次进行校验，若前后两次校准偏差超过±0.5dB，则该时段监测数据无效，需重新监测。校准记录应包括校准时间、校准器型号编号、校准前后示值、校准人员签名。</w:t>
            </w:r>
          </w:p>
          <w:p w14:paraId="28D55D30">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kern w:val="0"/>
                <w:sz w:val="24"/>
              </w:rPr>
            </w:pPr>
            <w:r>
              <w:rPr>
                <w:rFonts w:hint="default" w:ascii="Times New Roman" w:hAnsi="Times New Roman" w:eastAsia="宋体" w:cs="Times New Roman"/>
                <w:kern w:val="0"/>
                <w:sz w:val="24"/>
              </w:rPr>
              <w:t>（2）现场监测必须在无雨雪、无雷电天气条件下进行，风速超过5m/s时应中止监测。监测时应同步记录风速、风向、温度、湿度等气象参数，使用风速仪测量传声器高度处的风速。若遇突发气象变化（如阵风、阵雨），应立即停止监测并记录中断时间，待气象条件恢复后重新监测。</w:t>
            </w:r>
          </w:p>
          <w:p w14:paraId="42DF0AF2">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kern w:val="0"/>
                <w:sz w:val="24"/>
              </w:rPr>
            </w:pPr>
            <w:r>
              <w:rPr>
                <w:rFonts w:hint="default" w:ascii="Times New Roman" w:hAnsi="Times New Roman" w:eastAsia="宋体" w:cs="Times New Roman"/>
                <w:kern w:val="0"/>
                <w:sz w:val="24"/>
              </w:rPr>
              <w:t>（3）当厂界监测点受现有声源影响时，应在声源停止运行或远离声源的位置设置背景噪声监测点，背景点与监测点的地形、气象条件应基本一致。若声源无法停止（如道路交通），则选择远离道路的类似开阔地作为背景点。背景噪声与厂界噪声的差值若小于3dB(A)，监测数据应标注"受背景噪声影响显著"，并在评价时进行修正或说明不确定性。</w:t>
            </w:r>
          </w:p>
          <w:p w14:paraId="1A4B50A2">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kern w:val="0"/>
                <w:sz w:val="24"/>
              </w:rPr>
            </w:pPr>
            <w:r>
              <w:rPr>
                <w:rFonts w:hint="default" w:ascii="Times New Roman" w:hAnsi="Times New Roman" w:eastAsia="宋体" w:cs="Times New Roman"/>
                <w:kern w:val="0"/>
                <w:sz w:val="24"/>
              </w:rPr>
              <w:t>（4）监测人员应持环境监测上岗证，熟悉声级计操作规程。监测时，传声器应加防风罩，监测人员应远离传声器（至少0.5米以上），避免人体反射影响。手持声级计时，应使用三脚架固定，确保传声器指向声源方向（若无明显方向性，则垂直向上）。监测过程中禁止大声喧哗、手机铃声、车辆鸣笛等人为干扰。</w:t>
            </w:r>
          </w:p>
          <w:p w14:paraId="43C1F002">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kern w:val="0"/>
                <w:sz w:val="24"/>
              </w:rPr>
            </w:pPr>
            <w:r>
              <w:rPr>
                <w:rFonts w:hint="default" w:ascii="Times New Roman" w:hAnsi="Times New Roman" w:eastAsia="宋体" w:cs="Times New Roman"/>
                <w:kern w:val="0"/>
                <w:sz w:val="24"/>
              </w:rPr>
              <w:t>（5）现场原始记录应使用统一格式的监测记录表，内容包括：监测日期、时段、天气状况、风速风向、测点编号及位置、仪器型号及编号、校准记录。</w:t>
            </w:r>
          </w:p>
          <w:p w14:paraId="61C00835">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kern w:val="0"/>
                <w:sz w:val="24"/>
              </w:rPr>
            </w:pPr>
            <w:r>
              <w:rPr>
                <w:rFonts w:hint="default" w:ascii="Times New Roman" w:hAnsi="Times New Roman" w:eastAsia="宋体" w:cs="Times New Roman"/>
                <w:kern w:val="0"/>
                <w:sz w:val="24"/>
              </w:rPr>
              <w:t>（6）对监测数据进行三级审核：监测人员自审、项目负责人审核、质量负责人审定。审核发现数据异常（如某测点昼夜间差值异常偏大、与经验值不符）时，应分析原因（仪器故障、突发声源、气象突变等），必要时复测。</w:t>
            </w:r>
          </w:p>
          <w:p w14:paraId="5DCF4585">
            <w:pPr>
              <w:spacing w:line="480" w:lineRule="exact"/>
              <w:ind w:firstLine="522"/>
              <w:rPr>
                <w:rFonts w:hint="default" w:ascii="Times New Roman" w:hAnsi="Times New Roman" w:cs="Times New Roman"/>
                <w:sz w:val="24"/>
              </w:rPr>
            </w:pPr>
            <w:r>
              <w:rPr>
                <w:rFonts w:hint="default" w:ascii="Times New Roman" w:hAnsi="Times New Roman" w:cs="Times New Roman"/>
                <w:sz w:val="24"/>
              </w:rPr>
              <w:t>3.5 监测结果</w:t>
            </w:r>
          </w:p>
          <w:p w14:paraId="73AAD4CF">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kern w:val="0"/>
                <w:sz w:val="24"/>
              </w:rPr>
            </w:pPr>
            <w:r>
              <w:rPr>
                <w:rFonts w:hint="default" w:ascii="Times New Roman" w:hAnsi="Times New Roman" w:eastAsia="宋体" w:cs="Times New Roman"/>
                <w:kern w:val="0"/>
                <w:sz w:val="24"/>
              </w:rPr>
              <w:t>监测结果见表3-</w:t>
            </w:r>
            <w:r>
              <w:rPr>
                <w:rFonts w:hint="default" w:ascii="Times New Roman" w:hAnsi="Times New Roman" w:eastAsia="宋体" w:cs="Times New Roman"/>
                <w:kern w:val="0"/>
                <w:sz w:val="24"/>
                <w:lang w:val="en-US" w:eastAsia="zh-CN"/>
              </w:rPr>
              <w:t>4</w:t>
            </w:r>
            <w:r>
              <w:rPr>
                <w:rFonts w:hint="default" w:ascii="Times New Roman" w:hAnsi="Times New Roman" w:eastAsia="宋体" w:cs="Times New Roman"/>
                <w:kern w:val="0"/>
                <w:sz w:val="24"/>
              </w:rPr>
              <w:t>所示。</w:t>
            </w:r>
            <w:r>
              <w:rPr>
                <w:rFonts w:hint="eastAsia" w:cs="Times New Roman"/>
                <w:kern w:val="0"/>
                <w:sz w:val="24"/>
                <w:lang w:val="en-US" w:eastAsia="zh-CN"/>
              </w:rPr>
              <w:t>监测报告见附件3。</w:t>
            </w:r>
            <w:r>
              <w:rPr>
                <w:rFonts w:hint="default" w:ascii="Times New Roman" w:hAnsi="Times New Roman" w:eastAsia="宋体" w:cs="Times New Roman"/>
                <w:kern w:val="0"/>
                <w:sz w:val="24"/>
              </w:rPr>
              <w:t>由监测结果可知，</w:t>
            </w:r>
            <w:r>
              <w:rPr>
                <w:rFonts w:hint="default" w:ascii="Times New Roman" w:hAnsi="Times New Roman" w:eastAsia="宋体" w:cs="Times New Roman"/>
                <w:kern w:val="0"/>
                <w:sz w:val="24"/>
                <w:lang w:val="en-US" w:eastAsia="zh-CN"/>
              </w:rPr>
              <w:t>厂界</w:t>
            </w:r>
            <w:r>
              <w:rPr>
                <w:rFonts w:hint="default" w:ascii="Times New Roman" w:hAnsi="Times New Roman" w:eastAsia="宋体" w:cs="Times New Roman"/>
                <w:kern w:val="0"/>
                <w:sz w:val="24"/>
              </w:rPr>
              <w:t>监测点位昼间噪声监测最大值为</w:t>
            </w:r>
            <w:r>
              <w:rPr>
                <w:rFonts w:hint="default" w:ascii="Times New Roman" w:hAnsi="Times New Roman" w:eastAsia="宋体" w:cs="Times New Roman"/>
                <w:kern w:val="0"/>
                <w:sz w:val="24"/>
                <w:lang w:val="en-US" w:eastAsia="zh-CN"/>
              </w:rPr>
              <w:t>49</w:t>
            </w:r>
            <w:r>
              <w:rPr>
                <w:rFonts w:hint="default" w:ascii="Times New Roman" w:hAnsi="Times New Roman" w:eastAsia="宋体" w:cs="Times New Roman"/>
                <w:kern w:val="0"/>
                <w:sz w:val="24"/>
              </w:rPr>
              <w:t>dB（A），夜间噪声监测最大值为</w:t>
            </w:r>
            <w:r>
              <w:rPr>
                <w:rFonts w:hint="default" w:ascii="Times New Roman" w:hAnsi="Times New Roman" w:eastAsia="宋体" w:cs="Times New Roman"/>
                <w:kern w:val="0"/>
                <w:sz w:val="24"/>
                <w:lang w:val="en-US" w:eastAsia="zh-CN"/>
              </w:rPr>
              <w:t>41</w:t>
            </w:r>
            <w:r>
              <w:rPr>
                <w:rFonts w:hint="default" w:ascii="Times New Roman" w:hAnsi="Times New Roman" w:eastAsia="宋体" w:cs="Times New Roman"/>
                <w:kern w:val="0"/>
                <w:sz w:val="24"/>
              </w:rPr>
              <w:t>dB（A），满足《声环境质量标准》（GB3096-2008）</w:t>
            </w:r>
            <w:r>
              <w:rPr>
                <w:rFonts w:hint="default" w:ascii="Times New Roman" w:hAnsi="Times New Roman" w:eastAsia="宋体" w:cs="Times New Roman"/>
                <w:kern w:val="0"/>
                <w:sz w:val="24"/>
                <w:lang w:val="en-US" w:eastAsia="zh-CN"/>
              </w:rPr>
              <w:t>3</w:t>
            </w:r>
            <w:r>
              <w:rPr>
                <w:rFonts w:hint="default" w:ascii="Times New Roman" w:hAnsi="Times New Roman" w:eastAsia="宋体" w:cs="Times New Roman"/>
                <w:kern w:val="0"/>
                <w:sz w:val="24"/>
              </w:rPr>
              <w:t>类标准昼间</w:t>
            </w:r>
            <w:r>
              <w:rPr>
                <w:rFonts w:hint="default" w:ascii="Times New Roman" w:hAnsi="Times New Roman" w:eastAsia="宋体" w:cs="Times New Roman"/>
                <w:kern w:val="0"/>
                <w:sz w:val="24"/>
                <w:lang w:val="en-US" w:eastAsia="zh-CN"/>
              </w:rPr>
              <w:t>65</w:t>
            </w:r>
            <w:r>
              <w:rPr>
                <w:rFonts w:hint="default" w:ascii="Times New Roman" w:hAnsi="Times New Roman" w:eastAsia="宋体" w:cs="Times New Roman"/>
                <w:kern w:val="0"/>
                <w:sz w:val="24"/>
              </w:rPr>
              <w:t>dB（A），夜间</w:t>
            </w:r>
            <w:r>
              <w:rPr>
                <w:rFonts w:hint="default" w:ascii="Times New Roman" w:hAnsi="Times New Roman" w:eastAsia="宋体" w:cs="Times New Roman"/>
                <w:kern w:val="0"/>
                <w:sz w:val="24"/>
                <w:lang w:val="en-US" w:eastAsia="zh-CN"/>
              </w:rPr>
              <w:t>55</w:t>
            </w:r>
            <w:r>
              <w:rPr>
                <w:rFonts w:hint="default" w:ascii="Times New Roman" w:hAnsi="Times New Roman" w:eastAsia="宋体" w:cs="Times New Roman"/>
                <w:kern w:val="0"/>
                <w:sz w:val="24"/>
              </w:rPr>
              <w:t>dB（A）的限值要求。</w:t>
            </w:r>
          </w:p>
          <w:p w14:paraId="7E9A89E2">
            <w:pPr>
              <w:pStyle w:val="209"/>
              <w:keepNext w:val="0"/>
              <w:keepLines w:val="0"/>
              <w:pageBreakBefore w:val="0"/>
              <w:widowControl w:val="0"/>
              <w:kinsoku/>
              <w:wordWrap/>
              <w:overflowPunct/>
              <w:topLinePunct w:val="0"/>
              <w:autoSpaceDE/>
              <w:autoSpaceDN/>
              <w:bidi w:val="0"/>
              <w:adjustRightInd/>
              <w:snapToGrid/>
              <w:spacing w:beforeLines="0" w:line="480" w:lineRule="exact"/>
              <w:textAlignment w:val="auto"/>
              <w:rPr>
                <w:rFonts w:hint="default" w:ascii="Times New Roman" w:hAnsi="Times New Roman" w:eastAsia="黑体" w:cs="Times New Roman"/>
                <w:smallCaps w:val="0"/>
                <w:color w:val="auto"/>
                <w:spacing w:val="0"/>
                <w:w w:val="100"/>
                <w:position w:val="0"/>
                <w:sz w:val="21"/>
                <w:szCs w:val="21"/>
                <w:highlight w:val="none"/>
                <w:lang w:val="en-US" w:eastAsia="zh-CN"/>
              </w:rPr>
            </w:pPr>
            <w:r>
              <w:rPr>
                <w:rFonts w:hint="default" w:ascii="Times New Roman" w:hAnsi="Times New Roman" w:eastAsia="黑体" w:cs="Times New Roman"/>
                <w:smallCaps w:val="0"/>
                <w:color w:val="auto"/>
                <w:spacing w:val="0"/>
                <w:w w:val="100"/>
                <w:position w:val="0"/>
                <w:sz w:val="21"/>
                <w:szCs w:val="21"/>
                <w:highlight w:val="none"/>
                <w:lang w:val="en-US" w:eastAsia="zh-CN"/>
              </w:rPr>
              <w:t>表</w:t>
            </w:r>
            <w:r>
              <w:rPr>
                <w:rFonts w:hint="default" w:ascii="Times New Roman" w:hAnsi="Times New Roman" w:cs="Times New Roman"/>
                <w:smallCaps w:val="0"/>
                <w:color w:val="auto"/>
                <w:spacing w:val="0"/>
                <w:w w:val="100"/>
                <w:position w:val="0"/>
                <w:sz w:val="21"/>
                <w:szCs w:val="21"/>
                <w:highlight w:val="none"/>
                <w:lang w:val="en-US" w:eastAsia="zh-CN"/>
              </w:rPr>
              <w:t xml:space="preserve">3-4 </w:t>
            </w:r>
            <w:r>
              <w:rPr>
                <w:rFonts w:hint="default" w:ascii="Times New Roman" w:hAnsi="Times New Roman" w:eastAsia="黑体" w:cs="Times New Roman"/>
                <w:smallCaps w:val="0"/>
                <w:color w:val="auto"/>
                <w:spacing w:val="0"/>
                <w:w w:val="100"/>
                <w:position w:val="0"/>
                <w:sz w:val="21"/>
                <w:szCs w:val="21"/>
                <w:highlight w:val="none"/>
                <w:lang w:val="en-US" w:eastAsia="zh-CN"/>
              </w:rPr>
              <w:t xml:space="preserve"> 噪声现状监测结果及分析统计表</w:t>
            </w:r>
          </w:p>
          <w:tbl>
            <w:tblPr>
              <w:tblStyle w:val="44"/>
              <w:tblW w:w="4985"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1622"/>
              <w:gridCol w:w="930"/>
              <w:gridCol w:w="871"/>
              <w:gridCol w:w="1080"/>
              <w:gridCol w:w="1045"/>
              <w:gridCol w:w="937"/>
              <w:gridCol w:w="1183"/>
            </w:tblGrid>
            <w:tr w14:paraId="379B26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057" w:type="pct"/>
                  <w:vMerge w:val="restart"/>
                  <w:tcBorders>
                    <w:tl2br w:val="nil"/>
                    <w:tr2bl w:val="nil"/>
                  </w:tcBorders>
                  <w:vAlign w:val="center"/>
                </w:tcPr>
                <w:p w14:paraId="21E51C2C">
                  <w:pPr>
                    <w:pStyle w:val="213"/>
                    <w:keepNext w:val="0"/>
                    <w:keepLines w:val="0"/>
                    <w:pageBreakBefore w:val="0"/>
                    <w:suppressLineNumbers w:val="0"/>
                    <w:kinsoku/>
                    <w:wordWrap/>
                    <w:overflowPunct/>
                    <w:topLinePunct w:val="0"/>
                    <w:bidi w:val="0"/>
                    <w:spacing w:before="0" w:beforeAutospacing="0" w:after="0" w:afterAutospacing="0" w:line="240" w:lineRule="exact"/>
                    <w:ind w:left="0" w:right="0"/>
                    <w:textAlignment w:val="auto"/>
                    <w:rPr>
                      <w:rFonts w:hint="default" w:ascii="Times New Roman" w:hAnsi="Times New Roman" w:cs="Times New Roman"/>
                      <w:smallCaps w:val="0"/>
                      <w:color w:val="auto"/>
                      <w:spacing w:val="0"/>
                      <w:w w:val="100"/>
                      <w:position w:val="0"/>
                      <w:sz w:val="21"/>
                      <w:highlight w:val="none"/>
                    </w:rPr>
                  </w:pPr>
                  <w:r>
                    <w:rPr>
                      <w:rFonts w:hint="default" w:ascii="Times New Roman" w:hAnsi="Times New Roman" w:cs="Times New Roman"/>
                      <w:smallCaps w:val="0"/>
                      <w:color w:val="auto"/>
                      <w:spacing w:val="0"/>
                      <w:w w:val="100"/>
                      <w:position w:val="0"/>
                      <w:sz w:val="21"/>
                      <w:highlight w:val="none"/>
                    </w:rPr>
                    <w:t>监测点位</w:t>
                  </w:r>
                </w:p>
              </w:tc>
              <w:tc>
                <w:tcPr>
                  <w:tcW w:w="1878" w:type="pct"/>
                  <w:gridSpan w:val="3"/>
                  <w:tcBorders>
                    <w:tl2br w:val="nil"/>
                    <w:tr2bl w:val="nil"/>
                  </w:tcBorders>
                  <w:vAlign w:val="center"/>
                </w:tcPr>
                <w:p w14:paraId="68AC904E">
                  <w:pPr>
                    <w:pStyle w:val="213"/>
                    <w:keepNext w:val="0"/>
                    <w:keepLines w:val="0"/>
                    <w:pageBreakBefore w:val="0"/>
                    <w:suppressLineNumbers w:val="0"/>
                    <w:kinsoku/>
                    <w:wordWrap/>
                    <w:overflowPunct/>
                    <w:topLinePunct w:val="0"/>
                    <w:bidi w:val="0"/>
                    <w:spacing w:before="0" w:beforeAutospacing="0" w:after="0" w:afterAutospacing="0" w:line="240" w:lineRule="exact"/>
                    <w:ind w:left="0" w:right="0"/>
                    <w:textAlignment w:val="auto"/>
                    <w:rPr>
                      <w:rFonts w:hint="default" w:ascii="Times New Roman" w:hAnsi="Times New Roman" w:cs="Times New Roman"/>
                      <w:smallCaps w:val="0"/>
                      <w:color w:val="auto"/>
                      <w:spacing w:val="0"/>
                      <w:w w:val="100"/>
                      <w:position w:val="0"/>
                      <w:sz w:val="21"/>
                      <w:highlight w:val="none"/>
                    </w:rPr>
                  </w:pPr>
                  <w:r>
                    <w:rPr>
                      <w:rFonts w:hint="default" w:ascii="Times New Roman" w:hAnsi="Times New Roman" w:cs="Times New Roman"/>
                      <w:smallCaps w:val="0"/>
                      <w:color w:val="auto"/>
                      <w:spacing w:val="0"/>
                      <w:w w:val="100"/>
                      <w:position w:val="0"/>
                      <w:sz w:val="21"/>
                      <w:highlight w:val="none"/>
                    </w:rPr>
                    <w:t>昼间dB（A）</w:t>
                  </w:r>
                </w:p>
              </w:tc>
              <w:tc>
                <w:tcPr>
                  <w:tcW w:w="2063" w:type="pct"/>
                  <w:gridSpan w:val="3"/>
                  <w:tcBorders>
                    <w:tl2br w:val="nil"/>
                    <w:tr2bl w:val="nil"/>
                  </w:tcBorders>
                  <w:vAlign w:val="center"/>
                </w:tcPr>
                <w:p w14:paraId="627BBE3A">
                  <w:pPr>
                    <w:pStyle w:val="213"/>
                    <w:keepNext w:val="0"/>
                    <w:keepLines w:val="0"/>
                    <w:pageBreakBefore w:val="0"/>
                    <w:suppressLineNumbers w:val="0"/>
                    <w:kinsoku/>
                    <w:wordWrap/>
                    <w:overflowPunct/>
                    <w:topLinePunct w:val="0"/>
                    <w:bidi w:val="0"/>
                    <w:spacing w:before="0" w:beforeAutospacing="0" w:after="0" w:afterAutospacing="0" w:line="240" w:lineRule="exact"/>
                    <w:ind w:left="0" w:right="0"/>
                    <w:textAlignment w:val="auto"/>
                    <w:rPr>
                      <w:rFonts w:hint="default" w:ascii="Times New Roman" w:hAnsi="Times New Roman" w:cs="Times New Roman"/>
                      <w:smallCaps w:val="0"/>
                      <w:color w:val="auto"/>
                      <w:spacing w:val="0"/>
                      <w:w w:val="100"/>
                      <w:position w:val="0"/>
                      <w:sz w:val="21"/>
                      <w:highlight w:val="none"/>
                    </w:rPr>
                  </w:pPr>
                  <w:r>
                    <w:rPr>
                      <w:rFonts w:hint="default" w:ascii="Times New Roman" w:hAnsi="Times New Roman" w:cs="Times New Roman"/>
                      <w:smallCaps w:val="0"/>
                      <w:color w:val="auto"/>
                      <w:spacing w:val="0"/>
                      <w:w w:val="100"/>
                      <w:position w:val="0"/>
                      <w:sz w:val="21"/>
                      <w:highlight w:val="none"/>
                    </w:rPr>
                    <w:t>夜间dB（A）</w:t>
                  </w:r>
                </w:p>
              </w:tc>
            </w:tr>
            <w:tr w14:paraId="1ADDE1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057" w:type="pct"/>
                  <w:vMerge w:val="continue"/>
                  <w:tcBorders>
                    <w:tl2br w:val="nil"/>
                    <w:tr2bl w:val="nil"/>
                  </w:tcBorders>
                  <w:vAlign w:val="center"/>
                </w:tcPr>
                <w:p w14:paraId="6EDA1398">
                  <w:pPr>
                    <w:pStyle w:val="213"/>
                    <w:keepNext w:val="0"/>
                    <w:keepLines w:val="0"/>
                    <w:pageBreakBefore w:val="0"/>
                    <w:suppressLineNumbers w:val="0"/>
                    <w:kinsoku/>
                    <w:wordWrap/>
                    <w:overflowPunct/>
                    <w:topLinePunct w:val="0"/>
                    <w:bidi w:val="0"/>
                    <w:spacing w:before="0" w:beforeAutospacing="0" w:after="0" w:afterAutospacing="0" w:line="240" w:lineRule="exact"/>
                    <w:ind w:left="0" w:right="0"/>
                    <w:textAlignment w:val="auto"/>
                    <w:rPr>
                      <w:rFonts w:hint="default" w:ascii="Times New Roman" w:hAnsi="Times New Roman" w:cs="Times New Roman"/>
                      <w:smallCaps w:val="0"/>
                      <w:color w:val="auto"/>
                      <w:spacing w:val="0"/>
                      <w:w w:val="100"/>
                      <w:position w:val="0"/>
                      <w:sz w:val="21"/>
                      <w:highlight w:val="none"/>
                    </w:rPr>
                  </w:pPr>
                </w:p>
              </w:tc>
              <w:tc>
                <w:tcPr>
                  <w:tcW w:w="606" w:type="pct"/>
                  <w:tcBorders>
                    <w:tl2br w:val="nil"/>
                    <w:tr2bl w:val="nil"/>
                  </w:tcBorders>
                  <w:vAlign w:val="center"/>
                </w:tcPr>
                <w:p w14:paraId="5A996E33">
                  <w:pPr>
                    <w:pStyle w:val="213"/>
                    <w:keepNext w:val="0"/>
                    <w:keepLines w:val="0"/>
                    <w:pageBreakBefore w:val="0"/>
                    <w:suppressLineNumbers w:val="0"/>
                    <w:kinsoku/>
                    <w:wordWrap/>
                    <w:overflowPunct/>
                    <w:topLinePunct w:val="0"/>
                    <w:bidi w:val="0"/>
                    <w:spacing w:before="0" w:beforeAutospacing="0" w:after="0" w:afterAutospacing="0" w:line="240" w:lineRule="exact"/>
                    <w:ind w:left="0" w:right="0"/>
                    <w:textAlignment w:val="auto"/>
                    <w:rPr>
                      <w:rFonts w:hint="default" w:ascii="Times New Roman" w:hAnsi="Times New Roman" w:cs="Times New Roman"/>
                      <w:smallCaps w:val="0"/>
                      <w:color w:val="auto"/>
                      <w:spacing w:val="0"/>
                      <w:w w:val="100"/>
                      <w:position w:val="0"/>
                      <w:sz w:val="21"/>
                      <w:highlight w:val="none"/>
                    </w:rPr>
                  </w:pPr>
                  <w:r>
                    <w:rPr>
                      <w:rFonts w:hint="default" w:ascii="Times New Roman" w:hAnsi="Times New Roman" w:cs="Times New Roman"/>
                      <w:smallCaps w:val="0"/>
                      <w:color w:val="auto"/>
                      <w:spacing w:val="0"/>
                      <w:w w:val="100"/>
                      <w:position w:val="0"/>
                      <w:sz w:val="21"/>
                      <w:highlight w:val="none"/>
                    </w:rPr>
                    <w:t>监测值</w:t>
                  </w:r>
                </w:p>
              </w:tc>
              <w:tc>
                <w:tcPr>
                  <w:tcW w:w="568" w:type="pct"/>
                  <w:tcBorders>
                    <w:tl2br w:val="nil"/>
                    <w:tr2bl w:val="nil"/>
                  </w:tcBorders>
                  <w:vAlign w:val="center"/>
                </w:tcPr>
                <w:p w14:paraId="224E6541">
                  <w:pPr>
                    <w:pStyle w:val="213"/>
                    <w:keepNext w:val="0"/>
                    <w:keepLines w:val="0"/>
                    <w:pageBreakBefore w:val="0"/>
                    <w:suppressLineNumbers w:val="0"/>
                    <w:kinsoku/>
                    <w:wordWrap/>
                    <w:overflowPunct/>
                    <w:topLinePunct w:val="0"/>
                    <w:bidi w:val="0"/>
                    <w:spacing w:before="0" w:beforeAutospacing="0" w:after="0" w:afterAutospacing="0" w:line="240" w:lineRule="exact"/>
                    <w:ind w:left="0" w:right="0"/>
                    <w:textAlignment w:val="auto"/>
                    <w:rPr>
                      <w:rFonts w:hint="default" w:ascii="Times New Roman" w:hAnsi="Times New Roman" w:cs="Times New Roman"/>
                      <w:smallCaps w:val="0"/>
                      <w:color w:val="auto"/>
                      <w:spacing w:val="0"/>
                      <w:w w:val="100"/>
                      <w:position w:val="0"/>
                      <w:sz w:val="21"/>
                      <w:highlight w:val="none"/>
                    </w:rPr>
                  </w:pPr>
                  <w:r>
                    <w:rPr>
                      <w:rFonts w:hint="default" w:ascii="Times New Roman" w:hAnsi="Times New Roman" w:cs="Times New Roman"/>
                      <w:smallCaps w:val="0"/>
                      <w:color w:val="auto"/>
                      <w:spacing w:val="0"/>
                      <w:w w:val="100"/>
                      <w:position w:val="0"/>
                      <w:sz w:val="21"/>
                      <w:highlight w:val="none"/>
                    </w:rPr>
                    <w:t>标准值</w:t>
                  </w:r>
                </w:p>
              </w:tc>
              <w:tc>
                <w:tcPr>
                  <w:tcW w:w="703" w:type="pct"/>
                  <w:tcBorders>
                    <w:tl2br w:val="nil"/>
                    <w:tr2bl w:val="nil"/>
                  </w:tcBorders>
                  <w:vAlign w:val="center"/>
                </w:tcPr>
                <w:p w14:paraId="3FA4FAAC">
                  <w:pPr>
                    <w:pStyle w:val="213"/>
                    <w:keepNext w:val="0"/>
                    <w:keepLines w:val="0"/>
                    <w:pageBreakBefore w:val="0"/>
                    <w:suppressLineNumbers w:val="0"/>
                    <w:kinsoku/>
                    <w:wordWrap/>
                    <w:overflowPunct/>
                    <w:topLinePunct w:val="0"/>
                    <w:bidi w:val="0"/>
                    <w:spacing w:before="0" w:beforeAutospacing="0" w:after="0" w:afterAutospacing="0" w:line="240" w:lineRule="exact"/>
                    <w:ind w:left="0" w:right="0"/>
                    <w:textAlignment w:val="auto"/>
                    <w:rPr>
                      <w:rFonts w:hint="default" w:ascii="Times New Roman" w:hAnsi="Times New Roman" w:cs="Times New Roman"/>
                      <w:smallCaps w:val="0"/>
                      <w:color w:val="auto"/>
                      <w:spacing w:val="0"/>
                      <w:w w:val="100"/>
                      <w:position w:val="0"/>
                      <w:sz w:val="21"/>
                      <w:highlight w:val="none"/>
                    </w:rPr>
                  </w:pPr>
                  <w:r>
                    <w:rPr>
                      <w:rFonts w:hint="default" w:ascii="Times New Roman" w:hAnsi="Times New Roman" w:cs="Times New Roman"/>
                      <w:smallCaps w:val="0"/>
                      <w:color w:val="auto"/>
                      <w:spacing w:val="0"/>
                      <w:w w:val="100"/>
                      <w:position w:val="0"/>
                      <w:sz w:val="21"/>
                      <w:highlight w:val="none"/>
                    </w:rPr>
                    <w:t>达标情况</w:t>
                  </w:r>
                </w:p>
              </w:tc>
              <w:tc>
                <w:tcPr>
                  <w:tcW w:w="681" w:type="pct"/>
                  <w:tcBorders>
                    <w:tl2br w:val="nil"/>
                    <w:tr2bl w:val="nil"/>
                  </w:tcBorders>
                  <w:vAlign w:val="center"/>
                </w:tcPr>
                <w:p w14:paraId="6E08CCED">
                  <w:pPr>
                    <w:pStyle w:val="213"/>
                    <w:keepNext w:val="0"/>
                    <w:keepLines w:val="0"/>
                    <w:pageBreakBefore w:val="0"/>
                    <w:suppressLineNumbers w:val="0"/>
                    <w:kinsoku/>
                    <w:wordWrap/>
                    <w:overflowPunct/>
                    <w:topLinePunct w:val="0"/>
                    <w:bidi w:val="0"/>
                    <w:spacing w:before="0" w:beforeAutospacing="0" w:after="0" w:afterAutospacing="0" w:line="240" w:lineRule="exact"/>
                    <w:ind w:left="0" w:right="0"/>
                    <w:textAlignment w:val="auto"/>
                    <w:rPr>
                      <w:rFonts w:hint="default" w:ascii="Times New Roman" w:hAnsi="Times New Roman" w:cs="Times New Roman"/>
                      <w:smallCaps w:val="0"/>
                      <w:color w:val="auto"/>
                      <w:spacing w:val="0"/>
                      <w:w w:val="100"/>
                      <w:position w:val="0"/>
                      <w:sz w:val="21"/>
                      <w:highlight w:val="none"/>
                    </w:rPr>
                  </w:pPr>
                  <w:r>
                    <w:rPr>
                      <w:rFonts w:hint="default" w:ascii="Times New Roman" w:hAnsi="Times New Roman" w:cs="Times New Roman"/>
                      <w:smallCaps w:val="0"/>
                      <w:color w:val="auto"/>
                      <w:spacing w:val="0"/>
                      <w:w w:val="100"/>
                      <w:position w:val="0"/>
                      <w:sz w:val="21"/>
                      <w:highlight w:val="none"/>
                    </w:rPr>
                    <w:t>监测值</w:t>
                  </w:r>
                </w:p>
              </w:tc>
              <w:tc>
                <w:tcPr>
                  <w:tcW w:w="611" w:type="pct"/>
                  <w:tcBorders>
                    <w:tl2br w:val="nil"/>
                    <w:tr2bl w:val="nil"/>
                  </w:tcBorders>
                  <w:vAlign w:val="center"/>
                </w:tcPr>
                <w:p w14:paraId="7C78B45E">
                  <w:pPr>
                    <w:pStyle w:val="213"/>
                    <w:keepNext w:val="0"/>
                    <w:keepLines w:val="0"/>
                    <w:pageBreakBefore w:val="0"/>
                    <w:suppressLineNumbers w:val="0"/>
                    <w:kinsoku/>
                    <w:wordWrap/>
                    <w:overflowPunct/>
                    <w:topLinePunct w:val="0"/>
                    <w:bidi w:val="0"/>
                    <w:spacing w:before="0" w:beforeAutospacing="0" w:after="0" w:afterAutospacing="0" w:line="240" w:lineRule="exact"/>
                    <w:ind w:left="0" w:right="0"/>
                    <w:textAlignment w:val="auto"/>
                    <w:rPr>
                      <w:rFonts w:hint="default" w:ascii="Times New Roman" w:hAnsi="Times New Roman" w:cs="Times New Roman"/>
                      <w:smallCaps w:val="0"/>
                      <w:color w:val="auto"/>
                      <w:spacing w:val="0"/>
                      <w:w w:val="100"/>
                      <w:position w:val="0"/>
                      <w:sz w:val="21"/>
                      <w:highlight w:val="none"/>
                    </w:rPr>
                  </w:pPr>
                  <w:r>
                    <w:rPr>
                      <w:rFonts w:hint="default" w:ascii="Times New Roman" w:hAnsi="Times New Roman" w:cs="Times New Roman"/>
                      <w:smallCaps w:val="0"/>
                      <w:color w:val="auto"/>
                      <w:spacing w:val="0"/>
                      <w:w w:val="100"/>
                      <w:position w:val="0"/>
                      <w:sz w:val="21"/>
                      <w:highlight w:val="none"/>
                    </w:rPr>
                    <w:t>标准值</w:t>
                  </w:r>
                </w:p>
              </w:tc>
              <w:tc>
                <w:tcPr>
                  <w:tcW w:w="771" w:type="pct"/>
                  <w:tcBorders>
                    <w:tl2br w:val="nil"/>
                    <w:tr2bl w:val="nil"/>
                  </w:tcBorders>
                  <w:vAlign w:val="center"/>
                </w:tcPr>
                <w:p w14:paraId="3A08E4EE">
                  <w:pPr>
                    <w:pStyle w:val="213"/>
                    <w:keepNext w:val="0"/>
                    <w:keepLines w:val="0"/>
                    <w:pageBreakBefore w:val="0"/>
                    <w:suppressLineNumbers w:val="0"/>
                    <w:kinsoku/>
                    <w:wordWrap/>
                    <w:overflowPunct/>
                    <w:topLinePunct w:val="0"/>
                    <w:bidi w:val="0"/>
                    <w:spacing w:before="0" w:beforeAutospacing="0" w:after="0" w:afterAutospacing="0" w:line="240" w:lineRule="exact"/>
                    <w:ind w:left="0" w:right="0"/>
                    <w:textAlignment w:val="auto"/>
                    <w:rPr>
                      <w:rFonts w:hint="default" w:ascii="Times New Roman" w:hAnsi="Times New Roman" w:cs="Times New Roman"/>
                      <w:smallCaps w:val="0"/>
                      <w:color w:val="auto"/>
                      <w:spacing w:val="0"/>
                      <w:w w:val="100"/>
                      <w:position w:val="0"/>
                      <w:sz w:val="21"/>
                      <w:highlight w:val="none"/>
                    </w:rPr>
                  </w:pPr>
                  <w:r>
                    <w:rPr>
                      <w:rFonts w:hint="default" w:ascii="Times New Roman" w:hAnsi="Times New Roman" w:cs="Times New Roman"/>
                      <w:smallCaps w:val="0"/>
                      <w:color w:val="auto"/>
                      <w:spacing w:val="0"/>
                      <w:w w:val="100"/>
                      <w:position w:val="0"/>
                      <w:sz w:val="21"/>
                      <w:highlight w:val="none"/>
                    </w:rPr>
                    <w:t>达标情况</w:t>
                  </w:r>
                </w:p>
              </w:tc>
            </w:tr>
            <w:tr w14:paraId="358856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057" w:type="pct"/>
                  <w:tcBorders>
                    <w:tl2br w:val="nil"/>
                    <w:tr2bl w:val="nil"/>
                  </w:tcBorders>
                  <w:vAlign w:val="center"/>
                </w:tcPr>
                <w:p w14:paraId="54D9EDE2">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auto"/>
                    <w:rPr>
                      <w:rFonts w:hint="default" w:ascii="Times New Roman" w:hAnsi="Times New Roman" w:cs="Times New Roman"/>
                      <w:smallCaps w:val="0"/>
                      <w:color w:val="auto"/>
                      <w:spacing w:val="0"/>
                      <w:w w:val="100"/>
                      <w:position w:val="0"/>
                      <w:sz w:val="21"/>
                      <w:highlight w:val="none"/>
                    </w:rPr>
                  </w:pPr>
                  <w:r>
                    <w:rPr>
                      <w:rFonts w:hint="default" w:ascii="Times New Roman" w:hAnsi="Times New Roman" w:cs="Times New Roman" w:eastAsiaTheme="minorEastAsia"/>
                      <w:color w:val="auto"/>
                      <w:kern w:val="0"/>
                      <w:sz w:val="21"/>
                      <w:szCs w:val="21"/>
                      <w:highlight w:val="none"/>
                      <w:lang w:val="en-US" w:eastAsia="zh-CN"/>
                    </w:rPr>
                    <w:t>纺纱区东厂界</w:t>
                  </w:r>
                </w:p>
              </w:tc>
              <w:tc>
                <w:tcPr>
                  <w:tcW w:w="606" w:type="pct"/>
                  <w:tcBorders>
                    <w:tl2br w:val="nil"/>
                    <w:tr2bl w:val="nil"/>
                  </w:tcBorders>
                  <w:vAlign w:val="center"/>
                </w:tcPr>
                <w:p w14:paraId="7B7DB3B6">
                  <w:pPr>
                    <w:keepNext w:val="0"/>
                    <w:keepLines w:val="0"/>
                    <w:pageBreakBefore w:val="0"/>
                    <w:kinsoku/>
                    <w:wordWrap/>
                    <w:overflowPunct/>
                    <w:topLinePunct w:val="0"/>
                    <w:bidi w:val="0"/>
                    <w:jc w:val="center"/>
                    <w:textAlignment w:val="auto"/>
                    <w:rPr>
                      <w:rFonts w:hint="default" w:ascii="Times New Roman" w:hAnsi="Times New Roman" w:eastAsia="宋体" w:cs="Times New Roman"/>
                      <w:smallCaps w:val="0"/>
                      <w:color w:val="auto"/>
                      <w:spacing w:val="0"/>
                      <w:w w:val="100"/>
                      <w:position w:val="0"/>
                      <w:sz w:val="21"/>
                      <w:highlight w:val="none"/>
                      <w:lang w:val="en-US" w:eastAsia="zh-CN"/>
                    </w:rPr>
                  </w:pPr>
                  <w:r>
                    <w:rPr>
                      <w:rFonts w:hint="default" w:ascii="Times New Roman" w:hAnsi="Times New Roman" w:cs="Times New Roman"/>
                      <w:color w:val="auto"/>
                      <w:kern w:val="2"/>
                      <w:sz w:val="21"/>
                      <w:szCs w:val="21"/>
                      <w:highlight w:val="none"/>
                      <w:lang w:val="en-US" w:eastAsia="zh-CN" w:bidi="ar-SA"/>
                    </w:rPr>
                    <w:t>49</w:t>
                  </w:r>
                </w:p>
              </w:tc>
              <w:tc>
                <w:tcPr>
                  <w:tcW w:w="568" w:type="pct"/>
                  <w:vMerge w:val="restart"/>
                  <w:tcBorders>
                    <w:tl2br w:val="nil"/>
                    <w:tr2bl w:val="nil"/>
                  </w:tcBorders>
                  <w:vAlign w:val="center"/>
                </w:tcPr>
                <w:p w14:paraId="38EC32AD">
                  <w:pPr>
                    <w:pStyle w:val="213"/>
                    <w:keepNext w:val="0"/>
                    <w:keepLines w:val="0"/>
                    <w:pageBreakBefore w:val="0"/>
                    <w:suppressLineNumbers w:val="0"/>
                    <w:kinsoku/>
                    <w:wordWrap/>
                    <w:overflowPunct/>
                    <w:topLinePunct w:val="0"/>
                    <w:bidi w:val="0"/>
                    <w:spacing w:before="0" w:beforeAutospacing="0" w:after="0" w:afterAutospacing="0" w:line="240" w:lineRule="exact"/>
                    <w:ind w:left="0" w:right="0"/>
                    <w:textAlignment w:val="auto"/>
                    <w:rPr>
                      <w:rFonts w:hint="default" w:ascii="Times New Roman" w:hAnsi="Times New Roman" w:cs="Times New Roman"/>
                      <w:smallCaps w:val="0"/>
                      <w:color w:val="auto"/>
                      <w:spacing w:val="0"/>
                      <w:w w:val="100"/>
                      <w:position w:val="0"/>
                      <w:sz w:val="21"/>
                      <w:highlight w:val="none"/>
                    </w:rPr>
                  </w:pPr>
                  <w:r>
                    <w:rPr>
                      <w:rFonts w:hint="default" w:ascii="Times New Roman" w:hAnsi="Times New Roman" w:cs="Times New Roman"/>
                      <w:smallCaps w:val="0"/>
                      <w:color w:val="auto"/>
                      <w:spacing w:val="0"/>
                      <w:w w:val="100"/>
                      <w:position w:val="0"/>
                      <w:sz w:val="21"/>
                      <w:highlight w:val="none"/>
                    </w:rPr>
                    <w:t>65</w:t>
                  </w:r>
                </w:p>
              </w:tc>
              <w:tc>
                <w:tcPr>
                  <w:tcW w:w="703" w:type="pct"/>
                  <w:tcBorders>
                    <w:tl2br w:val="nil"/>
                    <w:tr2bl w:val="nil"/>
                  </w:tcBorders>
                  <w:vAlign w:val="center"/>
                </w:tcPr>
                <w:p w14:paraId="12FECBEC">
                  <w:pPr>
                    <w:pStyle w:val="213"/>
                    <w:keepNext w:val="0"/>
                    <w:keepLines w:val="0"/>
                    <w:pageBreakBefore w:val="0"/>
                    <w:suppressLineNumbers w:val="0"/>
                    <w:kinsoku/>
                    <w:wordWrap/>
                    <w:overflowPunct/>
                    <w:topLinePunct w:val="0"/>
                    <w:bidi w:val="0"/>
                    <w:spacing w:before="0" w:beforeAutospacing="0" w:after="0" w:afterAutospacing="0" w:line="240" w:lineRule="exact"/>
                    <w:ind w:left="0" w:right="0"/>
                    <w:textAlignment w:val="auto"/>
                    <w:rPr>
                      <w:rFonts w:hint="default" w:ascii="Times New Roman" w:hAnsi="Times New Roman" w:eastAsia="宋体" w:cs="Times New Roman"/>
                      <w:smallCaps w:val="0"/>
                      <w:color w:val="auto"/>
                      <w:spacing w:val="0"/>
                      <w:w w:val="100"/>
                      <w:position w:val="0"/>
                      <w:sz w:val="21"/>
                      <w:highlight w:val="none"/>
                      <w:lang w:val="en-US" w:eastAsia="zh-CN"/>
                    </w:rPr>
                  </w:pPr>
                  <w:r>
                    <w:rPr>
                      <w:rFonts w:hint="default" w:ascii="Times New Roman" w:hAnsi="Times New Roman" w:eastAsia="宋体" w:cs="Times New Roman"/>
                      <w:smallCaps w:val="0"/>
                      <w:color w:val="auto"/>
                      <w:spacing w:val="0"/>
                      <w:w w:val="100"/>
                      <w:position w:val="0"/>
                      <w:sz w:val="21"/>
                      <w:highlight w:val="none"/>
                      <w:lang w:val="en-US" w:eastAsia="zh-CN"/>
                    </w:rPr>
                    <w:t>达标</w:t>
                  </w:r>
                </w:p>
              </w:tc>
              <w:tc>
                <w:tcPr>
                  <w:tcW w:w="681" w:type="pct"/>
                  <w:tcBorders>
                    <w:tl2br w:val="nil"/>
                    <w:tr2bl w:val="nil"/>
                  </w:tcBorders>
                  <w:vAlign w:val="center"/>
                </w:tcPr>
                <w:p w14:paraId="0B5EF7A5">
                  <w:pPr>
                    <w:keepNext w:val="0"/>
                    <w:keepLines w:val="0"/>
                    <w:pageBreakBefore w:val="0"/>
                    <w:kinsoku/>
                    <w:wordWrap/>
                    <w:overflowPunct/>
                    <w:topLinePunct w:val="0"/>
                    <w:bidi w:val="0"/>
                    <w:jc w:val="center"/>
                    <w:textAlignment w:val="auto"/>
                    <w:rPr>
                      <w:rFonts w:hint="default" w:ascii="Times New Roman" w:hAnsi="Times New Roman" w:eastAsia="宋体" w:cs="Times New Roman"/>
                      <w:smallCaps w:val="0"/>
                      <w:color w:val="auto"/>
                      <w:spacing w:val="0"/>
                      <w:w w:val="100"/>
                      <w:position w:val="0"/>
                      <w:sz w:val="21"/>
                      <w:highlight w:val="none"/>
                      <w:lang w:val="en-US" w:eastAsia="zh-CN"/>
                    </w:rPr>
                  </w:pPr>
                  <w:r>
                    <w:rPr>
                      <w:rFonts w:hint="default" w:ascii="Times New Roman" w:hAnsi="Times New Roman" w:cs="Times New Roman"/>
                      <w:color w:val="auto"/>
                      <w:kern w:val="2"/>
                      <w:sz w:val="21"/>
                      <w:szCs w:val="21"/>
                      <w:highlight w:val="none"/>
                      <w:lang w:val="en-US" w:eastAsia="zh-CN" w:bidi="ar-SA"/>
                    </w:rPr>
                    <w:t>39</w:t>
                  </w:r>
                </w:p>
              </w:tc>
              <w:tc>
                <w:tcPr>
                  <w:tcW w:w="611" w:type="pct"/>
                  <w:vMerge w:val="restart"/>
                  <w:tcBorders>
                    <w:tl2br w:val="nil"/>
                    <w:tr2bl w:val="nil"/>
                  </w:tcBorders>
                  <w:vAlign w:val="center"/>
                </w:tcPr>
                <w:p w14:paraId="56BF7A5E">
                  <w:pPr>
                    <w:pStyle w:val="213"/>
                    <w:keepNext w:val="0"/>
                    <w:keepLines w:val="0"/>
                    <w:pageBreakBefore w:val="0"/>
                    <w:suppressLineNumbers w:val="0"/>
                    <w:kinsoku/>
                    <w:wordWrap/>
                    <w:overflowPunct/>
                    <w:topLinePunct w:val="0"/>
                    <w:bidi w:val="0"/>
                    <w:spacing w:before="0" w:beforeAutospacing="0" w:after="0" w:afterAutospacing="0" w:line="240" w:lineRule="exact"/>
                    <w:ind w:left="0" w:right="0"/>
                    <w:textAlignment w:val="auto"/>
                    <w:rPr>
                      <w:rFonts w:hint="default" w:ascii="Times New Roman" w:hAnsi="Times New Roman" w:cs="Times New Roman"/>
                      <w:smallCaps w:val="0"/>
                      <w:color w:val="auto"/>
                      <w:spacing w:val="0"/>
                      <w:w w:val="100"/>
                      <w:position w:val="0"/>
                      <w:sz w:val="21"/>
                      <w:highlight w:val="none"/>
                    </w:rPr>
                  </w:pPr>
                  <w:r>
                    <w:rPr>
                      <w:rFonts w:hint="default" w:ascii="Times New Roman" w:hAnsi="Times New Roman" w:cs="Times New Roman"/>
                      <w:smallCaps w:val="0"/>
                      <w:color w:val="auto"/>
                      <w:spacing w:val="0"/>
                      <w:w w:val="100"/>
                      <w:position w:val="0"/>
                      <w:sz w:val="21"/>
                      <w:highlight w:val="none"/>
                    </w:rPr>
                    <w:t>55</w:t>
                  </w:r>
                </w:p>
              </w:tc>
              <w:tc>
                <w:tcPr>
                  <w:tcW w:w="771" w:type="pct"/>
                  <w:tcBorders>
                    <w:tl2br w:val="nil"/>
                    <w:tr2bl w:val="nil"/>
                  </w:tcBorders>
                  <w:vAlign w:val="center"/>
                </w:tcPr>
                <w:p w14:paraId="42D575B6">
                  <w:pPr>
                    <w:keepNext w:val="0"/>
                    <w:keepLines w:val="0"/>
                    <w:pageBreakBefore w:val="0"/>
                    <w:suppressLineNumbers w:val="0"/>
                    <w:kinsoku/>
                    <w:wordWrap/>
                    <w:overflowPunct/>
                    <w:topLinePunct w:val="0"/>
                    <w:bidi w:val="0"/>
                    <w:spacing w:before="0" w:beforeAutospacing="0" w:after="0" w:afterAutospacing="0" w:line="240" w:lineRule="exact"/>
                    <w:ind w:left="0" w:right="0"/>
                    <w:jc w:val="center"/>
                    <w:textAlignment w:val="auto"/>
                    <w:rPr>
                      <w:rFonts w:hint="default" w:ascii="Times New Roman" w:hAnsi="Times New Roman" w:cs="Times New Roman"/>
                      <w:smallCaps w:val="0"/>
                      <w:color w:val="auto"/>
                      <w:spacing w:val="0"/>
                      <w:w w:val="100"/>
                      <w:position w:val="0"/>
                      <w:sz w:val="21"/>
                      <w:highlight w:val="none"/>
                    </w:rPr>
                  </w:pPr>
                  <w:r>
                    <w:rPr>
                      <w:rFonts w:hint="default" w:ascii="Times New Roman" w:hAnsi="Times New Roman" w:eastAsia="宋体" w:cs="Times New Roman"/>
                      <w:smallCaps w:val="0"/>
                      <w:color w:val="auto"/>
                      <w:spacing w:val="0"/>
                      <w:w w:val="100"/>
                      <w:position w:val="0"/>
                      <w:sz w:val="21"/>
                      <w:highlight w:val="none"/>
                      <w:lang w:val="en-US" w:eastAsia="zh-CN"/>
                    </w:rPr>
                    <w:t>达标</w:t>
                  </w:r>
                </w:p>
              </w:tc>
            </w:tr>
            <w:tr w14:paraId="1164DC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057" w:type="pct"/>
                  <w:tcBorders>
                    <w:tl2br w:val="nil"/>
                    <w:tr2bl w:val="nil"/>
                  </w:tcBorders>
                  <w:vAlign w:val="center"/>
                </w:tcPr>
                <w:p w14:paraId="2704B2F3">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auto"/>
                    <w:rPr>
                      <w:rFonts w:hint="default" w:ascii="Times New Roman" w:hAnsi="Times New Roman" w:cs="Times New Roman"/>
                      <w:smallCaps w:val="0"/>
                      <w:color w:val="auto"/>
                      <w:spacing w:val="0"/>
                      <w:w w:val="100"/>
                      <w:position w:val="0"/>
                      <w:sz w:val="21"/>
                      <w:highlight w:val="none"/>
                    </w:rPr>
                  </w:pPr>
                  <w:r>
                    <w:rPr>
                      <w:rFonts w:hint="default" w:ascii="Times New Roman" w:hAnsi="Times New Roman" w:cs="Times New Roman" w:eastAsiaTheme="minorEastAsia"/>
                      <w:color w:val="auto"/>
                      <w:kern w:val="0"/>
                      <w:sz w:val="21"/>
                      <w:szCs w:val="21"/>
                      <w:highlight w:val="none"/>
                      <w:lang w:val="en-US" w:eastAsia="zh-CN"/>
                    </w:rPr>
                    <w:t>纺纱区南厂界</w:t>
                  </w:r>
                </w:p>
              </w:tc>
              <w:tc>
                <w:tcPr>
                  <w:tcW w:w="606" w:type="pct"/>
                  <w:tcBorders>
                    <w:tl2br w:val="nil"/>
                    <w:tr2bl w:val="nil"/>
                  </w:tcBorders>
                  <w:vAlign w:val="center"/>
                </w:tcPr>
                <w:p w14:paraId="1BB71D26">
                  <w:pPr>
                    <w:keepNext w:val="0"/>
                    <w:keepLines w:val="0"/>
                    <w:pageBreakBefore w:val="0"/>
                    <w:kinsoku/>
                    <w:wordWrap/>
                    <w:overflowPunct/>
                    <w:topLinePunct w:val="0"/>
                    <w:bidi w:val="0"/>
                    <w:jc w:val="center"/>
                    <w:textAlignment w:val="auto"/>
                    <w:rPr>
                      <w:rFonts w:hint="default" w:ascii="Times New Roman" w:hAnsi="Times New Roman" w:eastAsia="宋体" w:cs="Times New Roman"/>
                      <w:smallCaps w:val="0"/>
                      <w:color w:val="auto"/>
                      <w:spacing w:val="0"/>
                      <w:w w:val="100"/>
                      <w:position w:val="0"/>
                      <w:sz w:val="21"/>
                      <w:highlight w:val="none"/>
                      <w:lang w:val="en-US" w:eastAsia="zh-CN"/>
                    </w:rPr>
                  </w:pPr>
                  <w:r>
                    <w:rPr>
                      <w:rFonts w:hint="default" w:ascii="Times New Roman" w:hAnsi="Times New Roman" w:cs="Times New Roman"/>
                      <w:color w:val="auto"/>
                      <w:kern w:val="2"/>
                      <w:sz w:val="21"/>
                      <w:szCs w:val="21"/>
                      <w:highlight w:val="none"/>
                      <w:lang w:val="en-US" w:eastAsia="zh-CN" w:bidi="ar-SA"/>
                    </w:rPr>
                    <w:t>48</w:t>
                  </w:r>
                </w:p>
              </w:tc>
              <w:tc>
                <w:tcPr>
                  <w:tcW w:w="568" w:type="pct"/>
                  <w:vMerge w:val="continue"/>
                  <w:tcBorders>
                    <w:tl2br w:val="nil"/>
                    <w:tr2bl w:val="nil"/>
                  </w:tcBorders>
                  <w:vAlign w:val="center"/>
                </w:tcPr>
                <w:p w14:paraId="29BE51D0">
                  <w:pPr>
                    <w:pStyle w:val="213"/>
                    <w:keepNext w:val="0"/>
                    <w:keepLines w:val="0"/>
                    <w:pageBreakBefore w:val="0"/>
                    <w:suppressLineNumbers w:val="0"/>
                    <w:kinsoku/>
                    <w:wordWrap/>
                    <w:overflowPunct/>
                    <w:topLinePunct w:val="0"/>
                    <w:bidi w:val="0"/>
                    <w:spacing w:before="0" w:beforeAutospacing="0" w:after="0" w:afterAutospacing="0" w:line="240" w:lineRule="exact"/>
                    <w:ind w:left="0" w:right="0"/>
                    <w:textAlignment w:val="auto"/>
                    <w:rPr>
                      <w:rFonts w:hint="default" w:ascii="Times New Roman" w:hAnsi="Times New Roman" w:cs="Times New Roman"/>
                      <w:smallCaps w:val="0"/>
                      <w:color w:val="auto"/>
                      <w:spacing w:val="0"/>
                      <w:w w:val="100"/>
                      <w:position w:val="0"/>
                      <w:sz w:val="21"/>
                      <w:highlight w:val="none"/>
                    </w:rPr>
                  </w:pPr>
                </w:p>
              </w:tc>
              <w:tc>
                <w:tcPr>
                  <w:tcW w:w="703" w:type="pct"/>
                  <w:tcBorders>
                    <w:tl2br w:val="nil"/>
                    <w:tr2bl w:val="nil"/>
                  </w:tcBorders>
                  <w:vAlign w:val="center"/>
                </w:tcPr>
                <w:p w14:paraId="0C4F6880">
                  <w:pPr>
                    <w:keepNext w:val="0"/>
                    <w:keepLines w:val="0"/>
                    <w:pageBreakBefore w:val="0"/>
                    <w:suppressLineNumbers w:val="0"/>
                    <w:kinsoku/>
                    <w:wordWrap/>
                    <w:overflowPunct/>
                    <w:topLinePunct w:val="0"/>
                    <w:bidi w:val="0"/>
                    <w:spacing w:before="0" w:beforeAutospacing="0" w:after="0" w:afterAutospacing="0" w:line="240" w:lineRule="exact"/>
                    <w:ind w:left="0" w:right="0"/>
                    <w:jc w:val="center"/>
                    <w:textAlignment w:val="auto"/>
                    <w:rPr>
                      <w:rFonts w:hint="default" w:ascii="Times New Roman" w:hAnsi="Times New Roman" w:cs="Times New Roman"/>
                      <w:smallCaps w:val="0"/>
                      <w:color w:val="auto"/>
                      <w:spacing w:val="0"/>
                      <w:w w:val="100"/>
                      <w:position w:val="0"/>
                      <w:sz w:val="21"/>
                      <w:highlight w:val="none"/>
                    </w:rPr>
                  </w:pPr>
                  <w:r>
                    <w:rPr>
                      <w:rFonts w:hint="default" w:ascii="Times New Roman" w:hAnsi="Times New Roman" w:eastAsia="宋体" w:cs="Times New Roman"/>
                      <w:smallCaps w:val="0"/>
                      <w:color w:val="auto"/>
                      <w:spacing w:val="0"/>
                      <w:w w:val="100"/>
                      <w:position w:val="0"/>
                      <w:sz w:val="21"/>
                      <w:highlight w:val="none"/>
                      <w:lang w:val="en-US" w:eastAsia="zh-CN"/>
                    </w:rPr>
                    <w:t>达标</w:t>
                  </w:r>
                </w:p>
              </w:tc>
              <w:tc>
                <w:tcPr>
                  <w:tcW w:w="681" w:type="pct"/>
                  <w:tcBorders>
                    <w:tl2br w:val="nil"/>
                    <w:tr2bl w:val="nil"/>
                  </w:tcBorders>
                  <w:vAlign w:val="center"/>
                </w:tcPr>
                <w:p w14:paraId="3425897B">
                  <w:pPr>
                    <w:keepNext w:val="0"/>
                    <w:keepLines w:val="0"/>
                    <w:pageBreakBefore w:val="0"/>
                    <w:kinsoku/>
                    <w:wordWrap/>
                    <w:overflowPunct/>
                    <w:topLinePunct w:val="0"/>
                    <w:bidi w:val="0"/>
                    <w:jc w:val="center"/>
                    <w:textAlignment w:val="auto"/>
                    <w:rPr>
                      <w:rFonts w:hint="default" w:ascii="Times New Roman" w:hAnsi="Times New Roman" w:eastAsia="宋体" w:cs="Times New Roman"/>
                      <w:smallCaps w:val="0"/>
                      <w:color w:val="auto"/>
                      <w:spacing w:val="0"/>
                      <w:w w:val="100"/>
                      <w:position w:val="0"/>
                      <w:sz w:val="21"/>
                      <w:highlight w:val="none"/>
                      <w:lang w:val="en-US" w:eastAsia="zh-CN"/>
                    </w:rPr>
                  </w:pPr>
                  <w:r>
                    <w:rPr>
                      <w:rFonts w:hint="default" w:ascii="Times New Roman" w:hAnsi="Times New Roman" w:cs="Times New Roman"/>
                      <w:color w:val="auto"/>
                      <w:kern w:val="2"/>
                      <w:sz w:val="21"/>
                      <w:szCs w:val="21"/>
                      <w:highlight w:val="none"/>
                      <w:lang w:val="en-US" w:eastAsia="zh-CN" w:bidi="ar-SA"/>
                    </w:rPr>
                    <w:t>37</w:t>
                  </w:r>
                </w:p>
              </w:tc>
              <w:tc>
                <w:tcPr>
                  <w:tcW w:w="611" w:type="pct"/>
                  <w:vMerge w:val="continue"/>
                  <w:tcBorders>
                    <w:tl2br w:val="nil"/>
                    <w:tr2bl w:val="nil"/>
                  </w:tcBorders>
                  <w:vAlign w:val="center"/>
                </w:tcPr>
                <w:p w14:paraId="48810AF7">
                  <w:pPr>
                    <w:pStyle w:val="213"/>
                    <w:keepNext w:val="0"/>
                    <w:keepLines w:val="0"/>
                    <w:pageBreakBefore w:val="0"/>
                    <w:suppressLineNumbers w:val="0"/>
                    <w:kinsoku/>
                    <w:wordWrap/>
                    <w:overflowPunct/>
                    <w:topLinePunct w:val="0"/>
                    <w:bidi w:val="0"/>
                    <w:spacing w:before="0" w:beforeAutospacing="0" w:after="0" w:afterAutospacing="0" w:line="240" w:lineRule="exact"/>
                    <w:ind w:left="0" w:right="0"/>
                    <w:textAlignment w:val="auto"/>
                    <w:rPr>
                      <w:rFonts w:hint="default" w:ascii="Times New Roman" w:hAnsi="Times New Roman" w:cs="Times New Roman"/>
                      <w:smallCaps w:val="0"/>
                      <w:color w:val="auto"/>
                      <w:spacing w:val="0"/>
                      <w:w w:val="100"/>
                      <w:position w:val="0"/>
                      <w:sz w:val="21"/>
                      <w:highlight w:val="none"/>
                    </w:rPr>
                  </w:pPr>
                </w:p>
              </w:tc>
              <w:tc>
                <w:tcPr>
                  <w:tcW w:w="771" w:type="pct"/>
                  <w:tcBorders>
                    <w:tl2br w:val="nil"/>
                    <w:tr2bl w:val="nil"/>
                  </w:tcBorders>
                  <w:vAlign w:val="center"/>
                </w:tcPr>
                <w:p w14:paraId="0C62E986">
                  <w:pPr>
                    <w:keepNext w:val="0"/>
                    <w:keepLines w:val="0"/>
                    <w:pageBreakBefore w:val="0"/>
                    <w:suppressLineNumbers w:val="0"/>
                    <w:kinsoku/>
                    <w:wordWrap/>
                    <w:overflowPunct/>
                    <w:topLinePunct w:val="0"/>
                    <w:bidi w:val="0"/>
                    <w:spacing w:before="0" w:beforeAutospacing="0" w:after="0" w:afterAutospacing="0" w:line="240" w:lineRule="exact"/>
                    <w:ind w:left="0" w:right="0"/>
                    <w:jc w:val="center"/>
                    <w:textAlignment w:val="auto"/>
                    <w:rPr>
                      <w:rFonts w:hint="default" w:ascii="Times New Roman" w:hAnsi="Times New Roman" w:cs="Times New Roman"/>
                      <w:smallCaps w:val="0"/>
                      <w:color w:val="auto"/>
                      <w:spacing w:val="0"/>
                      <w:w w:val="100"/>
                      <w:position w:val="0"/>
                      <w:sz w:val="21"/>
                      <w:highlight w:val="none"/>
                    </w:rPr>
                  </w:pPr>
                  <w:r>
                    <w:rPr>
                      <w:rFonts w:hint="default" w:ascii="Times New Roman" w:hAnsi="Times New Roman" w:eastAsia="宋体" w:cs="Times New Roman"/>
                      <w:smallCaps w:val="0"/>
                      <w:color w:val="auto"/>
                      <w:spacing w:val="0"/>
                      <w:w w:val="100"/>
                      <w:position w:val="0"/>
                      <w:sz w:val="21"/>
                      <w:highlight w:val="none"/>
                      <w:lang w:val="en-US" w:eastAsia="zh-CN"/>
                    </w:rPr>
                    <w:t>达标</w:t>
                  </w:r>
                </w:p>
              </w:tc>
            </w:tr>
            <w:tr w14:paraId="00E18A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057" w:type="pct"/>
                  <w:tcBorders>
                    <w:tl2br w:val="nil"/>
                    <w:tr2bl w:val="nil"/>
                  </w:tcBorders>
                  <w:vAlign w:val="center"/>
                </w:tcPr>
                <w:p w14:paraId="25F38390">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auto"/>
                    <w:rPr>
                      <w:rFonts w:hint="default" w:ascii="Times New Roman" w:hAnsi="Times New Roman" w:cs="Times New Roman"/>
                      <w:smallCaps w:val="0"/>
                      <w:color w:val="auto"/>
                      <w:spacing w:val="0"/>
                      <w:w w:val="100"/>
                      <w:position w:val="0"/>
                      <w:sz w:val="21"/>
                      <w:highlight w:val="none"/>
                    </w:rPr>
                  </w:pPr>
                  <w:r>
                    <w:rPr>
                      <w:rFonts w:hint="default" w:ascii="Times New Roman" w:hAnsi="Times New Roman" w:cs="Times New Roman" w:eastAsiaTheme="minorEastAsia"/>
                      <w:color w:val="auto"/>
                      <w:kern w:val="0"/>
                      <w:sz w:val="21"/>
                      <w:szCs w:val="21"/>
                      <w:highlight w:val="none"/>
                      <w:lang w:val="en-US" w:eastAsia="zh-CN"/>
                    </w:rPr>
                    <w:t>纺纱区西厂界</w:t>
                  </w:r>
                </w:p>
              </w:tc>
              <w:tc>
                <w:tcPr>
                  <w:tcW w:w="606" w:type="pct"/>
                  <w:tcBorders>
                    <w:tl2br w:val="nil"/>
                    <w:tr2bl w:val="nil"/>
                  </w:tcBorders>
                  <w:vAlign w:val="center"/>
                </w:tcPr>
                <w:p w14:paraId="3255BA8F">
                  <w:pPr>
                    <w:keepNext w:val="0"/>
                    <w:keepLines w:val="0"/>
                    <w:pageBreakBefore w:val="0"/>
                    <w:kinsoku/>
                    <w:wordWrap/>
                    <w:overflowPunct/>
                    <w:topLinePunct w:val="0"/>
                    <w:bidi w:val="0"/>
                    <w:jc w:val="center"/>
                    <w:textAlignment w:val="auto"/>
                    <w:rPr>
                      <w:rFonts w:hint="default" w:ascii="Times New Roman" w:hAnsi="Times New Roman" w:eastAsia="宋体" w:cs="Times New Roman"/>
                      <w:smallCaps w:val="0"/>
                      <w:color w:val="auto"/>
                      <w:spacing w:val="0"/>
                      <w:w w:val="100"/>
                      <w:position w:val="0"/>
                      <w:sz w:val="21"/>
                      <w:highlight w:val="none"/>
                      <w:lang w:val="en-US" w:eastAsia="zh-CN"/>
                    </w:rPr>
                  </w:pPr>
                  <w:r>
                    <w:rPr>
                      <w:rFonts w:hint="default" w:ascii="Times New Roman" w:hAnsi="Times New Roman" w:cs="Times New Roman"/>
                      <w:color w:val="auto"/>
                      <w:kern w:val="2"/>
                      <w:sz w:val="21"/>
                      <w:szCs w:val="21"/>
                      <w:highlight w:val="none"/>
                      <w:lang w:val="en-US" w:eastAsia="zh-CN" w:bidi="ar-SA"/>
                    </w:rPr>
                    <w:t>48</w:t>
                  </w:r>
                </w:p>
              </w:tc>
              <w:tc>
                <w:tcPr>
                  <w:tcW w:w="568" w:type="pct"/>
                  <w:vMerge w:val="continue"/>
                  <w:tcBorders>
                    <w:tl2br w:val="nil"/>
                    <w:tr2bl w:val="nil"/>
                  </w:tcBorders>
                  <w:vAlign w:val="center"/>
                </w:tcPr>
                <w:p w14:paraId="250D0B95">
                  <w:pPr>
                    <w:pStyle w:val="213"/>
                    <w:keepNext w:val="0"/>
                    <w:keepLines w:val="0"/>
                    <w:pageBreakBefore w:val="0"/>
                    <w:suppressLineNumbers w:val="0"/>
                    <w:kinsoku/>
                    <w:wordWrap/>
                    <w:overflowPunct/>
                    <w:topLinePunct w:val="0"/>
                    <w:bidi w:val="0"/>
                    <w:spacing w:before="0" w:beforeAutospacing="0" w:after="0" w:afterAutospacing="0" w:line="240" w:lineRule="exact"/>
                    <w:ind w:left="0" w:right="0"/>
                    <w:textAlignment w:val="auto"/>
                    <w:rPr>
                      <w:rFonts w:hint="default" w:ascii="Times New Roman" w:hAnsi="Times New Roman" w:cs="Times New Roman"/>
                      <w:smallCaps w:val="0"/>
                      <w:color w:val="auto"/>
                      <w:spacing w:val="0"/>
                      <w:w w:val="100"/>
                      <w:position w:val="0"/>
                      <w:sz w:val="21"/>
                      <w:highlight w:val="none"/>
                    </w:rPr>
                  </w:pPr>
                </w:p>
              </w:tc>
              <w:tc>
                <w:tcPr>
                  <w:tcW w:w="703" w:type="pct"/>
                  <w:tcBorders>
                    <w:tl2br w:val="nil"/>
                    <w:tr2bl w:val="nil"/>
                  </w:tcBorders>
                  <w:vAlign w:val="center"/>
                </w:tcPr>
                <w:p w14:paraId="5BDE21B0">
                  <w:pPr>
                    <w:keepNext w:val="0"/>
                    <w:keepLines w:val="0"/>
                    <w:pageBreakBefore w:val="0"/>
                    <w:suppressLineNumbers w:val="0"/>
                    <w:kinsoku/>
                    <w:wordWrap/>
                    <w:overflowPunct/>
                    <w:topLinePunct w:val="0"/>
                    <w:bidi w:val="0"/>
                    <w:spacing w:before="0" w:beforeAutospacing="0" w:after="0" w:afterAutospacing="0" w:line="240" w:lineRule="exact"/>
                    <w:ind w:left="0" w:right="0"/>
                    <w:jc w:val="center"/>
                    <w:textAlignment w:val="auto"/>
                    <w:rPr>
                      <w:rFonts w:hint="default" w:ascii="Times New Roman" w:hAnsi="Times New Roman" w:cs="Times New Roman"/>
                      <w:smallCaps w:val="0"/>
                      <w:color w:val="auto"/>
                      <w:spacing w:val="0"/>
                      <w:w w:val="100"/>
                      <w:position w:val="0"/>
                      <w:sz w:val="21"/>
                      <w:highlight w:val="none"/>
                    </w:rPr>
                  </w:pPr>
                  <w:r>
                    <w:rPr>
                      <w:rFonts w:hint="default" w:ascii="Times New Roman" w:hAnsi="Times New Roman" w:eastAsia="宋体" w:cs="Times New Roman"/>
                      <w:smallCaps w:val="0"/>
                      <w:color w:val="auto"/>
                      <w:spacing w:val="0"/>
                      <w:w w:val="100"/>
                      <w:position w:val="0"/>
                      <w:sz w:val="21"/>
                      <w:highlight w:val="none"/>
                      <w:lang w:val="en-US" w:eastAsia="zh-CN"/>
                    </w:rPr>
                    <w:t>达标</w:t>
                  </w:r>
                </w:p>
              </w:tc>
              <w:tc>
                <w:tcPr>
                  <w:tcW w:w="681" w:type="pct"/>
                  <w:tcBorders>
                    <w:tl2br w:val="nil"/>
                    <w:tr2bl w:val="nil"/>
                  </w:tcBorders>
                  <w:vAlign w:val="center"/>
                </w:tcPr>
                <w:p w14:paraId="3E43C3B8">
                  <w:pPr>
                    <w:keepNext w:val="0"/>
                    <w:keepLines w:val="0"/>
                    <w:pageBreakBefore w:val="0"/>
                    <w:kinsoku/>
                    <w:wordWrap/>
                    <w:overflowPunct/>
                    <w:topLinePunct w:val="0"/>
                    <w:bidi w:val="0"/>
                    <w:jc w:val="center"/>
                    <w:textAlignment w:val="auto"/>
                    <w:rPr>
                      <w:rFonts w:hint="default" w:ascii="Times New Roman" w:hAnsi="Times New Roman" w:eastAsia="宋体" w:cs="Times New Roman"/>
                      <w:smallCaps w:val="0"/>
                      <w:color w:val="auto"/>
                      <w:spacing w:val="0"/>
                      <w:w w:val="100"/>
                      <w:position w:val="0"/>
                      <w:sz w:val="21"/>
                      <w:highlight w:val="none"/>
                      <w:lang w:val="en-US" w:eastAsia="zh-CN"/>
                    </w:rPr>
                  </w:pPr>
                  <w:r>
                    <w:rPr>
                      <w:rFonts w:hint="default" w:ascii="Times New Roman" w:hAnsi="Times New Roman" w:cs="Times New Roman"/>
                      <w:color w:val="auto"/>
                      <w:kern w:val="2"/>
                      <w:sz w:val="21"/>
                      <w:szCs w:val="21"/>
                      <w:highlight w:val="none"/>
                      <w:lang w:val="en-US" w:eastAsia="zh-CN" w:bidi="ar-SA"/>
                    </w:rPr>
                    <w:t>41</w:t>
                  </w:r>
                </w:p>
              </w:tc>
              <w:tc>
                <w:tcPr>
                  <w:tcW w:w="611" w:type="pct"/>
                  <w:vMerge w:val="continue"/>
                  <w:tcBorders>
                    <w:tl2br w:val="nil"/>
                    <w:tr2bl w:val="nil"/>
                  </w:tcBorders>
                  <w:vAlign w:val="center"/>
                </w:tcPr>
                <w:p w14:paraId="08AB7EBA">
                  <w:pPr>
                    <w:pStyle w:val="213"/>
                    <w:keepNext w:val="0"/>
                    <w:keepLines w:val="0"/>
                    <w:pageBreakBefore w:val="0"/>
                    <w:suppressLineNumbers w:val="0"/>
                    <w:kinsoku/>
                    <w:wordWrap/>
                    <w:overflowPunct/>
                    <w:topLinePunct w:val="0"/>
                    <w:bidi w:val="0"/>
                    <w:spacing w:before="0" w:beforeAutospacing="0" w:after="0" w:afterAutospacing="0" w:line="240" w:lineRule="exact"/>
                    <w:ind w:left="0" w:right="0"/>
                    <w:textAlignment w:val="auto"/>
                    <w:rPr>
                      <w:rFonts w:hint="default" w:ascii="Times New Roman" w:hAnsi="Times New Roman" w:cs="Times New Roman"/>
                      <w:smallCaps w:val="0"/>
                      <w:color w:val="auto"/>
                      <w:spacing w:val="0"/>
                      <w:w w:val="100"/>
                      <w:position w:val="0"/>
                      <w:sz w:val="21"/>
                      <w:highlight w:val="none"/>
                    </w:rPr>
                  </w:pPr>
                </w:p>
              </w:tc>
              <w:tc>
                <w:tcPr>
                  <w:tcW w:w="771" w:type="pct"/>
                  <w:tcBorders>
                    <w:tl2br w:val="nil"/>
                    <w:tr2bl w:val="nil"/>
                  </w:tcBorders>
                  <w:vAlign w:val="center"/>
                </w:tcPr>
                <w:p w14:paraId="6AE67F06">
                  <w:pPr>
                    <w:keepNext w:val="0"/>
                    <w:keepLines w:val="0"/>
                    <w:pageBreakBefore w:val="0"/>
                    <w:suppressLineNumbers w:val="0"/>
                    <w:kinsoku/>
                    <w:wordWrap/>
                    <w:overflowPunct/>
                    <w:topLinePunct w:val="0"/>
                    <w:bidi w:val="0"/>
                    <w:spacing w:before="0" w:beforeAutospacing="0" w:after="0" w:afterAutospacing="0" w:line="240" w:lineRule="exact"/>
                    <w:ind w:left="0" w:right="0"/>
                    <w:jc w:val="center"/>
                    <w:textAlignment w:val="auto"/>
                    <w:rPr>
                      <w:rFonts w:hint="default" w:ascii="Times New Roman" w:hAnsi="Times New Roman" w:cs="Times New Roman"/>
                      <w:smallCaps w:val="0"/>
                      <w:color w:val="auto"/>
                      <w:spacing w:val="0"/>
                      <w:w w:val="100"/>
                      <w:position w:val="0"/>
                      <w:sz w:val="21"/>
                      <w:highlight w:val="none"/>
                    </w:rPr>
                  </w:pPr>
                  <w:r>
                    <w:rPr>
                      <w:rFonts w:hint="default" w:ascii="Times New Roman" w:hAnsi="Times New Roman" w:eastAsia="宋体" w:cs="Times New Roman"/>
                      <w:smallCaps w:val="0"/>
                      <w:color w:val="auto"/>
                      <w:spacing w:val="0"/>
                      <w:w w:val="100"/>
                      <w:position w:val="0"/>
                      <w:sz w:val="21"/>
                      <w:highlight w:val="none"/>
                      <w:lang w:val="en-US" w:eastAsia="zh-CN"/>
                    </w:rPr>
                    <w:t>达标</w:t>
                  </w:r>
                </w:p>
              </w:tc>
            </w:tr>
            <w:tr w14:paraId="18767E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057" w:type="pct"/>
                  <w:tcBorders>
                    <w:tl2br w:val="nil"/>
                    <w:tr2bl w:val="nil"/>
                  </w:tcBorders>
                  <w:vAlign w:val="center"/>
                </w:tcPr>
                <w:p w14:paraId="0D46D51C">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auto"/>
                    <w:rPr>
                      <w:rFonts w:hint="default" w:ascii="Times New Roman" w:hAnsi="Times New Roman" w:cs="Times New Roman"/>
                      <w:smallCaps w:val="0"/>
                      <w:color w:val="auto"/>
                      <w:spacing w:val="0"/>
                      <w:w w:val="100"/>
                      <w:position w:val="0"/>
                      <w:sz w:val="21"/>
                      <w:highlight w:val="none"/>
                    </w:rPr>
                  </w:pPr>
                  <w:r>
                    <w:rPr>
                      <w:rFonts w:hint="default" w:ascii="Times New Roman" w:hAnsi="Times New Roman" w:cs="Times New Roman" w:eastAsiaTheme="minorEastAsia"/>
                      <w:color w:val="auto"/>
                      <w:kern w:val="0"/>
                      <w:sz w:val="21"/>
                      <w:szCs w:val="21"/>
                      <w:highlight w:val="none"/>
                      <w:lang w:val="en-US" w:eastAsia="zh-CN"/>
                    </w:rPr>
                    <w:t>纺纱区北厂界</w:t>
                  </w:r>
                </w:p>
              </w:tc>
              <w:tc>
                <w:tcPr>
                  <w:tcW w:w="606" w:type="pct"/>
                  <w:tcBorders>
                    <w:tl2br w:val="nil"/>
                    <w:tr2bl w:val="nil"/>
                  </w:tcBorders>
                  <w:vAlign w:val="center"/>
                </w:tcPr>
                <w:p w14:paraId="220F1A46">
                  <w:pPr>
                    <w:keepNext w:val="0"/>
                    <w:keepLines w:val="0"/>
                    <w:pageBreakBefore w:val="0"/>
                    <w:kinsoku/>
                    <w:wordWrap/>
                    <w:overflowPunct/>
                    <w:topLinePunct w:val="0"/>
                    <w:bidi w:val="0"/>
                    <w:jc w:val="center"/>
                    <w:textAlignment w:val="auto"/>
                    <w:rPr>
                      <w:rFonts w:hint="default" w:ascii="Times New Roman" w:hAnsi="Times New Roman" w:eastAsia="宋体" w:cs="Times New Roman"/>
                      <w:smallCaps w:val="0"/>
                      <w:color w:val="auto"/>
                      <w:spacing w:val="0"/>
                      <w:w w:val="100"/>
                      <w:position w:val="0"/>
                      <w:sz w:val="21"/>
                      <w:highlight w:val="none"/>
                      <w:lang w:val="en-US" w:eastAsia="zh-CN"/>
                    </w:rPr>
                  </w:pPr>
                  <w:r>
                    <w:rPr>
                      <w:rFonts w:hint="default" w:ascii="Times New Roman" w:hAnsi="Times New Roman" w:cs="Times New Roman"/>
                      <w:color w:val="auto"/>
                      <w:kern w:val="2"/>
                      <w:sz w:val="21"/>
                      <w:szCs w:val="21"/>
                      <w:highlight w:val="none"/>
                      <w:lang w:val="en-US" w:eastAsia="zh-CN" w:bidi="ar-SA"/>
                    </w:rPr>
                    <w:t>48</w:t>
                  </w:r>
                </w:p>
              </w:tc>
              <w:tc>
                <w:tcPr>
                  <w:tcW w:w="568" w:type="pct"/>
                  <w:vMerge w:val="continue"/>
                  <w:tcBorders>
                    <w:tl2br w:val="nil"/>
                    <w:tr2bl w:val="nil"/>
                  </w:tcBorders>
                  <w:vAlign w:val="center"/>
                </w:tcPr>
                <w:p w14:paraId="1B644CAD">
                  <w:pPr>
                    <w:pStyle w:val="213"/>
                    <w:keepNext w:val="0"/>
                    <w:keepLines w:val="0"/>
                    <w:pageBreakBefore w:val="0"/>
                    <w:suppressLineNumbers w:val="0"/>
                    <w:kinsoku/>
                    <w:wordWrap/>
                    <w:overflowPunct/>
                    <w:topLinePunct w:val="0"/>
                    <w:bidi w:val="0"/>
                    <w:spacing w:before="0" w:beforeAutospacing="0" w:after="0" w:afterAutospacing="0" w:line="240" w:lineRule="exact"/>
                    <w:ind w:left="0" w:right="0"/>
                    <w:textAlignment w:val="auto"/>
                    <w:rPr>
                      <w:rFonts w:hint="default" w:ascii="Times New Roman" w:hAnsi="Times New Roman" w:cs="Times New Roman"/>
                      <w:smallCaps w:val="0"/>
                      <w:color w:val="auto"/>
                      <w:spacing w:val="0"/>
                      <w:w w:val="100"/>
                      <w:position w:val="0"/>
                      <w:sz w:val="21"/>
                      <w:highlight w:val="none"/>
                    </w:rPr>
                  </w:pPr>
                </w:p>
              </w:tc>
              <w:tc>
                <w:tcPr>
                  <w:tcW w:w="703" w:type="pct"/>
                  <w:tcBorders>
                    <w:tl2br w:val="nil"/>
                    <w:tr2bl w:val="nil"/>
                  </w:tcBorders>
                  <w:vAlign w:val="center"/>
                </w:tcPr>
                <w:p w14:paraId="5184CC61">
                  <w:pPr>
                    <w:keepNext w:val="0"/>
                    <w:keepLines w:val="0"/>
                    <w:pageBreakBefore w:val="0"/>
                    <w:suppressLineNumbers w:val="0"/>
                    <w:kinsoku/>
                    <w:wordWrap/>
                    <w:overflowPunct/>
                    <w:topLinePunct w:val="0"/>
                    <w:bidi w:val="0"/>
                    <w:spacing w:before="0" w:beforeAutospacing="0" w:after="0" w:afterAutospacing="0" w:line="240" w:lineRule="exact"/>
                    <w:ind w:left="0" w:right="0"/>
                    <w:jc w:val="center"/>
                    <w:textAlignment w:val="auto"/>
                    <w:rPr>
                      <w:rFonts w:hint="default" w:ascii="Times New Roman" w:hAnsi="Times New Roman" w:cs="Times New Roman"/>
                      <w:smallCaps w:val="0"/>
                      <w:color w:val="auto"/>
                      <w:spacing w:val="0"/>
                      <w:w w:val="100"/>
                      <w:position w:val="0"/>
                      <w:sz w:val="21"/>
                      <w:highlight w:val="none"/>
                    </w:rPr>
                  </w:pPr>
                  <w:r>
                    <w:rPr>
                      <w:rFonts w:hint="default" w:ascii="Times New Roman" w:hAnsi="Times New Roman" w:eastAsia="宋体" w:cs="Times New Roman"/>
                      <w:smallCaps w:val="0"/>
                      <w:color w:val="auto"/>
                      <w:spacing w:val="0"/>
                      <w:w w:val="100"/>
                      <w:position w:val="0"/>
                      <w:sz w:val="21"/>
                      <w:highlight w:val="none"/>
                      <w:lang w:val="en-US" w:eastAsia="zh-CN"/>
                    </w:rPr>
                    <w:t>达标</w:t>
                  </w:r>
                </w:p>
              </w:tc>
              <w:tc>
                <w:tcPr>
                  <w:tcW w:w="681" w:type="pct"/>
                  <w:tcBorders>
                    <w:tl2br w:val="nil"/>
                    <w:tr2bl w:val="nil"/>
                  </w:tcBorders>
                  <w:vAlign w:val="center"/>
                </w:tcPr>
                <w:p w14:paraId="5C39C1E5">
                  <w:pPr>
                    <w:keepNext w:val="0"/>
                    <w:keepLines w:val="0"/>
                    <w:pageBreakBefore w:val="0"/>
                    <w:kinsoku/>
                    <w:wordWrap/>
                    <w:overflowPunct/>
                    <w:topLinePunct w:val="0"/>
                    <w:bidi w:val="0"/>
                    <w:jc w:val="center"/>
                    <w:textAlignment w:val="auto"/>
                    <w:rPr>
                      <w:rFonts w:hint="default" w:ascii="Times New Roman" w:hAnsi="Times New Roman" w:eastAsia="宋体" w:cs="Times New Roman"/>
                      <w:smallCaps w:val="0"/>
                      <w:color w:val="auto"/>
                      <w:spacing w:val="0"/>
                      <w:w w:val="100"/>
                      <w:position w:val="0"/>
                      <w:sz w:val="21"/>
                      <w:highlight w:val="none"/>
                      <w:lang w:val="en-US" w:eastAsia="zh-CN"/>
                    </w:rPr>
                  </w:pPr>
                  <w:r>
                    <w:rPr>
                      <w:rFonts w:hint="default" w:ascii="Times New Roman" w:hAnsi="Times New Roman" w:cs="Times New Roman"/>
                      <w:color w:val="auto"/>
                      <w:kern w:val="2"/>
                      <w:sz w:val="21"/>
                      <w:szCs w:val="21"/>
                      <w:highlight w:val="none"/>
                      <w:lang w:val="en-US" w:eastAsia="zh-CN" w:bidi="ar-SA"/>
                    </w:rPr>
                    <w:t>37</w:t>
                  </w:r>
                </w:p>
              </w:tc>
              <w:tc>
                <w:tcPr>
                  <w:tcW w:w="611" w:type="pct"/>
                  <w:vMerge w:val="continue"/>
                  <w:tcBorders>
                    <w:tl2br w:val="nil"/>
                    <w:tr2bl w:val="nil"/>
                  </w:tcBorders>
                  <w:vAlign w:val="center"/>
                </w:tcPr>
                <w:p w14:paraId="2AF0CE4A">
                  <w:pPr>
                    <w:pStyle w:val="213"/>
                    <w:keepNext w:val="0"/>
                    <w:keepLines w:val="0"/>
                    <w:pageBreakBefore w:val="0"/>
                    <w:suppressLineNumbers w:val="0"/>
                    <w:kinsoku/>
                    <w:wordWrap/>
                    <w:overflowPunct/>
                    <w:topLinePunct w:val="0"/>
                    <w:bidi w:val="0"/>
                    <w:spacing w:before="0" w:beforeAutospacing="0" w:after="0" w:afterAutospacing="0" w:line="240" w:lineRule="exact"/>
                    <w:ind w:left="0" w:right="0"/>
                    <w:textAlignment w:val="auto"/>
                    <w:rPr>
                      <w:rFonts w:hint="default" w:ascii="Times New Roman" w:hAnsi="Times New Roman" w:cs="Times New Roman"/>
                      <w:smallCaps w:val="0"/>
                      <w:color w:val="auto"/>
                      <w:spacing w:val="0"/>
                      <w:w w:val="100"/>
                      <w:position w:val="0"/>
                      <w:sz w:val="21"/>
                      <w:highlight w:val="none"/>
                    </w:rPr>
                  </w:pPr>
                </w:p>
              </w:tc>
              <w:tc>
                <w:tcPr>
                  <w:tcW w:w="771" w:type="pct"/>
                  <w:tcBorders>
                    <w:tl2br w:val="nil"/>
                    <w:tr2bl w:val="nil"/>
                  </w:tcBorders>
                  <w:vAlign w:val="center"/>
                </w:tcPr>
                <w:p w14:paraId="3F3C4470">
                  <w:pPr>
                    <w:keepNext w:val="0"/>
                    <w:keepLines w:val="0"/>
                    <w:pageBreakBefore w:val="0"/>
                    <w:suppressLineNumbers w:val="0"/>
                    <w:kinsoku/>
                    <w:wordWrap/>
                    <w:overflowPunct/>
                    <w:topLinePunct w:val="0"/>
                    <w:bidi w:val="0"/>
                    <w:spacing w:before="0" w:beforeAutospacing="0" w:after="0" w:afterAutospacing="0" w:line="240" w:lineRule="exact"/>
                    <w:ind w:left="0" w:right="0"/>
                    <w:jc w:val="center"/>
                    <w:textAlignment w:val="auto"/>
                    <w:rPr>
                      <w:rFonts w:hint="default" w:ascii="Times New Roman" w:hAnsi="Times New Roman" w:cs="Times New Roman"/>
                      <w:smallCaps w:val="0"/>
                      <w:color w:val="auto"/>
                      <w:spacing w:val="0"/>
                      <w:w w:val="100"/>
                      <w:position w:val="0"/>
                      <w:sz w:val="21"/>
                      <w:highlight w:val="none"/>
                    </w:rPr>
                  </w:pPr>
                  <w:r>
                    <w:rPr>
                      <w:rFonts w:hint="default" w:ascii="Times New Roman" w:hAnsi="Times New Roman" w:eastAsia="宋体" w:cs="Times New Roman"/>
                      <w:smallCaps w:val="0"/>
                      <w:color w:val="auto"/>
                      <w:spacing w:val="0"/>
                      <w:w w:val="100"/>
                      <w:position w:val="0"/>
                      <w:sz w:val="21"/>
                      <w:highlight w:val="none"/>
                      <w:lang w:val="en-US" w:eastAsia="zh-CN"/>
                    </w:rPr>
                    <w:t>达标</w:t>
                  </w:r>
                </w:p>
              </w:tc>
            </w:tr>
          </w:tbl>
          <w:p w14:paraId="0E914EF7">
            <w:pPr>
              <w:pStyle w:val="67"/>
              <w:numPr>
                <w:ilvl w:val="0"/>
                <w:numId w:val="0"/>
              </w:numPr>
              <w:spacing w:line="480" w:lineRule="exact"/>
              <w:ind w:leftChars="0"/>
              <w:rPr>
                <w:rFonts w:hint="default" w:ascii="Times New Roman" w:hAnsi="Times New Roman" w:eastAsia="黑体" w:cs="Times New Roman"/>
                <w:sz w:val="25"/>
                <w:lang w:val="en-US" w:eastAsia="zh-CN"/>
              </w:rPr>
            </w:pPr>
            <w:r>
              <w:rPr>
                <w:rFonts w:hint="default" w:ascii="Times New Roman" w:hAnsi="Times New Roman" w:eastAsia="黑体" w:cs="Times New Roman"/>
                <w:sz w:val="25"/>
                <w:lang w:val="en-US" w:eastAsia="zh-CN"/>
              </w:rPr>
              <w:t>4.水环境质量现状监测与评价</w:t>
            </w:r>
          </w:p>
          <w:p w14:paraId="778F257B">
            <w:pPr>
              <w:pStyle w:val="67"/>
              <w:numPr>
                <w:ilvl w:val="0"/>
                <w:numId w:val="0"/>
              </w:numPr>
              <w:spacing w:line="468" w:lineRule="exact"/>
              <w:ind w:left="420" w:leftChars="0"/>
              <w:rPr>
                <w:rFonts w:hint="default" w:ascii="Times New Roman" w:hAnsi="Times New Roman" w:eastAsia="黑体" w:cs="Times New Roman"/>
                <w:sz w:val="24"/>
                <w:lang w:val="en-US" w:eastAsia="zh-CN"/>
              </w:rPr>
            </w:pPr>
            <w:r>
              <w:rPr>
                <w:rFonts w:hint="default" w:ascii="Times New Roman" w:hAnsi="Times New Roman" w:eastAsia="黑体" w:cs="Times New Roman"/>
                <w:sz w:val="24"/>
                <w:lang w:val="en-US" w:eastAsia="zh-CN"/>
              </w:rPr>
              <w:t>4.1地表水</w:t>
            </w:r>
          </w:p>
          <w:p w14:paraId="29FE5761">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kern w:val="0"/>
                <w:sz w:val="24"/>
              </w:rPr>
            </w:pPr>
            <w:r>
              <w:rPr>
                <w:rFonts w:hint="default" w:ascii="Times New Roman" w:hAnsi="Times New Roman" w:eastAsia="宋体" w:cs="Times New Roman"/>
                <w:kern w:val="0"/>
                <w:sz w:val="24"/>
              </w:rPr>
              <w:t>按照《</w:t>
            </w:r>
            <w:r>
              <w:rPr>
                <w:rFonts w:hint="default" w:ascii="Times New Roman" w:hAnsi="Times New Roman" w:eastAsia="宋体" w:cs="Times New Roman"/>
                <w:kern w:val="0"/>
                <w:sz w:val="24"/>
                <w:lang w:eastAsia="zh-CN"/>
              </w:rPr>
              <w:t>环境影响评价技术导则地表水环境</w:t>
            </w:r>
            <w:r>
              <w:rPr>
                <w:rFonts w:hint="default" w:ascii="Times New Roman" w:hAnsi="Times New Roman" w:eastAsia="宋体" w:cs="Times New Roman"/>
                <w:kern w:val="0"/>
                <w:sz w:val="24"/>
              </w:rPr>
              <w:t>》（HJ2.3-2018）</w:t>
            </w:r>
            <w:r>
              <w:rPr>
                <w:rFonts w:hint="default" w:ascii="Times New Roman" w:hAnsi="Times New Roman" w:eastAsia="宋体" w:cs="Times New Roman"/>
                <w:kern w:val="0"/>
                <w:sz w:val="24"/>
                <w:lang w:eastAsia="zh-CN"/>
              </w:rPr>
              <w:t>，项目属于水污染影响型建设项目，为间接排放，且不与周边地表水体发生水力联系，</w:t>
            </w:r>
            <w:r>
              <w:rPr>
                <w:rFonts w:hint="default" w:ascii="Times New Roman" w:hAnsi="Times New Roman" w:eastAsia="宋体" w:cs="Times New Roman"/>
                <w:kern w:val="0"/>
                <w:sz w:val="24"/>
              </w:rPr>
              <w:t>且</w:t>
            </w:r>
            <w:bookmarkStart w:id="51" w:name="OLE_LINK250"/>
            <w:bookmarkStart w:id="52" w:name="OLE_LINK249"/>
            <w:r>
              <w:rPr>
                <w:rFonts w:hint="default" w:ascii="Times New Roman" w:hAnsi="Times New Roman" w:eastAsia="宋体" w:cs="Times New Roman"/>
                <w:kern w:val="0"/>
                <w:sz w:val="24"/>
                <w:lang w:eastAsia="zh-CN"/>
              </w:rPr>
              <w:t>无涉地表水的工程</w:t>
            </w:r>
            <w:bookmarkEnd w:id="51"/>
            <w:bookmarkEnd w:id="52"/>
            <w:r>
              <w:rPr>
                <w:rFonts w:hint="default" w:ascii="Times New Roman" w:hAnsi="Times New Roman" w:eastAsia="宋体" w:cs="Times New Roman"/>
                <w:kern w:val="0"/>
                <w:sz w:val="24"/>
                <w:lang w:val="en-US" w:eastAsia="zh-CN"/>
              </w:rPr>
              <w:t>，</w:t>
            </w:r>
            <w:r>
              <w:rPr>
                <w:rFonts w:hint="default" w:ascii="Times New Roman" w:hAnsi="Times New Roman" w:eastAsia="宋体" w:cs="Times New Roman"/>
                <w:kern w:val="0"/>
                <w:sz w:val="24"/>
                <w:lang w:eastAsia="zh-CN"/>
              </w:rPr>
              <w:t>项目地表水环境影响评价等级为三级B</w:t>
            </w:r>
            <w:r>
              <w:rPr>
                <w:rFonts w:hint="default" w:ascii="Times New Roman" w:hAnsi="Times New Roman" w:eastAsia="宋体" w:cs="Times New Roman"/>
                <w:kern w:val="0"/>
                <w:sz w:val="24"/>
              </w:rPr>
              <w:t>，无需开展地表水环境影响评价。</w:t>
            </w:r>
          </w:p>
          <w:p w14:paraId="7F972312">
            <w:pPr>
              <w:pStyle w:val="67"/>
              <w:numPr>
                <w:ilvl w:val="0"/>
                <w:numId w:val="0"/>
              </w:numPr>
              <w:spacing w:line="468" w:lineRule="exact"/>
              <w:ind w:left="420" w:leftChars="0"/>
              <w:rPr>
                <w:rFonts w:hint="default" w:ascii="Times New Roman" w:hAnsi="Times New Roman" w:eastAsia="黑体" w:cs="Times New Roman"/>
                <w:sz w:val="24"/>
                <w:lang w:val="en-US" w:eastAsia="zh-CN"/>
              </w:rPr>
            </w:pPr>
            <w:r>
              <w:rPr>
                <w:rFonts w:hint="default" w:ascii="Times New Roman" w:hAnsi="Times New Roman" w:eastAsia="黑体" w:cs="Times New Roman"/>
                <w:sz w:val="24"/>
                <w:lang w:val="en-US" w:eastAsia="zh-CN"/>
              </w:rPr>
              <w:t>4.2地下水</w:t>
            </w:r>
          </w:p>
          <w:p w14:paraId="11F20063">
            <w:pPr>
              <w:keepNext w:val="0"/>
              <w:keepLines w:val="0"/>
              <w:pageBreakBefore w:val="0"/>
              <w:widowControl/>
              <w:kinsoku/>
              <w:wordWrap/>
              <w:overflowPunct/>
              <w:topLinePunct w:val="0"/>
              <w:autoSpaceDE/>
              <w:autoSpaceDN/>
              <w:bidi w:val="0"/>
              <w:adjustRightInd/>
              <w:snapToGrid/>
              <w:spacing w:after="0" w:line="480" w:lineRule="exact"/>
              <w:ind w:firstLine="480" w:firstLineChars="200"/>
              <w:jc w:val="both"/>
              <w:textAlignment w:val="auto"/>
              <w:rPr>
                <w:rFonts w:hint="default" w:ascii="Times New Roman" w:hAnsi="Times New Roman" w:cs="Times New Roman"/>
              </w:rPr>
            </w:pPr>
            <w:r>
              <w:rPr>
                <w:rFonts w:hint="default" w:ascii="Times New Roman" w:hAnsi="Times New Roman" w:cs="Times New Roman"/>
                <w:kern w:val="0"/>
                <w:sz w:val="24"/>
              </w:rPr>
              <w:t>根据</w:t>
            </w:r>
            <w:r>
              <w:rPr>
                <w:rFonts w:hint="default" w:ascii="Times New Roman" w:hAnsi="Times New Roman" w:cs="Times New Roman"/>
                <w:sz w:val="24"/>
              </w:rPr>
              <w:t>《环境影响评价技术导则</w:t>
            </w:r>
            <w:r>
              <w:rPr>
                <w:rFonts w:hint="default" w:ascii="Times New Roman" w:hAnsi="Times New Roman" w:cs="Times New Roman"/>
                <w:sz w:val="24"/>
                <w:lang w:val="en-US" w:eastAsia="zh-CN"/>
              </w:rPr>
              <w:t xml:space="preserve"> </w:t>
            </w:r>
            <w:r>
              <w:rPr>
                <w:rFonts w:hint="default" w:ascii="Times New Roman" w:hAnsi="Times New Roman" w:cs="Times New Roman"/>
                <w:sz w:val="24"/>
              </w:rPr>
              <w:t>地下水环境》（HJ610-2016）附录A地下水环境影响评价行业分类表，</w:t>
            </w:r>
            <w:r>
              <w:rPr>
                <w:rFonts w:hint="default" w:ascii="Times New Roman" w:hAnsi="Times New Roman" w:eastAsia="宋体" w:cs="Times New Roman"/>
                <w:b w:val="0"/>
                <w:sz w:val="24"/>
              </w:rPr>
              <w:t>本工程为110kV变电站（输变电工程），按《环境影响评价技术导则 地下水环境》（HJ610-2016）附录A，属于</w:t>
            </w:r>
            <w:r>
              <w:rPr>
                <w:rFonts w:hint="eastAsia" w:ascii="Times New Roman" w:hAnsi="Times New Roman" w:eastAsia="宋体" w:cs="Times New Roman"/>
                <w:b w:val="0"/>
                <w:sz w:val="24"/>
                <w:lang w:eastAsia="zh-CN"/>
              </w:rPr>
              <w:t>“</w:t>
            </w:r>
            <w:r>
              <w:rPr>
                <w:rFonts w:hint="default" w:ascii="Times New Roman" w:hAnsi="Times New Roman" w:eastAsia="宋体" w:cs="Times New Roman"/>
                <w:b w:val="0"/>
                <w:sz w:val="24"/>
              </w:rPr>
              <w:t>I电力</w:t>
            </w:r>
            <w:r>
              <w:rPr>
                <w:rFonts w:hint="default" w:ascii="Times New Roman" w:hAnsi="Times New Roman" w:eastAsia="宋体" w:cs="Times New Roman"/>
                <w:b w:val="0"/>
                <w:sz w:val="24"/>
                <w:lang w:val="en-US" w:eastAsia="zh-CN"/>
              </w:rPr>
              <w:t>-</w:t>
            </w:r>
            <w:r>
              <w:rPr>
                <w:rFonts w:hint="default" w:ascii="Times New Roman" w:hAnsi="Times New Roman" w:eastAsia="宋体" w:cs="Times New Roman"/>
                <w:b w:val="0"/>
                <w:sz w:val="24"/>
              </w:rPr>
              <w:t>35 送（输）变电工程</w:t>
            </w:r>
            <w:r>
              <w:rPr>
                <w:rFonts w:hint="eastAsia" w:ascii="Times New Roman" w:hAnsi="Times New Roman" w:eastAsia="宋体" w:cs="Times New Roman"/>
                <w:b w:val="0"/>
                <w:sz w:val="24"/>
                <w:lang w:eastAsia="zh-CN"/>
              </w:rPr>
              <w:t>”</w:t>
            </w:r>
            <w:r>
              <w:rPr>
                <w:rFonts w:hint="default" w:ascii="Times New Roman" w:hAnsi="Times New Roman" w:eastAsia="宋体" w:cs="Times New Roman"/>
                <w:b w:val="0"/>
                <w:sz w:val="24"/>
                <w:lang w:eastAsia="zh-CN"/>
              </w:rPr>
              <w:t>。</w:t>
            </w:r>
            <w:r>
              <w:rPr>
                <w:rFonts w:hint="default" w:ascii="Times New Roman" w:hAnsi="Times New Roman" w:eastAsia="宋体" w:cs="Times New Roman"/>
                <w:b w:val="0"/>
                <w:sz w:val="24"/>
              </w:rPr>
              <w:t>本工程为地下水环境影响评价项目类别Ⅳ类，不开展地下水环境影响评价。</w:t>
            </w:r>
          </w:p>
          <w:p w14:paraId="239C71D7">
            <w:pPr>
              <w:pStyle w:val="67"/>
              <w:numPr>
                <w:ilvl w:val="0"/>
                <w:numId w:val="0"/>
              </w:numPr>
              <w:spacing w:line="468" w:lineRule="exact"/>
              <w:ind w:left="420" w:leftChars="0"/>
              <w:rPr>
                <w:rFonts w:hint="default" w:ascii="Times New Roman" w:hAnsi="Times New Roman" w:eastAsia="黑体" w:cs="Times New Roman"/>
                <w:sz w:val="24"/>
                <w:lang w:val="en-US" w:eastAsia="zh-CN"/>
              </w:rPr>
            </w:pPr>
            <w:r>
              <w:rPr>
                <w:rFonts w:hint="default" w:ascii="Times New Roman" w:hAnsi="Times New Roman" w:eastAsia="黑体" w:cs="Times New Roman"/>
                <w:sz w:val="24"/>
                <w:lang w:val="en-US" w:eastAsia="zh-CN"/>
              </w:rPr>
              <w:t>4.3土壤环境</w:t>
            </w:r>
          </w:p>
          <w:p w14:paraId="43C81AAC">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kern w:val="0"/>
                <w:sz w:val="24"/>
              </w:rPr>
            </w:pPr>
            <w:r>
              <w:rPr>
                <w:rFonts w:hint="default" w:ascii="Times New Roman" w:hAnsi="Times New Roman" w:eastAsia="宋体" w:cs="Times New Roman"/>
                <w:kern w:val="0"/>
                <w:sz w:val="24"/>
              </w:rPr>
              <w:t>根据《环境影响评价技术导则土壤环境（试行）》（HJ964-2018）土壤环境影响评价项目类别附录A，本项目属于“电力热力燃气及水生产和供应业－其他”，为Ⅳ类建设项目，不展开土壤环境影响评价。</w:t>
            </w:r>
          </w:p>
          <w:p w14:paraId="6EB422F4">
            <w:pPr>
              <w:pStyle w:val="67"/>
              <w:numPr>
                <w:ilvl w:val="0"/>
                <w:numId w:val="0"/>
              </w:numPr>
              <w:spacing w:line="480" w:lineRule="exact"/>
              <w:ind w:leftChars="0"/>
              <w:rPr>
                <w:rFonts w:hint="default" w:ascii="Times New Roman" w:hAnsi="Times New Roman" w:eastAsia="黑体" w:cs="Times New Roman"/>
                <w:sz w:val="25"/>
                <w:lang w:val="en-US" w:eastAsia="zh-CN"/>
              </w:rPr>
            </w:pPr>
            <w:r>
              <w:rPr>
                <w:rFonts w:hint="default" w:ascii="Times New Roman" w:hAnsi="Times New Roman" w:eastAsia="黑体" w:cs="Times New Roman"/>
                <w:sz w:val="25"/>
                <w:lang w:val="en-US" w:eastAsia="zh-CN"/>
              </w:rPr>
              <w:t>5.电磁环境质量现状</w:t>
            </w:r>
          </w:p>
          <w:p w14:paraId="0FADEF1E">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kern w:val="0"/>
                <w:sz w:val="24"/>
              </w:rPr>
            </w:pPr>
            <w:r>
              <w:rPr>
                <w:rFonts w:hint="default" w:ascii="Times New Roman" w:hAnsi="Times New Roman" w:eastAsia="宋体" w:cs="Times New Roman"/>
                <w:kern w:val="0"/>
                <w:sz w:val="24"/>
              </w:rPr>
              <w:t>本工程电磁环境现状引用《电磁环境影响专题评价》监测结果分析，监测布点、监测项目等详见《电磁环境影响专题评价》。</w:t>
            </w:r>
          </w:p>
          <w:p w14:paraId="1EBB0AC5">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sz w:val="24"/>
              </w:rPr>
            </w:pPr>
            <w:r>
              <w:rPr>
                <w:rFonts w:hint="default" w:ascii="Times New Roman" w:hAnsi="Times New Roman" w:eastAsia="宋体" w:cs="Times New Roman"/>
                <w:kern w:val="0"/>
                <w:sz w:val="24"/>
              </w:rPr>
              <w:t>由现状监测结果可知，本工程</w:t>
            </w:r>
            <w:r>
              <w:rPr>
                <w:rFonts w:hint="default" w:ascii="Times New Roman" w:hAnsi="Times New Roman" w:eastAsia="宋体" w:cs="Times New Roman"/>
                <w:kern w:val="0"/>
                <w:sz w:val="24"/>
                <w:lang w:val="en-US" w:eastAsia="zh-CN"/>
              </w:rPr>
              <w:t>110kV变电站</w:t>
            </w:r>
            <w:r>
              <w:rPr>
                <w:rFonts w:hint="default" w:ascii="Times New Roman" w:hAnsi="Times New Roman" w:eastAsia="宋体" w:cs="Times New Roman"/>
                <w:kern w:val="0"/>
                <w:sz w:val="24"/>
              </w:rPr>
              <w:t>拟建站址所在区域工频电场强度</w:t>
            </w:r>
            <w:r>
              <w:rPr>
                <w:rFonts w:hint="default" w:ascii="Times New Roman" w:hAnsi="Times New Roman" w:eastAsia="宋体" w:cs="Times New Roman"/>
                <w:kern w:val="0"/>
                <w:sz w:val="24"/>
                <w:lang w:val="en-US" w:eastAsia="zh-CN"/>
              </w:rPr>
              <w:t>为60.492</w:t>
            </w:r>
            <w:r>
              <w:rPr>
                <w:rFonts w:hint="default" w:ascii="Times New Roman" w:hAnsi="Times New Roman" w:eastAsia="宋体" w:cs="Times New Roman"/>
                <w:kern w:val="0"/>
                <w:sz w:val="24"/>
              </w:rPr>
              <w:t>V/m，工频磁感应强度</w:t>
            </w:r>
            <w:r>
              <w:rPr>
                <w:rFonts w:hint="default" w:ascii="Times New Roman" w:hAnsi="Times New Roman" w:eastAsia="宋体" w:cs="Times New Roman"/>
                <w:kern w:val="0"/>
                <w:sz w:val="24"/>
                <w:lang w:val="en-US" w:eastAsia="zh-CN"/>
              </w:rPr>
              <w:t>为0.022</w:t>
            </w:r>
            <w:r>
              <w:rPr>
                <w:rFonts w:hint="default" w:ascii="Times New Roman" w:hAnsi="Times New Roman" w:eastAsia="宋体" w:cs="Times New Roman"/>
                <w:kern w:val="0"/>
                <w:sz w:val="24"/>
              </w:rPr>
              <w:t>μT之间，均低于《电磁环境控制限值》（GB8702-2014）中要求的工频电场4000V/m、工频磁感应强度100μT的公众曝露控制限值要求。</w:t>
            </w:r>
          </w:p>
        </w:tc>
      </w:tr>
      <w:tr w14:paraId="2F69E4A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15" w:hRule="atLeast"/>
          <w:jc w:val="center"/>
        </w:trPr>
        <w:tc>
          <w:tcPr>
            <w:tcW w:w="344" w:type="pct"/>
            <w:vAlign w:val="center"/>
          </w:tcPr>
          <w:p w14:paraId="70116D60">
            <w:pPr>
              <w:adjustRightInd w:val="0"/>
              <w:snapToGrid w:val="0"/>
              <w:ind w:left="-105" w:leftChars="-50" w:right="-105" w:rightChars="-50"/>
              <w:jc w:val="center"/>
              <w:rPr>
                <w:rFonts w:hint="default" w:ascii="Times New Roman" w:hAnsi="Times New Roman" w:cs="Times New Roman" w:eastAsiaTheme="minorEastAsia"/>
                <w:kern w:val="0"/>
                <w:sz w:val="24"/>
              </w:rPr>
            </w:pPr>
            <w:r>
              <w:rPr>
                <w:rFonts w:hint="default" w:ascii="Times New Roman" w:hAnsi="Times New Roman" w:cs="Times New Roman" w:eastAsiaTheme="minorEastAsia"/>
                <w:bCs/>
                <w:sz w:val="24"/>
              </w:rPr>
              <w:t>与项目有关的原有环境污染和生态破坏问题</w:t>
            </w:r>
          </w:p>
        </w:tc>
        <w:tc>
          <w:tcPr>
            <w:tcW w:w="4655" w:type="pct"/>
            <w:vAlign w:val="center"/>
          </w:tcPr>
          <w:p w14:paraId="1732E271">
            <w:pPr>
              <w:keepNext w:val="0"/>
              <w:keepLines w:val="0"/>
              <w:pageBreakBefore w:val="0"/>
              <w:widowControl/>
              <w:kinsoku/>
              <w:wordWrap/>
              <w:overflowPunct/>
              <w:topLinePunct w:val="0"/>
              <w:autoSpaceDE/>
              <w:autoSpaceDN/>
              <w:bidi w:val="0"/>
              <w:adjustRightInd/>
              <w:snapToGrid/>
              <w:spacing w:after="0" w:line="480" w:lineRule="exact"/>
              <w:ind w:firstLine="480" w:firstLineChars="200"/>
              <w:jc w:val="both"/>
              <w:textAlignment w:val="auto"/>
            </w:pPr>
            <w:r>
              <w:rPr>
                <w:rFonts w:ascii="Times New Roman" w:hAnsi="Times New Roman" w:eastAsia="宋体"/>
                <w:b w:val="0"/>
                <w:sz w:val="24"/>
              </w:rPr>
              <w:t>本工程为新建项目，站址所在场地为产业园（一期）厂区规划预留用地，场地已经园区统一场平，现状为空地，不存在与本工程有关的原有环境污染和生态破坏问题。</w:t>
            </w:r>
          </w:p>
          <w:p w14:paraId="4DD7EAF3">
            <w:pPr>
              <w:keepNext w:val="0"/>
              <w:keepLines w:val="0"/>
              <w:pageBreakBefore w:val="0"/>
              <w:widowControl/>
              <w:kinsoku/>
              <w:wordWrap/>
              <w:overflowPunct/>
              <w:topLinePunct w:val="0"/>
              <w:autoSpaceDE/>
              <w:autoSpaceDN/>
              <w:bidi w:val="0"/>
              <w:adjustRightInd/>
              <w:snapToGrid/>
              <w:spacing w:after="0" w:line="480" w:lineRule="exact"/>
              <w:ind w:firstLine="480" w:firstLineChars="200"/>
              <w:jc w:val="both"/>
              <w:textAlignment w:val="auto"/>
              <w:rPr>
                <w:rFonts w:hint="default" w:ascii="Times New Roman" w:hAnsi="Times New Roman" w:cs="Times New Roman"/>
                <w:bCs/>
                <w:sz w:val="24"/>
              </w:rPr>
            </w:pPr>
            <w:r>
              <w:rPr>
                <w:rFonts w:ascii="Times New Roman" w:hAnsi="Times New Roman" w:eastAsia="宋体"/>
                <w:b w:val="0"/>
                <w:sz w:val="24"/>
              </w:rPr>
              <w:t>产业园（一期）项目（主体工程）即</w:t>
            </w:r>
            <w:r>
              <w:rPr>
                <w:rFonts w:hint="eastAsia" w:ascii="Times New Roman" w:hAnsi="Times New Roman" w:eastAsia="宋体"/>
                <w:b w:val="0"/>
                <w:sz w:val="24"/>
                <w:lang w:eastAsia="zh-CN"/>
              </w:rPr>
              <w:t>“</w:t>
            </w:r>
            <w:r>
              <w:rPr>
                <w:rFonts w:ascii="Times New Roman" w:hAnsi="Times New Roman" w:eastAsia="宋体"/>
                <w:b w:val="0"/>
                <w:sz w:val="24"/>
              </w:rPr>
              <w:t>新疆鸿泰鼎新材料科技有限公司鸿泰鼎绿色新材料纺织产业园（一期）建设项目</w:t>
            </w:r>
            <w:r>
              <w:rPr>
                <w:rFonts w:hint="eastAsia" w:ascii="Times New Roman" w:hAnsi="Times New Roman" w:eastAsia="宋体"/>
                <w:b w:val="0"/>
                <w:sz w:val="24"/>
                <w:lang w:eastAsia="zh-CN"/>
              </w:rPr>
              <w:t>”</w:t>
            </w:r>
            <w:r>
              <w:rPr>
                <w:rFonts w:ascii="Times New Roman" w:hAnsi="Times New Roman" w:eastAsia="宋体"/>
                <w:b w:val="0"/>
                <w:sz w:val="24"/>
              </w:rPr>
              <w:t>，其环境影响报告书已取得巴音郭楞蒙古自治州生态环境局批复（巴环评价函〔2026〕190号，见附件2），依法履行了环评审批手续；该项目目前尚未建成投运，不存在已产生的实际环境污染和生态破坏问题。本工程为其配套供电工程，与主体工程同步建设、同步投用。</w:t>
            </w:r>
          </w:p>
        </w:tc>
      </w:tr>
      <w:tr w14:paraId="015741C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344" w:type="pct"/>
            <w:vAlign w:val="center"/>
          </w:tcPr>
          <w:p w14:paraId="0C754026">
            <w:pPr>
              <w:adjustRightInd w:val="0"/>
              <w:snapToGrid w:val="0"/>
              <w:jc w:val="center"/>
              <w:rPr>
                <w:rFonts w:hint="default" w:ascii="Times New Roman" w:hAnsi="Times New Roman" w:cs="Times New Roman" w:eastAsiaTheme="minorEastAsia"/>
                <w:kern w:val="0"/>
                <w:sz w:val="24"/>
              </w:rPr>
            </w:pPr>
            <w:r>
              <w:rPr>
                <w:rFonts w:hint="default" w:ascii="Times New Roman" w:hAnsi="Times New Roman" w:cs="Times New Roman" w:eastAsiaTheme="minorEastAsia"/>
                <w:kern w:val="0"/>
                <w:sz w:val="24"/>
              </w:rPr>
              <w:t>生态环境保护目标</w:t>
            </w:r>
          </w:p>
        </w:tc>
        <w:tc>
          <w:tcPr>
            <w:tcW w:w="4655" w:type="pct"/>
            <w:vAlign w:val="center"/>
          </w:tcPr>
          <w:p w14:paraId="092A99BF">
            <w:pPr>
              <w:pStyle w:val="67"/>
              <w:numPr>
                <w:ilvl w:val="0"/>
                <w:numId w:val="0"/>
              </w:numPr>
              <w:spacing w:line="480" w:lineRule="exact"/>
              <w:ind w:left="142" w:leftChars="0"/>
              <w:rPr>
                <w:rFonts w:hint="default" w:ascii="Times New Roman" w:hAnsi="Times New Roman" w:eastAsia="宋体&quot; '仿宋_GB2312，宋体" w:cs="Times New Roman"/>
                <w:b/>
                <w:bCs/>
                <w:kern w:val="0"/>
                <w:sz w:val="24"/>
                <w:szCs w:val="28"/>
              </w:rPr>
            </w:pPr>
            <w:bookmarkStart w:id="53" w:name="_Toc8755"/>
            <w:bookmarkStart w:id="54" w:name="_Toc4245"/>
            <w:bookmarkStart w:id="55" w:name="_Toc9757"/>
            <w:r>
              <w:rPr>
                <w:rFonts w:hint="default" w:ascii="Times New Roman" w:hAnsi="Times New Roman" w:eastAsia="黑体" w:cs="Times New Roman"/>
                <w:sz w:val="24"/>
                <w:lang w:val="en-US" w:eastAsia="zh-CN"/>
              </w:rPr>
              <w:t>1.</w:t>
            </w:r>
            <w:r>
              <w:rPr>
                <w:rFonts w:hint="default" w:ascii="Times New Roman" w:hAnsi="Times New Roman" w:eastAsia="黑体" w:cs="Times New Roman"/>
                <w:sz w:val="24"/>
              </w:rPr>
              <w:t>评价范围</w:t>
            </w:r>
            <w:bookmarkEnd w:id="53"/>
            <w:bookmarkEnd w:id="54"/>
            <w:bookmarkEnd w:id="55"/>
          </w:p>
          <w:p w14:paraId="4258E0BF">
            <w:pPr>
              <w:spacing w:line="480" w:lineRule="exact"/>
              <w:ind w:firstLine="480" w:firstLineChars="200"/>
              <w:rPr>
                <w:rFonts w:hint="default" w:ascii="Times New Roman" w:hAnsi="Times New Roman" w:cs="Times New Roman"/>
                <w:sz w:val="24"/>
                <w:lang w:bidi="ar"/>
              </w:rPr>
            </w:pPr>
            <w:bookmarkStart w:id="56" w:name="OLE_LINK353"/>
            <w:r>
              <w:rPr>
                <w:rFonts w:hint="default" w:ascii="Times New Roman" w:hAnsi="Times New Roman" w:cs="Times New Roman"/>
                <w:sz w:val="24"/>
                <w:lang w:bidi="ar"/>
              </w:rPr>
              <w:t>（1）生态环境</w:t>
            </w:r>
          </w:p>
          <w:p w14:paraId="475610F9">
            <w:pPr>
              <w:spacing w:line="480" w:lineRule="exact"/>
              <w:ind w:firstLine="480" w:firstLineChars="200"/>
              <w:rPr>
                <w:rFonts w:hint="default" w:ascii="Times New Roman" w:hAnsi="Times New Roman" w:cs="Times New Roman"/>
                <w:kern w:val="0"/>
                <w:sz w:val="24"/>
              </w:rPr>
            </w:pPr>
            <w:r>
              <w:rPr>
                <w:rFonts w:hint="default" w:ascii="Times New Roman" w:hAnsi="Times New Roman" w:cs="Times New Roman"/>
                <w:kern w:val="0"/>
                <w:sz w:val="24"/>
              </w:rPr>
              <w:t>本工程占地范围内植被为荒漠型</w:t>
            </w:r>
            <w:r>
              <w:rPr>
                <w:rFonts w:hint="eastAsia" w:cs="Times New Roman"/>
                <w:kern w:val="0"/>
                <w:sz w:val="24"/>
                <w:lang w:eastAsia="zh-CN"/>
              </w:rPr>
              <w:t>其他灌木林地</w:t>
            </w:r>
            <w:r>
              <w:rPr>
                <w:rFonts w:hint="default" w:ascii="Times New Roman" w:hAnsi="Times New Roman" w:cs="Times New Roman"/>
                <w:kern w:val="0"/>
                <w:sz w:val="24"/>
              </w:rPr>
              <w:t>，灌木为荒漠耐旱物种，不属于国家特别规定的灌木林地，无乔木林。不涉及依法划定的国家公园、自然保护区、世界自然遗产、自然公园等生态敏感区，本工程选址不在生态保护红线范围内，且项目占地面积小于20km</w:t>
            </w:r>
            <w:r>
              <w:rPr>
                <w:rFonts w:hint="default" w:ascii="Times New Roman" w:hAnsi="Times New Roman" w:cs="Times New Roman"/>
                <w:kern w:val="0"/>
                <w:sz w:val="24"/>
                <w:vertAlign w:val="superscript"/>
              </w:rPr>
              <w:t>2</w:t>
            </w:r>
            <w:r>
              <w:rPr>
                <w:rFonts w:hint="default" w:ascii="Times New Roman" w:hAnsi="Times New Roman" w:cs="Times New Roman"/>
                <w:kern w:val="0"/>
                <w:sz w:val="24"/>
              </w:rPr>
              <w:t>，根据《环境影响评价技术导则 生态影响》（HJ19-2022），确定生态环境评价等级为三级，评价范围为场界外500m。生态保护目标主要为评价范围内荒漠植被、土壤，控制施工扰动，降低植被损毁与水土流失、风蚀沙化影响。</w:t>
            </w:r>
          </w:p>
          <w:p w14:paraId="739276C7">
            <w:pPr>
              <w:spacing w:line="480" w:lineRule="exact"/>
              <w:ind w:firstLine="480" w:firstLineChars="200"/>
              <w:rPr>
                <w:rFonts w:hint="default" w:ascii="Times New Roman" w:hAnsi="Times New Roman" w:cs="Times New Roman"/>
                <w:sz w:val="24"/>
                <w:lang w:bidi="ar"/>
              </w:rPr>
            </w:pPr>
            <w:r>
              <w:rPr>
                <w:rFonts w:hint="default" w:ascii="Times New Roman" w:hAnsi="Times New Roman" w:cs="Times New Roman"/>
                <w:sz w:val="24"/>
                <w:lang w:bidi="ar"/>
              </w:rPr>
              <w:t>（2）大气环境</w:t>
            </w:r>
          </w:p>
          <w:p w14:paraId="54E3A7A7">
            <w:pPr>
              <w:spacing w:line="480" w:lineRule="exact"/>
              <w:ind w:firstLine="480" w:firstLineChars="200"/>
              <w:rPr>
                <w:rFonts w:hint="default" w:ascii="Times New Roman" w:hAnsi="Times New Roman" w:cs="Times New Roman"/>
                <w:sz w:val="24"/>
                <w:lang w:bidi="ar"/>
              </w:rPr>
            </w:pPr>
            <w:r>
              <w:rPr>
                <w:rFonts w:hint="default" w:ascii="Times New Roman" w:hAnsi="Times New Roman" w:cs="Times New Roman"/>
                <w:sz w:val="24"/>
                <w:lang w:bidi="ar"/>
              </w:rPr>
              <w:t>根据项目工程分析，本项目施工期主要大气污染因子为施工扬尘，经采取措施治理后其污染物排放量较少，且施工结束后其扬尘污染消除。</w:t>
            </w:r>
            <w:r>
              <w:rPr>
                <w:rFonts w:hint="default" w:ascii="Times New Roman" w:hAnsi="Times New Roman" w:cs="Times New Roman"/>
                <w:sz w:val="24"/>
                <w:lang w:eastAsia="zh-CN" w:bidi="ar"/>
              </w:rPr>
              <w:t>变电站</w:t>
            </w:r>
            <w:r>
              <w:rPr>
                <w:rFonts w:hint="default" w:ascii="Times New Roman" w:hAnsi="Times New Roman" w:cs="Times New Roman"/>
                <w:sz w:val="24"/>
                <w:lang w:bidi="ar"/>
              </w:rPr>
              <w:t>运营期无废气产生。根据《环境影响评价技术导则 大气环境》（HJ2.2-2018），环境空气评价等级为三级，仅作一般性影响分析。</w:t>
            </w:r>
          </w:p>
          <w:p w14:paraId="3CA39925">
            <w:pPr>
              <w:numPr>
                <w:ilvl w:val="0"/>
                <w:numId w:val="6"/>
              </w:numPr>
              <w:spacing w:line="480" w:lineRule="exact"/>
              <w:ind w:firstLine="480" w:firstLineChars="200"/>
              <w:rPr>
                <w:rFonts w:hint="default" w:ascii="Times New Roman" w:hAnsi="Times New Roman" w:cs="Times New Roman"/>
                <w:sz w:val="24"/>
                <w:lang w:bidi="ar"/>
              </w:rPr>
            </w:pPr>
            <w:r>
              <w:rPr>
                <w:rFonts w:hint="default" w:ascii="Times New Roman" w:hAnsi="Times New Roman" w:cs="Times New Roman"/>
                <w:sz w:val="24"/>
                <w:lang w:bidi="ar"/>
              </w:rPr>
              <w:t>水环境</w:t>
            </w:r>
          </w:p>
          <w:p w14:paraId="6B36F45C">
            <w:pPr>
              <w:spacing w:line="480" w:lineRule="exact"/>
              <w:ind w:firstLine="480" w:firstLineChars="200"/>
              <w:rPr>
                <w:rFonts w:hint="default" w:ascii="Times New Roman" w:hAnsi="Times New Roman" w:cs="Times New Roman"/>
                <w:kern w:val="0"/>
                <w:sz w:val="24"/>
              </w:rPr>
            </w:pPr>
            <w:r>
              <w:rPr>
                <w:rFonts w:hint="default" w:ascii="Times New Roman" w:hAnsi="Times New Roman" w:cs="Times New Roman"/>
                <w:kern w:val="0"/>
                <w:sz w:val="24"/>
              </w:rPr>
              <w:t>本工程地表水评价等级确定为三级B，地下水无需开展评价，不设置地表水环境及地下水环境评价范围。</w:t>
            </w:r>
          </w:p>
          <w:p w14:paraId="3649580C">
            <w:pPr>
              <w:spacing w:line="480" w:lineRule="exact"/>
              <w:ind w:firstLine="480" w:firstLineChars="200"/>
              <w:rPr>
                <w:rFonts w:hint="default" w:ascii="Times New Roman" w:hAnsi="Times New Roman" w:cs="Times New Roman"/>
                <w:kern w:val="0"/>
                <w:sz w:val="24"/>
              </w:rPr>
            </w:pPr>
            <w:r>
              <w:rPr>
                <w:rFonts w:hint="default" w:ascii="Times New Roman" w:hAnsi="Times New Roman" w:cs="Times New Roman"/>
                <w:kern w:val="0"/>
                <w:sz w:val="24"/>
              </w:rPr>
              <w:t>（4）声环境</w:t>
            </w:r>
          </w:p>
          <w:p w14:paraId="36C38A1E">
            <w:pPr>
              <w:spacing w:line="480" w:lineRule="exact"/>
              <w:ind w:firstLine="480" w:firstLineChars="200"/>
              <w:rPr>
                <w:rFonts w:hint="default" w:ascii="Times New Roman" w:hAnsi="Times New Roman" w:cs="Times New Roman"/>
                <w:kern w:val="0"/>
                <w:sz w:val="24"/>
              </w:rPr>
            </w:pPr>
            <w:r>
              <w:rPr>
                <w:rFonts w:hint="default" w:ascii="Times New Roman" w:hAnsi="Times New Roman" w:cs="Times New Roman"/>
                <w:kern w:val="0"/>
                <w:sz w:val="24"/>
              </w:rPr>
              <w:t>根据《环境影响评价技术导则声环境》（HJ2.4-2021）中评价等级划分要求，本项目所在区域所处的声环境功能区为《声环境质量标准》（GB3096-2008）的规定的</w:t>
            </w:r>
            <w:r>
              <w:rPr>
                <w:rFonts w:hint="default" w:ascii="Times New Roman" w:hAnsi="Times New Roman" w:cs="Times New Roman"/>
                <w:kern w:val="0"/>
                <w:sz w:val="24"/>
                <w:lang w:val="en-US" w:eastAsia="zh-CN"/>
              </w:rPr>
              <w:t>3</w:t>
            </w:r>
            <w:r>
              <w:rPr>
                <w:rFonts w:hint="default" w:ascii="Times New Roman" w:hAnsi="Times New Roman" w:cs="Times New Roman"/>
                <w:kern w:val="0"/>
                <w:sz w:val="24"/>
              </w:rPr>
              <w:t>类地区，超项目建设前后评价范围内敏感目标噪声级增量不超3dB（A）），工程区周边50m范围内不存在声环境保护目标，受影响人口数量变化不大，因此，声环境评价工作等级应按</w:t>
            </w:r>
            <w:r>
              <w:rPr>
                <w:rFonts w:hint="default" w:ascii="Times New Roman" w:hAnsi="Times New Roman" w:cs="Times New Roman"/>
                <w:kern w:val="0"/>
                <w:sz w:val="24"/>
                <w:lang w:val="en-US" w:eastAsia="zh-CN"/>
              </w:rPr>
              <w:t>三</w:t>
            </w:r>
            <w:r>
              <w:rPr>
                <w:rFonts w:hint="default" w:ascii="Times New Roman" w:hAnsi="Times New Roman" w:cs="Times New Roman"/>
                <w:kern w:val="0"/>
                <w:sz w:val="24"/>
              </w:rPr>
              <w:t>级评价，评价范围为厂界外200m。</w:t>
            </w:r>
          </w:p>
          <w:p w14:paraId="06967EDD">
            <w:pPr>
              <w:spacing w:line="480" w:lineRule="exact"/>
              <w:ind w:firstLine="480" w:firstLineChars="200"/>
              <w:rPr>
                <w:rFonts w:hint="default" w:ascii="Times New Roman" w:hAnsi="Times New Roman" w:cs="Times New Roman"/>
                <w:kern w:val="0"/>
                <w:sz w:val="24"/>
              </w:rPr>
            </w:pPr>
            <w:r>
              <w:rPr>
                <w:rFonts w:hint="default" w:ascii="Times New Roman" w:hAnsi="Times New Roman" w:cs="Times New Roman"/>
                <w:kern w:val="0"/>
                <w:sz w:val="24"/>
              </w:rPr>
              <w:t>（5）土壤环境</w:t>
            </w:r>
          </w:p>
          <w:p w14:paraId="568D8F38">
            <w:pPr>
              <w:spacing w:line="480" w:lineRule="exact"/>
              <w:ind w:firstLine="480" w:firstLineChars="200"/>
              <w:rPr>
                <w:rFonts w:hint="default" w:ascii="Times New Roman" w:hAnsi="Times New Roman" w:cs="Times New Roman"/>
                <w:kern w:val="0"/>
                <w:sz w:val="24"/>
              </w:rPr>
            </w:pPr>
            <w:r>
              <w:rPr>
                <w:rFonts w:hint="default" w:ascii="Times New Roman" w:hAnsi="Times New Roman" w:cs="Times New Roman"/>
                <w:kern w:val="0"/>
                <w:sz w:val="24"/>
              </w:rPr>
              <w:t>本工程为Ⅳ类建设项目，无需开展土壤环境现状评价，不设置土壤环境评价范围。</w:t>
            </w:r>
          </w:p>
          <w:p w14:paraId="0FBC3442">
            <w:pPr>
              <w:spacing w:line="480" w:lineRule="exact"/>
              <w:ind w:firstLine="480" w:firstLineChars="200"/>
              <w:rPr>
                <w:rFonts w:hint="default" w:ascii="Times New Roman" w:hAnsi="Times New Roman" w:cs="Times New Roman"/>
                <w:kern w:val="0"/>
                <w:sz w:val="24"/>
              </w:rPr>
            </w:pPr>
            <w:r>
              <w:rPr>
                <w:rFonts w:hint="default" w:ascii="Times New Roman" w:hAnsi="Times New Roman" w:cs="Times New Roman"/>
                <w:kern w:val="0"/>
                <w:sz w:val="24"/>
              </w:rPr>
              <w:t>（6）环境风险</w:t>
            </w:r>
          </w:p>
          <w:p w14:paraId="43038FDA">
            <w:pPr>
              <w:widowControl/>
              <w:spacing w:line="480" w:lineRule="exact"/>
              <w:ind w:firstLine="480" w:firstLineChars="200"/>
              <w:rPr>
                <w:rFonts w:hint="default" w:ascii="Times New Roman" w:hAnsi="Times New Roman" w:cs="Times New Roman"/>
                <w:kern w:val="0"/>
                <w:sz w:val="24"/>
              </w:rPr>
            </w:pPr>
            <w:r>
              <w:rPr>
                <w:rFonts w:hint="default" w:ascii="Times New Roman" w:hAnsi="Times New Roman" w:cs="Times New Roman"/>
                <w:kern w:val="0"/>
                <w:sz w:val="24"/>
              </w:rPr>
              <w:t>本次根据《环境影响评价技术导则 输变电》（HJ 24</w:t>
            </w:r>
            <w:r>
              <w:rPr>
                <w:rFonts w:hint="default" w:ascii="Times New Roman" w:hAnsi="Times New Roman" w:cs="Times New Roman"/>
                <w:kern w:val="0"/>
                <w:sz w:val="24"/>
                <w:lang w:val="en-US" w:eastAsia="zh-CN"/>
              </w:rPr>
              <w:t>-</w:t>
            </w:r>
            <w:r>
              <w:rPr>
                <w:rFonts w:hint="default" w:ascii="Times New Roman" w:hAnsi="Times New Roman" w:cs="Times New Roman"/>
                <w:kern w:val="0"/>
                <w:sz w:val="24"/>
              </w:rPr>
              <w:t>2020）要求，参考《建设项目环境风险评价技术导则》（HJ 169</w:t>
            </w:r>
            <w:r>
              <w:rPr>
                <w:rFonts w:hint="default" w:ascii="Times New Roman" w:hAnsi="Times New Roman" w:cs="Times New Roman"/>
                <w:kern w:val="0"/>
                <w:sz w:val="24"/>
                <w:lang w:val="en-US" w:eastAsia="zh-CN"/>
              </w:rPr>
              <w:t>-</w:t>
            </w:r>
            <w:r>
              <w:rPr>
                <w:rFonts w:hint="default" w:ascii="Times New Roman" w:hAnsi="Times New Roman" w:cs="Times New Roman"/>
                <w:kern w:val="0"/>
                <w:sz w:val="24"/>
              </w:rPr>
              <w:t>2018）开展环境风险评价。本项目所涉及的危险物质包括变压器油、废铅蓄电池、废矿物油等：全站变压器油最大存在总量约50t，临界量2500t；废铅蓄电池按整组最大存在量约1.6t计，临界量3t，折合年产生量约0.2t；废矿物油（废润滑油）年产生量约0.1t，站内暂存量不超过0.1t，临界量2500t。根据HJ169</w:t>
            </w:r>
            <w:r>
              <w:rPr>
                <w:rFonts w:hint="default" w:ascii="Times New Roman" w:hAnsi="Times New Roman" w:cs="Times New Roman"/>
                <w:kern w:val="0"/>
                <w:sz w:val="24"/>
                <w:lang w:val="en-US" w:eastAsia="zh-CN"/>
              </w:rPr>
              <w:t>-</w:t>
            </w:r>
            <w:r>
              <w:rPr>
                <w:rFonts w:hint="default" w:ascii="Times New Roman" w:hAnsi="Times New Roman" w:cs="Times New Roman"/>
                <w:kern w:val="0"/>
                <w:sz w:val="24"/>
              </w:rPr>
              <w:t>2018附录C，Q＝50/2500＋1.6/3＋0.1/2500≈0.553＜1，故本工程风险潜势为Ⅰ，确定本工程环境风险评价工作级别为简单分析，不设置环境风险评价范围。</w:t>
            </w:r>
          </w:p>
          <w:bookmarkEnd w:id="56"/>
          <w:p w14:paraId="673ED34B">
            <w:pPr>
              <w:pStyle w:val="67"/>
              <w:numPr>
                <w:ilvl w:val="0"/>
                <w:numId w:val="0"/>
              </w:numPr>
              <w:spacing w:line="480" w:lineRule="exact"/>
              <w:ind w:left="142" w:leftChars="0"/>
              <w:rPr>
                <w:rFonts w:hint="default" w:ascii="Times New Roman" w:hAnsi="Times New Roman" w:eastAsia="黑体" w:cs="Times New Roman"/>
                <w:sz w:val="24"/>
              </w:rPr>
            </w:pPr>
            <w:r>
              <w:rPr>
                <w:rFonts w:hint="default" w:ascii="Times New Roman" w:hAnsi="Times New Roman" w:eastAsia="黑体" w:cs="Times New Roman"/>
                <w:sz w:val="24"/>
                <w:lang w:val="en-US" w:eastAsia="zh-CN"/>
              </w:rPr>
              <w:t>2.</w:t>
            </w:r>
            <w:r>
              <w:rPr>
                <w:rFonts w:hint="default" w:ascii="Times New Roman" w:hAnsi="Times New Roman" w:eastAsia="黑体" w:cs="Times New Roman"/>
                <w:sz w:val="24"/>
              </w:rPr>
              <w:t>主要环境保护目标</w:t>
            </w:r>
          </w:p>
          <w:p w14:paraId="703CC1D4">
            <w:pPr>
              <w:spacing w:line="480" w:lineRule="exact"/>
              <w:ind w:firstLine="480" w:firstLineChars="200"/>
              <w:rPr>
                <w:rFonts w:hint="default" w:ascii="Times New Roman" w:hAnsi="Times New Roman" w:cs="Times New Roman"/>
                <w:sz w:val="24"/>
                <w:lang w:bidi="ar"/>
              </w:rPr>
            </w:pPr>
            <w:r>
              <w:rPr>
                <w:rFonts w:hint="default" w:ascii="Times New Roman" w:hAnsi="Times New Roman" w:cs="Times New Roman"/>
                <w:sz w:val="24"/>
                <w:lang w:bidi="ar"/>
              </w:rPr>
              <w:t>根据工程特点、评价区域环境特点以及评价范围，</w:t>
            </w:r>
            <w:r>
              <w:rPr>
                <w:rFonts w:hint="eastAsia" w:cs="Times New Roman"/>
                <w:sz w:val="24"/>
                <w:lang w:eastAsia="zh-CN" w:bidi="ar"/>
              </w:rPr>
              <w:t>变电站站界</w:t>
            </w:r>
            <w:r>
              <w:rPr>
                <w:rFonts w:hint="default" w:ascii="Times New Roman" w:hAnsi="Times New Roman" w:cs="Times New Roman"/>
                <w:sz w:val="24"/>
                <w:lang w:bidi="ar"/>
              </w:rPr>
              <w:t>外200m内无居民住宅、学校、医院等噪声敏感建筑物，无声环境保护目标；东北侧214m农田在评价范围外</w:t>
            </w:r>
            <w:r>
              <w:rPr>
                <w:rFonts w:hint="eastAsia" w:cs="Times New Roman"/>
                <w:sz w:val="24"/>
                <w:lang w:eastAsia="zh-CN" w:bidi="ar"/>
              </w:rPr>
              <w:t>。</w:t>
            </w:r>
            <w:r>
              <w:rPr>
                <w:rFonts w:hint="default" w:ascii="Times New Roman" w:hAnsi="Times New Roman" w:cs="Times New Roman"/>
                <w:sz w:val="24"/>
                <w:lang w:bidi="ar"/>
              </w:rPr>
              <w:t>本工程涉及的环境保护目标见表3-</w:t>
            </w:r>
            <w:bookmarkStart w:id="57" w:name="_Toc31021"/>
            <w:r>
              <w:rPr>
                <w:rFonts w:hint="default" w:ascii="Times New Roman" w:hAnsi="Times New Roman" w:cs="Times New Roman"/>
                <w:sz w:val="24"/>
                <w:lang w:val="en-US" w:eastAsia="zh-CN" w:bidi="ar"/>
              </w:rPr>
              <w:t>5</w:t>
            </w:r>
            <w:r>
              <w:rPr>
                <w:rFonts w:hint="default" w:ascii="Times New Roman" w:hAnsi="Times New Roman" w:cs="Times New Roman"/>
                <w:sz w:val="24"/>
                <w:lang w:bidi="ar"/>
              </w:rPr>
              <w:t>。</w:t>
            </w:r>
          </w:p>
          <w:p w14:paraId="65E4DD32">
            <w:pPr>
              <w:pStyle w:val="209"/>
              <w:keepNext w:val="0"/>
              <w:keepLines w:val="0"/>
              <w:pageBreakBefore w:val="0"/>
              <w:widowControl w:val="0"/>
              <w:kinsoku/>
              <w:wordWrap/>
              <w:overflowPunct/>
              <w:topLinePunct w:val="0"/>
              <w:autoSpaceDE/>
              <w:autoSpaceDN/>
              <w:bidi w:val="0"/>
              <w:adjustRightInd/>
              <w:snapToGrid/>
              <w:spacing w:beforeLines="0" w:line="480" w:lineRule="exact"/>
              <w:textAlignment w:val="auto"/>
              <w:rPr>
                <w:rFonts w:hint="default" w:ascii="Times New Roman" w:hAnsi="Times New Roman" w:eastAsia="黑体" w:cs="Times New Roman"/>
                <w:smallCaps w:val="0"/>
                <w:color w:val="auto"/>
                <w:spacing w:val="0"/>
                <w:w w:val="100"/>
                <w:position w:val="0"/>
                <w:sz w:val="21"/>
                <w:szCs w:val="21"/>
                <w:highlight w:val="none"/>
                <w:lang w:val="en-US" w:eastAsia="zh-CN"/>
              </w:rPr>
            </w:pPr>
            <w:bookmarkStart w:id="58" w:name="OLE_LINK83"/>
            <w:bookmarkStart w:id="59" w:name="OLE_LINK365"/>
            <w:r>
              <w:rPr>
                <w:rFonts w:hint="default" w:ascii="Times New Roman" w:hAnsi="Times New Roman" w:cs="Times New Roman"/>
                <w:smallCaps w:val="0"/>
                <w:color w:val="auto"/>
                <w:spacing w:val="0"/>
                <w:w w:val="100"/>
                <w:position w:val="0"/>
                <w:sz w:val="21"/>
                <w:szCs w:val="21"/>
                <w:highlight w:val="none"/>
                <w:lang w:val="en-US" w:eastAsia="zh-CN"/>
              </w:rPr>
              <w:t xml:space="preserve">表3-5 </w:t>
            </w:r>
            <w:r>
              <w:rPr>
                <w:rFonts w:hint="default" w:ascii="Times New Roman" w:hAnsi="Times New Roman" w:eastAsia="黑体" w:cs="Times New Roman"/>
                <w:smallCaps w:val="0"/>
                <w:color w:val="auto"/>
                <w:spacing w:val="0"/>
                <w:w w:val="100"/>
                <w:position w:val="0"/>
                <w:sz w:val="21"/>
                <w:szCs w:val="21"/>
                <w:highlight w:val="none"/>
                <w:lang w:val="en-US" w:eastAsia="zh-CN"/>
              </w:rPr>
              <w:t>区域环境保护目标一览表</w:t>
            </w:r>
          </w:p>
          <w:bookmarkEnd w:id="57"/>
          <w:tbl>
            <w:tblPr>
              <w:tblStyle w:val="43"/>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0" w:type="dxa"/>
                <w:bottom w:w="57" w:type="dxa"/>
                <w:right w:w="0" w:type="dxa"/>
              </w:tblCellMar>
            </w:tblPr>
            <w:tblGrid>
              <w:gridCol w:w="824"/>
              <w:gridCol w:w="1313"/>
              <w:gridCol w:w="2974"/>
              <w:gridCol w:w="2577"/>
            </w:tblGrid>
            <w:tr w14:paraId="466BC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rPr>
                <w:jc w:val="center"/>
              </w:trPr>
              <w:tc>
                <w:tcPr>
                  <w:tcW w:w="536" w:type="pct"/>
                  <w:vAlign w:val="center"/>
                </w:tcPr>
                <w:p w14:paraId="1806B8AF">
                  <w:pPr>
                    <w:jc w:val="center"/>
                    <w:rPr>
                      <w:rFonts w:hint="default" w:ascii="Times New Roman" w:hAnsi="Times New Roman" w:cs="Times New Roman"/>
                      <w:szCs w:val="21"/>
                    </w:rPr>
                  </w:pPr>
                  <w:r>
                    <w:rPr>
                      <w:rFonts w:hint="default" w:ascii="Times New Roman" w:hAnsi="Times New Roman" w:cs="Times New Roman"/>
                      <w:szCs w:val="21"/>
                    </w:rPr>
                    <w:t>环境</w:t>
                  </w:r>
                </w:p>
                <w:p w14:paraId="54E7CC2B">
                  <w:pPr>
                    <w:jc w:val="center"/>
                    <w:rPr>
                      <w:rFonts w:hint="default" w:ascii="Times New Roman" w:hAnsi="Times New Roman" w:cs="Times New Roman"/>
                      <w:szCs w:val="21"/>
                    </w:rPr>
                  </w:pPr>
                  <w:r>
                    <w:rPr>
                      <w:rFonts w:hint="default" w:ascii="Times New Roman" w:hAnsi="Times New Roman" w:cs="Times New Roman"/>
                      <w:szCs w:val="21"/>
                    </w:rPr>
                    <w:t>要素</w:t>
                  </w:r>
                </w:p>
              </w:tc>
              <w:tc>
                <w:tcPr>
                  <w:tcW w:w="854" w:type="pct"/>
                  <w:vAlign w:val="center"/>
                </w:tcPr>
                <w:p w14:paraId="5B90691B">
                  <w:pPr>
                    <w:jc w:val="center"/>
                    <w:rPr>
                      <w:rFonts w:hint="default" w:ascii="Times New Roman" w:hAnsi="Times New Roman" w:cs="Times New Roman"/>
                      <w:szCs w:val="21"/>
                    </w:rPr>
                  </w:pPr>
                  <w:r>
                    <w:rPr>
                      <w:rFonts w:hint="default" w:ascii="Times New Roman" w:hAnsi="Times New Roman" w:cs="Times New Roman"/>
                      <w:szCs w:val="21"/>
                    </w:rPr>
                    <w:t>保护目标</w:t>
                  </w:r>
                </w:p>
                <w:p w14:paraId="4E1D28B1">
                  <w:pPr>
                    <w:jc w:val="center"/>
                    <w:rPr>
                      <w:rFonts w:hint="default" w:ascii="Times New Roman" w:hAnsi="Times New Roman" w:cs="Times New Roman"/>
                      <w:szCs w:val="21"/>
                    </w:rPr>
                  </w:pPr>
                  <w:r>
                    <w:rPr>
                      <w:rFonts w:hint="default" w:ascii="Times New Roman" w:hAnsi="Times New Roman" w:cs="Times New Roman"/>
                      <w:szCs w:val="21"/>
                    </w:rPr>
                    <w:t>名称</w:t>
                  </w:r>
                </w:p>
              </w:tc>
              <w:tc>
                <w:tcPr>
                  <w:tcW w:w="1934" w:type="pct"/>
                  <w:vAlign w:val="center"/>
                </w:tcPr>
                <w:p w14:paraId="4FAF001E">
                  <w:pPr>
                    <w:jc w:val="center"/>
                    <w:rPr>
                      <w:rFonts w:hint="default" w:ascii="Times New Roman" w:hAnsi="Times New Roman" w:cs="Times New Roman"/>
                      <w:szCs w:val="21"/>
                    </w:rPr>
                  </w:pPr>
                  <w:r>
                    <w:rPr>
                      <w:rFonts w:hint="default" w:ascii="Times New Roman" w:hAnsi="Times New Roman" w:cs="Times New Roman"/>
                      <w:szCs w:val="21"/>
                    </w:rPr>
                    <w:t>相对距离</w:t>
                  </w:r>
                </w:p>
              </w:tc>
              <w:tc>
                <w:tcPr>
                  <w:tcW w:w="1676" w:type="pct"/>
                  <w:vAlign w:val="center"/>
                </w:tcPr>
                <w:p w14:paraId="07A4555F">
                  <w:pPr>
                    <w:jc w:val="center"/>
                    <w:rPr>
                      <w:rFonts w:hint="default" w:ascii="Times New Roman" w:hAnsi="Times New Roman" w:cs="Times New Roman"/>
                      <w:szCs w:val="21"/>
                    </w:rPr>
                  </w:pPr>
                  <w:r>
                    <w:rPr>
                      <w:rFonts w:hint="default" w:ascii="Times New Roman" w:hAnsi="Times New Roman" w:cs="Times New Roman"/>
                      <w:szCs w:val="21"/>
                    </w:rPr>
                    <w:t>环境保护要求</w:t>
                  </w:r>
                </w:p>
              </w:tc>
            </w:tr>
            <w:bookmarkEnd w:id="58"/>
            <w:tr w14:paraId="06847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rPr>
                <w:jc w:val="center"/>
              </w:trPr>
              <w:tc>
                <w:tcPr>
                  <w:tcW w:w="536" w:type="pct"/>
                  <w:vMerge w:val="restart"/>
                  <w:vAlign w:val="center"/>
                </w:tcPr>
                <w:p w14:paraId="2F042531">
                  <w:pPr>
                    <w:jc w:val="center"/>
                    <w:rPr>
                      <w:rFonts w:hint="default" w:ascii="Times New Roman" w:hAnsi="Times New Roman" w:cs="Times New Roman"/>
                      <w:szCs w:val="21"/>
                    </w:rPr>
                  </w:pPr>
                  <w:bookmarkStart w:id="60" w:name="OLE_LINK155" w:colFirst="1" w:colLast="2"/>
                  <w:r>
                    <w:rPr>
                      <w:rFonts w:hint="default" w:ascii="Times New Roman" w:hAnsi="Times New Roman" w:cs="Times New Roman"/>
                      <w:szCs w:val="21"/>
                    </w:rPr>
                    <w:t>生态环境</w:t>
                  </w:r>
                </w:p>
              </w:tc>
              <w:tc>
                <w:tcPr>
                  <w:tcW w:w="854" w:type="pct"/>
                  <w:vAlign w:val="center"/>
                </w:tcPr>
                <w:p w14:paraId="4D13862B">
                  <w:pPr>
                    <w:jc w:val="center"/>
                    <w:rPr>
                      <w:rFonts w:hint="default" w:ascii="Times New Roman" w:hAnsi="Times New Roman" w:cs="Times New Roman"/>
                      <w:szCs w:val="21"/>
                    </w:rPr>
                  </w:pPr>
                  <w:r>
                    <w:rPr>
                      <w:rFonts w:hint="default" w:ascii="Times New Roman" w:hAnsi="Times New Roman" w:cs="Times New Roman"/>
                      <w:szCs w:val="21"/>
                    </w:rPr>
                    <w:t>植被</w:t>
                  </w:r>
                </w:p>
              </w:tc>
              <w:tc>
                <w:tcPr>
                  <w:tcW w:w="1934" w:type="pct"/>
                  <w:vAlign w:val="center"/>
                </w:tcPr>
                <w:p w14:paraId="010EF066">
                  <w:pPr>
                    <w:jc w:val="center"/>
                    <w:rPr>
                      <w:rFonts w:hint="default" w:ascii="Times New Roman" w:hAnsi="Times New Roman" w:cs="Times New Roman"/>
                      <w:spacing w:val="-4"/>
                      <w:szCs w:val="21"/>
                    </w:rPr>
                  </w:pPr>
                  <w:r>
                    <w:rPr>
                      <w:rFonts w:hint="default" w:ascii="Times New Roman" w:hAnsi="Times New Roman" w:cs="Times New Roman"/>
                      <w:spacing w:val="-4"/>
                      <w:szCs w:val="21"/>
                      <w:lang w:val="en-US" w:eastAsia="zh-CN"/>
                    </w:rPr>
                    <w:t>110kV变电站</w:t>
                  </w:r>
                  <w:r>
                    <w:rPr>
                      <w:rFonts w:hint="default" w:ascii="Times New Roman" w:hAnsi="Times New Roman" w:cs="Times New Roman"/>
                      <w:spacing w:val="-4"/>
                      <w:szCs w:val="21"/>
                    </w:rPr>
                    <w:t>占地外扩展500m范围内</w:t>
                  </w:r>
                </w:p>
              </w:tc>
              <w:tc>
                <w:tcPr>
                  <w:tcW w:w="1676" w:type="pct"/>
                  <w:vAlign w:val="center"/>
                </w:tcPr>
                <w:p w14:paraId="35292530">
                  <w:pPr>
                    <w:jc w:val="center"/>
                    <w:rPr>
                      <w:rFonts w:hint="default" w:ascii="Times New Roman" w:hAnsi="Times New Roman" w:cs="Times New Roman"/>
                      <w:szCs w:val="21"/>
                    </w:rPr>
                  </w:pPr>
                  <w:bookmarkStart w:id="61" w:name="OLE_LINK234"/>
                  <w:r>
                    <w:rPr>
                      <w:rFonts w:hint="default" w:ascii="Times New Roman" w:hAnsi="Times New Roman" w:cs="Times New Roman"/>
                      <w:spacing w:val="-6"/>
                    </w:rPr>
                    <w:t>严格控制占地面积，</w:t>
                  </w:r>
                  <w:r>
                    <w:rPr>
                      <w:rFonts w:hint="default" w:ascii="Times New Roman" w:hAnsi="Times New Roman" w:cs="Times New Roman"/>
                      <w:szCs w:val="21"/>
                    </w:rPr>
                    <w:t>保护区域内植物不受影响。</w:t>
                  </w:r>
                  <w:bookmarkEnd w:id="61"/>
                </w:p>
              </w:tc>
            </w:tr>
            <w:bookmarkEnd w:id="60"/>
            <w:tr w14:paraId="2F2FE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rPr>
                <w:jc w:val="center"/>
              </w:trPr>
              <w:tc>
                <w:tcPr>
                  <w:tcW w:w="536" w:type="pct"/>
                  <w:vMerge w:val="continue"/>
                  <w:vAlign w:val="center"/>
                </w:tcPr>
                <w:p w14:paraId="238C6DE0">
                  <w:pPr>
                    <w:jc w:val="center"/>
                    <w:rPr>
                      <w:rFonts w:hint="default" w:ascii="Times New Roman" w:hAnsi="Times New Roman" w:cs="Times New Roman"/>
                      <w:szCs w:val="21"/>
                    </w:rPr>
                  </w:pPr>
                </w:p>
              </w:tc>
              <w:tc>
                <w:tcPr>
                  <w:tcW w:w="854" w:type="pct"/>
                  <w:vAlign w:val="center"/>
                </w:tcPr>
                <w:p w14:paraId="5D5FE288">
                  <w:pPr>
                    <w:jc w:val="center"/>
                    <w:rPr>
                      <w:rFonts w:hint="default" w:ascii="Times New Roman" w:hAnsi="Times New Roman" w:cs="Times New Roman"/>
                      <w:szCs w:val="21"/>
                    </w:rPr>
                  </w:pPr>
                  <w:r>
                    <w:rPr>
                      <w:rFonts w:hint="default" w:ascii="Times New Roman" w:hAnsi="Times New Roman" w:cs="Times New Roman"/>
                      <w:szCs w:val="21"/>
                    </w:rPr>
                    <w:t>野生动物</w:t>
                  </w:r>
                </w:p>
              </w:tc>
              <w:tc>
                <w:tcPr>
                  <w:tcW w:w="1934" w:type="pct"/>
                  <w:vAlign w:val="center"/>
                </w:tcPr>
                <w:p w14:paraId="42826DC9">
                  <w:pPr>
                    <w:jc w:val="center"/>
                    <w:rPr>
                      <w:rFonts w:hint="default" w:ascii="Times New Roman" w:hAnsi="Times New Roman" w:cs="Times New Roman"/>
                      <w:spacing w:val="-4"/>
                      <w:szCs w:val="21"/>
                    </w:rPr>
                  </w:pPr>
                  <w:r>
                    <w:rPr>
                      <w:rFonts w:hint="default" w:ascii="Times New Roman" w:hAnsi="Times New Roman" w:cs="Times New Roman"/>
                      <w:spacing w:val="-4"/>
                      <w:szCs w:val="21"/>
                      <w:lang w:val="en-US" w:eastAsia="zh-CN"/>
                    </w:rPr>
                    <w:t>110kV变电站</w:t>
                  </w:r>
                  <w:r>
                    <w:rPr>
                      <w:rFonts w:hint="default" w:ascii="Times New Roman" w:hAnsi="Times New Roman" w:cs="Times New Roman"/>
                      <w:spacing w:val="-4"/>
                      <w:szCs w:val="21"/>
                    </w:rPr>
                    <w:t>扩展500m范围内</w:t>
                  </w:r>
                </w:p>
              </w:tc>
              <w:tc>
                <w:tcPr>
                  <w:tcW w:w="1676" w:type="pct"/>
                  <w:vAlign w:val="center"/>
                </w:tcPr>
                <w:p w14:paraId="20BA893E">
                  <w:pPr>
                    <w:rPr>
                      <w:rFonts w:hint="default" w:ascii="Times New Roman" w:hAnsi="Times New Roman" w:cs="Times New Roman"/>
                      <w:szCs w:val="21"/>
                    </w:rPr>
                  </w:pPr>
                  <w:r>
                    <w:rPr>
                      <w:rFonts w:hint="default" w:ascii="Times New Roman" w:hAnsi="Times New Roman" w:cs="Times New Roman"/>
                      <w:spacing w:val="-6"/>
                    </w:rPr>
                    <w:t>严格控制占地面积，</w:t>
                  </w:r>
                  <w:r>
                    <w:rPr>
                      <w:rFonts w:hint="default" w:ascii="Times New Roman" w:hAnsi="Times New Roman" w:cs="Times New Roman"/>
                      <w:szCs w:val="21"/>
                    </w:rPr>
                    <w:t>保护区域内野生动物生境不受影响。</w:t>
                  </w:r>
                </w:p>
              </w:tc>
            </w:tr>
            <w:bookmarkEnd w:id="59"/>
          </w:tbl>
          <w:p w14:paraId="32FBCF94">
            <w:pPr>
              <w:rPr>
                <w:rFonts w:hint="default" w:ascii="Times New Roman" w:hAnsi="Times New Roman" w:cs="Times New Roman" w:eastAsiaTheme="minorEastAsia"/>
                <w:kern w:val="0"/>
                <w:sz w:val="24"/>
              </w:rPr>
            </w:pPr>
          </w:p>
        </w:tc>
      </w:tr>
      <w:tr w14:paraId="4D22977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235" w:hRule="atLeast"/>
          <w:jc w:val="center"/>
        </w:trPr>
        <w:tc>
          <w:tcPr>
            <w:tcW w:w="344" w:type="pct"/>
            <w:vAlign w:val="center"/>
          </w:tcPr>
          <w:p w14:paraId="0B841192">
            <w:pPr>
              <w:adjustRightInd w:val="0"/>
              <w:snapToGrid w:val="0"/>
              <w:jc w:val="center"/>
              <w:rPr>
                <w:rFonts w:hint="default" w:ascii="Times New Roman" w:hAnsi="Times New Roman" w:cs="Times New Roman" w:eastAsiaTheme="minorEastAsia"/>
                <w:kern w:val="0"/>
                <w:sz w:val="24"/>
              </w:rPr>
            </w:pPr>
            <w:r>
              <w:rPr>
                <w:rFonts w:hint="default" w:ascii="Times New Roman" w:hAnsi="Times New Roman" w:cs="Times New Roman" w:eastAsiaTheme="minorEastAsia"/>
                <w:kern w:val="0"/>
                <w:sz w:val="24"/>
              </w:rPr>
              <w:t>评价</w:t>
            </w:r>
          </w:p>
          <w:p w14:paraId="64A2B513">
            <w:pPr>
              <w:adjustRightInd w:val="0"/>
              <w:snapToGrid w:val="0"/>
              <w:jc w:val="center"/>
              <w:rPr>
                <w:rFonts w:hint="default" w:ascii="Times New Roman" w:hAnsi="Times New Roman" w:cs="Times New Roman" w:eastAsiaTheme="minorEastAsia"/>
                <w:kern w:val="0"/>
                <w:sz w:val="24"/>
              </w:rPr>
            </w:pPr>
            <w:r>
              <w:rPr>
                <w:rFonts w:hint="default" w:ascii="Times New Roman" w:hAnsi="Times New Roman" w:cs="Times New Roman" w:eastAsiaTheme="minorEastAsia"/>
                <w:kern w:val="0"/>
                <w:sz w:val="24"/>
              </w:rPr>
              <w:t>标准</w:t>
            </w:r>
          </w:p>
        </w:tc>
        <w:tc>
          <w:tcPr>
            <w:tcW w:w="4655" w:type="pct"/>
          </w:tcPr>
          <w:p w14:paraId="51099798">
            <w:pPr>
              <w:pStyle w:val="67"/>
              <w:numPr>
                <w:ilvl w:val="0"/>
                <w:numId w:val="7"/>
              </w:numPr>
              <w:spacing w:line="480" w:lineRule="exact"/>
              <w:ind w:firstLineChars="0"/>
              <w:rPr>
                <w:rFonts w:hint="default" w:ascii="Times New Roman" w:hAnsi="Times New Roman" w:eastAsia="黑体" w:cs="Times New Roman"/>
                <w:sz w:val="25"/>
              </w:rPr>
            </w:pPr>
            <w:r>
              <w:rPr>
                <w:rFonts w:hint="default" w:ascii="Times New Roman" w:hAnsi="Times New Roman" w:eastAsia="黑体" w:cs="Times New Roman"/>
                <w:sz w:val="25"/>
              </w:rPr>
              <w:t>环境质量标准</w:t>
            </w:r>
          </w:p>
          <w:p w14:paraId="780983C6">
            <w:pPr>
              <w:pStyle w:val="61"/>
              <w:snapToGrid/>
              <w:spacing w:line="480" w:lineRule="exact"/>
              <w:ind w:firstLine="522" w:firstLineChars="0"/>
              <w:rPr>
                <w:rFonts w:hint="default" w:ascii="Times New Roman" w:hAnsi="Times New Roman" w:cs="Times New Roman"/>
                <w:color w:val="auto"/>
              </w:rPr>
            </w:pPr>
            <w:r>
              <w:rPr>
                <w:rFonts w:hint="default" w:ascii="Times New Roman" w:hAnsi="Times New Roman" w:cs="Times New Roman"/>
                <w:color w:val="auto"/>
              </w:rPr>
              <w:t>（1）环境空气执行《环境空气质量标准》（GB3095-2026）</w:t>
            </w:r>
            <w:r>
              <w:rPr>
                <w:rFonts w:hint="default" w:ascii="Times New Roman" w:hAnsi="Times New Roman" w:cs="Times New Roman" w:eastAsiaTheme="minorEastAsia"/>
                <w:color w:val="auto"/>
                <w:spacing w:val="-1"/>
                <w:sz w:val="24"/>
                <w:szCs w:val="24"/>
                <w:lang w:val="en-US" w:eastAsia="zh-CN"/>
              </w:rPr>
              <w:t>表1中过渡阶段浓度限值二级标准</w:t>
            </w:r>
            <w:r>
              <w:rPr>
                <w:rFonts w:hint="default" w:ascii="Times New Roman" w:hAnsi="Times New Roman" w:cs="Times New Roman"/>
                <w:color w:val="auto"/>
              </w:rPr>
              <w:t>，详见表3-</w:t>
            </w:r>
            <w:r>
              <w:rPr>
                <w:rFonts w:hint="default" w:ascii="Times New Roman" w:hAnsi="Times New Roman" w:cs="Times New Roman"/>
                <w:color w:val="auto"/>
                <w:lang w:val="en-US" w:eastAsia="zh-CN"/>
              </w:rPr>
              <w:t>6</w:t>
            </w:r>
            <w:r>
              <w:rPr>
                <w:rFonts w:hint="default" w:ascii="Times New Roman" w:hAnsi="Times New Roman" w:cs="Times New Roman"/>
                <w:color w:val="auto"/>
              </w:rPr>
              <w:t>；</w:t>
            </w:r>
          </w:p>
          <w:p w14:paraId="20112FCE">
            <w:pPr>
              <w:pStyle w:val="209"/>
              <w:keepNext w:val="0"/>
              <w:keepLines w:val="0"/>
              <w:pageBreakBefore w:val="0"/>
              <w:widowControl w:val="0"/>
              <w:kinsoku/>
              <w:wordWrap/>
              <w:overflowPunct/>
              <w:topLinePunct w:val="0"/>
              <w:autoSpaceDE/>
              <w:autoSpaceDN/>
              <w:bidi w:val="0"/>
              <w:adjustRightInd/>
              <w:snapToGrid/>
              <w:spacing w:beforeLines="0" w:line="480" w:lineRule="exact"/>
              <w:textAlignment w:val="auto"/>
              <w:rPr>
                <w:rFonts w:hint="default" w:ascii="Times New Roman" w:hAnsi="Times New Roman" w:cs="Times New Roman"/>
                <w:smallCaps w:val="0"/>
                <w:color w:val="auto"/>
                <w:spacing w:val="0"/>
                <w:w w:val="100"/>
                <w:position w:val="0"/>
                <w:sz w:val="21"/>
                <w:szCs w:val="21"/>
                <w:highlight w:val="none"/>
                <w:lang w:val="en-US" w:eastAsia="zh-CN"/>
              </w:rPr>
            </w:pPr>
            <w:r>
              <w:rPr>
                <w:rFonts w:hint="default" w:ascii="Times New Roman" w:hAnsi="Times New Roman" w:cs="Times New Roman"/>
                <w:smallCaps w:val="0"/>
                <w:color w:val="auto"/>
                <w:spacing w:val="0"/>
                <w:w w:val="100"/>
                <w:position w:val="0"/>
                <w:sz w:val="21"/>
                <w:szCs w:val="21"/>
                <w:highlight w:val="none"/>
                <w:lang w:val="en-US" w:eastAsia="zh-CN"/>
              </w:rPr>
              <w:t>表3-6 环境空气质量标准</w:t>
            </w:r>
          </w:p>
          <w:tbl>
            <w:tblPr>
              <w:tblStyle w:val="4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0" w:type="dxa"/>
                <w:bottom w:w="57" w:type="dxa"/>
                <w:right w:w="0" w:type="dxa"/>
              </w:tblCellMar>
            </w:tblPr>
            <w:tblGrid>
              <w:gridCol w:w="1402"/>
              <w:gridCol w:w="4891"/>
              <w:gridCol w:w="1403"/>
            </w:tblGrid>
            <w:tr w14:paraId="3AE20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rPr>
                <w:jc w:val="center"/>
              </w:trPr>
              <w:tc>
                <w:tcPr>
                  <w:tcW w:w="911" w:type="pct"/>
                  <w:vMerge w:val="restart"/>
                  <w:vAlign w:val="center"/>
                </w:tcPr>
                <w:p w14:paraId="4E63A277">
                  <w:pPr>
                    <w:jc w:val="center"/>
                    <w:rPr>
                      <w:rFonts w:hint="default" w:ascii="Times New Roman" w:hAnsi="Times New Roman" w:cs="Times New Roman"/>
                    </w:rPr>
                  </w:pPr>
                  <w:r>
                    <w:rPr>
                      <w:rFonts w:hint="default" w:ascii="Times New Roman" w:hAnsi="Times New Roman" w:cs="Times New Roman"/>
                    </w:rPr>
                    <w:t>评价因子</w:t>
                  </w:r>
                </w:p>
              </w:tc>
              <w:tc>
                <w:tcPr>
                  <w:tcW w:w="3177" w:type="pct"/>
                  <w:vMerge w:val="restart"/>
                  <w:vAlign w:val="center"/>
                </w:tcPr>
                <w:p w14:paraId="5F5C84A6">
                  <w:pPr>
                    <w:jc w:val="center"/>
                    <w:rPr>
                      <w:rFonts w:hint="default" w:ascii="Times New Roman" w:hAnsi="Times New Roman" w:cs="Times New Roman"/>
                    </w:rPr>
                  </w:pPr>
                  <w:r>
                    <w:rPr>
                      <w:rFonts w:hint="default" w:ascii="Times New Roman" w:hAnsi="Times New Roman" w:cs="Times New Roman"/>
                    </w:rPr>
                    <w:t>年评价指标</w:t>
                  </w:r>
                </w:p>
              </w:tc>
              <w:tc>
                <w:tcPr>
                  <w:tcW w:w="911" w:type="pct"/>
                  <w:vAlign w:val="center"/>
                </w:tcPr>
                <w:p w14:paraId="7B59B0D6">
                  <w:pPr>
                    <w:jc w:val="center"/>
                    <w:rPr>
                      <w:rFonts w:hint="default" w:ascii="Times New Roman" w:hAnsi="Times New Roman" w:cs="Times New Roman"/>
                    </w:rPr>
                  </w:pPr>
                  <w:r>
                    <w:rPr>
                      <w:rFonts w:hint="default" w:ascii="Times New Roman" w:hAnsi="Times New Roman" w:cs="Times New Roman"/>
                    </w:rPr>
                    <w:t>标准限值</w:t>
                  </w:r>
                </w:p>
              </w:tc>
            </w:tr>
            <w:tr w14:paraId="62656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rPr>
                <w:jc w:val="center"/>
              </w:trPr>
              <w:tc>
                <w:tcPr>
                  <w:tcW w:w="911" w:type="pct"/>
                  <w:vMerge w:val="continue"/>
                  <w:vAlign w:val="center"/>
                </w:tcPr>
                <w:p w14:paraId="0D517D24">
                  <w:pPr>
                    <w:jc w:val="center"/>
                    <w:rPr>
                      <w:rFonts w:hint="default" w:ascii="Times New Roman" w:hAnsi="Times New Roman" w:cs="Times New Roman"/>
                    </w:rPr>
                  </w:pPr>
                </w:p>
              </w:tc>
              <w:tc>
                <w:tcPr>
                  <w:tcW w:w="3177" w:type="pct"/>
                  <w:vMerge w:val="continue"/>
                  <w:vAlign w:val="center"/>
                </w:tcPr>
                <w:p w14:paraId="0A3A915E">
                  <w:pPr>
                    <w:jc w:val="center"/>
                    <w:rPr>
                      <w:rFonts w:hint="default" w:ascii="Times New Roman" w:hAnsi="Times New Roman" w:cs="Times New Roman"/>
                    </w:rPr>
                  </w:pPr>
                </w:p>
              </w:tc>
              <w:tc>
                <w:tcPr>
                  <w:tcW w:w="911" w:type="pct"/>
                  <w:vAlign w:val="center"/>
                </w:tcPr>
                <w:p w14:paraId="03E77AF9">
                  <w:pPr>
                    <w:jc w:val="center"/>
                    <w:rPr>
                      <w:rFonts w:hint="default" w:ascii="Times New Roman" w:hAnsi="Times New Roman" w:cs="Times New Roman"/>
                    </w:rPr>
                  </w:pPr>
                  <w:r>
                    <w:rPr>
                      <w:rFonts w:hint="default" w:ascii="Times New Roman" w:hAnsi="Times New Roman" w:cs="Times New Roman"/>
                    </w:rPr>
                    <w:t>μg/m</w:t>
                  </w:r>
                  <w:r>
                    <w:rPr>
                      <w:rFonts w:hint="default" w:ascii="Times New Roman" w:hAnsi="Times New Roman" w:cs="Times New Roman"/>
                      <w:vertAlign w:val="superscript"/>
                    </w:rPr>
                    <w:t>3</w:t>
                  </w:r>
                </w:p>
              </w:tc>
            </w:tr>
            <w:tr w14:paraId="1DAD6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rPr>
                <w:jc w:val="center"/>
              </w:trPr>
              <w:tc>
                <w:tcPr>
                  <w:tcW w:w="911" w:type="pct"/>
                  <w:vAlign w:val="center"/>
                </w:tcPr>
                <w:p w14:paraId="6678CE28">
                  <w:pPr>
                    <w:jc w:val="center"/>
                    <w:rPr>
                      <w:rFonts w:hint="default" w:ascii="Times New Roman" w:hAnsi="Times New Roman" w:cs="Times New Roman"/>
                    </w:rPr>
                  </w:pPr>
                  <w:r>
                    <w:rPr>
                      <w:rFonts w:hint="default" w:ascii="Times New Roman" w:hAnsi="Times New Roman" w:cs="Times New Roman"/>
                    </w:rPr>
                    <w:t>SO</w:t>
                  </w:r>
                  <w:r>
                    <w:rPr>
                      <w:rFonts w:hint="default" w:ascii="Times New Roman" w:hAnsi="Times New Roman" w:cs="Times New Roman"/>
                      <w:vertAlign w:val="subscript"/>
                    </w:rPr>
                    <w:t>2</w:t>
                  </w:r>
                </w:p>
              </w:tc>
              <w:tc>
                <w:tcPr>
                  <w:tcW w:w="3177" w:type="pct"/>
                  <w:vAlign w:val="center"/>
                </w:tcPr>
                <w:p w14:paraId="4389B87C">
                  <w:pPr>
                    <w:jc w:val="center"/>
                    <w:rPr>
                      <w:rFonts w:hint="default" w:ascii="Times New Roman" w:hAnsi="Times New Roman" w:cs="Times New Roman"/>
                    </w:rPr>
                  </w:pPr>
                  <w:r>
                    <w:rPr>
                      <w:rFonts w:hint="default" w:ascii="Times New Roman" w:hAnsi="Times New Roman" w:cs="Times New Roman"/>
                    </w:rPr>
                    <w:t>年平均</w:t>
                  </w:r>
                </w:p>
              </w:tc>
              <w:tc>
                <w:tcPr>
                  <w:tcW w:w="911" w:type="pct"/>
                  <w:vAlign w:val="center"/>
                </w:tcPr>
                <w:p w14:paraId="157752BA">
                  <w:pPr>
                    <w:jc w:val="center"/>
                    <w:rPr>
                      <w:rFonts w:hint="default" w:ascii="Times New Roman" w:hAnsi="Times New Roman" w:cs="Times New Roman"/>
                    </w:rPr>
                  </w:pPr>
                  <w:r>
                    <w:rPr>
                      <w:rFonts w:hint="default" w:ascii="Times New Roman" w:hAnsi="Times New Roman" w:cs="Times New Roman"/>
                      <w:b w:val="0"/>
                      <w:bCs w:val="0"/>
                      <w:color w:val="auto"/>
                      <w:sz w:val="21"/>
                      <w:szCs w:val="21"/>
                      <w:highlight w:val="none"/>
                    </w:rPr>
                    <w:t>60</w:t>
                  </w:r>
                </w:p>
              </w:tc>
            </w:tr>
            <w:tr w14:paraId="553E9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rPr>
                <w:jc w:val="center"/>
              </w:trPr>
              <w:tc>
                <w:tcPr>
                  <w:tcW w:w="911" w:type="pct"/>
                  <w:vAlign w:val="center"/>
                </w:tcPr>
                <w:p w14:paraId="21A326D5">
                  <w:pPr>
                    <w:jc w:val="center"/>
                    <w:rPr>
                      <w:rFonts w:hint="default" w:ascii="Times New Roman" w:hAnsi="Times New Roman" w:cs="Times New Roman"/>
                    </w:rPr>
                  </w:pPr>
                  <w:r>
                    <w:rPr>
                      <w:rFonts w:hint="default" w:ascii="Times New Roman" w:hAnsi="Times New Roman" w:cs="Times New Roman"/>
                    </w:rPr>
                    <w:t>NO</w:t>
                  </w:r>
                  <w:r>
                    <w:rPr>
                      <w:rFonts w:hint="default" w:ascii="Times New Roman" w:hAnsi="Times New Roman" w:cs="Times New Roman"/>
                      <w:vertAlign w:val="subscript"/>
                    </w:rPr>
                    <w:t>2</w:t>
                  </w:r>
                </w:p>
              </w:tc>
              <w:tc>
                <w:tcPr>
                  <w:tcW w:w="3177" w:type="pct"/>
                  <w:vAlign w:val="center"/>
                </w:tcPr>
                <w:p w14:paraId="0B157613">
                  <w:pPr>
                    <w:jc w:val="center"/>
                    <w:rPr>
                      <w:rFonts w:hint="default" w:ascii="Times New Roman" w:hAnsi="Times New Roman" w:cs="Times New Roman"/>
                    </w:rPr>
                  </w:pPr>
                  <w:r>
                    <w:rPr>
                      <w:rFonts w:hint="default" w:ascii="Times New Roman" w:hAnsi="Times New Roman" w:cs="Times New Roman"/>
                    </w:rPr>
                    <w:t>年平均</w:t>
                  </w:r>
                </w:p>
              </w:tc>
              <w:tc>
                <w:tcPr>
                  <w:tcW w:w="911" w:type="pct"/>
                  <w:vAlign w:val="center"/>
                </w:tcPr>
                <w:p w14:paraId="515F6F53">
                  <w:pPr>
                    <w:jc w:val="center"/>
                    <w:rPr>
                      <w:rFonts w:hint="default" w:ascii="Times New Roman" w:hAnsi="Times New Roman" w:cs="Times New Roman"/>
                    </w:rPr>
                  </w:pPr>
                  <w:r>
                    <w:rPr>
                      <w:rFonts w:hint="default" w:ascii="Times New Roman" w:hAnsi="Times New Roman" w:cs="Times New Roman"/>
                      <w:b w:val="0"/>
                      <w:bCs w:val="0"/>
                      <w:color w:val="auto"/>
                      <w:sz w:val="21"/>
                      <w:szCs w:val="21"/>
                      <w:highlight w:val="none"/>
                    </w:rPr>
                    <w:t>40</w:t>
                  </w:r>
                </w:p>
              </w:tc>
            </w:tr>
            <w:tr w14:paraId="5E1BE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rPr>
                <w:jc w:val="center"/>
              </w:trPr>
              <w:tc>
                <w:tcPr>
                  <w:tcW w:w="911" w:type="pct"/>
                  <w:vAlign w:val="center"/>
                </w:tcPr>
                <w:p w14:paraId="5CCEFCD1">
                  <w:pPr>
                    <w:jc w:val="center"/>
                    <w:rPr>
                      <w:rFonts w:hint="default" w:ascii="Times New Roman" w:hAnsi="Times New Roman" w:cs="Times New Roman"/>
                    </w:rPr>
                  </w:pPr>
                  <w:r>
                    <w:rPr>
                      <w:rFonts w:hint="default" w:ascii="Times New Roman" w:hAnsi="Times New Roman" w:cs="Times New Roman"/>
                    </w:rPr>
                    <w:t>CO</w:t>
                  </w:r>
                </w:p>
              </w:tc>
              <w:tc>
                <w:tcPr>
                  <w:tcW w:w="3177" w:type="pct"/>
                  <w:vAlign w:val="center"/>
                </w:tcPr>
                <w:p w14:paraId="0BC5C4E1">
                  <w:pPr>
                    <w:jc w:val="center"/>
                    <w:rPr>
                      <w:rFonts w:hint="default" w:ascii="Times New Roman" w:hAnsi="Times New Roman" w:cs="Times New Roman"/>
                    </w:rPr>
                  </w:pPr>
                  <w:r>
                    <w:rPr>
                      <w:rFonts w:hint="default" w:ascii="Times New Roman" w:hAnsi="Times New Roman" w:cs="Times New Roman"/>
                    </w:rPr>
                    <w:t>24小时平均第95百分位数</w:t>
                  </w:r>
                </w:p>
              </w:tc>
              <w:tc>
                <w:tcPr>
                  <w:tcW w:w="911" w:type="pct"/>
                  <w:vAlign w:val="center"/>
                </w:tcPr>
                <w:p w14:paraId="3D1EB53E">
                  <w:pPr>
                    <w:jc w:val="center"/>
                    <w:rPr>
                      <w:rFonts w:hint="default" w:ascii="Times New Roman" w:hAnsi="Times New Roman" w:cs="Times New Roman"/>
                    </w:rPr>
                  </w:pPr>
                  <w:r>
                    <w:rPr>
                      <w:rFonts w:hint="default" w:ascii="Times New Roman" w:hAnsi="Times New Roman" w:cs="Times New Roman"/>
                    </w:rPr>
                    <w:t>4000</w:t>
                  </w:r>
                </w:p>
              </w:tc>
            </w:tr>
            <w:tr w14:paraId="437A5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rPr>
                <w:jc w:val="center"/>
              </w:trPr>
              <w:tc>
                <w:tcPr>
                  <w:tcW w:w="911" w:type="pct"/>
                  <w:vAlign w:val="center"/>
                </w:tcPr>
                <w:p w14:paraId="7051C5E9">
                  <w:pPr>
                    <w:jc w:val="center"/>
                    <w:rPr>
                      <w:rFonts w:hint="default" w:ascii="Times New Roman" w:hAnsi="Times New Roman" w:cs="Times New Roman"/>
                    </w:rPr>
                  </w:pPr>
                  <w:r>
                    <w:rPr>
                      <w:rFonts w:hint="default" w:ascii="Times New Roman" w:hAnsi="Times New Roman" w:cs="Times New Roman"/>
                    </w:rPr>
                    <w:t>O</w:t>
                  </w:r>
                  <w:r>
                    <w:rPr>
                      <w:rFonts w:hint="default" w:ascii="Times New Roman" w:hAnsi="Times New Roman" w:cs="Times New Roman"/>
                      <w:vertAlign w:val="subscript"/>
                    </w:rPr>
                    <w:t>3</w:t>
                  </w:r>
                </w:p>
              </w:tc>
              <w:tc>
                <w:tcPr>
                  <w:tcW w:w="3177" w:type="pct"/>
                  <w:vAlign w:val="center"/>
                </w:tcPr>
                <w:p w14:paraId="0C226B4B">
                  <w:pPr>
                    <w:jc w:val="center"/>
                    <w:rPr>
                      <w:rFonts w:hint="default" w:ascii="Times New Roman" w:hAnsi="Times New Roman" w:cs="Times New Roman"/>
                    </w:rPr>
                  </w:pPr>
                  <w:r>
                    <w:rPr>
                      <w:rFonts w:hint="default" w:ascii="Times New Roman" w:hAnsi="Times New Roman" w:cs="Times New Roman"/>
                    </w:rPr>
                    <w:t>最大8小时平均第90百分位数日平均</w:t>
                  </w:r>
                </w:p>
              </w:tc>
              <w:tc>
                <w:tcPr>
                  <w:tcW w:w="911" w:type="pct"/>
                  <w:vAlign w:val="center"/>
                </w:tcPr>
                <w:p w14:paraId="1F7AC23D">
                  <w:pPr>
                    <w:jc w:val="center"/>
                    <w:rPr>
                      <w:rFonts w:hint="default" w:ascii="Times New Roman" w:hAnsi="Times New Roman" w:cs="Times New Roman"/>
                    </w:rPr>
                  </w:pPr>
                  <w:r>
                    <w:rPr>
                      <w:rFonts w:hint="default" w:ascii="Times New Roman" w:hAnsi="Times New Roman" w:cs="Times New Roman"/>
                    </w:rPr>
                    <w:t>160</w:t>
                  </w:r>
                </w:p>
              </w:tc>
            </w:tr>
            <w:tr w14:paraId="73711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rPr>
                <w:jc w:val="center"/>
              </w:trPr>
              <w:tc>
                <w:tcPr>
                  <w:tcW w:w="911" w:type="pct"/>
                  <w:vAlign w:val="center"/>
                </w:tcPr>
                <w:p w14:paraId="4721C5CF">
                  <w:pPr>
                    <w:jc w:val="center"/>
                    <w:rPr>
                      <w:rFonts w:hint="default" w:ascii="Times New Roman" w:hAnsi="Times New Roman" w:cs="Times New Roman"/>
                    </w:rPr>
                  </w:pPr>
                  <w:r>
                    <w:rPr>
                      <w:rFonts w:hint="default" w:ascii="Times New Roman" w:hAnsi="Times New Roman" w:cs="Times New Roman"/>
                    </w:rPr>
                    <w:t>PM</w:t>
                  </w:r>
                  <w:r>
                    <w:rPr>
                      <w:rFonts w:hint="default" w:ascii="Times New Roman" w:hAnsi="Times New Roman" w:cs="Times New Roman"/>
                      <w:vertAlign w:val="subscript"/>
                    </w:rPr>
                    <w:t>10</w:t>
                  </w:r>
                </w:p>
              </w:tc>
              <w:tc>
                <w:tcPr>
                  <w:tcW w:w="3177" w:type="pct"/>
                  <w:vAlign w:val="center"/>
                </w:tcPr>
                <w:p w14:paraId="75AE6DB6">
                  <w:pPr>
                    <w:jc w:val="center"/>
                    <w:rPr>
                      <w:rFonts w:hint="default" w:ascii="Times New Roman" w:hAnsi="Times New Roman" w:cs="Times New Roman"/>
                    </w:rPr>
                  </w:pPr>
                  <w:r>
                    <w:rPr>
                      <w:rFonts w:hint="default" w:ascii="Times New Roman" w:hAnsi="Times New Roman" w:cs="Times New Roman"/>
                    </w:rPr>
                    <w:t>年平均</w:t>
                  </w:r>
                </w:p>
              </w:tc>
              <w:tc>
                <w:tcPr>
                  <w:tcW w:w="911" w:type="pct"/>
                  <w:vAlign w:val="center"/>
                </w:tcPr>
                <w:p w14:paraId="3FB3E550">
                  <w:pPr>
                    <w:jc w:val="center"/>
                    <w:rPr>
                      <w:rFonts w:hint="default" w:ascii="Times New Roman" w:hAnsi="Times New Roman" w:cs="Times New Roman"/>
                    </w:rPr>
                  </w:pPr>
                  <w:r>
                    <w:rPr>
                      <w:rFonts w:hint="default" w:ascii="Times New Roman" w:hAnsi="Times New Roman" w:cs="Times New Roman"/>
                      <w:b w:val="0"/>
                      <w:bCs w:val="0"/>
                      <w:color w:val="auto"/>
                      <w:sz w:val="21"/>
                      <w:szCs w:val="21"/>
                      <w:highlight w:val="none"/>
                      <w:lang w:val="en-US" w:eastAsia="zh-CN"/>
                    </w:rPr>
                    <w:t>60</w:t>
                  </w:r>
                </w:p>
              </w:tc>
            </w:tr>
            <w:tr w14:paraId="0DC07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rPr>
                <w:jc w:val="center"/>
              </w:trPr>
              <w:tc>
                <w:tcPr>
                  <w:tcW w:w="911" w:type="pct"/>
                  <w:vAlign w:val="center"/>
                </w:tcPr>
                <w:p w14:paraId="54206561">
                  <w:pPr>
                    <w:jc w:val="center"/>
                    <w:rPr>
                      <w:rFonts w:hint="default" w:ascii="Times New Roman" w:hAnsi="Times New Roman" w:cs="Times New Roman"/>
                    </w:rPr>
                  </w:pPr>
                  <w:r>
                    <w:rPr>
                      <w:rFonts w:hint="default" w:ascii="Times New Roman" w:hAnsi="Times New Roman" w:cs="Times New Roman"/>
                    </w:rPr>
                    <w:t>PM</w:t>
                  </w:r>
                  <w:r>
                    <w:rPr>
                      <w:rFonts w:hint="default" w:ascii="Times New Roman" w:hAnsi="Times New Roman" w:cs="Times New Roman"/>
                      <w:vertAlign w:val="subscript"/>
                    </w:rPr>
                    <w:t>2.5</w:t>
                  </w:r>
                </w:p>
              </w:tc>
              <w:tc>
                <w:tcPr>
                  <w:tcW w:w="3177" w:type="pct"/>
                  <w:vAlign w:val="center"/>
                </w:tcPr>
                <w:p w14:paraId="79DE2276">
                  <w:pPr>
                    <w:jc w:val="center"/>
                    <w:rPr>
                      <w:rFonts w:hint="default" w:ascii="Times New Roman" w:hAnsi="Times New Roman" w:cs="Times New Roman"/>
                    </w:rPr>
                  </w:pPr>
                  <w:r>
                    <w:rPr>
                      <w:rFonts w:hint="default" w:ascii="Times New Roman" w:hAnsi="Times New Roman" w:cs="Times New Roman"/>
                    </w:rPr>
                    <w:t>年平均</w:t>
                  </w:r>
                </w:p>
              </w:tc>
              <w:tc>
                <w:tcPr>
                  <w:tcW w:w="911" w:type="pct"/>
                  <w:vAlign w:val="center"/>
                </w:tcPr>
                <w:p w14:paraId="59DCFC1B">
                  <w:pPr>
                    <w:jc w:val="center"/>
                    <w:rPr>
                      <w:rFonts w:hint="default" w:ascii="Times New Roman" w:hAnsi="Times New Roman" w:cs="Times New Roman"/>
                    </w:rPr>
                  </w:pPr>
                  <w:r>
                    <w:rPr>
                      <w:rFonts w:hint="default" w:ascii="Times New Roman" w:hAnsi="Times New Roman" w:cs="Times New Roman"/>
                      <w:b w:val="0"/>
                      <w:bCs w:val="0"/>
                      <w:color w:val="auto"/>
                      <w:sz w:val="21"/>
                      <w:szCs w:val="21"/>
                      <w:highlight w:val="none"/>
                      <w:lang w:val="en-US" w:eastAsia="zh-CN"/>
                    </w:rPr>
                    <w:t>30</w:t>
                  </w:r>
                </w:p>
              </w:tc>
            </w:tr>
          </w:tbl>
          <w:p w14:paraId="539609F6">
            <w:pPr>
              <w:spacing w:line="480" w:lineRule="exact"/>
              <w:ind w:firstLine="522"/>
              <w:rPr>
                <w:rFonts w:hint="default" w:ascii="Times New Roman" w:hAnsi="Times New Roman" w:cs="Times New Roman"/>
                <w:sz w:val="24"/>
              </w:rPr>
            </w:pPr>
            <w:r>
              <w:rPr>
                <w:rFonts w:hint="default" w:ascii="Times New Roman" w:hAnsi="Times New Roman" w:cs="Times New Roman"/>
                <w:sz w:val="24"/>
              </w:rPr>
              <w:t>（</w:t>
            </w:r>
            <w:r>
              <w:rPr>
                <w:rFonts w:hint="default" w:ascii="Times New Roman" w:hAnsi="Times New Roman" w:cs="Times New Roman"/>
                <w:sz w:val="24"/>
                <w:lang w:val="en-US" w:eastAsia="zh-CN"/>
              </w:rPr>
              <w:t>2</w:t>
            </w:r>
            <w:r>
              <w:rPr>
                <w:rFonts w:hint="default" w:ascii="Times New Roman" w:hAnsi="Times New Roman" w:cs="Times New Roman"/>
                <w:sz w:val="24"/>
              </w:rPr>
              <w:t>）声环境执行《声环境质量标准》（GB3096-2008）中</w:t>
            </w:r>
            <w:r>
              <w:rPr>
                <w:rFonts w:hint="default" w:ascii="Times New Roman" w:hAnsi="Times New Roman" w:cs="Times New Roman"/>
                <w:sz w:val="24"/>
                <w:lang w:val="en-US" w:eastAsia="zh-CN"/>
              </w:rPr>
              <w:t>3</w:t>
            </w:r>
            <w:r>
              <w:rPr>
                <w:rFonts w:hint="default" w:ascii="Times New Roman" w:hAnsi="Times New Roman" w:cs="Times New Roman"/>
                <w:sz w:val="24"/>
              </w:rPr>
              <w:t>类区标准（昼间</w:t>
            </w:r>
            <w:r>
              <w:rPr>
                <w:rFonts w:hint="default" w:ascii="Times New Roman" w:hAnsi="Times New Roman" w:cs="Times New Roman"/>
                <w:sz w:val="24"/>
                <w:lang w:val="en-US" w:eastAsia="zh-CN"/>
              </w:rPr>
              <w:t>65</w:t>
            </w:r>
            <w:r>
              <w:rPr>
                <w:rFonts w:hint="default" w:ascii="Times New Roman" w:hAnsi="Times New Roman" w:cs="Times New Roman"/>
                <w:sz w:val="24"/>
              </w:rPr>
              <w:t>dB（A）、夜间</w:t>
            </w:r>
            <w:r>
              <w:rPr>
                <w:rFonts w:hint="default" w:ascii="Times New Roman" w:hAnsi="Times New Roman" w:cs="Times New Roman"/>
                <w:sz w:val="24"/>
                <w:lang w:val="en-US" w:eastAsia="zh-CN"/>
              </w:rPr>
              <w:t>55</w:t>
            </w:r>
            <w:r>
              <w:rPr>
                <w:rFonts w:hint="default" w:ascii="Times New Roman" w:hAnsi="Times New Roman" w:cs="Times New Roman"/>
                <w:sz w:val="24"/>
              </w:rPr>
              <w:t>dB（A））。</w:t>
            </w:r>
          </w:p>
          <w:p w14:paraId="3E090A98">
            <w:pPr>
              <w:pStyle w:val="67"/>
              <w:numPr>
                <w:ilvl w:val="0"/>
                <w:numId w:val="7"/>
              </w:numPr>
              <w:spacing w:line="480" w:lineRule="exact"/>
              <w:ind w:firstLineChars="0"/>
              <w:rPr>
                <w:rFonts w:hint="default" w:ascii="Times New Roman" w:hAnsi="Times New Roman" w:eastAsia="黑体" w:cs="Times New Roman"/>
                <w:sz w:val="25"/>
              </w:rPr>
            </w:pPr>
            <w:r>
              <w:rPr>
                <w:rFonts w:hint="default" w:ascii="Times New Roman" w:hAnsi="Times New Roman" w:eastAsia="黑体" w:cs="Times New Roman"/>
                <w:sz w:val="25"/>
              </w:rPr>
              <w:t>污染物排放标准</w:t>
            </w:r>
          </w:p>
          <w:p w14:paraId="7BE83618">
            <w:pPr>
              <w:spacing w:line="480" w:lineRule="exact"/>
              <w:ind w:firstLine="522"/>
              <w:rPr>
                <w:rFonts w:hint="default" w:ascii="Times New Roman" w:hAnsi="Times New Roman" w:cs="Times New Roman"/>
                <w:sz w:val="24"/>
              </w:rPr>
            </w:pPr>
            <w:r>
              <w:rPr>
                <w:rFonts w:hint="default" w:ascii="Times New Roman" w:hAnsi="Times New Roman" w:cs="Times New Roman"/>
                <w:sz w:val="24"/>
                <w:szCs w:val="21"/>
              </w:rPr>
              <w:t>（1）废气排放标准</w:t>
            </w:r>
          </w:p>
          <w:p w14:paraId="16701E7F">
            <w:pPr>
              <w:spacing w:line="480" w:lineRule="exact"/>
              <w:ind w:firstLine="522"/>
              <w:rPr>
                <w:rFonts w:hint="default" w:ascii="Times New Roman" w:hAnsi="Times New Roman" w:cs="Times New Roman"/>
                <w:sz w:val="24"/>
              </w:rPr>
            </w:pPr>
            <w:r>
              <w:rPr>
                <w:rFonts w:hint="default" w:ascii="Times New Roman" w:hAnsi="Times New Roman" w:cs="Times New Roman"/>
                <w:sz w:val="24"/>
              </w:rPr>
              <w:t>施工设备、车辆尾气执行《非道路移动机械用柴油机排气污染物排放限值及测量方法（中国第三、四阶段）》（GB20891—2014）及修改单中第四阶段标准要求。</w:t>
            </w:r>
          </w:p>
          <w:p w14:paraId="664EB7A4">
            <w:pPr>
              <w:spacing w:line="480" w:lineRule="exact"/>
              <w:ind w:firstLine="522"/>
              <w:rPr>
                <w:rFonts w:hint="default" w:ascii="Times New Roman" w:hAnsi="Times New Roman" w:cs="Times New Roman"/>
                <w:sz w:val="24"/>
              </w:rPr>
            </w:pPr>
            <w:r>
              <w:rPr>
                <w:rFonts w:hint="default" w:ascii="Times New Roman" w:hAnsi="Times New Roman" w:cs="Times New Roman"/>
                <w:sz w:val="24"/>
              </w:rPr>
              <w:t>施工期扬尘执行《大气污染物综合排放标准》（GB16297-1996）中的表2无组织排放监控浓度限值（颗粒物≤1.0mg/m</w:t>
            </w:r>
            <w:r>
              <w:rPr>
                <w:rFonts w:hint="default" w:ascii="Times New Roman" w:hAnsi="Times New Roman" w:cs="Times New Roman"/>
                <w:sz w:val="24"/>
                <w:vertAlign w:val="superscript"/>
              </w:rPr>
              <w:t>3</w:t>
            </w:r>
            <w:r>
              <w:rPr>
                <w:rFonts w:hint="default" w:ascii="Times New Roman" w:hAnsi="Times New Roman" w:cs="Times New Roman"/>
                <w:sz w:val="24"/>
              </w:rPr>
              <w:t>）；</w:t>
            </w:r>
          </w:p>
          <w:p w14:paraId="74E7EFAF">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sz w:val="24"/>
              </w:rPr>
            </w:pPr>
            <w:r>
              <w:rPr>
                <w:rFonts w:hint="default" w:ascii="Times New Roman" w:hAnsi="Times New Roman" w:cs="Times New Roman"/>
                <w:sz w:val="24"/>
              </w:rPr>
              <w:t>（2）废水</w:t>
            </w:r>
            <w:r>
              <w:rPr>
                <w:rFonts w:hint="default" w:ascii="Times New Roman" w:hAnsi="Times New Roman" w:cs="Times New Roman"/>
                <w:sz w:val="24"/>
                <w:szCs w:val="21"/>
              </w:rPr>
              <w:t>排放标准</w:t>
            </w:r>
          </w:p>
          <w:p w14:paraId="00E2F601">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b/>
                <w:bCs/>
                <w:sz w:val="24"/>
                <w:szCs w:val="21"/>
              </w:rPr>
            </w:pPr>
            <w:r>
              <w:rPr>
                <w:rFonts w:ascii="宋体" w:hAnsi="宋体" w:eastAsia="宋体" w:cs="宋体"/>
                <w:sz w:val="24"/>
                <w:szCs w:val="24"/>
              </w:rPr>
              <w:t>变电站站内设置防渗化粪池，</w:t>
            </w:r>
            <w:r>
              <w:rPr>
                <w:rFonts w:hint="eastAsia" w:ascii="Times New Roman" w:hAnsi="Times New Roman" w:eastAsia="宋体"/>
                <w:b w:val="0"/>
                <w:sz w:val="24"/>
              </w:rPr>
              <w:t>生活污水经化粪池预处理后接入厂区污水管网，送产业园（一期）厂区自建污水处理站集中处理，处理达标后排入园区污水管网，最终进入尉犁工业园区工业污水处理厂深度处理</w:t>
            </w:r>
            <w:r>
              <w:rPr>
                <w:rFonts w:ascii="宋体" w:hAnsi="宋体" w:eastAsia="宋体" w:cs="宋体"/>
                <w:sz w:val="24"/>
                <w:szCs w:val="24"/>
              </w:rPr>
              <w:t>；化粪池做好防渗、定期清掏维护。厂区自建污水处理站处理后的尾水，外排至园区污水管网，送入尉犁工业园区工业污水处理厂深度处理，厂区污水站外排尾水满足《污水综合排放标准》（GB 8978</w:t>
            </w:r>
            <w:r>
              <w:rPr>
                <w:rFonts w:hint="eastAsia" w:ascii="宋体" w:hAnsi="宋体" w:eastAsia="宋体" w:cs="宋体"/>
                <w:sz w:val="24"/>
                <w:szCs w:val="24"/>
                <w:lang w:val="en-US" w:eastAsia="zh-CN"/>
              </w:rPr>
              <w:t>-</w:t>
            </w:r>
            <w:r>
              <w:rPr>
                <w:rFonts w:ascii="宋体" w:hAnsi="宋体" w:eastAsia="宋体" w:cs="宋体"/>
                <w:sz w:val="24"/>
                <w:szCs w:val="24"/>
              </w:rPr>
              <w:t>1996）表</w:t>
            </w:r>
            <w:r>
              <w:rPr>
                <w:rFonts w:hint="eastAsia" w:ascii="宋体" w:hAnsi="宋体" w:eastAsia="宋体" w:cs="宋体"/>
                <w:sz w:val="24"/>
                <w:szCs w:val="24"/>
                <w:lang w:val="en-US" w:eastAsia="zh-CN"/>
              </w:rPr>
              <w:t>4</w:t>
            </w:r>
            <w:r>
              <w:rPr>
                <w:rFonts w:ascii="宋体" w:hAnsi="宋体" w:eastAsia="宋体" w:cs="宋体"/>
                <w:sz w:val="24"/>
                <w:szCs w:val="24"/>
              </w:rPr>
              <w:t>三级标准及园区污水厂接管协议约定水质要求。</w:t>
            </w:r>
          </w:p>
          <w:p w14:paraId="19687C7B">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sz w:val="24"/>
              </w:rPr>
            </w:pPr>
            <w:r>
              <w:rPr>
                <w:rFonts w:hint="default" w:ascii="Times New Roman" w:hAnsi="Times New Roman" w:cs="Times New Roman"/>
                <w:sz w:val="24"/>
              </w:rPr>
              <w:t>（3）噪声控制标准</w:t>
            </w:r>
          </w:p>
          <w:p w14:paraId="587C2F0F">
            <w:pPr>
              <w:spacing w:line="480" w:lineRule="exact"/>
              <w:ind w:firstLine="522"/>
              <w:rPr>
                <w:rFonts w:hint="default" w:ascii="Times New Roman" w:hAnsi="Times New Roman" w:cs="Times New Roman"/>
                <w:sz w:val="24"/>
                <w:lang w:val="zh-CN"/>
              </w:rPr>
            </w:pPr>
            <w:r>
              <w:rPr>
                <w:rFonts w:hint="default" w:ascii="Times New Roman" w:hAnsi="Times New Roman" w:cs="Times New Roman"/>
                <w:sz w:val="24"/>
                <w:lang w:val="zh-CN"/>
              </w:rPr>
              <w:t>施工期控制施工机械设备产生的噪声，噪声</w:t>
            </w:r>
            <w:r>
              <w:rPr>
                <w:rFonts w:hint="default" w:ascii="Times New Roman" w:hAnsi="Times New Roman" w:cs="Times New Roman"/>
                <w:sz w:val="24"/>
              </w:rPr>
              <w:t>执行</w:t>
            </w:r>
            <w:r>
              <w:rPr>
                <w:rFonts w:hint="default" w:ascii="Times New Roman" w:hAnsi="Times New Roman" w:cs="Times New Roman"/>
                <w:sz w:val="24"/>
                <w:lang w:val="zh-CN"/>
              </w:rPr>
              <w:t>《建筑施工噪声排放标准》（GB12523-2025）的要求；变电站噪声执行《工业企业厂界环境噪声排放标准》（GB12348-2008）</w:t>
            </w:r>
            <w:r>
              <w:rPr>
                <w:rFonts w:hint="default" w:ascii="Times New Roman" w:hAnsi="Times New Roman" w:cs="Times New Roman"/>
                <w:sz w:val="24"/>
                <w:lang w:val="en-US" w:eastAsia="zh-CN"/>
              </w:rPr>
              <w:t>3</w:t>
            </w:r>
            <w:r>
              <w:rPr>
                <w:rFonts w:hint="default" w:ascii="Times New Roman" w:hAnsi="Times New Roman" w:cs="Times New Roman"/>
                <w:sz w:val="24"/>
                <w:lang w:val="zh-CN"/>
              </w:rPr>
              <w:t>类标准要求。</w:t>
            </w:r>
          </w:p>
          <w:p w14:paraId="2F262B04">
            <w:pPr>
              <w:pStyle w:val="209"/>
              <w:keepNext w:val="0"/>
              <w:keepLines w:val="0"/>
              <w:pageBreakBefore w:val="0"/>
              <w:widowControl w:val="0"/>
              <w:kinsoku/>
              <w:wordWrap/>
              <w:overflowPunct/>
              <w:topLinePunct w:val="0"/>
              <w:autoSpaceDE/>
              <w:autoSpaceDN/>
              <w:bidi w:val="0"/>
              <w:adjustRightInd/>
              <w:snapToGrid/>
              <w:spacing w:beforeLines="0" w:line="480" w:lineRule="exact"/>
              <w:textAlignment w:val="auto"/>
              <w:rPr>
                <w:rFonts w:hint="default" w:ascii="Times New Roman" w:hAnsi="Times New Roman" w:cs="Times New Roman"/>
                <w:smallCaps w:val="0"/>
                <w:color w:val="auto"/>
                <w:spacing w:val="0"/>
                <w:w w:val="100"/>
                <w:position w:val="0"/>
                <w:sz w:val="21"/>
                <w:szCs w:val="21"/>
                <w:highlight w:val="none"/>
                <w:lang w:val="en-US" w:eastAsia="zh-CN"/>
              </w:rPr>
            </w:pPr>
            <w:r>
              <w:rPr>
                <w:rFonts w:hint="default" w:ascii="Times New Roman" w:hAnsi="Times New Roman" w:cs="Times New Roman"/>
                <w:smallCaps w:val="0"/>
                <w:color w:val="auto"/>
                <w:spacing w:val="0"/>
                <w:w w:val="100"/>
                <w:position w:val="0"/>
                <w:sz w:val="21"/>
                <w:szCs w:val="21"/>
                <w:highlight w:val="none"/>
                <w:lang w:val="en-US" w:eastAsia="zh-CN"/>
              </w:rPr>
              <w:t>表3-</w:t>
            </w:r>
            <w:r>
              <w:rPr>
                <w:rFonts w:hint="eastAsia" w:cs="Times New Roman"/>
                <w:smallCaps w:val="0"/>
                <w:color w:val="auto"/>
                <w:spacing w:val="0"/>
                <w:w w:val="100"/>
                <w:position w:val="0"/>
                <w:sz w:val="21"/>
                <w:szCs w:val="21"/>
                <w:highlight w:val="none"/>
                <w:lang w:val="en-US" w:eastAsia="zh-CN"/>
              </w:rPr>
              <w:t>7</w:t>
            </w:r>
            <w:r>
              <w:rPr>
                <w:rFonts w:hint="default" w:ascii="Times New Roman" w:hAnsi="Times New Roman" w:cs="Times New Roman"/>
                <w:smallCaps w:val="0"/>
                <w:color w:val="auto"/>
                <w:spacing w:val="0"/>
                <w:w w:val="100"/>
                <w:position w:val="0"/>
                <w:sz w:val="21"/>
                <w:szCs w:val="21"/>
                <w:highlight w:val="none"/>
                <w:lang w:val="en-US" w:eastAsia="zh-CN"/>
              </w:rPr>
              <w:t xml:space="preserve">  噪声排放标准 单位：dB（A）</w:t>
            </w:r>
          </w:p>
          <w:tbl>
            <w:tblPr>
              <w:tblStyle w:val="43"/>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0" w:type="dxa"/>
                <w:bottom w:w="57" w:type="dxa"/>
                <w:right w:w="0" w:type="dxa"/>
              </w:tblCellMar>
            </w:tblPr>
            <w:tblGrid>
              <w:gridCol w:w="1689"/>
              <w:gridCol w:w="1111"/>
              <w:gridCol w:w="1202"/>
              <w:gridCol w:w="1145"/>
              <w:gridCol w:w="2546"/>
            </w:tblGrid>
            <w:tr w14:paraId="21BAD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c>
                <w:tcPr>
                  <w:tcW w:w="1098" w:type="pct"/>
                  <w:vMerge w:val="restart"/>
                  <w:vAlign w:val="center"/>
                </w:tcPr>
                <w:p w14:paraId="664D06C0">
                  <w:pPr>
                    <w:jc w:val="center"/>
                    <w:rPr>
                      <w:rFonts w:hint="default" w:ascii="Times New Roman" w:hAnsi="Times New Roman" w:cs="Times New Roman"/>
                      <w:szCs w:val="21"/>
                    </w:rPr>
                  </w:pPr>
                  <w:r>
                    <w:rPr>
                      <w:rFonts w:hint="default" w:ascii="Times New Roman" w:hAnsi="Times New Roman" w:cs="Times New Roman"/>
                      <w:szCs w:val="21"/>
                    </w:rPr>
                    <w:t>适用范围</w:t>
                  </w:r>
                </w:p>
              </w:tc>
              <w:tc>
                <w:tcPr>
                  <w:tcW w:w="722" w:type="pct"/>
                  <w:vMerge w:val="restart"/>
                  <w:vAlign w:val="center"/>
                </w:tcPr>
                <w:p w14:paraId="3408ECD6">
                  <w:pPr>
                    <w:jc w:val="center"/>
                    <w:rPr>
                      <w:rFonts w:hint="default" w:ascii="Times New Roman" w:hAnsi="Times New Roman" w:cs="Times New Roman"/>
                      <w:szCs w:val="21"/>
                    </w:rPr>
                  </w:pPr>
                  <w:r>
                    <w:rPr>
                      <w:rFonts w:hint="default" w:ascii="Times New Roman" w:hAnsi="Times New Roman" w:cs="Times New Roman"/>
                      <w:szCs w:val="21"/>
                    </w:rPr>
                    <w:t>采用级别</w:t>
                  </w:r>
                </w:p>
              </w:tc>
              <w:tc>
                <w:tcPr>
                  <w:tcW w:w="1525" w:type="pct"/>
                  <w:gridSpan w:val="2"/>
                  <w:vAlign w:val="center"/>
                </w:tcPr>
                <w:p w14:paraId="55729599">
                  <w:pPr>
                    <w:jc w:val="center"/>
                    <w:rPr>
                      <w:rFonts w:hint="default" w:ascii="Times New Roman" w:hAnsi="Times New Roman" w:cs="Times New Roman"/>
                      <w:szCs w:val="21"/>
                    </w:rPr>
                  </w:pPr>
                  <w:r>
                    <w:rPr>
                      <w:rFonts w:hint="default" w:ascii="Times New Roman" w:hAnsi="Times New Roman" w:cs="Times New Roman"/>
                      <w:szCs w:val="21"/>
                    </w:rPr>
                    <w:t>标准值</w:t>
                  </w:r>
                </w:p>
              </w:tc>
              <w:tc>
                <w:tcPr>
                  <w:tcW w:w="1654" w:type="pct"/>
                  <w:vMerge w:val="restart"/>
                  <w:vAlign w:val="center"/>
                </w:tcPr>
                <w:p w14:paraId="27E1EFD7">
                  <w:pPr>
                    <w:jc w:val="center"/>
                    <w:rPr>
                      <w:rFonts w:hint="default" w:ascii="Times New Roman" w:hAnsi="Times New Roman" w:cs="Times New Roman"/>
                      <w:szCs w:val="21"/>
                    </w:rPr>
                  </w:pPr>
                  <w:r>
                    <w:rPr>
                      <w:rFonts w:hint="default" w:ascii="Times New Roman" w:hAnsi="Times New Roman" w:cs="Times New Roman"/>
                      <w:szCs w:val="21"/>
                    </w:rPr>
                    <w:t>标准来源</w:t>
                  </w:r>
                </w:p>
              </w:tc>
            </w:tr>
            <w:tr w14:paraId="62B38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c>
                <w:tcPr>
                  <w:tcW w:w="1098" w:type="pct"/>
                  <w:vMerge w:val="continue"/>
                  <w:vAlign w:val="center"/>
                </w:tcPr>
                <w:p w14:paraId="189AB8D9">
                  <w:pPr>
                    <w:jc w:val="center"/>
                    <w:rPr>
                      <w:rFonts w:hint="default" w:ascii="Times New Roman" w:hAnsi="Times New Roman" w:cs="Times New Roman"/>
                      <w:szCs w:val="21"/>
                    </w:rPr>
                  </w:pPr>
                </w:p>
              </w:tc>
              <w:tc>
                <w:tcPr>
                  <w:tcW w:w="722" w:type="pct"/>
                  <w:vMerge w:val="continue"/>
                  <w:vAlign w:val="center"/>
                </w:tcPr>
                <w:p w14:paraId="02B229CA">
                  <w:pPr>
                    <w:jc w:val="center"/>
                    <w:rPr>
                      <w:rFonts w:hint="default" w:ascii="Times New Roman" w:hAnsi="Times New Roman" w:cs="Times New Roman"/>
                      <w:szCs w:val="21"/>
                    </w:rPr>
                  </w:pPr>
                </w:p>
              </w:tc>
              <w:tc>
                <w:tcPr>
                  <w:tcW w:w="781" w:type="pct"/>
                  <w:vAlign w:val="center"/>
                </w:tcPr>
                <w:p w14:paraId="07F9CC67">
                  <w:pPr>
                    <w:jc w:val="center"/>
                    <w:rPr>
                      <w:rFonts w:hint="default" w:ascii="Times New Roman" w:hAnsi="Times New Roman" w:cs="Times New Roman"/>
                      <w:szCs w:val="21"/>
                    </w:rPr>
                  </w:pPr>
                  <w:r>
                    <w:rPr>
                      <w:rFonts w:hint="default" w:ascii="Times New Roman" w:hAnsi="Times New Roman" w:cs="Times New Roman"/>
                      <w:szCs w:val="21"/>
                    </w:rPr>
                    <w:t>昼间</w:t>
                  </w:r>
                </w:p>
              </w:tc>
              <w:tc>
                <w:tcPr>
                  <w:tcW w:w="743" w:type="pct"/>
                  <w:vAlign w:val="center"/>
                </w:tcPr>
                <w:p w14:paraId="152350BB">
                  <w:pPr>
                    <w:jc w:val="center"/>
                    <w:rPr>
                      <w:rFonts w:hint="default" w:ascii="Times New Roman" w:hAnsi="Times New Roman" w:cs="Times New Roman"/>
                      <w:szCs w:val="21"/>
                    </w:rPr>
                  </w:pPr>
                  <w:r>
                    <w:rPr>
                      <w:rFonts w:hint="default" w:ascii="Times New Roman" w:hAnsi="Times New Roman" w:cs="Times New Roman"/>
                      <w:szCs w:val="21"/>
                    </w:rPr>
                    <w:t>夜间</w:t>
                  </w:r>
                </w:p>
              </w:tc>
              <w:tc>
                <w:tcPr>
                  <w:tcW w:w="1654" w:type="pct"/>
                  <w:vMerge w:val="continue"/>
                  <w:vAlign w:val="center"/>
                </w:tcPr>
                <w:p w14:paraId="06DCE115">
                  <w:pPr>
                    <w:jc w:val="center"/>
                    <w:rPr>
                      <w:rFonts w:hint="default" w:ascii="Times New Roman" w:hAnsi="Times New Roman" w:cs="Times New Roman"/>
                      <w:szCs w:val="21"/>
                    </w:rPr>
                  </w:pPr>
                </w:p>
              </w:tc>
            </w:tr>
            <w:tr w14:paraId="0BBDC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c>
                <w:tcPr>
                  <w:tcW w:w="1098" w:type="pct"/>
                  <w:vAlign w:val="center"/>
                </w:tcPr>
                <w:p w14:paraId="1D5A7984">
                  <w:pPr>
                    <w:jc w:val="center"/>
                    <w:rPr>
                      <w:rFonts w:hint="default" w:ascii="Times New Roman" w:hAnsi="Times New Roman" w:cs="Times New Roman"/>
                      <w:szCs w:val="21"/>
                    </w:rPr>
                  </w:pPr>
                  <w:r>
                    <w:rPr>
                      <w:rFonts w:hint="default" w:ascii="Times New Roman" w:hAnsi="Times New Roman" w:cs="Times New Roman"/>
                      <w:szCs w:val="21"/>
                    </w:rPr>
                    <w:t>施工期环境噪声</w:t>
                  </w:r>
                </w:p>
              </w:tc>
              <w:tc>
                <w:tcPr>
                  <w:tcW w:w="722" w:type="pct"/>
                  <w:vAlign w:val="center"/>
                </w:tcPr>
                <w:p w14:paraId="32F475E6">
                  <w:pPr>
                    <w:jc w:val="center"/>
                    <w:rPr>
                      <w:rFonts w:hint="default" w:ascii="Times New Roman" w:hAnsi="Times New Roman" w:cs="Times New Roman"/>
                      <w:szCs w:val="21"/>
                    </w:rPr>
                  </w:pPr>
                  <w:r>
                    <w:rPr>
                      <w:rFonts w:hint="default" w:ascii="Times New Roman" w:hAnsi="Times New Roman" w:cs="Times New Roman"/>
                      <w:szCs w:val="21"/>
                    </w:rPr>
                    <w:t>/</w:t>
                  </w:r>
                </w:p>
              </w:tc>
              <w:tc>
                <w:tcPr>
                  <w:tcW w:w="781" w:type="pct"/>
                  <w:vAlign w:val="center"/>
                </w:tcPr>
                <w:p w14:paraId="675BD431">
                  <w:pPr>
                    <w:jc w:val="center"/>
                    <w:rPr>
                      <w:rFonts w:hint="default" w:ascii="Times New Roman" w:hAnsi="Times New Roman" w:cs="Times New Roman"/>
                      <w:szCs w:val="21"/>
                    </w:rPr>
                  </w:pPr>
                  <w:r>
                    <w:rPr>
                      <w:rFonts w:hint="default" w:ascii="Times New Roman" w:hAnsi="Times New Roman" w:cs="Times New Roman"/>
                      <w:szCs w:val="21"/>
                    </w:rPr>
                    <w:t>70</w:t>
                  </w:r>
                </w:p>
              </w:tc>
              <w:tc>
                <w:tcPr>
                  <w:tcW w:w="743" w:type="pct"/>
                  <w:vAlign w:val="center"/>
                </w:tcPr>
                <w:p w14:paraId="48E83B42">
                  <w:pPr>
                    <w:jc w:val="center"/>
                    <w:rPr>
                      <w:rFonts w:hint="default" w:ascii="Times New Roman" w:hAnsi="Times New Roman" w:cs="Times New Roman"/>
                      <w:szCs w:val="21"/>
                    </w:rPr>
                  </w:pPr>
                  <w:r>
                    <w:rPr>
                      <w:rFonts w:hint="default" w:ascii="Times New Roman" w:hAnsi="Times New Roman" w:cs="Times New Roman"/>
                      <w:szCs w:val="21"/>
                    </w:rPr>
                    <w:t>55</w:t>
                  </w:r>
                </w:p>
              </w:tc>
              <w:tc>
                <w:tcPr>
                  <w:tcW w:w="1654" w:type="pct"/>
                  <w:vAlign w:val="center"/>
                </w:tcPr>
                <w:p w14:paraId="10363C8E">
                  <w:pPr>
                    <w:jc w:val="center"/>
                    <w:rPr>
                      <w:rFonts w:hint="default" w:ascii="Times New Roman" w:hAnsi="Times New Roman" w:cs="Times New Roman"/>
                      <w:szCs w:val="21"/>
                    </w:rPr>
                  </w:pPr>
                  <w:r>
                    <w:rPr>
                      <w:rFonts w:hint="default" w:ascii="Times New Roman" w:hAnsi="Times New Roman" w:cs="Times New Roman"/>
                      <w:szCs w:val="21"/>
                      <w:lang w:val="zh-CN"/>
                    </w:rPr>
                    <w:t>GB12523-2025</w:t>
                  </w:r>
                </w:p>
              </w:tc>
            </w:tr>
            <w:tr w14:paraId="48D89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c>
                <w:tcPr>
                  <w:tcW w:w="1098" w:type="pct"/>
                  <w:vAlign w:val="center"/>
                </w:tcPr>
                <w:p w14:paraId="0A25E704">
                  <w:pPr>
                    <w:jc w:val="center"/>
                    <w:rPr>
                      <w:rFonts w:hint="default" w:ascii="Times New Roman" w:hAnsi="Times New Roman" w:eastAsia="宋体" w:cs="Times New Roman"/>
                      <w:szCs w:val="21"/>
                      <w:lang w:val="en-US" w:eastAsia="zh-CN"/>
                    </w:rPr>
                  </w:pPr>
                  <w:r>
                    <w:rPr>
                      <w:rFonts w:hint="default" w:ascii="Times New Roman" w:hAnsi="Times New Roman" w:cs="Times New Roman"/>
                      <w:szCs w:val="21"/>
                      <w:lang w:val="en-US" w:eastAsia="zh-CN"/>
                    </w:rPr>
                    <w:t>110kV变电站</w:t>
                  </w:r>
                </w:p>
              </w:tc>
              <w:tc>
                <w:tcPr>
                  <w:tcW w:w="722" w:type="pct"/>
                  <w:vAlign w:val="center"/>
                </w:tcPr>
                <w:p w14:paraId="6B1C2E43">
                  <w:pPr>
                    <w:jc w:val="center"/>
                    <w:rPr>
                      <w:rFonts w:hint="default" w:ascii="Times New Roman" w:hAnsi="Times New Roman" w:cs="Times New Roman"/>
                      <w:szCs w:val="21"/>
                    </w:rPr>
                  </w:pPr>
                  <w:r>
                    <w:rPr>
                      <w:rFonts w:hint="eastAsia" w:cs="Times New Roman"/>
                      <w:szCs w:val="21"/>
                      <w:lang w:val="en-US" w:eastAsia="zh-CN"/>
                    </w:rPr>
                    <w:t>3</w:t>
                  </w:r>
                  <w:r>
                    <w:rPr>
                      <w:rFonts w:hint="default" w:ascii="Times New Roman" w:hAnsi="Times New Roman" w:cs="Times New Roman"/>
                      <w:szCs w:val="21"/>
                    </w:rPr>
                    <w:t>类</w:t>
                  </w:r>
                </w:p>
              </w:tc>
              <w:tc>
                <w:tcPr>
                  <w:tcW w:w="781" w:type="pct"/>
                  <w:vAlign w:val="center"/>
                </w:tcPr>
                <w:p w14:paraId="3327A7D1">
                  <w:pPr>
                    <w:jc w:val="center"/>
                    <w:rPr>
                      <w:rFonts w:hint="default" w:ascii="Times New Roman" w:hAnsi="Times New Roman" w:eastAsia="宋体" w:cs="Times New Roman"/>
                      <w:szCs w:val="21"/>
                      <w:lang w:val="en-US" w:eastAsia="zh-CN"/>
                    </w:rPr>
                  </w:pPr>
                  <w:r>
                    <w:rPr>
                      <w:rFonts w:hint="default" w:ascii="Times New Roman" w:hAnsi="Times New Roman" w:cs="Times New Roman"/>
                      <w:szCs w:val="21"/>
                      <w:lang w:val="en-US" w:eastAsia="zh-CN"/>
                    </w:rPr>
                    <w:t>65</w:t>
                  </w:r>
                </w:p>
              </w:tc>
              <w:tc>
                <w:tcPr>
                  <w:tcW w:w="743" w:type="pct"/>
                  <w:vAlign w:val="center"/>
                </w:tcPr>
                <w:p w14:paraId="135DD0EC">
                  <w:pPr>
                    <w:jc w:val="center"/>
                    <w:rPr>
                      <w:rFonts w:hint="default" w:ascii="Times New Roman" w:hAnsi="Times New Roman" w:eastAsia="宋体" w:cs="Times New Roman"/>
                      <w:szCs w:val="21"/>
                      <w:lang w:val="en-US" w:eastAsia="zh-CN"/>
                    </w:rPr>
                  </w:pPr>
                  <w:r>
                    <w:rPr>
                      <w:rFonts w:hint="default" w:ascii="Times New Roman" w:hAnsi="Times New Roman" w:cs="Times New Roman"/>
                      <w:szCs w:val="21"/>
                      <w:lang w:val="en-US" w:eastAsia="zh-CN"/>
                    </w:rPr>
                    <w:t>55</w:t>
                  </w:r>
                </w:p>
              </w:tc>
              <w:tc>
                <w:tcPr>
                  <w:tcW w:w="1654" w:type="pct"/>
                  <w:vAlign w:val="center"/>
                </w:tcPr>
                <w:p w14:paraId="1124B8F7">
                  <w:pPr>
                    <w:jc w:val="center"/>
                    <w:rPr>
                      <w:rFonts w:hint="default" w:ascii="Times New Roman" w:hAnsi="Times New Roman" w:cs="Times New Roman"/>
                      <w:szCs w:val="21"/>
                    </w:rPr>
                  </w:pPr>
                  <w:r>
                    <w:rPr>
                      <w:rFonts w:hint="default" w:ascii="Times New Roman" w:hAnsi="Times New Roman" w:cs="Times New Roman"/>
                      <w:szCs w:val="21"/>
                    </w:rPr>
                    <w:t>GB12348-2008</w:t>
                  </w:r>
                </w:p>
              </w:tc>
            </w:tr>
          </w:tbl>
          <w:p w14:paraId="39171D9D">
            <w:pPr>
              <w:spacing w:line="480" w:lineRule="exact"/>
              <w:ind w:firstLine="522"/>
              <w:rPr>
                <w:rFonts w:hint="default" w:ascii="Times New Roman" w:hAnsi="Times New Roman" w:cs="Times New Roman"/>
                <w:sz w:val="24"/>
              </w:rPr>
            </w:pPr>
            <w:r>
              <w:rPr>
                <w:rFonts w:hint="default" w:ascii="Times New Roman" w:hAnsi="Times New Roman" w:cs="Times New Roman"/>
                <w:sz w:val="24"/>
              </w:rPr>
              <w:t>（4）固体废物控制标准</w:t>
            </w:r>
          </w:p>
          <w:p w14:paraId="46D7E1EF">
            <w:pPr>
              <w:spacing w:line="480" w:lineRule="exact"/>
              <w:ind w:firstLine="522"/>
              <w:rPr>
                <w:rFonts w:hint="default" w:ascii="Times New Roman" w:hAnsi="Times New Roman" w:cs="Times New Roman"/>
                <w:sz w:val="24"/>
              </w:rPr>
            </w:pPr>
            <w:r>
              <w:rPr>
                <w:rFonts w:hint="default" w:ascii="Times New Roman" w:hAnsi="Times New Roman" w:cs="Times New Roman"/>
                <w:sz w:val="24"/>
              </w:rPr>
              <w:t>一般固体废物处置执行《一般工业固体废物贮存和填埋污染控制标准》（GB18599-2020），危险废物执行《危险废物贮存污染控制标准》（GB18597-2023）中的有关规定。建筑垃圾执行《建筑垃圾污染控制技术规范》（HJ1462-2026）。</w:t>
            </w:r>
          </w:p>
          <w:p w14:paraId="630355C1">
            <w:pPr>
              <w:pStyle w:val="67"/>
              <w:numPr>
                <w:ilvl w:val="0"/>
                <w:numId w:val="7"/>
              </w:numPr>
              <w:spacing w:line="480" w:lineRule="exact"/>
              <w:ind w:firstLineChars="0"/>
              <w:rPr>
                <w:rFonts w:hint="default" w:ascii="Times New Roman" w:hAnsi="Times New Roman" w:cs="Times New Roman"/>
                <w:sz w:val="24"/>
              </w:rPr>
            </w:pPr>
            <w:r>
              <w:rPr>
                <w:rFonts w:hint="default" w:ascii="Times New Roman" w:hAnsi="Times New Roman" w:eastAsia="黑体" w:cs="Times New Roman"/>
                <w:sz w:val="25"/>
              </w:rPr>
              <w:t>电磁环境</w:t>
            </w:r>
          </w:p>
          <w:p w14:paraId="29055E94">
            <w:pPr>
              <w:pStyle w:val="17"/>
              <w:snapToGrid/>
              <w:spacing w:before="0" w:after="0" w:line="480" w:lineRule="exact"/>
              <w:ind w:right="0" w:firstLine="522"/>
              <w:rPr>
                <w:rFonts w:hint="default" w:ascii="Times New Roman" w:hAnsi="Times New Roman" w:cs="Times New Roman"/>
                <w:sz w:val="24"/>
              </w:rPr>
            </w:pPr>
            <w:r>
              <w:rPr>
                <w:rFonts w:hint="default" w:ascii="Times New Roman" w:hAnsi="Times New Roman" w:cs="Times New Roman"/>
                <w:sz w:val="24"/>
              </w:rPr>
              <w:t>按照《电磁环境控制限值》（GB8702-2014）中公众曝露控制限值规定，工频电场强度评价标准为4000V/m，工频磁感应强度的评价标准为100μT。</w:t>
            </w:r>
          </w:p>
        </w:tc>
      </w:tr>
      <w:tr w14:paraId="0FB74EC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44" w:type="pct"/>
            <w:vAlign w:val="center"/>
          </w:tcPr>
          <w:p w14:paraId="431A3176">
            <w:pPr>
              <w:adjustRightInd w:val="0"/>
              <w:snapToGrid w:val="0"/>
              <w:jc w:val="center"/>
              <w:rPr>
                <w:rFonts w:hint="default" w:ascii="Times New Roman" w:hAnsi="Times New Roman" w:cs="Times New Roman" w:eastAsiaTheme="minorEastAsia"/>
                <w:kern w:val="0"/>
                <w:sz w:val="24"/>
              </w:rPr>
            </w:pPr>
            <w:r>
              <w:rPr>
                <w:rFonts w:hint="default" w:ascii="Times New Roman" w:hAnsi="Times New Roman" w:cs="Times New Roman" w:eastAsiaTheme="minorEastAsia"/>
                <w:kern w:val="0"/>
                <w:sz w:val="24"/>
              </w:rPr>
              <w:t>其他</w:t>
            </w:r>
          </w:p>
        </w:tc>
        <w:tc>
          <w:tcPr>
            <w:tcW w:w="4655" w:type="pct"/>
            <w:vAlign w:val="center"/>
          </w:tcPr>
          <w:p w14:paraId="5EE8454C">
            <w:pPr>
              <w:spacing w:line="480" w:lineRule="exact"/>
              <w:ind w:firstLine="480" w:firstLineChars="200"/>
              <w:rPr>
                <w:rFonts w:hint="default" w:ascii="Times New Roman" w:hAnsi="Times New Roman" w:cs="Times New Roman"/>
                <w:kern w:val="0"/>
                <w:sz w:val="24"/>
              </w:rPr>
            </w:pPr>
            <w:r>
              <w:rPr>
                <w:rFonts w:hint="default" w:ascii="Times New Roman" w:hAnsi="Times New Roman" w:cs="Times New Roman"/>
                <w:kern w:val="0"/>
                <w:sz w:val="24"/>
              </w:rPr>
              <w:t>结合本项目工艺特征和排污特点，本项目无需申请总量控制指标。</w:t>
            </w:r>
          </w:p>
        </w:tc>
      </w:tr>
    </w:tbl>
    <w:p w14:paraId="0654E2F0">
      <w:pPr>
        <w:rPr>
          <w:rFonts w:hint="default" w:ascii="Times New Roman" w:hAnsi="Times New Roman" w:cs="Times New Roman"/>
        </w:rPr>
      </w:pPr>
      <w:r>
        <w:rPr>
          <w:rFonts w:hint="default" w:ascii="Times New Roman" w:hAnsi="Times New Roman" w:cs="Times New Roman"/>
        </w:rPr>
        <w:br w:type="page"/>
      </w:r>
    </w:p>
    <w:p w14:paraId="0192B3BC">
      <w:pPr>
        <w:pStyle w:val="3"/>
        <w:rPr>
          <w:rFonts w:hint="default" w:ascii="Times New Roman" w:hAnsi="Times New Roman" w:cs="Times New Roman"/>
        </w:rPr>
      </w:pPr>
      <w:bookmarkStart w:id="62" w:name="_Toc31793"/>
      <w:r>
        <w:rPr>
          <w:rFonts w:hint="default" w:ascii="Times New Roman" w:hAnsi="Times New Roman" w:cs="Times New Roman"/>
        </w:rPr>
        <w:t>生态环境影响分析</w:t>
      </w:r>
      <w:bookmarkEnd w:id="62"/>
    </w:p>
    <w:tbl>
      <w:tblPr>
        <w:tblStyle w:val="43"/>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458"/>
        <w:gridCol w:w="7991"/>
      </w:tblGrid>
      <w:tr w14:paraId="4FD0CD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15" w:hRule="atLeast"/>
          <w:jc w:val="center"/>
        </w:trPr>
        <w:tc>
          <w:tcPr>
            <w:tcW w:w="271" w:type="pct"/>
            <w:tcMar>
              <w:left w:w="28" w:type="dxa"/>
              <w:right w:w="28" w:type="dxa"/>
            </w:tcMar>
            <w:vAlign w:val="center"/>
          </w:tcPr>
          <w:p w14:paraId="7405DCA8">
            <w:pPr>
              <w:pStyle w:val="40"/>
              <w:adjustRightInd w:val="0"/>
              <w:snapToGrid w:val="0"/>
              <w:spacing w:before="0" w:beforeAutospacing="0" w:after="0" w:afterAutospacing="0"/>
              <w:jc w:val="center"/>
              <w:rPr>
                <w:rFonts w:hint="default" w:ascii="Times New Roman" w:hAnsi="Times New Roman" w:cs="Times New Roman" w:eastAsiaTheme="minorEastAsia"/>
                <w:bCs/>
                <w:kern w:val="2"/>
              </w:rPr>
            </w:pPr>
            <w:bookmarkStart w:id="63" w:name="_Hlk49796138"/>
            <w:r>
              <w:rPr>
                <w:rFonts w:hint="default" w:ascii="Times New Roman" w:hAnsi="Times New Roman" w:cs="Times New Roman" w:eastAsiaTheme="minorEastAsia"/>
                <w:bCs/>
                <w:kern w:val="2"/>
              </w:rPr>
              <w:t>施工期生态环境影响分析</w:t>
            </w:r>
            <w:bookmarkEnd w:id="63"/>
          </w:p>
        </w:tc>
        <w:tc>
          <w:tcPr>
            <w:tcW w:w="4729" w:type="pct"/>
            <w:tcBorders>
              <w:top w:val="single" w:color="auto" w:sz="4" w:space="0"/>
            </w:tcBorders>
            <w:vAlign w:val="center"/>
          </w:tcPr>
          <w:p w14:paraId="1FEEFD10">
            <w:pPr>
              <w:pStyle w:val="67"/>
              <w:numPr>
                <w:ilvl w:val="0"/>
                <w:numId w:val="8"/>
              </w:numPr>
              <w:spacing w:line="480" w:lineRule="exact"/>
              <w:ind w:firstLineChars="0"/>
              <w:rPr>
                <w:rFonts w:hint="default" w:ascii="Times New Roman" w:hAnsi="Times New Roman" w:eastAsia="黑体" w:cs="Times New Roman"/>
                <w:sz w:val="25"/>
              </w:rPr>
            </w:pPr>
            <w:bookmarkStart w:id="64" w:name="_Hlk85649189"/>
            <w:bookmarkStart w:id="65" w:name="_Hlk85981465"/>
            <w:r>
              <w:rPr>
                <w:rFonts w:hint="default" w:ascii="Times New Roman" w:hAnsi="Times New Roman" w:eastAsia="黑体" w:cs="Times New Roman"/>
                <w:sz w:val="25"/>
              </w:rPr>
              <w:t>主要影响因素</w:t>
            </w:r>
          </w:p>
          <w:p w14:paraId="2E6F20B6">
            <w:pPr>
              <w:spacing w:line="480" w:lineRule="exact"/>
              <w:ind w:firstLine="522"/>
              <w:rPr>
                <w:rFonts w:hint="default" w:ascii="Times New Roman" w:hAnsi="Times New Roman" w:cs="Times New Roman"/>
                <w:sz w:val="24"/>
              </w:rPr>
            </w:pPr>
            <w:r>
              <w:rPr>
                <w:rFonts w:hint="default" w:ascii="Times New Roman" w:hAnsi="Times New Roman" w:cs="Times New Roman"/>
                <w:sz w:val="24"/>
              </w:rPr>
              <w:t>根据输变电工程的项目特点，本工程</w:t>
            </w:r>
            <w:r>
              <w:rPr>
                <w:rFonts w:hint="default" w:ascii="Times New Roman" w:hAnsi="Times New Roman" w:cs="Times New Roman"/>
                <w:sz w:val="24"/>
                <w:lang w:val="en-US" w:eastAsia="zh-CN"/>
              </w:rPr>
              <w:t>110kV变电站</w:t>
            </w:r>
            <w:r>
              <w:rPr>
                <w:rFonts w:hint="default" w:ascii="Times New Roman" w:hAnsi="Times New Roman" w:cs="Times New Roman"/>
                <w:sz w:val="24"/>
              </w:rPr>
              <w:t>施工工序主要为场地平整、基础施工、主体施工、设备安装及生产调试，施工期可能产生生态破坏和环境污染的主要环节及影响因素见图4-1、表4-1。</w:t>
            </w:r>
          </w:p>
          <w:p w14:paraId="7846AE0C">
            <w:pPr>
              <w:rPr>
                <w:rFonts w:hint="default" w:ascii="Times New Roman" w:hAnsi="Times New Roman" w:cs="Times New Roman"/>
              </w:rPr>
            </w:pPr>
          </w:p>
          <w:p w14:paraId="4A8FEA96">
            <w:pPr>
              <w:rPr>
                <w:rFonts w:hint="eastAsia" w:ascii="Times New Roman" w:hAnsi="Times New Roman" w:eastAsia="宋体" w:cs="Times New Roman"/>
                <w:lang w:eastAsia="zh-CN"/>
              </w:rPr>
            </w:pPr>
          </w:p>
          <w:p w14:paraId="0E274972">
            <w:pPr>
              <w:pStyle w:val="17"/>
              <w:numPr>
                <w:ilvl w:val="0"/>
                <w:numId w:val="9"/>
              </w:numPr>
              <w:spacing w:line="480" w:lineRule="exact"/>
              <w:jc w:val="center"/>
              <w:rPr>
                <w:rFonts w:hint="default" w:ascii="Times New Roman" w:hAnsi="Times New Roman" w:eastAsia="黑体" w:cs="Times New Roman"/>
                <w:sz w:val="21"/>
              </w:rPr>
            </w:pPr>
            <w:r>
              <w:rPr>
                <w:rFonts w:hint="default" w:ascii="Times New Roman" w:hAnsi="Times New Roman" w:eastAsia="黑体" w:cs="Times New Roman"/>
                <w:sz w:val="21"/>
              </w:rPr>
              <w:t>本工程</w:t>
            </w:r>
            <w:r>
              <w:rPr>
                <w:rFonts w:hint="default" w:ascii="Times New Roman" w:hAnsi="Times New Roman" w:eastAsia="黑体" w:cs="Times New Roman"/>
                <w:sz w:val="21"/>
                <w:lang w:val="en-US" w:eastAsia="zh-CN"/>
              </w:rPr>
              <w:t>110kV变电站</w:t>
            </w:r>
            <w:r>
              <w:rPr>
                <w:rFonts w:hint="default" w:ascii="Times New Roman" w:hAnsi="Times New Roman" w:eastAsia="黑体" w:cs="Times New Roman"/>
                <w:sz w:val="21"/>
              </w:rPr>
              <w:t>施工期工艺流程及产污环节示意图</w:t>
            </w:r>
          </w:p>
          <w:p w14:paraId="143962CC">
            <w:pPr>
              <w:pStyle w:val="67"/>
              <w:numPr>
                <w:ilvl w:val="0"/>
                <w:numId w:val="0"/>
              </w:numPr>
              <w:tabs>
                <w:tab w:val="center" w:pos="2721"/>
              </w:tabs>
              <w:spacing w:line="480" w:lineRule="exact"/>
              <w:ind w:left="420" w:leftChars="0"/>
              <w:jc w:val="center"/>
              <w:rPr>
                <w:rFonts w:hint="default" w:ascii="Times New Roman" w:hAnsi="Times New Roman" w:eastAsia="黑体" w:cs="Times New Roman"/>
              </w:rPr>
            </w:pPr>
            <w:r>
              <w:rPr>
                <w:rFonts w:hint="default" w:ascii="Times New Roman" w:hAnsi="Times New Roman" w:eastAsia="黑体" w:cs="Times New Roman"/>
                <w:lang w:val="en-US" w:eastAsia="zh-CN"/>
              </w:rPr>
              <w:t xml:space="preserve">表4-1 </w:t>
            </w:r>
            <w:r>
              <w:rPr>
                <w:rFonts w:hint="default" w:ascii="Times New Roman" w:hAnsi="Times New Roman" w:eastAsia="黑体" w:cs="Times New Roman"/>
              </w:rPr>
              <w:t>本工程</w:t>
            </w:r>
            <w:r>
              <w:rPr>
                <w:rFonts w:hint="default" w:ascii="Times New Roman" w:hAnsi="Times New Roman" w:eastAsia="黑体" w:cs="Times New Roman"/>
                <w:lang w:val="en-US" w:eastAsia="zh-CN"/>
              </w:rPr>
              <w:t>110kV变电站</w:t>
            </w:r>
            <w:r>
              <w:rPr>
                <w:rFonts w:hint="default" w:ascii="Times New Roman" w:hAnsi="Times New Roman" w:eastAsia="黑体" w:cs="Times New Roman"/>
              </w:rPr>
              <w:t>施工期主要环境影响因素及途径</w:t>
            </w:r>
          </w:p>
          <w:tbl>
            <w:tblPr>
              <w:tblStyle w:val="43"/>
              <w:tblW w:w="76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0" w:type="dxa"/>
                <w:bottom w:w="57" w:type="dxa"/>
                <w:right w:w="0" w:type="dxa"/>
              </w:tblCellMar>
            </w:tblPr>
            <w:tblGrid>
              <w:gridCol w:w="541"/>
              <w:gridCol w:w="1597"/>
              <w:gridCol w:w="5479"/>
            </w:tblGrid>
            <w:tr w14:paraId="793E5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c>
                <w:tcPr>
                  <w:tcW w:w="541" w:type="dxa"/>
                  <w:noWrap/>
                  <w:vAlign w:val="center"/>
                </w:tcPr>
                <w:p w14:paraId="788FF16A">
                  <w:pPr>
                    <w:jc w:val="center"/>
                    <w:rPr>
                      <w:rFonts w:hint="default" w:ascii="Times New Roman" w:hAnsi="Times New Roman" w:cs="Times New Roman"/>
                      <w:szCs w:val="22"/>
                    </w:rPr>
                  </w:pPr>
                  <w:r>
                    <w:rPr>
                      <w:rFonts w:hint="default" w:ascii="Times New Roman" w:hAnsi="Times New Roman" w:cs="Times New Roman"/>
                      <w:szCs w:val="22"/>
                    </w:rPr>
                    <w:t>序号</w:t>
                  </w:r>
                </w:p>
              </w:tc>
              <w:tc>
                <w:tcPr>
                  <w:tcW w:w="1597" w:type="dxa"/>
                  <w:noWrap/>
                  <w:vAlign w:val="center"/>
                </w:tcPr>
                <w:p w14:paraId="452D7062">
                  <w:pPr>
                    <w:jc w:val="center"/>
                    <w:rPr>
                      <w:rFonts w:hint="default" w:ascii="Times New Roman" w:hAnsi="Times New Roman" w:cs="Times New Roman"/>
                      <w:szCs w:val="22"/>
                    </w:rPr>
                  </w:pPr>
                  <w:r>
                    <w:rPr>
                      <w:rFonts w:hint="default" w:ascii="Times New Roman" w:hAnsi="Times New Roman" w:cs="Times New Roman"/>
                      <w:szCs w:val="22"/>
                    </w:rPr>
                    <w:t>影响因素</w:t>
                  </w:r>
                </w:p>
              </w:tc>
              <w:tc>
                <w:tcPr>
                  <w:tcW w:w="5479" w:type="dxa"/>
                  <w:noWrap/>
                  <w:vAlign w:val="center"/>
                </w:tcPr>
                <w:p w14:paraId="7B3D499F">
                  <w:pPr>
                    <w:jc w:val="center"/>
                    <w:rPr>
                      <w:rFonts w:hint="default" w:ascii="Times New Roman" w:hAnsi="Times New Roman" w:cs="Times New Roman"/>
                      <w:szCs w:val="22"/>
                    </w:rPr>
                  </w:pPr>
                  <w:r>
                    <w:rPr>
                      <w:rFonts w:hint="default" w:ascii="Times New Roman" w:hAnsi="Times New Roman" w:cs="Times New Roman"/>
                      <w:szCs w:val="22"/>
                    </w:rPr>
                    <w:t>影响途径</w:t>
                  </w:r>
                </w:p>
              </w:tc>
            </w:tr>
            <w:tr w14:paraId="322E9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c>
                <w:tcPr>
                  <w:tcW w:w="541" w:type="dxa"/>
                  <w:noWrap/>
                  <w:vAlign w:val="center"/>
                </w:tcPr>
                <w:p w14:paraId="68076C21">
                  <w:pPr>
                    <w:jc w:val="center"/>
                    <w:rPr>
                      <w:rFonts w:hint="default" w:ascii="Times New Roman" w:hAnsi="Times New Roman" w:cs="Times New Roman"/>
                      <w:szCs w:val="22"/>
                    </w:rPr>
                  </w:pPr>
                  <w:r>
                    <w:rPr>
                      <w:rFonts w:hint="default" w:ascii="Times New Roman" w:hAnsi="Times New Roman" w:cs="Times New Roman"/>
                      <w:szCs w:val="22"/>
                    </w:rPr>
                    <w:t>1</w:t>
                  </w:r>
                </w:p>
              </w:tc>
              <w:tc>
                <w:tcPr>
                  <w:tcW w:w="1597" w:type="dxa"/>
                  <w:noWrap/>
                  <w:vAlign w:val="center"/>
                </w:tcPr>
                <w:p w14:paraId="7FCC0E6B">
                  <w:pPr>
                    <w:jc w:val="center"/>
                    <w:rPr>
                      <w:rFonts w:hint="default" w:ascii="Times New Roman" w:hAnsi="Times New Roman" w:cs="Times New Roman"/>
                      <w:szCs w:val="22"/>
                    </w:rPr>
                  </w:pPr>
                  <w:r>
                    <w:rPr>
                      <w:rFonts w:hint="default" w:ascii="Times New Roman" w:hAnsi="Times New Roman" w:cs="Times New Roman"/>
                      <w:szCs w:val="22"/>
                    </w:rPr>
                    <w:t>施工扬尘、机械废气</w:t>
                  </w:r>
                </w:p>
              </w:tc>
              <w:tc>
                <w:tcPr>
                  <w:tcW w:w="5479" w:type="dxa"/>
                  <w:noWrap/>
                  <w:vAlign w:val="center"/>
                </w:tcPr>
                <w:p w14:paraId="5252164E">
                  <w:pPr>
                    <w:jc w:val="center"/>
                    <w:rPr>
                      <w:rFonts w:hint="default" w:ascii="Times New Roman" w:hAnsi="Times New Roman" w:cs="Times New Roman"/>
                      <w:szCs w:val="22"/>
                    </w:rPr>
                  </w:pPr>
                  <w:r>
                    <w:rPr>
                      <w:rFonts w:hint="default" w:ascii="Times New Roman" w:hAnsi="Times New Roman" w:cs="Times New Roman"/>
                      <w:szCs w:val="22"/>
                    </w:rPr>
                    <w:t>主要为场地平整、土方开挖、材料装卸及运输过</w:t>
                  </w:r>
                  <w:r>
                    <w:rPr>
                      <w:rFonts w:hint="default" w:ascii="Times New Roman" w:hAnsi="Times New Roman" w:cs="Times New Roman"/>
                      <w:szCs w:val="22"/>
                      <w:lang w:eastAsia="zh-CN"/>
                    </w:rPr>
                    <w:t>程中</w:t>
                  </w:r>
                  <w:r>
                    <w:rPr>
                      <w:rFonts w:hint="default" w:ascii="Times New Roman" w:hAnsi="Times New Roman" w:cs="Times New Roman"/>
                      <w:szCs w:val="22"/>
                    </w:rPr>
                    <w:t>产生的施工扬尘和施工机械尾气</w:t>
                  </w:r>
                </w:p>
              </w:tc>
            </w:tr>
            <w:tr w14:paraId="4AA3C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c>
                <w:tcPr>
                  <w:tcW w:w="541" w:type="dxa"/>
                  <w:noWrap/>
                  <w:vAlign w:val="center"/>
                </w:tcPr>
                <w:p w14:paraId="41445453">
                  <w:pPr>
                    <w:jc w:val="center"/>
                    <w:rPr>
                      <w:rFonts w:hint="default" w:ascii="Times New Roman" w:hAnsi="Times New Roman" w:cs="Times New Roman"/>
                      <w:szCs w:val="22"/>
                    </w:rPr>
                  </w:pPr>
                  <w:r>
                    <w:rPr>
                      <w:rFonts w:hint="default" w:ascii="Times New Roman" w:hAnsi="Times New Roman" w:cs="Times New Roman"/>
                      <w:szCs w:val="22"/>
                    </w:rPr>
                    <w:t>2</w:t>
                  </w:r>
                </w:p>
              </w:tc>
              <w:tc>
                <w:tcPr>
                  <w:tcW w:w="1597" w:type="dxa"/>
                  <w:noWrap/>
                  <w:vAlign w:val="center"/>
                </w:tcPr>
                <w:p w14:paraId="7563DB07">
                  <w:pPr>
                    <w:jc w:val="center"/>
                    <w:rPr>
                      <w:rFonts w:hint="default" w:ascii="Times New Roman" w:hAnsi="Times New Roman" w:cs="Times New Roman"/>
                      <w:szCs w:val="22"/>
                    </w:rPr>
                  </w:pPr>
                  <w:r>
                    <w:rPr>
                      <w:rFonts w:hint="default" w:ascii="Times New Roman" w:hAnsi="Times New Roman" w:cs="Times New Roman"/>
                      <w:szCs w:val="22"/>
                    </w:rPr>
                    <w:t>施工废水</w:t>
                  </w:r>
                </w:p>
              </w:tc>
              <w:tc>
                <w:tcPr>
                  <w:tcW w:w="5479" w:type="dxa"/>
                  <w:noWrap/>
                  <w:vAlign w:val="center"/>
                </w:tcPr>
                <w:p w14:paraId="12D68472">
                  <w:pPr>
                    <w:jc w:val="center"/>
                    <w:rPr>
                      <w:rFonts w:hint="default" w:ascii="Times New Roman" w:hAnsi="Times New Roman" w:cs="Times New Roman"/>
                      <w:szCs w:val="22"/>
                    </w:rPr>
                  </w:pPr>
                  <w:r>
                    <w:rPr>
                      <w:rFonts w:hint="default" w:ascii="Times New Roman" w:hAnsi="Times New Roman" w:cs="Times New Roman"/>
                      <w:szCs w:val="22"/>
                    </w:rPr>
                    <w:t>主要为施工废水及施工人员生活污水</w:t>
                  </w:r>
                </w:p>
              </w:tc>
            </w:tr>
            <w:tr w14:paraId="4F012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c>
                <w:tcPr>
                  <w:tcW w:w="541" w:type="dxa"/>
                  <w:noWrap/>
                  <w:vAlign w:val="center"/>
                </w:tcPr>
                <w:p w14:paraId="084734D9">
                  <w:pPr>
                    <w:jc w:val="center"/>
                    <w:rPr>
                      <w:rFonts w:hint="default" w:ascii="Times New Roman" w:hAnsi="Times New Roman" w:cs="Times New Roman"/>
                      <w:szCs w:val="22"/>
                    </w:rPr>
                  </w:pPr>
                  <w:r>
                    <w:rPr>
                      <w:rFonts w:hint="default" w:ascii="Times New Roman" w:hAnsi="Times New Roman" w:cs="Times New Roman"/>
                      <w:szCs w:val="22"/>
                    </w:rPr>
                    <w:t>3</w:t>
                  </w:r>
                </w:p>
              </w:tc>
              <w:tc>
                <w:tcPr>
                  <w:tcW w:w="1597" w:type="dxa"/>
                  <w:noWrap/>
                  <w:vAlign w:val="center"/>
                </w:tcPr>
                <w:p w14:paraId="2EC30F46">
                  <w:pPr>
                    <w:jc w:val="center"/>
                    <w:rPr>
                      <w:rFonts w:hint="default" w:ascii="Times New Roman" w:hAnsi="Times New Roman" w:cs="Times New Roman"/>
                      <w:szCs w:val="22"/>
                    </w:rPr>
                  </w:pPr>
                  <w:r>
                    <w:rPr>
                      <w:rFonts w:hint="default" w:ascii="Times New Roman" w:hAnsi="Times New Roman" w:cs="Times New Roman"/>
                      <w:szCs w:val="22"/>
                    </w:rPr>
                    <w:t>施工噪声</w:t>
                  </w:r>
                </w:p>
              </w:tc>
              <w:tc>
                <w:tcPr>
                  <w:tcW w:w="5479" w:type="dxa"/>
                  <w:noWrap/>
                  <w:vAlign w:val="center"/>
                </w:tcPr>
                <w:p w14:paraId="0C2DAAE1">
                  <w:pPr>
                    <w:jc w:val="center"/>
                    <w:rPr>
                      <w:rFonts w:hint="default" w:ascii="Times New Roman" w:hAnsi="Times New Roman" w:cs="Times New Roman"/>
                      <w:szCs w:val="22"/>
                    </w:rPr>
                  </w:pPr>
                  <w:r>
                    <w:rPr>
                      <w:rFonts w:hint="default" w:ascii="Times New Roman" w:hAnsi="Times New Roman" w:cs="Times New Roman"/>
                      <w:szCs w:val="22"/>
                    </w:rPr>
                    <w:t>主要为施工机械产生的噪声</w:t>
                  </w:r>
                </w:p>
              </w:tc>
            </w:tr>
            <w:tr w14:paraId="44D44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c>
                <w:tcPr>
                  <w:tcW w:w="541" w:type="dxa"/>
                  <w:noWrap/>
                  <w:vAlign w:val="center"/>
                </w:tcPr>
                <w:p w14:paraId="7958FDDC">
                  <w:pPr>
                    <w:jc w:val="center"/>
                    <w:rPr>
                      <w:rFonts w:hint="default" w:ascii="Times New Roman" w:hAnsi="Times New Roman" w:cs="Times New Roman"/>
                      <w:szCs w:val="22"/>
                    </w:rPr>
                  </w:pPr>
                  <w:r>
                    <w:rPr>
                      <w:rFonts w:hint="default" w:ascii="Times New Roman" w:hAnsi="Times New Roman" w:cs="Times New Roman"/>
                      <w:szCs w:val="22"/>
                    </w:rPr>
                    <w:t>4</w:t>
                  </w:r>
                </w:p>
              </w:tc>
              <w:tc>
                <w:tcPr>
                  <w:tcW w:w="1597" w:type="dxa"/>
                  <w:noWrap/>
                  <w:vAlign w:val="center"/>
                </w:tcPr>
                <w:p w14:paraId="660FD1FD">
                  <w:pPr>
                    <w:jc w:val="center"/>
                    <w:rPr>
                      <w:rFonts w:hint="default" w:ascii="Times New Roman" w:hAnsi="Times New Roman" w:cs="Times New Roman"/>
                      <w:szCs w:val="22"/>
                    </w:rPr>
                  </w:pPr>
                  <w:r>
                    <w:rPr>
                      <w:rFonts w:hint="default" w:ascii="Times New Roman" w:hAnsi="Times New Roman" w:cs="Times New Roman"/>
                      <w:szCs w:val="22"/>
                    </w:rPr>
                    <w:t>施工固废</w:t>
                  </w:r>
                </w:p>
              </w:tc>
              <w:tc>
                <w:tcPr>
                  <w:tcW w:w="5479" w:type="dxa"/>
                  <w:noWrap/>
                  <w:vAlign w:val="center"/>
                </w:tcPr>
                <w:p w14:paraId="07F7B480">
                  <w:pPr>
                    <w:jc w:val="center"/>
                    <w:rPr>
                      <w:rFonts w:hint="default" w:ascii="Times New Roman" w:hAnsi="Times New Roman" w:cs="Times New Roman"/>
                      <w:szCs w:val="22"/>
                    </w:rPr>
                  </w:pPr>
                  <w:r>
                    <w:rPr>
                      <w:rFonts w:hint="default" w:ascii="Times New Roman" w:hAnsi="Times New Roman" w:cs="Times New Roman"/>
                      <w:szCs w:val="22"/>
                    </w:rPr>
                    <w:t>主要为施工人员生活垃圾及施工建筑垃圾等</w:t>
                  </w:r>
                </w:p>
              </w:tc>
            </w:tr>
            <w:tr w14:paraId="29F0A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c>
                <w:tcPr>
                  <w:tcW w:w="541" w:type="dxa"/>
                  <w:noWrap/>
                  <w:vAlign w:val="center"/>
                </w:tcPr>
                <w:p w14:paraId="1DCCC229">
                  <w:pPr>
                    <w:jc w:val="center"/>
                    <w:rPr>
                      <w:rFonts w:hint="default" w:ascii="Times New Roman" w:hAnsi="Times New Roman" w:cs="Times New Roman"/>
                      <w:szCs w:val="22"/>
                    </w:rPr>
                  </w:pPr>
                  <w:r>
                    <w:rPr>
                      <w:rFonts w:hint="default" w:ascii="Times New Roman" w:hAnsi="Times New Roman" w:cs="Times New Roman"/>
                      <w:szCs w:val="22"/>
                    </w:rPr>
                    <w:t>5</w:t>
                  </w:r>
                </w:p>
              </w:tc>
              <w:tc>
                <w:tcPr>
                  <w:tcW w:w="1597" w:type="dxa"/>
                  <w:noWrap/>
                  <w:vAlign w:val="center"/>
                </w:tcPr>
                <w:p w14:paraId="5341597D">
                  <w:pPr>
                    <w:jc w:val="center"/>
                    <w:rPr>
                      <w:rFonts w:hint="default" w:ascii="Times New Roman" w:hAnsi="Times New Roman" w:cs="Times New Roman"/>
                      <w:szCs w:val="22"/>
                    </w:rPr>
                  </w:pPr>
                  <w:r>
                    <w:rPr>
                      <w:rFonts w:hint="default" w:ascii="Times New Roman" w:hAnsi="Times New Roman" w:cs="Times New Roman"/>
                      <w:szCs w:val="22"/>
                    </w:rPr>
                    <w:t>生态环境</w:t>
                  </w:r>
                </w:p>
              </w:tc>
              <w:tc>
                <w:tcPr>
                  <w:tcW w:w="5479" w:type="dxa"/>
                  <w:noWrap/>
                  <w:vAlign w:val="center"/>
                </w:tcPr>
                <w:p w14:paraId="0D12EBE7">
                  <w:pPr>
                    <w:jc w:val="center"/>
                    <w:rPr>
                      <w:rFonts w:hint="default" w:ascii="Times New Roman" w:hAnsi="Times New Roman" w:cs="Times New Roman"/>
                      <w:szCs w:val="22"/>
                    </w:rPr>
                  </w:pPr>
                  <w:r>
                    <w:rPr>
                      <w:rFonts w:hint="default" w:ascii="Times New Roman" w:hAnsi="Times New Roman" w:cs="Times New Roman"/>
                      <w:szCs w:val="22"/>
                    </w:rPr>
                    <w:t>土地占用、植被破坏、基础开挖、临时堆土造成的水土流失</w:t>
                  </w:r>
                </w:p>
              </w:tc>
            </w:tr>
          </w:tbl>
          <w:p w14:paraId="106CD2B9">
            <w:pPr>
              <w:spacing w:line="480" w:lineRule="exact"/>
              <w:ind w:firstLine="522"/>
              <w:rPr>
                <w:rFonts w:hint="default" w:ascii="Times New Roman" w:hAnsi="Times New Roman" w:cs="Times New Roman"/>
                <w:sz w:val="24"/>
              </w:rPr>
            </w:pPr>
            <w:r>
              <w:rPr>
                <w:rFonts w:hint="default" w:ascii="Times New Roman" w:hAnsi="Times New Roman" w:cs="Times New Roman"/>
                <w:sz w:val="24"/>
              </w:rPr>
              <w:t>施工期具体的环境影响分析如下</w:t>
            </w:r>
          </w:p>
          <w:p w14:paraId="39DCB350">
            <w:pPr>
              <w:spacing w:line="480" w:lineRule="exact"/>
              <w:ind w:firstLine="522"/>
              <w:rPr>
                <w:rFonts w:hint="default" w:ascii="Times New Roman" w:hAnsi="Times New Roman" w:cs="Times New Roman"/>
                <w:sz w:val="24"/>
              </w:rPr>
            </w:pPr>
            <w:r>
              <w:rPr>
                <w:rFonts w:hint="default" w:ascii="Times New Roman" w:hAnsi="Times New Roman" w:cs="Times New Roman"/>
                <w:sz w:val="24"/>
              </w:rPr>
              <w:t>1、废气</w:t>
            </w:r>
          </w:p>
          <w:p w14:paraId="62D7CF10">
            <w:pPr>
              <w:spacing w:line="480" w:lineRule="exact"/>
              <w:ind w:firstLine="522"/>
              <w:rPr>
                <w:rFonts w:hint="default" w:ascii="Times New Roman" w:hAnsi="Times New Roman" w:cs="Times New Roman"/>
                <w:sz w:val="24"/>
              </w:rPr>
            </w:pPr>
            <w:r>
              <w:rPr>
                <w:rFonts w:hint="default" w:ascii="Times New Roman" w:hAnsi="Times New Roman" w:cs="Times New Roman"/>
                <w:sz w:val="24"/>
              </w:rPr>
              <w:t>施工期废气污染源主要是扬尘污染和施工机械尾气污染。</w:t>
            </w:r>
          </w:p>
          <w:p w14:paraId="0C2F9233">
            <w:pPr>
              <w:spacing w:line="480" w:lineRule="exact"/>
              <w:ind w:firstLine="522"/>
              <w:rPr>
                <w:rFonts w:hint="default" w:ascii="Times New Roman" w:hAnsi="Times New Roman" w:cs="Times New Roman"/>
                <w:sz w:val="24"/>
              </w:rPr>
            </w:pPr>
            <w:r>
              <w:rPr>
                <w:rFonts w:hint="default" w:ascii="Times New Roman" w:hAnsi="Times New Roman" w:cs="Times New Roman"/>
                <w:sz w:val="24"/>
              </w:rPr>
              <w:t>本工程对大气环境质量的影响主要发生在施工期，扬尘污染主要产生于基础开挖、场地平整、土石方堆放，车辆运输过</w:t>
            </w:r>
            <w:r>
              <w:rPr>
                <w:rFonts w:hint="default" w:ascii="Times New Roman" w:hAnsi="Times New Roman" w:cs="Times New Roman"/>
                <w:sz w:val="24"/>
                <w:lang w:eastAsia="zh-CN"/>
              </w:rPr>
              <w:t>程中</w:t>
            </w:r>
            <w:r>
              <w:rPr>
                <w:rFonts w:hint="default" w:ascii="Times New Roman" w:hAnsi="Times New Roman" w:cs="Times New Roman"/>
                <w:sz w:val="24"/>
              </w:rPr>
              <w:t>产生的道路扬尘以及施工建筑材料装卸过程中引起的扬尘，短期内将使局部区域空气</w:t>
            </w:r>
            <w:r>
              <w:rPr>
                <w:rFonts w:hint="default" w:ascii="Times New Roman" w:hAnsi="Times New Roman" w:cs="Times New Roman"/>
                <w:sz w:val="24"/>
                <w:lang w:eastAsia="zh-CN"/>
              </w:rPr>
              <w:t>中</w:t>
            </w:r>
            <w:r>
              <w:rPr>
                <w:rFonts w:hint="default" w:ascii="Times New Roman" w:hAnsi="Times New Roman" w:cs="Times New Roman"/>
                <w:sz w:val="24"/>
              </w:rPr>
              <w:t>的TSP增加；各种施工车辆排放废气，主要污染物为CO、HC和NOx等。</w:t>
            </w:r>
          </w:p>
          <w:p w14:paraId="18086BE5">
            <w:pPr>
              <w:spacing w:line="480" w:lineRule="exact"/>
              <w:ind w:firstLine="522"/>
              <w:rPr>
                <w:rFonts w:hint="default" w:ascii="Times New Roman" w:hAnsi="Times New Roman" w:cs="Times New Roman"/>
                <w:sz w:val="24"/>
              </w:rPr>
            </w:pPr>
            <w:r>
              <w:rPr>
                <w:rFonts w:hint="default" w:ascii="Times New Roman" w:hAnsi="Times New Roman" w:cs="Times New Roman"/>
                <w:sz w:val="24"/>
              </w:rPr>
              <w:t>2、废水</w:t>
            </w:r>
          </w:p>
          <w:p w14:paraId="162000F8">
            <w:pPr>
              <w:spacing w:line="480" w:lineRule="exact"/>
              <w:ind w:firstLine="522"/>
              <w:rPr>
                <w:rFonts w:hint="default" w:ascii="Times New Roman" w:hAnsi="Times New Roman" w:cs="Times New Roman"/>
                <w:sz w:val="24"/>
              </w:rPr>
            </w:pPr>
            <w:r>
              <w:rPr>
                <w:rFonts w:hint="default" w:ascii="Times New Roman" w:hAnsi="Times New Roman" w:cs="Times New Roman"/>
                <w:sz w:val="24"/>
              </w:rPr>
              <w:t>施工期废水主要为施工车辆冲洗废水和生活污水。其中，车辆冲洗废水经施工场地内沉淀池沉淀后循环使用，不外排；</w:t>
            </w:r>
            <w:r>
              <w:rPr>
                <w:rFonts w:hint="default" w:ascii="Times New Roman" w:hAnsi="Times New Roman" w:cs="Times New Roman"/>
                <w:sz w:val="24"/>
                <w:szCs w:val="21"/>
              </w:rPr>
              <w:t>生活污水排入防渗化粪池，定期由吸污车拉运至</w:t>
            </w:r>
            <w:r>
              <w:rPr>
                <w:rFonts w:hint="eastAsia" w:cs="Times New Roman"/>
                <w:sz w:val="24"/>
                <w:szCs w:val="21"/>
                <w:lang w:eastAsia="zh-CN"/>
              </w:rPr>
              <w:t>尉犁工业园区工业污水处理厂</w:t>
            </w:r>
            <w:r>
              <w:rPr>
                <w:rFonts w:hint="default" w:ascii="Times New Roman" w:hAnsi="Times New Roman" w:cs="Times New Roman"/>
                <w:sz w:val="24"/>
                <w:szCs w:val="21"/>
              </w:rPr>
              <w:t>处理。</w:t>
            </w:r>
          </w:p>
          <w:p w14:paraId="64D1D639">
            <w:pPr>
              <w:spacing w:line="480" w:lineRule="exact"/>
              <w:ind w:firstLine="522"/>
              <w:rPr>
                <w:rFonts w:hint="default" w:ascii="Times New Roman" w:hAnsi="Times New Roman" w:cs="Times New Roman"/>
                <w:sz w:val="24"/>
              </w:rPr>
            </w:pPr>
            <w:r>
              <w:rPr>
                <w:rFonts w:hint="default" w:ascii="Times New Roman" w:hAnsi="Times New Roman" w:cs="Times New Roman"/>
                <w:sz w:val="24"/>
              </w:rPr>
              <w:t>3、噪声污染</w:t>
            </w:r>
          </w:p>
          <w:p w14:paraId="61144862">
            <w:pPr>
              <w:spacing w:line="480" w:lineRule="exact"/>
              <w:ind w:firstLine="522"/>
              <w:rPr>
                <w:rFonts w:hint="default" w:ascii="Times New Roman" w:hAnsi="Times New Roman" w:cs="Times New Roman"/>
                <w:sz w:val="24"/>
              </w:rPr>
            </w:pPr>
            <w:r>
              <w:rPr>
                <w:rFonts w:hint="default" w:ascii="Times New Roman" w:hAnsi="Times New Roman" w:cs="Times New Roman"/>
                <w:sz w:val="24"/>
              </w:rPr>
              <w:t>施工期噪声主要来源于</w:t>
            </w:r>
            <w:r>
              <w:rPr>
                <w:rFonts w:hint="default" w:ascii="Times New Roman" w:hAnsi="Times New Roman" w:cs="Times New Roman"/>
                <w:sz w:val="24"/>
                <w:lang w:val="en-US" w:eastAsia="zh-CN"/>
              </w:rPr>
              <w:t>110kV变电站</w:t>
            </w:r>
            <w:r>
              <w:rPr>
                <w:rFonts w:hint="default" w:ascii="Times New Roman" w:hAnsi="Times New Roman" w:cs="Times New Roman"/>
                <w:sz w:val="24"/>
              </w:rPr>
              <w:t>基础的土方开挖和回填、打桩、基础承台的浇筑、机组设备的安装等，以及运输车辆产生的交通噪声，声值在75-90dB（A）。</w:t>
            </w:r>
          </w:p>
          <w:p w14:paraId="6229C538">
            <w:pPr>
              <w:spacing w:line="480" w:lineRule="exact"/>
              <w:ind w:firstLine="522"/>
              <w:rPr>
                <w:rFonts w:hint="default" w:ascii="Times New Roman" w:hAnsi="Times New Roman" w:cs="Times New Roman"/>
                <w:sz w:val="24"/>
              </w:rPr>
            </w:pPr>
            <w:r>
              <w:rPr>
                <w:rFonts w:hint="default" w:ascii="Times New Roman" w:hAnsi="Times New Roman" w:cs="Times New Roman"/>
                <w:sz w:val="24"/>
              </w:rPr>
              <w:t>4、固体废物</w:t>
            </w:r>
          </w:p>
          <w:p w14:paraId="777FEB94">
            <w:pPr>
              <w:spacing w:line="480" w:lineRule="exact"/>
              <w:ind w:firstLine="522"/>
              <w:rPr>
                <w:rFonts w:hint="default" w:ascii="Times New Roman" w:hAnsi="Times New Roman" w:cs="Times New Roman"/>
                <w:sz w:val="24"/>
              </w:rPr>
            </w:pPr>
            <w:r>
              <w:rPr>
                <w:rFonts w:hint="default" w:ascii="Times New Roman" w:hAnsi="Times New Roman" w:cs="Times New Roman"/>
                <w:sz w:val="24"/>
              </w:rPr>
              <w:t>工程施工期间产生的固体废弃物主要来自施工人员生活垃圾及施工场所产生的建筑垃圾（主要指场地平整、开挖、管道敷设、材料运输、基础工程和房屋建筑等工程施工期间产生的少量废弃的建筑材料，如木材、包装材料等）。</w:t>
            </w:r>
          </w:p>
          <w:p w14:paraId="017D7EBC">
            <w:pPr>
              <w:spacing w:line="480" w:lineRule="exact"/>
              <w:ind w:firstLine="522"/>
              <w:rPr>
                <w:rFonts w:hint="default" w:ascii="Times New Roman" w:hAnsi="Times New Roman" w:cs="Times New Roman"/>
                <w:sz w:val="24"/>
                <w:szCs w:val="21"/>
              </w:rPr>
            </w:pPr>
            <w:r>
              <w:rPr>
                <w:rFonts w:hint="default" w:ascii="Times New Roman" w:hAnsi="Times New Roman" w:cs="Times New Roman"/>
                <w:sz w:val="24"/>
              </w:rPr>
              <w:t>项目施工期约365天，施工人数约150人，按每人每天产生生活垃圾0.5kg计算，则施工期生活垃圾最大产生量约27.375t。建筑垃圾约5t。其中，建筑垃圾收集后送至</w:t>
            </w:r>
            <w:r>
              <w:rPr>
                <w:rFonts w:hint="default" w:ascii="Times New Roman" w:hAnsi="Times New Roman" w:cs="Times New Roman"/>
                <w:sz w:val="24"/>
                <w:lang w:val="en-US" w:eastAsia="zh-CN"/>
              </w:rPr>
              <w:t>和硕（园区）固废处置中心处置</w:t>
            </w:r>
            <w:r>
              <w:rPr>
                <w:rFonts w:hint="default" w:ascii="Times New Roman" w:hAnsi="Times New Roman" w:cs="Times New Roman"/>
                <w:sz w:val="24"/>
                <w:szCs w:val="21"/>
              </w:rPr>
              <w:t>；废弃混凝土块优先综合利用，无法利用的运至</w:t>
            </w:r>
            <w:r>
              <w:rPr>
                <w:rFonts w:hint="default" w:ascii="Times New Roman" w:hAnsi="Times New Roman" w:cs="Times New Roman"/>
                <w:sz w:val="24"/>
                <w:szCs w:val="21"/>
                <w:lang w:val="en-US" w:eastAsia="zh-CN"/>
              </w:rPr>
              <w:t>和硕（园区）固废处置中心处置</w:t>
            </w:r>
            <w:r>
              <w:rPr>
                <w:rFonts w:hint="default" w:ascii="Times New Roman" w:hAnsi="Times New Roman" w:cs="Times New Roman"/>
                <w:sz w:val="24"/>
                <w:szCs w:val="21"/>
              </w:rPr>
              <w:t>。生活垃圾</w:t>
            </w:r>
            <w:r>
              <w:rPr>
                <w:rFonts w:hint="default" w:ascii="Times New Roman" w:hAnsi="Times New Roman" w:cs="Times New Roman"/>
                <w:sz w:val="24"/>
                <w:szCs w:val="21"/>
                <w:lang w:val="en-US" w:eastAsia="zh-CN"/>
              </w:rPr>
              <w:t>由环卫部门统一清运至垃圾填埋场卫生处置</w:t>
            </w:r>
            <w:r>
              <w:rPr>
                <w:rFonts w:hint="default" w:ascii="Times New Roman" w:hAnsi="Times New Roman" w:cs="Times New Roman"/>
                <w:sz w:val="24"/>
                <w:szCs w:val="21"/>
              </w:rPr>
              <w:t>。</w:t>
            </w:r>
          </w:p>
          <w:p w14:paraId="4673B06A">
            <w:pPr>
              <w:spacing w:line="480" w:lineRule="exact"/>
              <w:ind w:firstLine="522"/>
              <w:rPr>
                <w:rFonts w:hint="default" w:ascii="Times New Roman" w:hAnsi="Times New Roman" w:cs="Times New Roman"/>
                <w:sz w:val="24"/>
              </w:rPr>
            </w:pPr>
            <w:r>
              <w:rPr>
                <w:rFonts w:hint="default" w:ascii="Times New Roman" w:hAnsi="Times New Roman" w:cs="Times New Roman"/>
                <w:sz w:val="24"/>
              </w:rPr>
              <w:t>5、生态</w:t>
            </w:r>
          </w:p>
          <w:p w14:paraId="5F439C3D">
            <w:pPr>
              <w:spacing w:line="480" w:lineRule="exact"/>
              <w:ind w:firstLine="522"/>
              <w:rPr>
                <w:rFonts w:hint="default" w:ascii="Times New Roman" w:hAnsi="Times New Roman" w:cs="Times New Roman"/>
                <w:sz w:val="24"/>
              </w:rPr>
            </w:pPr>
            <w:r>
              <w:rPr>
                <w:rFonts w:hint="default" w:ascii="Times New Roman" w:hAnsi="Times New Roman" w:cs="Times New Roman"/>
                <w:sz w:val="24"/>
              </w:rPr>
              <w:t>项目建设对区域生态环境的影响主要表现在永久占地及施工对地表的扰动影响、对地表植被的破坏以及取弃土可能造成的水土流失、对野生动物的影响等。</w:t>
            </w:r>
          </w:p>
          <w:p w14:paraId="3FCDAB46">
            <w:pPr>
              <w:pStyle w:val="17"/>
              <w:numPr>
                <w:ilvl w:val="0"/>
                <w:numId w:val="8"/>
              </w:numPr>
              <w:snapToGrid/>
              <w:spacing w:before="0" w:after="0" w:line="480" w:lineRule="exact"/>
              <w:ind w:right="0"/>
              <w:rPr>
                <w:rFonts w:hint="default" w:ascii="Times New Roman" w:hAnsi="Times New Roman" w:eastAsia="黑体" w:cs="Times New Roman"/>
                <w:sz w:val="25"/>
              </w:rPr>
            </w:pPr>
            <w:r>
              <w:rPr>
                <w:rFonts w:hint="default" w:ascii="Times New Roman" w:hAnsi="Times New Roman" w:eastAsia="黑体" w:cs="Times New Roman"/>
                <w:sz w:val="25"/>
              </w:rPr>
              <w:t>环境影响分析</w:t>
            </w:r>
          </w:p>
          <w:p w14:paraId="50307179">
            <w:pPr>
              <w:pStyle w:val="18"/>
              <w:keepNext w:val="0"/>
              <w:keepLines w:val="0"/>
              <w:pageBreakBefore w:val="0"/>
              <w:widowControl/>
              <w:numPr>
                <w:ilvl w:val="0"/>
                <w:numId w:val="0"/>
              </w:numPr>
              <w:kinsoku/>
              <w:wordWrap/>
              <w:overflowPunct/>
              <w:topLinePunct w:val="0"/>
              <w:autoSpaceDE/>
              <w:autoSpaceDN/>
              <w:bidi w:val="0"/>
              <w:adjustRightInd/>
              <w:snapToGrid/>
              <w:spacing w:before="0" w:after="0" w:line="480" w:lineRule="exact"/>
              <w:ind w:left="0" w:leftChars="0" w:right="0" w:rightChars="0" w:firstLine="424" w:firstLineChars="200"/>
              <w:textAlignment w:val="auto"/>
              <w:rPr>
                <w:rFonts w:hint="default" w:ascii="Times New Roman" w:hAnsi="Times New Roman" w:eastAsia="黑体" w:cs="Times New Roman"/>
                <w:sz w:val="24"/>
              </w:rPr>
            </w:pPr>
            <w:r>
              <w:rPr>
                <w:rFonts w:hint="default" w:ascii="Times New Roman" w:hAnsi="Times New Roman" w:eastAsia="黑体" w:cs="Times New Roman"/>
                <w:sz w:val="24"/>
                <w:lang w:val="en-US" w:eastAsia="zh-CN"/>
              </w:rPr>
              <w:t>2..1</w:t>
            </w:r>
            <w:r>
              <w:rPr>
                <w:rFonts w:hint="default" w:ascii="Times New Roman" w:hAnsi="Times New Roman" w:eastAsia="黑体" w:cs="Times New Roman"/>
                <w:sz w:val="24"/>
              </w:rPr>
              <w:t>大气环境影响分析</w:t>
            </w:r>
          </w:p>
          <w:p w14:paraId="6D7E0F03">
            <w:pPr>
              <w:spacing w:line="480" w:lineRule="exact"/>
              <w:ind w:firstLine="522"/>
              <w:rPr>
                <w:rFonts w:hint="default" w:ascii="Times New Roman" w:hAnsi="Times New Roman" w:cs="Times New Roman"/>
                <w:sz w:val="24"/>
              </w:rPr>
            </w:pPr>
            <w:r>
              <w:rPr>
                <w:rFonts w:hint="default" w:ascii="Times New Roman" w:hAnsi="Times New Roman" w:cs="Times New Roman"/>
                <w:sz w:val="24"/>
              </w:rPr>
              <w:t>（1）施工扬尘影响分析</w:t>
            </w:r>
          </w:p>
          <w:p w14:paraId="1812E10D">
            <w:pPr>
              <w:spacing w:line="480" w:lineRule="exact"/>
              <w:ind w:firstLine="522"/>
              <w:rPr>
                <w:rFonts w:hint="default" w:ascii="Times New Roman" w:hAnsi="Times New Roman" w:cs="Times New Roman"/>
                <w:sz w:val="24"/>
              </w:rPr>
            </w:pPr>
            <w:r>
              <w:rPr>
                <w:rFonts w:hint="default" w:ascii="Times New Roman" w:hAnsi="Times New Roman" w:cs="Times New Roman"/>
                <w:sz w:val="24"/>
              </w:rPr>
              <w:t>施工扬尘主要来源于地面平整过</w:t>
            </w:r>
            <w:r>
              <w:rPr>
                <w:rFonts w:hint="default" w:ascii="Times New Roman" w:hAnsi="Times New Roman" w:cs="Times New Roman"/>
                <w:sz w:val="24"/>
                <w:lang w:eastAsia="zh-CN"/>
              </w:rPr>
              <w:t>程中</w:t>
            </w:r>
            <w:r>
              <w:rPr>
                <w:rFonts w:hint="default" w:ascii="Times New Roman" w:hAnsi="Times New Roman" w:cs="Times New Roman"/>
                <w:sz w:val="24"/>
              </w:rPr>
              <w:t>产生的扬尘、土方材料等的临时堆存以及车辆运输等过程。施工扬尘的主要污染因子为总悬浮颗粒物。</w:t>
            </w:r>
          </w:p>
          <w:p w14:paraId="2750660C">
            <w:pPr>
              <w:spacing w:line="480" w:lineRule="exact"/>
              <w:ind w:firstLine="522"/>
              <w:rPr>
                <w:rFonts w:hint="default" w:ascii="Times New Roman" w:hAnsi="Times New Roman" w:cs="Times New Roman"/>
                <w:sz w:val="24"/>
              </w:rPr>
            </w:pPr>
            <w:r>
              <w:rPr>
                <w:rFonts w:hint="default" w:ascii="Times New Roman" w:hAnsi="Times New Roman" w:cs="Times New Roman"/>
                <w:sz w:val="24"/>
              </w:rPr>
              <w:t>拟建</w:t>
            </w:r>
            <w:r>
              <w:rPr>
                <w:rFonts w:hint="default" w:ascii="Times New Roman" w:hAnsi="Times New Roman" w:cs="Times New Roman"/>
                <w:sz w:val="24"/>
                <w:lang w:val="en-US" w:eastAsia="zh-CN"/>
              </w:rPr>
              <w:t>110kV变电站</w:t>
            </w:r>
            <w:r>
              <w:rPr>
                <w:rFonts w:hint="default" w:ascii="Times New Roman" w:hAnsi="Times New Roman" w:cs="Times New Roman"/>
                <w:sz w:val="24"/>
              </w:rPr>
              <w:t>施工期间对环境空气的影响主要是施工场地的扬尘对环境的影响，扬尘主要来源于土方的挖填、散放的建筑材料、临时堆放的组件以及施工区运输。装卸扬尘和过往车辆引起路面积尘扬尘，会对周围环境造成一定的影响，但通过洒水可以有效地抑制扬尘，使扬尘量减少70％。此外，对粉状物料采取遮盖防风措施也能有效减少扬尘污染。</w:t>
            </w:r>
          </w:p>
          <w:p w14:paraId="5267A849">
            <w:pPr>
              <w:spacing w:line="480" w:lineRule="exact"/>
              <w:ind w:firstLine="522"/>
              <w:rPr>
                <w:rFonts w:hint="default" w:ascii="Times New Roman" w:hAnsi="Times New Roman" w:cs="Times New Roman"/>
                <w:sz w:val="24"/>
              </w:rPr>
            </w:pPr>
            <w:r>
              <w:rPr>
                <w:rFonts w:hint="default" w:ascii="Times New Roman" w:hAnsi="Times New Roman" w:cs="Times New Roman"/>
                <w:sz w:val="24"/>
              </w:rPr>
              <w:t>通过类比调查表明，在一般地段，无任何防尘措施的情况下，施工现场对周围环境的污染约在150米范围内，TSP最大污染浓度是对照点的6.39倍。而在有防尘措施（围金属板）的情况下，污染范围为50米以内区域，最高污染浓度是对照点的4.04倍，最大污染浓度较无防尘措施降低了0.479毫克/立方米。类比数据参见表</w:t>
            </w:r>
            <w:r>
              <w:rPr>
                <w:rFonts w:hint="default" w:ascii="Times New Roman" w:hAnsi="Times New Roman" w:cs="Times New Roman"/>
                <w:sz w:val="24"/>
                <w:lang w:val="en-US" w:eastAsia="zh-CN"/>
              </w:rPr>
              <w:t>4-2</w:t>
            </w:r>
            <w:r>
              <w:rPr>
                <w:rFonts w:hint="default" w:ascii="Times New Roman" w:hAnsi="Times New Roman" w:cs="Times New Roman"/>
                <w:sz w:val="24"/>
              </w:rPr>
              <w:t>。</w:t>
            </w:r>
          </w:p>
          <w:p w14:paraId="6DAFCEC2">
            <w:pPr>
              <w:pStyle w:val="67"/>
              <w:numPr>
                <w:ilvl w:val="0"/>
                <w:numId w:val="0"/>
              </w:numPr>
              <w:spacing w:line="480" w:lineRule="exact"/>
              <w:ind w:left="420" w:leftChars="0"/>
              <w:jc w:val="center"/>
              <w:rPr>
                <w:rFonts w:hint="default" w:ascii="Times New Roman" w:hAnsi="Times New Roman" w:eastAsia="黑体" w:cs="Times New Roman"/>
              </w:rPr>
            </w:pPr>
            <w:r>
              <w:rPr>
                <w:rFonts w:hint="default" w:ascii="Times New Roman" w:hAnsi="Times New Roman" w:eastAsia="黑体" w:cs="Times New Roman"/>
                <w:lang w:val="en-US" w:eastAsia="zh-CN"/>
              </w:rPr>
              <w:t xml:space="preserve">表4-2 </w:t>
            </w:r>
            <w:r>
              <w:rPr>
                <w:rFonts w:hint="default" w:ascii="Times New Roman" w:hAnsi="Times New Roman" w:eastAsia="黑体" w:cs="Times New Roman"/>
              </w:rPr>
              <w:t>施工场界下风向总悬浮颗粒物浓度实测值</w:t>
            </w:r>
            <w:r>
              <w:rPr>
                <w:rFonts w:hint="default" w:ascii="Times New Roman" w:hAnsi="Times New Roman" w:eastAsia="黑体" w:cs="Times New Roman"/>
                <w:lang w:val="en-US" w:eastAsia="zh-CN"/>
              </w:rPr>
              <w:t xml:space="preserve"> </w:t>
            </w:r>
            <w:r>
              <w:rPr>
                <w:rFonts w:hint="default" w:ascii="Times New Roman" w:hAnsi="Times New Roman" w:eastAsia="黑体" w:cs="Times New Roman"/>
              </w:rPr>
              <w:t>单位：mg/m</w:t>
            </w:r>
            <w:r>
              <w:rPr>
                <w:rFonts w:hint="default" w:ascii="Times New Roman" w:hAnsi="Times New Roman" w:eastAsia="黑体" w:cs="Times New Roman"/>
                <w:vertAlign w:val="superscript"/>
              </w:rPr>
              <w:t>3</w:t>
            </w:r>
          </w:p>
          <w:tbl>
            <w:tblPr>
              <w:tblStyle w:val="4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0" w:type="dxa"/>
                <w:bottom w:w="57" w:type="dxa"/>
                <w:right w:w="0" w:type="dxa"/>
              </w:tblCellMar>
            </w:tblPr>
            <w:tblGrid>
              <w:gridCol w:w="1106"/>
              <w:gridCol w:w="921"/>
              <w:gridCol w:w="840"/>
              <w:gridCol w:w="843"/>
              <w:gridCol w:w="851"/>
              <w:gridCol w:w="901"/>
              <w:gridCol w:w="801"/>
              <w:gridCol w:w="1502"/>
            </w:tblGrid>
            <w:tr w14:paraId="51915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rPr>
                <w:jc w:val="center"/>
              </w:trPr>
              <w:tc>
                <w:tcPr>
                  <w:tcW w:w="1431" w:type="dxa"/>
                  <w:vMerge w:val="restart"/>
                  <w:vAlign w:val="center"/>
                </w:tcPr>
                <w:p w14:paraId="0C9BEB4E">
                  <w:pPr>
                    <w:jc w:val="center"/>
                    <w:rPr>
                      <w:rFonts w:hint="default" w:ascii="Times New Roman" w:hAnsi="Times New Roman" w:cs="Times New Roman"/>
                      <w:bCs/>
                      <w:szCs w:val="18"/>
                    </w:rPr>
                  </w:pPr>
                  <w:r>
                    <w:rPr>
                      <w:rFonts w:hint="default" w:ascii="Times New Roman" w:hAnsi="Times New Roman" w:cs="Times New Roman"/>
                      <w:bCs/>
                      <w:szCs w:val="18"/>
                    </w:rPr>
                    <w:t>防尘措施</w:t>
                  </w:r>
                </w:p>
              </w:tc>
              <w:tc>
                <w:tcPr>
                  <w:tcW w:w="5982" w:type="dxa"/>
                  <w:gridSpan w:val="6"/>
                  <w:vAlign w:val="center"/>
                </w:tcPr>
                <w:p w14:paraId="549EC881">
                  <w:pPr>
                    <w:jc w:val="center"/>
                    <w:rPr>
                      <w:rFonts w:hint="default" w:ascii="Times New Roman" w:hAnsi="Times New Roman" w:cs="Times New Roman"/>
                      <w:bCs/>
                      <w:szCs w:val="18"/>
                    </w:rPr>
                  </w:pPr>
                  <w:r>
                    <w:rPr>
                      <w:rFonts w:hint="default" w:ascii="Times New Roman" w:hAnsi="Times New Roman" w:cs="Times New Roman"/>
                      <w:bCs/>
                      <w:szCs w:val="18"/>
                    </w:rPr>
                    <w:t>工地下风向距离（米）</w:t>
                  </w:r>
                </w:p>
              </w:tc>
              <w:tc>
                <w:tcPr>
                  <w:tcW w:w="1875" w:type="dxa"/>
                  <w:vMerge w:val="restart"/>
                  <w:vAlign w:val="center"/>
                </w:tcPr>
                <w:p w14:paraId="6A7EED67">
                  <w:pPr>
                    <w:jc w:val="center"/>
                    <w:rPr>
                      <w:rFonts w:hint="default" w:ascii="Times New Roman" w:hAnsi="Times New Roman" w:cs="Times New Roman"/>
                      <w:bCs/>
                      <w:szCs w:val="18"/>
                    </w:rPr>
                  </w:pPr>
                  <w:r>
                    <w:rPr>
                      <w:rFonts w:hint="default" w:ascii="Times New Roman" w:hAnsi="Times New Roman" w:cs="Times New Roman"/>
                      <w:bCs/>
                      <w:szCs w:val="18"/>
                    </w:rPr>
                    <w:t>工地上风向</w:t>
                  </w:r>
                </w:p>
                <w:p w14:paraId="226681E1">
                  <w:pPr>
                    <w:jc w:val="center"/>
                    <w:rPr>
                      <w:rFonts w:hint="default" w:ascii="Times New Roman" w:hAnsi="Times New Roman" w:cs="Times New Roman"/>
                      <w:bCs/>
                      <w:szCs w:val="18"/>
                    </w:rPr>
                  </w:pPr>
                  <w:r>
                    <w:rPr>
                      <w:rFonts w:hint="default" w:ascii="Times New Roman" w:hAnsi="Times New Roman" w:cs="Times New Roman"/>
                      <w:bCs/>
                      <w:szCs w:val="18"/>
                    </w:rPr>
                    <w:t>（对照点）</w:t>
                  </w:r>
                </w:p>
              </w:tc>
            </w:tr>
            <w:tr w14:paraId="453E1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rPr>
                <w:jc w:val="center"/>
              </w:trPr>
              <w:tc>
                <w:tcPr>
                  <w:tcW w:w="1431" w:type="dxa"/>
                  <w:vMerge w:val="continue"/>
                  <w:vAlign w:val="center"/>
                </w:tcPr>
                <w:p w14:paraId="5012FA8E">
                  <w:pPr>
                    <w:jc w:val="center"/>
                    <w:rPr>
                      <w:rFonts w:hint="default" w:ascii="Times New Roman" w:hAnsi="Times New Roman" w:cs="Times New Roman"/>
                      <w:szCs w:val="18"/>
                    </w:rPr>
                  </w:pPr>
                </w:p>
              </w:tc>
              <w:tc>
                <w:tcPr>
                  <w:tcW w:w="1081" w:type="dxa"/>
                  <w:vAlign w:val="center"/>
                </w:tcPr>
                <w:p w14:paraId="0322EC76">
                  <w:pPr>
                    <w:jc w:val="center"/>
                    <w:rPr>
                      <w:rFonts w:hint="default" w:ascii="Times New Roman" w:hAnsi="Times New Roman" w:cs="Times New Roman"/>
                      <w:szCs w:val="18"/>
                    </w:rPr>
                  </w:pPr>
                  <w:r>
                    <w:rPr>
                      <w:rFonts w:hint="default" w:ascii="Times New Roman" w:hAnsi="Times New Roman" w:cs="Times New Roman"/>
                      <w:szCs w:val="18"/>
                    </w:rPr>
                    <w:t>20</w:t>
                  </w:r>
                </w:p>
              </w:tc>
              <w:tc>
                <w:tcPr>
                  <w:tcW w:w="970" w:type="dxa"/>
                  <w:vAlign w:val="center"/>
                </w:tcPr>
                <w:p w14:paraId="6DD61A4B">
                  <w:pPr>
                    <w:jc w:val="center"/>
                    <w:rPr>
                      <w:rFonts w:hint="default" w:ascii="Times New Roman" w:hAnsi="Times New Roman" w:cs="Times New Roman"/>
                      <w:szCs w:val="18"/>
                    </w:rPr>
                  </w:pPr>
                  <w:r>
                    <w:rPr>
                      <w:rFonts w:hint="default" w:ascii="Times New Roman" w:hAnsi="Times New Roman" w:cs="Times New Roman"/>
                      <w:szCs w:val="18"/>
                    </w:rPr>
                    <w:t>50</w:t>
                  </w:r>
                </w:p>
              </w:tc>
              <w:tc>
                <w:tcPr>
                  <w:tcW w:w="974" w:type="dxa"/>
                  <w:vAlign w:val="center"/>
                </w:tcPr>
                <w:p w14:paraId="49BBAEA0">
                  <w:pPr>
                    <w:jc w:val="center"/>
                    <w:rPr>
                      <w:rFonts w:hint="default" w:ascii="Times New Roman" w:hAnsi="Times New Roman" w:cs="Times New Roman"/>
                      <w:szCs w:val="18"/>
                    </w:rPr>
                  </w:pPr>
                  <w:r>
                    <w:rPr>
                      <w:rFonts w:hint="default" w:ascii="Times New Roman" w:hAnsi="Times New Roman" w:cs="Times New Roman"/>
                      <w:szCs w:val="18"/>
                    </w:rPr>
                    <w:t>100</w:t>
                  </w:r>
                </w:p>
              </w:tc>
              <w:tc>
                <w:tcPr>
                  <w:tcW w:w="986" w:type="dxa"/>
                  <w:vAlign w:val="center"/>
                </w:tcPr>
                <w:p w14:paraId="402718F3">
                  <w:pPr>
                    <w:jc w:val="center"/>
                    <w:rPr>
                      <w:rFonts w:hint="default" w:ascii="Times New Roman" w:hAnsi="Times New Roman" w:cs="Times New Roman"/>
                      <w:szCs w:val="18"/>
                    </w:rPr>
                  </w:pPr>
                  <w:r>
                    <w:rPr>
                      <w:rFonts w:hint="default" w:ascii="Times New Roman" w:hAnsi="Times New Roman" w:cs="Times New Roman"/>
                      <w:szCs w:val="18"/>
                    </w:rPr>
                    <w:t>150</w:t>
                  </w:r>
                </w:p>
              </w:tc>
              <w:tc>
                <w:tcPr>
                  <w:tcW w:w="1054" w:type="dxa"/>
                  <w:vAlign w:val="center"/>
                </w:tcPr>
                <w:p w14:paraId="36F5008A">
                  <w:pPr>
                    <w:jc w:val="center"/>
                    <w:rPr>
                      <w:rFonts w:hint="default" w:ascii="Times New Roman" w:hAnsi="Times New Roman" w:cs="Times New Roman"/>
                      <w:szCs w:val="18"/>
                    </w:rPr>
                  </w:pPr>
                  <w:r>
                    <w:rPr>
                      <w:rFonts w:hint="default" w:ascii="Times New Roman" w:hAnsi="Times New Roman" w:cs="Times New Roman"/>
                      <w:szCs w:val="18"/>
                    </w:rPr>
                    <w:t>200</w:t>
                  </w:r>
                </w:p>
              </w:tc>
              <w:tc>
                <w:tcPr>
                  <w:tcW w:w="917" w:type="dxa"/>
                  <w:vAlign w:val="center"/>
                </w:tcPr>
                <w:p w14:paraId="702274F0">
                  <w:pPr>
                    <w:jc w:val="center"/>
                    <w:rPr>
                      <w:rFonts w:hint="default" w:ascii="Times New Roman" w:hAnsi="Times New Roman" w:cs="Times New Roman"/>
                      <w:szCs w:val="18"/>
                    </w:rPr>
                  </w:pPr>
                  <w:r>
                    <w:rPr>
                      <w:rFonts w:hint="default" w:ascii="Times New Roman" w:hAnsi="Times New Roman" w:cs="Times New Roman"/>
                      <w:szCs w:val="18"/>
                    </w:rPr>
                    <w:t>250</w:t>
                  </w:r>
                </w:p>
              </w:tc>
              <w:tc>
                <w:tcPr>
                  <w:tcW w:w="1875" w:type="dxa"/>
                  <w:vMerge w:val="continue"/>
                  <w:vAlign w:val="center"/>
                </w:tcPr>
                <w:p w14:paraId="74ED0DFA">
                  <w:pPr>
                    <w:jc w:val="center"/>
                    <w:rPr>
                      <w:rFonts w:hint="default" w:ascii="Times New Roman" w:hAnsi="Times New Roman" w:cs="Times New Roman"/>
                      <w:szCs w:val="18"/>
                    </w:rPr>
                  </w:pPr>
                </w:p>
              </w:tc>
            </w:tr>
            <w:tr w14:paraId="47E29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rPr>
                <w:jc w:val="center"/>
              </w:trPr>
              <w:tc>
                <w:tcPr>
                  <w:tcW w:w="1431" w:type="dxa"/>
                  <w:vAlign w:val="center"/>
                </w:tcPr>
                <w:p w14:paraId="7997D808">
                  <w:pPr>
                    <w:jc w:val="center"/>
                    <w:rPr>
                      <w:rFonts w:hint="default" w:ascii="Times New Roman" w:hAnsi="Times New Roman" w:cs="Times New Roman"/>
                      <w:szCs w:val="18"/>
                    </w:rPr>
                  </w:pPr>
                  <w:r>
                    <w:rPr>
                      <w:rFonts w:hint="default" w:ascii="Times New Roman" w:hAnsi="Times New Roman" w:cs="Times New Roman"/>
                      <w:szCs w:val="18"/>
                    </w:rPr>
                    <w:t>无</w:t>
                  </w:r>
                </w:p>
              </w:tc>
              <w:tc>
                <w:tcPr>
                  <w:tcW w:w="1081" w:type="dxa"/>
                  <w:vAlign w:val="center"/>
                </w:tcPr>
                <w:p w14:paraId="5147B021">
                  <w:pPr>
                    <w:jc w:val="center"/>
                    <w:rPr>
                      <w:rFonts w:hint="default" w:ascii="Times New Roman" w:hAnsi="Times New Roman" w:cs="Times New Roman"/>
                      <w:szCs w:val="18"/>
                    </w:rPr>
                  </w:pPr>
                  <w:r>
                    <w:rPr>
                      <w:rFonts w:hint="default" w:ascii="Times New Roman" w:hAnsi="Times New Roman" w:cs="Times New Roman"/>
                      <w:szCs w:val="18"/>
                    </w:rPr>
                    <w:t>1.303</w:t>
                  </w:r>
                </w:p>
              </w:tc>
              <w:tc>
                <w:tcPr>
                  <w:tcW w:w="970" w:type="dxa"/>
                  <w:vAlign w:val="center"/>
                </w:tcPr>
                <w:p w14:paraId="463CBA54">
                  <w:pPr>
                    <w:jc w:val="center"/>
                    <w:rPr>
                      <w:rFonts w:hint="default" w:ascii="Times New Roman" w:hAnsi="Times New Roman" w:cs="Times New Roman"/>
                      <w:szCs w:val="18"/>
                    </w:rPr>
                  </w:pPr>
                  <w:r>
                    <w:rPr>
                      <w:rFonts w:hint="default" w:ascii="Times New Roman" w:hAnsi="Times New Roman" w:cs="Times New Roman"/>
                      <w:szCs w:val="18"/>
                    </w:rPr>
                    <w:t>0.722</w:t>
                  </w:r>
                </w:p>
              </w:tc>
              <w:tc>
                <w:tcPr>
                  <w:tcW w:w="974" w:type="dxa"/>
                  <w:vAlign w:val="center"/>
                </w:tcPr>
                <w:p w14:paraId="22C50847">
                  <w:pPr>
                    <w:jc w:val="center"/>
                    <w:rPr>
                      <w:rFonts w:hint="default" w:ascii="Times New Roman" w:hAnsi="Times New Roman" w:cs="Times New Roman"/>
                      <w:szCs w:val="18"/>
                    </w:rPr>
                  </w:pPr>
                  <w:r>
                    <w:rPr>
                      <w:rFonts w:hint="default" w:ascii="Times New Roman" w:hAnsi="Times New Roman" w:cs="Times New Roman"/>
                      <w:szCs w:val="18"/>
                    </w:rPr>
                    <w:t>0.402</w:t>
                  </w:r>
                </w:p>
              </w:tc>
              <w:tc>
                <w:tcPr>
                  <w:tcW w:w="986" w:type="dxa"/>
                  <w:vAlign w:val="center"/>
                </w:tcPr>
                <w:p w14:paraId="7BDB4483">
                  <w:pPr>
                    <w:jc w:val="center"/>
                    <w:rPr>
                      <w:rFonts w:hint="default" w:ascii="Times New Roman" w:hAnsi="Times New Roman" w:cs="Times New Roman"/>
                      <w:szCs w:val="18"/>
                    </w:rPr>
                  </w:pPr>
                  <w:r>
                    <w:rPr>
                      <w:rFonts w:hint="default" w:ascii="Times New Roman" w:hAnsi="Times New Roman" w:cs="Times New Roman"/>
                      <w:szCs w:val="18"/>
                    </w:rPr>
                    <w:t>0.311</w:t>
                  </w:r>
                </w:p>
              </w:tc>
              <w:tc>
                <w:tcPr>
                  <w:tcW w:w="1054" w:type="dxa"/>
                  <w:vAlign w:val="center"/>
                </w:tcPr>
                <w:p w14:paraId="25E042B0">
                  <w:pPr>
                    <w:jc w:val="center"/>
                    <w:rPr>
                      <w:rFonts w:hint="default" w:ascii="Times New Roman" w:hAnsi="Times New Roman" w:cs="Times New Roman"/>
                      <w:szCs w:val="18"/>
                    </w:rPr>
                  </w:pPr>
                  <w:r>
                    <w:rPr>
                      <w:rFonts w:hint="default" w:ascii="Times New Roman" w:hAnsi="Times New Roman" w:cs="Times New Roman"/>
                      <w:szCs w:val="18"/>
                    </w:rPr>
                    <w:t>0.270</w:t>
                  </w:r>
                </w:p>
              </w:tc>
              <w:tc>
                <w:tcPr>
                  <w:tcW w:w="917" w:type="dxa"/>
                  <w:vAlign w:val="center"/>
                </w:tcPr>
                <w:p w14:paraId="276B1F66">
                  <w:pPr>
                    <w:jc w:val="center"/>
                    <w:rPr>
                      <w:rFonts w:hint="default" w:ascii="Times New Roman" w:hAnsi="Times New Roman" w:cs="Times New Roman"/>
                      <w:szCs w:val="18"/>
                    </w:rPr>
                  </w:pPr>
                  <w:r>
                    <w:rPr>
                      <w:rFonts w:hint="default" w:ascii="Times New Roman" w:hAnsi="Times New Roman" w:cs="Times New Roman"/>
                      <w:szCs w:val="18"/>
                    </w:rPr>
                    <w:t>0.210</w:t>
                  </w:r>
                </w:p>
              </w:tc>
              <w:tc>
                <w:tcPr>
                  <w:tcW w:w="1875" w:type="dxa"/>
                  <w:vMerge w:val="restart"/>
                  <w:vAlign w:val="center"/>
                </w:tcPr>
                <w:p w14:paraId="53A04E24">
                  <w:pPr>
                    <w:jc w:val="center"/>
                    <w:rPr>
                      <w:rFonts w:hint="default" w:ascii="Times New Roman" w:hAnsi="Times New Roman" w:cs="Times New Roman"/>
                      <w:szCs w:val="18"/>
                    </w:rPr>
                  </w:pPr>
                  <w:r>
                    <w:rPr>
                      <w:rFonts w:hint="default" w:ascii="Times New Roman" w:hAnsi="Times New Roman" w:cs="Times New Roman"/>
                      <w:szCs w:val="18"/>
                    </w:rPr>
                    <w:t>0.204</w:t>
                  </w:r>
                </w:p>
              </w:tc>
            </w:tr>
            <w:tr w14:paraId="12883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rPr>
                <w:jc w:val="center"/>
              </w:trPr>
              <w:tc>
                <w:tcPr>
                  <w:tcW w:w="1431" w:type="dxa"/>
                  <w:vAlign w:val="center"/>
                </w:tcPr>
                <w:p w14:paraId="5BA87F55">
                  <w:pPr>
                    <w:jc w:val="center"/>
                    <w:rPr>
                      <w:rFonts w:hint="default" w:ascii="Times New Roman" w:hAnsi="Times New Roman" w:cs="Times New Roman"/>
                      <w:szCs w:val="18"/>
                    </w:rPr>
                  </w:pPr>
                  <w:r>
                    <w:rPr>
                      <w:rFonts w:hint="default" w:ascii="Times New Roman" w:hAnsi="Times New Roman" w:cs="Times New Roman"/>
                      <w:szCs w:val="18"/>
                    </w:rPr>
                    <w:t>有围挡</w:t>
                  </w:r>
                </w:p>
              </w:tc>
              <w:tc>
                <w:tcPr>
                  <w:tcW w:w="1081" w:type="dxa"/>
                  <w:vAlign w:val="center"/>
                </w:tcPr>
                <w:p w14:paraId="6A29D0CB">
                  <w:pPr>
                    <w:jc w:val="center"/>
                    <w:rPr>
                      <w:rFonts w:hint="default" w:ascii="Times New Roman" w:hAnsi="Times New Roman" w:cs="Times New Roman"/>
                      <w:szCs w:val="18"/>
                    </w:rPr>
                  </w:pPr>
                  <w:r>
                    <w:rPr>
                      <w:rFonts w:hint="default" w:ascii="Times New Roman" w:hAnsi="Times New Roman" w:cs="Times New Roman"/>
                      <w:szCs w:val="18"/>
                    </w:rPr>
                    <w:t>0.824</w:t>
                  </w:r>
                </w:p>
              </w:tc>
              <w:tc>
                <w:tcPr>
                  <w:tcW w:w="970" w:type="dxa"/>
                  <w:vAlign w:val="center"/>
                </w:tcPr>
                <w:p w14:paraId="613BF1AE">
                  <w:pPr>
                    <w:jc w:val="center"/>
                    <w:rPr>
                      <w:rFonts w:hint="default" w:ascii="Times New Roman" w:hAnsi="Times New Roman" w:cs="Times New Roman"/>
                      <w:szCs w:val="18"/>
                    </w:rPr>
                  </w:pPr>
                  <w:r>
                    <w:rPr>
                      <w:rFonts w:hint="default" w:ascii="Times New Roman" w:hAnsi="Times New Roman" w:cs="Times New Roman"/>
                      <w:szCs w:val="18"/>
                    </w:rPr>
                    <w:t>0.426</w:t>
                  </w:r>
                </w:p>
              </w:tc>
              <w:tc>
                <w:tcPr>
                  <w:tcW w:w="974" w:type="dxa"/>
                  <w:vAlign w:val="center"/>
                </w:tcPr>
                <w:p w14:paraId="53B39CAA">
                  <w:pPr>
                    <w:jc w:val="center"/>
                    <w:rPr>
                      <w:rFonts w:hint="default" w:ascii="Times New Roman" w:hAnsi="Times New Roman" w:cs="Times New Roman"/>
                      <w:szCs w:val="18"/>
                    </w:rPr>
                  </w:pPr>
                  <w:r>
                    <w:rPr>
                      <w:rFonts w:hint="default" w:ascii="Times New Roman" w:hAnsi="Times New Roman" w:cs="Times New Roman"/>
                      <w:szCs w:val="18"/>
                    </w:rPr>
                    <w:t>0.235</w:t>
                  </w:r>
                </w:p>
              </w:tc>
              <w:tc>
                <w:tcPr>
                  <w:tcW w:w="986" w:type="dxa"/>
                  <w:vAlign w:val="center"/>
                </w:tcPr>
                <w:p w14:paraId="2C8E1AA6">
                  <w:pPr>
                    <w:jc w:val="center"/>
                    <w:rPr>
                      <w:rFonts w:hint="default" w:ascii="Times New Roman" w:hAnsi="Times New Roman" w:cs="Times New Roman"/>
                      <w:szCs w:val="18"/>
                    </w:rPr>
                  </w:pPr>
                  <w:r>
                    <w:rPr>
                      <w:rFonts w:hint="default" w:ascii="Times New Roman" w:hAnsi="Times New Roman" w:cs="Times New Roman"/>
                      <w:szCs w:val="18"/>
                    </w:rPr>
                    <w:t>0.221</w:t>
                  </w:r>
                </w:p>
              </w:tc>
              <w:tc>
                <w:tcPr>
                  <w:tcW w:w="1054" w:type="dxa"/>
                  <w:vAlign w:val="center"/>
                </w:tcPr>
                <w:p w14:paraId="62A11391">
                  <w:pPr>
                    <w:jc w:val="center"/>
                    <w:rPr>
                      <w:rFonts w:hint="default" w:ascii="Times New Roman" w:hAnsi="Times New Roman" w:cs="Times New Roman"/>
                      <w:szCs w:val="18"/>
                    </w:rPr>
                  </w:pPr>
                  <w:r>
                    <w:rPr>
                      <w:rFonts w:hint="default" w:ascii="Times New Roman" w:hAnsi="Times New Roman" w:cs="Times New Roman"/>
                      <w:szCs w:val="18"/>
                    </w:rPr>
                    <w:t>0.215</w:t>
                  </w:r>
                </w:p>
              </w:tc>
              <w:tc>
                <w:tcPr>
                  <w:tcW w:w="917" w:type="dxa"/>
                  <w:vAlign w:val="center"/>
                </w:tcPr>
                <w:p w14:paraId="58788388">
                  <w:pPr>
                    <w:jc w:val="center"/>
                    <w:rPr>
                      <w:rFonts w:hint="default" w:ascii="Times New Roman" w:hAnsi="Times New Roman" w:cs="Times New Roman"/>
                      <w:szCs w:val="18"/>
                    </w:rPr>
                  </w:pPr>
                  <w:r>
                    <w:rPr>
                      <w:rFonts w:hint="default" w:ascii="Times New Roman" w:hAnsi="Times New Roman" w:cs="Times New Roman"/>
                      <w:szCs w:val="18"/>
                    </w:rPr>
                    <w:t>0.206</w:t>
                  </w:r>
                </w:p>
              </w:tc>
              <w:tc>
                <w:tcPr>
                  <w:tcW w:w="1875" w:type="dxa"/>
                  <w:vMerge w:val="continue"/>
                  <w:vAlign w:val="center"/>
                </w:tcPr>
                <w:p w14:paraId="225ADACA">
                  <w:pPr>
                    <w:jc w:val="center"/>
                    <w:rPr>
                      <w:rFonts w:hint="default" w:ascii="Times New Roman" w:hAnsi="Times New Roman" w:cs="Times New Roman"/>
                      <w:szCs w:val="18"/>
                    </w:rPr>
                  </w:pPr>
                </w:p>
              </w:tc>
            </w:tr>
          </w:tbl>
          <w:p w14:paraId="0FB84AE1">
            <w:pPr>
              <w:spacing w:line="480" w:lineRule="exact"/>
              <w:ind w:firstLine="522"/>
              <w:rPr>
                <w:rFonts w:hint="default" w:ascii="Times New Roman" w:hAnsi="Times New Roman" w:cs="Times New Roman"/>
                <w:sz w:val="24"/>
              </w:rPr>
            </w:pPr>
            <w:r>
              <w:rPr>
                <w:rFonts w:hint="default" w:ascii="Times New Roman" w:hAnsi="Times New Roman" w:cs="Times New Roman"/>
                <w:sz w:val="24"/>
              </w:rPr>
              <w:t>施工过程中加强施工管理，合理安排施工作业时间，采取在施工场地、施工道路洒水、施工区及堆场设置临时围挡设施，对运输的沙石料和土方加盖篷布等临时防护措施，可大大降低空气中扬尘量，从而有效</w:t>
            </w:r>
            <w:r>
              <w:rPr>
                <w:rFonts w:hint="default" w:ascii="Times New Roman" w:hAnsi="Times New Roman" w:cs="Times New Roman"/>
                <w:sz w:val="24"/>
                <w:lang w:eastAsia="zh-CN"/>
              </w:rPr>
              <w:t>地</w:t>
            </w:r>
            <w:r>
              <w:rPr>
                <w:rFonts w:hint="default" w:ascii="Times New Roman" w:hAnsi="Times New Roman" w:cs="Times New Roman"/>
                <w:sz w:val="24"/>
              </w:rPr>
              <w:t>控制施工扬尘对周围空气的影响。</w:t>
            </w:r>
          </w:p>
          <w:p w14:paraId="2C1D45F3">
            <w:pPr>
              <w:spacing w:line="480" w:lineRule="exact"/>
              <w:ind w:firstLine="522"/>
              <w:rPr>
                <w:rFonts w:hint="default" w:ascii="Times New Roman" w:hAnsi="Times New Roman" w:cs="Times New Roman"/>
                <w:sz w:val="24"/>
              </w:rPr>
            </w:pPr>
            <w:r>
              <w:rPr>
                <w:rFonts w:hint="default" w:ascii="Times New Roman" w:hAnsi="Times New Roman" w:cs="Times New Roman"/>
                <w:sz w:val="24"/>
              </w:rPr>
              <w:t>（2）施工道路（交通）扬尘</w:t>
            </w:r>
          </w:p>
          <w:p w14:paraId="7A113532">
            <w:pPr>
              <w:spacing w:line="480" w:lineRule="exact"/>
              <w:ind w:firstLine="522"/>
              <w:rPr>
                <w:rFonts w:hint="default" w:ascii="Times New Roman" w:hAnsi="Times New Roman" w:cs="Times New Roman"/>
                <w:sz w:val="24"/>
              </w:rPr>
            </w:pPr>
            <w:r>
              <w:rPr>
                <w:rFonts w:hint="default" w:ascii="Times New Roman" w:hAnsi="Times New Roman" w:cs="Times New Roman"/>
                <w:sz w:val="24"/>
              </w:rPr>
              <w:t>汽车行驶扬尘主要为路面扬尘以及由车辆车轮附带的泥土产生的扬尘，在同样路面清洁程度条件下，车速越快，扬尘量越大；在同样车速条件下，路面尘土量越大，扬尘越大。因此，限制施工车辆速度和保持路面清洁是</w:t>
            </w:r>
            <w:r>
              <w:rPr>
                <w:rFonts w:hint="default" w:ascii="Times New Roman" w:hAnsi="Times New Roman" w:cs="Times New Roman"/>
                <w:sz w:val="24"/>
                <w:lang w:eastAsia="zh-CN"/>
              </w:rPr>
              <w:t>减少</w:t>
            </w:r>
            <w:r>
              <w:rPr>
                <w:rFonts w:hint="default" w:ascii="Times New Roman" w:hAnsi="Times New Roman" w:cs="Times New Roman"/>
                <w:sz w:val="24"/>
              </w:rPr>
              <w:t>扬尘的有效手段。如果在施工期间对车辆行驶的路面实施洒水抑尘，洒水抑尘，可使扬尘减少70％左右。下表为某施工场地洒水抑尘的试验结果。</w:t>
            </w:r>
          </w:p>
          <w:p w14:paraId="0132A8AB">
            <w:pPr>
              <w:pStyle w:val="67"/>
              <w:numPr>
                <w:ilvl w:val="0"/>
                <w:numId w:val="0"/>
              </w:numPr>
              <w:spacing w:line="480" w:lineRule="exact"/>
              <w:ind w:left="420" w:leftChars="0"/>
              <w:jc w:val="center"/>
              <w:rPr>
                <w:rFonts w:hint="default" w:ascii="Times New Roman" w:hAnsi="Times New Roman" w:eastAsia="黑体" w:cs="Times New Roman"/>
                <w:lang w:val="en-US" w:eastAsia="zh-CN"/>
              </w:rPr>
            </w:pPr>
            <w:r>
              <w:rPr>
                <w:rFonts w:hint="default" w:ascii="Times New Roman" w:hAnsi="Times New Roman" w:eastAsia="黑体" w:cs="Times New Roman"/>
                <w:lang w:val="en-US" w:eastAsia="zh-CN"/>
              </w:rPr>
              <w:t>表4-3 施工场地洒水抑尘试验结果</w:t>
            </w:r>
          </w:p>
          <w:tbl>
            <w:tblPr>
              <w:tblStyle w:val="4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0" w:type="dxa"/>
                <w:bottom w:w="57" w:type="dxa"/>
                <w:right w:w="0" w:type="dxa"/>
              </w:tblCellMar>
            </w:tblPr>
            <w:tblGrid>
              <w:gridCol w:w="2207"/>
              <w:gridCol w:w="963"/>
              <w:gridCol w:w="1010"/>
              <w:gridCol w:w="1089"/>
              <w:gridCol w:w="1201"/>
              <w:gridCol w:w="1295"/>
            </w:tblGrid>
            <w:tr w14:paraId="1CEFF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c>
                <w:tcPr>
                  <w:tcW w:w="3346" w:type="dxa"/>
                  <w:gridSpan w:val="2"/>
                  <w:vAlign w:val="center"/>
                </w:tcPr>
                <w:p w14:paraId="0F7D5202">
                  <w:pPr>
                    <w:pStyle w:val="86"/>
                    <w:tabs>
                      <w:tab w:val="left" w:pos="7937"/>
                    </w:tabs>
                    <w:spacing w:after="0" w:line="240" w:lineRule="auto"/>
                    <w:ind w:firstLine="0" w:firstLineChars="0"/>
                    <w:rPr>
                      <w:rFonts w:hint="default" w:ascii="Times New Roman" w:hAnsi="Times New Roman" w:eastAsia="宋体" w:cs="Times New Roman"/>
                      <w:b w:val="0"/>
                      <w:sz w:val="21"/>
                      <w:szCs w:val="21"/>
                    </w:rPr>
                  </w:pPr>
                  <w:r>
                    <w:rPr>
                      <w:rFonts w:hint="default" w:ascii="Times New Roman" w:hAnsi="Times New Roman" w:eastAsia="宋体" w:cs="Times New Roman"/>
                      <w:b w:val="0"/>
                      <w:bCs/>
                      <w:sz w:val="21"/>
                      <w:szCs w:val="21"/>
                    </w:rPr>
                    <w:t>距路边距离（米）</w:t>
                  </w:r>
                </w:p>
              </w:tc>
              <w:tc>
                <w:tcPr>
                  <w:tcW w:w="1047" w:type="dxa"/>
                  <w:vAlign w:val="center"/>
                </w:tcPr>
                <w:p w14:paraId="55BFDECF">
                  <w:pPr>
                    <w:pStyle w:val="86"/>
                    <w:tabs>
                      <w:tab w:val="left" w:pos="7937"/>
                    </w:tabs>
                    <w:spacing w:after="0" w:line="240" w:lineRule="auto"/>
                    <w:ind w:firstLine="0" w:firstLineChars="0"/>
                    <w:rPr>
                      <w:rFonts w:hint="default" w:ascii="Times New Roman" w:hAnsi="Times New Roman" w:eastAsia="宋体" w:cs="Times New Roman"/>
                      <w:b w:val="0"/>
                      <w:sz w:val="21"/>
                      <w:szCs w:val="21"/>
                    </w:rPr>
                  </w:pPr>
                  <w:r>
                    <w:rPr>
                      <w:rFonts w:hint="default" w:ascii="Times New Roman" w:hAnsi="Times New Roman" w:eastAsia="宋体" w:cs="Times New Roman"/>
                      <w:b w:val="0"/>
                      <w:sz w:val="21"/>
                      <w:szCs w:val="21"/>
                    </w:rPr>
                    <w:t>5</w:t>
                  </w:r>
                </w:p>
              </w:tc>
              <w:tc>
                <w:tcPr>
                  <w:tcW w:w="1138" w:type="dxa"/>
                  <w:vAlign w:val="center"/>
                </w:tcPr>
                <w:p w14:paraId="3CD38680">
                  <w:pPr>
                    <w:pStyle w:val="86"/>
                    <w:tabs>
                      <w:tab w:val="left" w:pos="7937"/>
                    </w:tabs>
                    <w:spacing w:after="0" w:line="240" w:lineRule="auto"/>
                    <w:ind w:firstLine="0" w:firstLineChars="0"/>
                    <w:rPr>
                      <w:rFonts w:hint="default" w:ascii="Times New Roman" w:hAnsi="Times New Roman" w:eastAsia="宋体" w:cs="Times New Roman"/>
                      <w:b w:val="0"/>
                      <w:sz w:val="21"/>
                      <w:szCs w:val="21"/>
                    </w:rPr>
                  </w:pPr>
                  <w:r>
                    <w:rPr>
                      <w:rFonts w:hint="default" w:ascii="Times New Roman" w:hAnsi="Times New Roman" w:eastAsia="宋体" w:cs="Times New Roman"/>
                      <w:b w:val="0"/>
                      <w:sz w:val="21"/>
                      <w:szCs w:val="21"/>
                    </w:rPr>
                    <w:t>20</w:t>
                  </w:r>
                </w:p>
              </w:tc>
              <w:tc>
                <w:tcPr>
                  <w:tcW w:w="1258" w:type="dxa"/>
                  <w:vAlign w:val="center"/>
                </w:tcPr>
                <w:p w14:paraId="19DBAFD3">
                  <w:pPr>
                    <w:pStyle w:val="86"/>
                    <w:tabs>
                      <w:tab w:val="left" w:pos="7937"/>
                    </w:tabs>
                    <w:spacing w:after="0" w:line="240" w:lineRule="auto"/>
                    <w:ind w:firstLine="0" w:firstLineChars="0"/>
                    <w:rPr>
                      <w:rFonts w:hint="default" w:ascii="Times New Roman" w:hAnsi="Times New Roman" w:eastAsia="宋体" w:cs="Times New Roman"/>
                      <w:b w:val="0"/>
                      <w:sz w:val="21"/>
                      <w:szCs w:val="21"/>
                    </w:rPr>
                  </w:pPr>
                  <w:r>
                    <w:rPr>
                      <w:rFonts w:hint="default" w:ascii="Times New Roman" w:hAnsi="Times New Roman" w:eastAsia="宋体" w:cs="Times New Roman"/>
                      <w:b w:val="0"/>
                      <w:sz w:val="21"/>
                      <w:szCs w:val="21"/>
                    </w:rPr>
                    <w:t>50</w:t>
                  </w:r>
                </w:p>
              </w:tc>
              <w:tc>
                <w:tcPr>
                  <w:tcW w:w="1358" w:type="dxa"/>
                  <w:vAlign w:val="center"/>
                </w:tcPr>
                <w:p w14:paraId="1BF4E488">
                  <w:pPr>
                    <w:pStyle w:val="86"/>
                    <w:tabs>
                      <w:tab w:val="left" w:pos="7937"/>
                    </w:tabs>
                    <w:spacing w:after="0" w:line="240" w:lineRule="auto"/>
                    <w:ind w:firstLine="0" w:firstLineChars="0"/>
                    <w:rPr>
                      <w:rFonts w:hint="default" w:ascii="Times New Roman" w:hAnsi="Times New Roman" w:eastAsia="宋体" w:cs="Times New Roman"/>
                      <w:b w:val="0"/>
                      <w:sz w:val="21"/>
                      <w:szCs w:val="21"/>
                    </w:rPr>
                  </w:pPr>
                  <w:r>
                    <w:rPr>
                      <w:rFonts w:hint="default" w:ascii="Times New Roman" w:hAnsi="Times New Roman" w:eastAsia="宋体" w:cs="Times New Roman"/>
                      <w:b w:val="0"/>
                      <w:sz w:val="21"/>
                      <w:szCs w:val="21"/>
                    </w:rPr>
                    <w:t>100</w:t>
                  </w:r>
                </w:p>
              </w:tc>
            </w:tr>
            <w:tr w14:paraId="28315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c>
                <w:tcPr>
                  <w:tcW w:w="2331" w:type="dxa"/>
                  <w:vMerge w:val="restart"/>
                  <w:vAlign w:val="center"/>
                </w:tcPr>
                <w:p w14:paraId="3CB181A9">
                  <w:pPr>
                    <w:pStyle w:val="86"/>
                    <w:tabs>
                      <w:tab w:val="left" w:pos="7937"/>
                    </w:tabs>
                    <w:spacing w:after="0" w:line="240" w:lineRule="auto"/>
                    <w:ind w:firstLine="0" w:firstLineChars="0"/>
                    <w:rPr>
                      <w:rFonts w:hint="default" w:ascii="Times New Roman" w:hAnsi="Times New Roman" w:eastAsia="宋体" w:cs="Times New Roman"/>
                      <w:b w:val="0"/>
                      <w:sz w:val="21"/>
                      <w:szCs w:val="21"/>
                    </w:rPr>
                  </w:pPr>
                  <w:r>
                    <w:rPr>
                      <w:rFonts w:hint="default" w:ascii="Times New Roman" w:hAnsi="Times New Roman" w:eastAsia="宋体" w:cs="Times New Roman"/>
                      <w:b w:val="0"/>
                      <w:bCs/>
                      <w:sz w:val="21"/>
                      <w:szCs w:val="21"/>
                    </w:rPr>
                    <w:t>总悬浮颗粒物小时平均浓度（毫克/立方米）</w:t>
                  </w:r>
                </w:p>
              </w:tc>
              <w:tc>
                <w:tcPr>
                  <w:tcW w:w="1015" w:type="dxa"/>
                  <w:vAlign w:val="center"/>
                </w:tcPr>
                <w:p w14:paraId="00C7FBA0">
                  <w:pPr>
                    <w:pStyle w:val="86"/>
                    <w:tabs>
                      <w:tab w:val="left" w:pos="7937"/>
                    </w:tabs>
                    <w:spacing w:after="0" w:line="240" w:lineRule="auto"/>
                    <w:ind w:firstLine="0" w:firstLineChars="0"/>
                    <w:rPr>
                      <w:rFonts w:hint="default" w:ascii="Times New Roman" w:hAnsi="Times New Roman" w:eastAsia="宋体" w:cs="Times New Roman"/>
                      <w:b w:val="0"/>
                      <w:sz w:val="21"/>
                      <w:szCs w:val="21"/>
                    </w:rPr>
                  </w:pPr>
                  <w:r>
                    <w:rPr>
                      <w:rFonts w:hint="default" w:ascii="Times New Roman" w:hAnsi="Times New Roman" w:eastAsia="宋体" w:cs="Times New Roman"/>
                      <w:b w:val="0"/>
                      <w:sz w:val="21"/>
                      <w:szCs w:val="21"/>
                    </w:rPr>
                    <w:t>不洒水</w:t>
                  </w:r>
                </w:p>
              </w:tc>
              <w:tc>
                <w:tcPr>
                  <w:tcW w:w="1047" w:type="dxa"/>
                  <w:vAlign w:val="center"/>
                </w:tcPr>
                <w:p w14:paraId="130CEAB1">
                  <w:pPr>
                    <w:pStyle w:val="86"/>
                    <w:tabs>
                      <w:tab w:val="left" w:pos="7937"/>
                    </w:tabs>
                    <w:spacing w:after="0" w:line="240" w:lineRule="auto"/>
                    <w:ind w:firstLine="0" w:firstLineChars="0"/>
                    <w:rPr>
                      <w:rFonts w:hint="default" w:ascii="Times New Roman" w:hAnsi="Times New Roman" w:eastAsia="宋体" w:cs="Times New Roman"/>
                      <w:b w:val="0"/>
                      <w:sz w:val="21"/>
                      <w:szCs w:val="21"/>
                    </w:rPr>
                  </w:pPr>
                  <w:r>
                    <w:rPr>
                      <w:rFonts w:hint="default" w:ascii="Times New Roman" w:hAnsi="Times New Roman" w:eastAsia="宋体" w:cs="Times New Roman"/>
                      <w:b w:val="0"/>
                      <w:sz w:val="21"/>
                      <w:szCs w:val="21"/>
                    </w:rPr>
                    <w:t>10.14</w:t>
                  </w:r>
                </w:p>
              </w:tc>
              <w:tc>
                <w:tcPr>
                  <w:tcW w:w="1138" w:type="dxa"/>
                  <w:vAlign w:val="center"/>
                </w:tcPr>
                <w:p w14:paraId="7194394D">
                  <w:pPr>
                    <w:pStyle w:val="86"/>
                    <w:tabs>
                      <w:tab w:val="left" w:pos="7937"/>
                    </w:tabs>
                    <w:spacing w:after="0" w:line="240" w:lineRule="auto"/>
                    <w:ind w:firstLine="0" w:firstLineChars="0"/>
                    <w:rPr>
                      <w:rFonts w:hint="default" w:ascii="Times New Roman" w:hAnsi="Times New Roman" w:eastAsia="宋体" w:cs="Times New Roman"/>
                      <w:b w:val="0"/>
                      <w:sz w:val="21"/>
                      <w:szCs w:val="21"/>
                    </w:rPr>
                  </w:pPr>
                  <w:r>
                    <w:rPr>
                      <w:rFonts w:hint="default" w:ascii="Times New Roman" w:hAnsi="Times New Roman" w:eastAsia="宋体" w:cs="Times New Roman"/>
                      <w:b w:val="0"/>
                      <w:sz w:val="21"/>
                      <w:szCs w:val="21"/>
                    </w:rPr>
                    <w:t>2.89</w:t>
                  </w:r>
                </w:p>
              </w:tc>
              <w:tc>
                <w:tcPr>
                  <w:tcW w:w="1258" w:type="dxa"/>
                  <w:vAlign w:val="center"/>
                </w:tcPr>
                <w:p w14:paraId="5E6742BC">
                  <w:pPr>
                    <w:pStyle w:val="86"/>
                    <w:tabs>
                      <w:tab w:val="left" w:pos="7937"/>
                    </w:tabs>
                    <w:spacing w:after="0" w:line="240" w:lineRule="auto"/>
                    <w:ind w:firstLine="0" w:firstLineChars="0"/>
                    <w:rPr>
                      <w:rFonts w:hint="default" w:ascii="Times New Roman" w:hAnsi="Times New Roman" w:eastAsia="宋体" w:cs="Times New Roman"/>
                      <w:b w:val="0"/>
                      <w:sz w:val="21"/>
                      <w:szCs w:val="21"/>
                    </w:rPr>
                  </w:pPr>
                  <w:r>
                    <w:rPr>
                      <w:rFonts w:hint="default" w:ascii="Times New Roman" w:hAnsi="Times New Roman" w:eastAsia="宋体" w:cs="Times New Roman"/>
                      <w:b w:val="0"/>
                      <w:sz w:val="21"/>
                      <w:szCs w:val="21"/>
                    </w:rPr>
                    <w:t>1.15</w:t>
                  </w:r>
                </w:p>
              </w:tc>
              <w:tc>
                <w:tcPr>
                  <w:tcW w:w="1358" w:type="dxa"/>
                  <w:vAlign w:val="center"/>
                </w:tcPr>
                <w:p w14:paraId="3A77FCFD">
                  <w:pPr>
                    <w:pStyle w:val="86"/>
                    <w:tabs>
                      <w:tab w:val="left" w:pos="7937"/>
                    </w:tabs>
                    <w:spacing w:after="0" w:line="240" w:lineRule="auto"/>
                    <w:ind w:firstLine="0" w:firstLineChars="0"/>
                    <w:rPr>
                      <w:rFonts w:hint="default" w:ascii="Times New Roman" w:hAnsi="Times New Roman" w:eastAsia="宋体" w:cs="Times New Roman"/>
                      <w:b w:val="0"/>
                      <w:sz w:val="21"/>
                      <w:szCs w:val="21"/>
                    </w:rPr>
                  </w:pPr>
                  <w:r>
                    <w:rPr>
                      <w:rFonts w:hint="default" w:ascii="Times New Roman" w:hAnsi="Times New Roman" w:eastAsia="宋体" w:cs="Times New Roman"/>
                      <w:b w:val="0"/>
                      <w:sz w:val="21"/>
                      <w:szCs w:val="21"/>
                    </w:rPr>
                    <w:t>0.86</w:t>
                  </w:r>
                </w:p>
              </w:tc>
            </w:tr>
            <w:tr w14:paraId="2F206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c>
                <w:tcPr>
                  <w:tcW w:w="2331" w:type="dxa"/>
                  <w:vMerge w:val="continue"/>
                  <w:vAlign w:val="center"/>
                </w:tcPr>
                <w:p w14:paraId="07B61FF3">
                  <w:pPr>
                    <w:pStyle w:val="86"/>
                    <w:tabs>
                      <w:tab w:val="left" w:pos="7937"/>
                    </w:tabs>
                    <w:spacing w:after="0" w:line="240" w:lineRule="auto"/>
                    <w:ind w:firstLine="0" w:firstLineChars="0"/>
                    <w:rPr>
                      <w:rFonts w:hint="default" w:ascii="Times New Roman" w:hAnsi="Times New Roman" w:eastAsia="宋体" w:cs="Times New Roman"/>
                      <w:b w:val="0"/>
                      <w:sz w:val="21"/>
                      <w:szCs w:val="21"/>
                    </w:rPr>
                  </w:pPr>
                </w:p>
              </w:tc>
              <w:tc>
                <w:tcPr>
                  <w:tcW w:w="1015" w:type="dxa"/>
                  <w:vAlign w:val="center"/>
                </w:tcPr>
                <w:p w14:paraId="70F46BC4">
                  <w:pPr>
                    <w:pStyle w:val="86"/>
                    <w:tabs>
                      <w:tab w:val="left" w:pos="7937"/>
                    </w:tabs>
                    <w:spacing w:after="0" w:line="240" w:lineRule="auto"/>
                    <w:ind w:firstLine="0" w:firstLineChars="0"/>
                    <w:rPr>
                      <w:rFonts w:hint="default" w:ascii="Times New Roman" w:hAnsi="Times New Roman" w:eastAsia="宋体" w:cs="Times New Roman"/>
                      <w:b w:val="0"/>
                      <w:sz w:val="21"/>
                      <w:szCs w:val="21"/>
                    </w:rPr>
                  </w:pPr>
                  <w:r>
                    <w:rPr>
                      <w:rFonts w:hint="default" w:ascii="Times New Roman" w:hAnsi="Times New Roman" w:eastAsia="宋体" w:cs="Times New Roman"/>
                      <w:b w:val="0"/>
                      <w:sz w:val="21"/>
                      <w:szCs w:val="21"/>
                    </w:rPr>
                    <w:t>洒水</w:t>
                  </w:r>
                </w:p>
              </w:tc>
              <w:tc>
                <w:tcPr>
                  <w:tcW w:w="1047" w:type="dxa"/>
                  <w:vAlign w:val="center"/>
                </w:tcPr>
                <w:p w14:paraId="6BD72AC6">
                  <w:pPr>
                    <w:pStyle w:val="86"/>
                    <w:tabs>
                      <w:tab w:val="left" w:pos="7937"/>
                    </w:tabs>
                    <w:spacing w:after="0" w:line="240" w:lineRule="auto"/>
                    <w:ind w:firstLine="0" w:firstLineChars="0"/>
                    <w:rPr>
                      <w:rFonts w:hint="default" w:ascii="Times New Roman" w:hAnsi="Times New Roman" w:eastAsia="宋体" w:cs="Times New Roman"/>
                      <w:b w:val="0"/>
                      <w:sz w:val="21"/>
                      <w:szCs w:val="21"/>
                    </w:rPr>
                  </w:pPr>
                  <w:r>
                    <w:rPr>
                      <w:rFonts w:hint="default" w:ascii="Times New Roman" w:hAnsi="Times New Roman" w:eastAsia="宋体" w:cs="Times New Roman"/>
                      <w:b w:val="0"/>
                      <w:sz w:val="21"/>
                      <w:szCs w:val="21"/>
                    </w:rPr>
                    <w:t>2.01</w:t>
                  </w:r>
                </w:p>
              </w:tc>
              <w:tc>
                <w:tcPr>
                  <w:tcW w:w="1138" w:type="dxa"/>
                  <w:vAlign w:val="center"/>
                </w:tcPr>
                <w:p w14:paraId="3890CF6A">
                  <w:pPr>
                    <w:pStyle w:val="86"/>
                    <w:tabs>
                      <w:tab w:val="left" w:pos="7937"/>
                    </w:tabs>
                    <w:spacing w:after="0" w:line="240" w:lineRule="auto"/>
                    <w:ind w:firstLine="0" w:firstLineChars="0"/>
                    <w:rPr>
                      <w:rFonts w:hint="default" w:ascii="Times New Roman" w:hAnsi="Times New Roman" w:eastAsia="宋体" w:cs="Times New Roman"/>
                      <w:b w:val="0"/>
                      <w:sz w:val="21"/>
                      <w:szCs w:val="21"/>
                    </w:rPr>
                  </w:pPr>
                  <w:r>
                    <w:rPr>
                      <w:rFonts w:hint="default" w:ascii="Times New Roman" w:hAnsi="Times New Roman" w:eastAsia="宋体" w:cs="Times New Roman"/>
                      <w:b w:val="0"/>
                      <w:sz w:val="21"/>
                      <w:szCs w:val="21"/>
                    </w:rPr>
                    <w:t>1.40</w:t>
                  </w:r>
                </w:p>
              </w:tc>
              <w:tc>
                <w:tcPr>
                  <w:tcW w:w="1258" w:type="dxa"/>
                  <w:vAlign w:val="center"/>
                </w:tcPr>
                <w:p w14:paraId="2671D520">
                  <w:pPr>
                    <w:pStyle w:val="86"/>
                    <w:tabs>
                      <w:tab w:val="left" w:pos="7937"/>
                    </w:tabs>
                    <w:spacing w:after="0" w:line="240" w:lineRule="auto"/>
                    <w:ind w:firstLine="0" w:firstLineChars="0"/>
                    <w:rPr>
                      <w:rFonts w:hint="default" w:ascii="Times New Roman" w:hAnsi="Times New Roman" w:eastAsia="宋体" w:cs="Times New Roman"/>
                      <w:b w:val="0"/>
                      <w:sz w:val="21"/>
                      <w:szCs w:val="21"/>
                    </w:rPr>
                  </w:pPr>
                  <w:r>
                    <w:rPr>
                      <w:rFonts w:hint="default" w:ascii="Times New Roman" w:hAnsi="Times New Roman" w:eastAsia="宋体" w:cs="Times New Roman"/>
                      <w:b w:val="0"/>
                      <w:sz w:val="21"/>
                      <w:szCs w:val="21"/>
                    </w:rPr>
                    <w:t>0.67</w:t>
                  </w:r>
                </w:p>
              </w:tc>
              <w:tc>
                <w:tcPr>
                  <w:tcW w:w="1358" w:type="dxa"/>
                  <w:vAlign w:val="center"/>
                </w:tcPr>
                <w:p w14:paraId="7809E844">
                  <w:pPr>
                    <w:pStyle w:val="86"/>
                    <w:tabs>
                      <w:tab w:val="left" w:pos="7937"/>
                    </w:tabs>
                    <w:spacing w:after="0" w:line="240" w:lineRule="auto"/>
                    <w:ind w:firstLine="0" w:firstLineChars="0"/>
                    <w:rPr>
                      <w:rFonts w:hint="default" w:ascii="Times New Roman" w:hAnsi="Times New Roman" w:eastAsia="宋体" w:cs="Times New Roman"/>
                      <w:b w:val="0"/>
                      <w:sz w:val="21"/>
                      <w:szCs w:val="21"/>
                    </w:rPr>
                  </w:pPr>
                  <w:r>
                    <w:rPr>
                      <w:rFonts w:hint="default" w:ascii="Times New Roman" w:hAnsi="Times New Roman" w:eastAsia="宋体" w:cs="Times New Roman"/>
                      <w:b w:val="0"/>
                      <w:sz w:val="21"/>
                      <w:szCs w:val="21"/>
                    </w:rPr>
                    <w:t>0.6</w:t>
                  </w:r>
                </w:p>
              </w:tc>
            </w:tr>
          </w:tbl>
          <w:p w14:paraId="0969C973">
            <w:pPr>
              <w:spacing w:line="480" w:lineRule="exact"/>
              <w:ind w:firstLine="522"/>
              <w:rPr>
                <w:rFonts w:hint="default" w:ascii="Times New Roman" w:hAnsi="Times New Roman" w:cs="Times New Roman"/>
                <w:sz w:val="24"/>
              </w:rPr>
            </w:pPr>
            <w:r>
              <w:rPr>
                <w:rFonts w:hint="default" w:ascii="Times New Roman" w:hAnsi="Times New Roman" w:cs="Times New Roman"/>
                <w:sz w:val="24"/>
                <w:lang w:bidi="zh-CN"/>
              </w:rPr>
              <w:t>结果表明：洒水抑尘，可有效地控制交通扬尘，总悬浮颗粒物污染物扩散距离可缩小到20米～50米范围。因此，限速行驶及保持路面清洁，同时适当洒水可有</w:t>
            </w:r>
            <w:r>
              <w:rPr>
                <w:rFonts w:hint="default" w:ascii="Times New Roman" w:hAnsi="Times New Roman" w:cs="Times New Roman"/>
                <w:sz w:val="24"/>
              </w:rPr>
              <w:t>效控制施工道路扬尘。</w:t>
            </w:r>
          </w:p>
          <w:p w14:paraId="3A61F215">
            <w:pPr>
              <w:spacing w:line="480" w:lineRule="exact"/>
              <w:ind w:firstLine="522"/>
              <w:rPr>
                <w:rFonts w:hint="default" w:ascii="Times New Roman" w:hAnsi="Times New Roman" w:cs="Times New Roman"/>
                <w:sz w:val="24"/>
              </w:rPr>
            </w:pPr>
            <w:r>
              <w:rPr>
                <w:rFonts w:hint="default" w:ascii="Times New Roman" w:hAnsi="Times New Roman" w:cs="Times New Roman"/>
                <w:sz w:val="24"/>
              </w:rPr>
              <w:t>（3）施工机械设备以及车辆排放的尾气影响分析</w:t>
            </w:r>
          </w:p>
          <w:p w14:paraId="5A90D709">
            <w:pPr>
              <w:spacing w:line="480" w:lineRule="exact"/>
              <w:ind w:firstLine="522"/>
              <w:rPr>
                <w:rFonts w:hint="default" w:ascii="Times New Roman" w:hAnsi="Times New Roman" w:cs="Times New Roman"/>
                <w:sz w:val="24"/>
                <w:lang w:bidi="zh-CN"/>
              </w:rPr>
            </w:pPr>
            <w:r>
              <w:rPr>
                <w:rFonts w:hint="default" w:ascii="Times New Roman" w:hAnsi="Times New Roman" w:cs="Times New Roman"/>
                <w:sz w:val="24"/>
              </w:rPr>
              <w:t>施工运</w:t>
            </w:r>
            <w:r>
              <w:rPr>
                <w:rFonts w:hint="default" w:ascii="Times New Roman" w:hAnsi="Times New Roman" w:cs="Times New Roman"/>
                <w:sz w:val="24"/>
                <w:lang w:bidi="zh-CN"/>
              </w:rPr>
              <w:t>输车辆、施工机械（推土机、搅拌机、吊车等）等机动车辆运行时排放的尾气。施工机械、汽车大多以柴油作为燃料，燃料燃烧过程中会产生CO、SO</w:t>
            </w:r>
            <w:r>
              <w:rPr>
                <w:rFonts w:hint="default" w:ascii="Times New Roman" w:hAnsi="Times New Roman" w:cs="Times New Roman"/>
                <w:sz w:val="24"/>
                <w:vertAlign w:val="subscript"/>
                <w:lang w:bidi="zh-CN"/>
              </w:rPr>
              <w:t>2</w:t>
            </w:r>
            <w:r>
              <w:rPr>
                <w:rFonts w:hint="default" w:ascii="Times New Roman" w:hAnsi="Times New Roman" w:cs="Times New Roman"/>
                <w:sz w:val="24"/>
                <w:lang w:bidi="zh-CN"/>
              </w:rPr>
              <w:t>、NOx、碳氢化合物和烟尘，产生情况主要决定因素为燃料油种类、机械性能、作业方式和风力等，其中机械性能、作业方式因素的影响最大，如运输车辆和部分施工机械在怠速、减速和加速时产生的污染较为严重。</w:t>
            </w:r>
          </w:p>
          <w:p w14:paraId="01965215">
            <w:pPr>
              <w:spacing w:line="480" w:lineRule="exact"/>
              <w:ind w:firstLine="522"/>
              <w:rPr>
                <w:rFonts w:hint="default" w:ascii="Times New Roman" w:hAnsi="Times New Roman" w:cs="Times New Roman"/>
                <w:sz w:val="24"/>
                <w:lang w:bidi="zh-CN"/>
              </w:rPr>
            </w:pPr>
            <w:r>
              <w:rPr>
                <w:rFonts w:hint="default" w:ascii="Times New Roman" w:hAnsi="Times New Roman" w:cs="Times New Roman"/>
                <w:sz w:val="24"/>
                <w:lang w:bidi="zh-CN"/>
              </w:rPr>
              <w:t>各类施工机械流动性较强，且燃料用量不大，所产生的废气少且较为分散，在易于扩散的气象条件下，该废气对周围环境的影响不大。拟建项目所在地为较开阔，空气流通较好，汽车和机械等排放的废气能够较快地扩散，不会对当地的空气环境产生较大影响，但项目建设过程中仍应控制施工车辆的数量，使空气环境质量受到的影响降至最低。</w:t>
            </w:r>
          </w:p>
          <w:p w14:paraId="7ED7B2FC">
            <w:pPr>
              <w:spacing w:line="480" w:lineRule="exact"/>
              <w:ind w:firstLine="522"/>
              <w:rPr>
                <w:rFonts w:hint="default" w:ascii="Times New Roman" w:hAnsi="Times New Roman" w:cs="Times New Roman"/>
                <w:sz w:val="24"/>
                <w:lang w:bidi="zh-CN"/>
              </w:rPr>
            </w:pPr>
            <w:r>
              <w:rPr>
                <w:rFonts w:hint="default" w:ascii="Times New Roman" w:hAnsi="Times New Roman" w:cs="Times New Roman"/>
                <w:sz w:val="24"/>
                <w:lang w:bidi="zh-CN"/>
              </w:rPr>
              <w:t>总之，施工期间不可避免</w:t>
            </w:r>
            <w:r>
              <w:rPr>
                <w:rFonts w:hint="eastAsia" w:cs="Times New Roman"/>
                <w:sz w:val="24"/>
                <w:lang w:bidi="zh-CN"/>
              </w:rPr>
              <w:t>地</w:t>
            </w:r>
            <w:r>
              <w:rPr>
                <w:rFonts w:hint="default" w:ascii="Times New Roman" w:hAnsi="Times New Roman" w:cs="Times New Roman"/>
                <w:sz w:val="24"/>
                <w:lang w:bidi="zh-CN"/>
              </w:rPr>
              <w:t>会对附近环境空气产生一定程度的影响，但由于项目所在地地形开阔，利于汽车和施工机械等尾气的扩散。因此，在采取适当的抑尘措施后，施工期带来的大气污染其影响可以降低到较小程度，不会对周围环境空气造成较大的污染影响。</w:t>
            </w:r>
          </w:p>
          <w:p w14:paraId="33FA7911">
            <w:pPr>
              <w:pStyle w:val="18"/>
              <w:keepNext w:val="0"/>
              <w:keepLines w:val="0"/>
              <w:pageBreakBefore w:val="0"/>
              <w:widowControl/>
              <w:numPr>
                <w:ilvl w:val="0"/>
                <w:numId w:val="0"/>
              </w:numPr>
              <w:kinsoku/>
              <w:wordWrap/>
              <w:overflowPunct/>
              <w:topLinePunct w:val="0"/>
              <w:autoSpaceDE/>
              <w:autoSpaceDN/>
              <w:bidi w:val="0"/>
              <w:adjustRightInd/>
              <w:snapToGrid/>
              <w:spacing w:before="0" w:after="0" w:line="480" w:lineRule="exact"/>
              <w:ind w:left="0" w:leftChars="0" w:right="0" w:rightChars="0" w:firstLine="424" w:firstLineChars="200"/>
              <w:textAlignment w:val="auto"/>
              <w:rPr>
                <w:rFonts w:hint="default" w:ascii="Times New Roman" w:hAnsi="Times New Roman" w:eastAsia="黑体" w:cs="Times New Roman"/>
                <w:sz w:val="24"/>
                <w:lang w:val="en-US" w:eastAsia="zh-CN"/>
              </w:rPr>
            </w:pPr>
            <w:r>
              <w:rPr>
                <w:rFonts w:hint="default" w:ascii="Times New Roman" w:hAnsi="Times New Roman" w:eastAsia="黑体" w:cs="Times New Roman"/>
                <w:sz w:val="24"/>
                <w:lang w:val="en-US" w:eastAsia="zh-CN"/>
              </w:rPr>
              <w:t>2.2水环境影响</w:t>
            </w:r>
          </w:p>
          <w:p w14:paraId="2B03486F">
            <w:pPr>
              <w:spacing w:line="480" w:lineRule="exact"/>
              <w:ind w:firstLine="522"/>
              <w:rPr>
                <w:rFonts w:hint="default" w:ascii="Times New Roman" w:hAnsi="Times New Roman" w:cs="Times New Roman"/>
                <w:sz w:val="24"/>
              </w:rPr>
            </w:pPr>
            <w:r>
              <w:rPr>
                <w:rFonts w:hint="default" w:ascii="Times New Roman" w:hAnsi="Times New Roman" w:cs="Times New Roman"/>
                <w:sz w:val="24"/>
              </w:rPr>
              <w:t>（1）废水</w:t>
            </w:r>
          </w:p>
          <w:p w14:paraId="37FE9A33">
            <w:pPr>
              <w:spacing w:line="480" w:lineRule="exact"/>
              <w:ind w:firstLine="522"/>
              <w:rPr>
                <w:rFonts w:hint="default" w:ascii="Times New Roman" w:hAnsi="Times New Roman" w:cs="Times New Roman"/>
                <w:sz w:val="24"/>
              </w:rPr>
            </w:pPr>
            <w:bookmarkStart w:id="66" w:name="_Hlk210828667"/>
            <w:r>
              <w:rPr>
                <w:rFonts w:hint="default" w:ascii="Times New Roman" w:hAnsi="Times New Roman" w:cs="Times New Roman"/>
                <w:sz w:val="24"/>
              </w:rPr>
              <w:t>本项目施工场地不设置机械修配，施工机械修理维护在附近商业机修站维修，施工使用混凝土</w:t>
            </w:r>
            <w:bookmarkStart w:id="67" w:name="_Hlk210822127"/>
            <w:r>
              <w:rPr>
                <w:rFonts w:hint="default" w:ascii="Times New Roman" w:hAnsi="Times New Roman" w:cs="Times New Roman"/>
                <w:sz w:val="24"/>
              </w:rPr>
              <w:t>取自</w:t>
            </w:r>
            <w:r>
              <w:rPr>
                <w:rFonts w:hint="default" w:ascii="Times New Roman" w:hAnsi="Times New Roman" w:cs="Times New Roman"/>
                <w:sz w:val="24"/>
                <w:lang w:val="en-US" w:eastAsia="zh-CN"/>
              </w:rPr>
              <w:t>尉犁</w:t>
            </w:r>
            <w:r>
              <w:rPr>
                <w:rFonts w:hint="default" w:ascii="Times New Roman" w:hAnsi="Times New Roman" w:cs="Times New Roman"/>
                <w:sz w:val="24"/>
              </w:rPr>
              <w:t>县现有商企的商品混凝土。</w:t>
            </w:r>
            <w:bookmarkEnd w:id="66"/>
            <w:bookmarkEnd w:id="67"/>
            <w:r>
              <w:rPr>
                <w:rFonts w:hint="default" w:ascii="Times New Roman" w:hAnsi="Times New Roman" w:cs="Times New Roman"/>
                <w:sz w:val="24"/>
              </w:rPr>
              <w:t>基础设施养护时先用吸水材料覆盖混凝土，在吸水材料上洒水，养护水被混凝土吸收或自然蒸发。因此没有机修废水、砂石冲洗废水产生。</w:t>
            </w:r>
          </w:p>
          <w:p w14:paraId="3D6E6221">
            <w:pPr>
              <w:spacing w:line="480" w:lineRule="exact"/>
              <w:ind w:firstLine="522"/>
              <w:rPr>
                <w:rFonts w:hint="default" w:ascii="Times New Roman" w:hAnsi="Times New Roman" w:cs="Times New Roman"/>
                <w:sz w:val="24"/>
              </w:rPr>
            </w:pPr>
            <w:r>
              <w:rPr>
                <w:rFonts w:hint="default" w:ascii="Times New Roman" w:hAnsi="Times New Roman" w:cs="Times New Roman"/>
                <w:sz w:val="24"/>
              </w:rPr>
              <w:t>本项目施工期间的平均人数为150人，根据《新疆维吾尔自治区生活用水定额》每人每日的生活用水量以50L进行估算，施工期为12个月，生活用水量为7.5m</w:t>
            </w:r>
            <w:r>
              <w:rPr>
                <w:rFonts w:hint="default" w:ascii="Times New Roman" w:hAnsi="Times New Roman" w:cs="Times New Roman"/>
                <w:sz w:val="24"/>
                <w:vertAlign w:val="superscript"/>
              </w:rPr>
              <w:t>3</w:t>
            </w:r>
            <w:r>
              <w:rPr>
                <w:rFonts w:hint="default" w:ascii="Times New Roman" w:hAnsi="Times New Roman" w:cs="Times New Roman"/>
                <w:sz w:val="24"/>
              </w:rPr>
              <w:t>/d（共计2737.5m</w:t>
            </w:r>
            <w:r>
              <w:rPr>
                <w:rFonts w:hint="default" w:ascii="Times New Roman" w:hAnsi="Times New Roman" w:cs="Times New Roman"/>
                <w:sz w:val="24"/>
                <w:vertAlign w:val="superscript"/>
              </w:rPr>
              <w:t>3</w:t>
            </w:r>
            <w:r>
              <w:rPr>
                <w:rFonts w:hint="default" w:ascii="Times New Roman" w:hAnsi="Times New Roman" w:cs="Times New Roman"/>
                <w:sz w:val="24"/>
              </w:rPr>
              <w:t>），排污系数取0.8，生活污水产生量约6m</w:t>
            </w:r>
            <w:r>
              <w:rPr>
                <w:rFonts w:hint="default" w:ascii="Times New Roman" w:hAnsi="Times New Roman" w:cs="Times New Roman"/>
                <w:sz w:val="24"/>
                <w:vertAlign w:val="superscript"/>
              </w:rPr>
              <w:t>3</w:t>
            </w:r>
            <w:r>
              <w:rPr>
                <w:rFonts w:hint="default" w:ascii="Times New Roman" w:hAnsi="Times New Roman" w:cs="Times New Roman"/>
                <w:sz w:val="24"/>
              </w:rPr>
              <w:t>/d（共计2190m</w:t>
            </w:r>
            <w:r>
              <w:rPr>
                <w:rFonts w:hint="default" w:ascii="Times New Roman" w:hAnsi="Times New Roman" w:cs="Times New Roman"/>
                <w:sz w:val="24"/>
                <w:vertAlign w:val="superscript"/>
              </w:rPr>
              <w:t>3</w:t>
            </w:r>
            <w:r>
              <w:rPr>
                <w:rFonts w:hint="default" w:ascii="Times New Roman" w:hAnsi="Times New Roman" w:cs="Times New Roman"/>
                <w:sz w:val="24"/>
              </w:rPr>
              <w:t>）。生活污水中主要污染物是SS、COD、BOD</w:t>
            </w:r>
            <w:r>
              <w:rPr>
                <w:rFonts w:hint="default" w:ascii="Times New Roman" w:hAnsi="Times New Roman" w:cs="Times New Roman"/>
                <w:sz w:val="24"/>
                <w:vertAlign w:val="subscript"/>
              </w:rPr>
              <w:t>5</w:t>
            </w:r>
            <w:r>
              <w:rPr>
                <w:rFonts w:hint="default" w:ascii="Times New Roman" w:hAnsi="Times New Roman" w:cs="Times New Roman"/>
                <w:sz w:val="24"/>
              </w:rPr>
              <w:t>等。生活污水中主要污染物为COD、BOD</w:t>
            </w:r>
            <w:r>
              <w:rPr>
                <w:rFonts w:hint="default" w:ascii="Times New Roman" w:hAnsi="Times New Roman" w:cs="Times New Roman"/>
                <w:sz w:val="24"/>
                <w:vertAlign w:val="subscript"/>
              </w:rPr>
              <w:t>5</w:t>
            </w:r>
            <w:r>
              <w:rPr>
                <w:rFonts w:hint="default" w:ascii="Times New Roman" w:hAnsi="Times New Roman" w:cs="Times New Roman"/>
                <w:sz w:val="24"/>
              </w:rPr>
              <w:t>、氨氮、SS，浓度分别为SS：250mg/L、BOD</w:t>
            </w:r>
            <w:r>
              <w:rPr>
                <w:rFonts w:hint="default" w:ascii="Times New Roman" w:hAnsi="Times New Roman" w:cs="Times New Roman"/>
                <w:sz w:val="24"/>
                <w:vertAlign w:val="subscript"/>
              </w:rPr>
              <w:t>5</w:t>
            </w:r>
            <w:r>
              <w:rPr>
                <w:rFonts w:hint="default" w:ascii="Times New Roman" w:hAnsi="Times New Roman" w:cs="Times New Roman"/>
                <w:sz w:val="24"/>
              </w:rPr>
              <w:t>：150mg/L、氨氮：25mg/L、COD：400mg/L。施工营地设置防渗化粪池，生活污水排入防渗化粪池，定期由吸污车拉运至</w:t>
            </w:r>
            <w:r>
              <w:rPr>
                <w:rFonts w:hint="eastAsia" w:cs="Times New Roman"/>
                <w:sz w:val="24"/>
                <w:lang w:eastAsia="zh-CN"/>
              </w:rPr>
              <w:t>尉犁工业园区工业污水处理厂</w:t>
            </w:r>
            <w:r>
              <w:rPr>
                <w:rFonts w:hint="default" w:ascii="Times New Roman" w:hAnsi="Times New Roman" w:cs="Times New Roman"/>
                <w:sz w:val="24"/>
              </w:rPr>
              <w:t>处理。</w:t>
            </w:r>
          </w:p>
          <w:p w14:paraId="6149964F">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sz w:val="24"/>
              </w:rPr>
            </w:pPr>
            <w:r>
              <w:rPr>
                <w:rFonts w:hint="default" w:ascii="Times New Roman" w:hAnsi="Times New Roman" w:cs="Times New Roman"/>
                <w:sz w:val="24"/>
              </w:rPr>
              <w:t>（2）施工期地下水环境影响分析</w:t>
            </w:r>
          </w:p>
          <w:p w14:paraId="303A0994">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sz w:val="24"/>
                <w:lang w:val="en-US" w:eastAsia="zh-CN"/>
              </w:rPr>
            </w:pPr>
            <w:r>
              <w:rPr>
                <w:rFonts w:hint="default" w:ascii="Times New Roman" w:hAnsi="Times New Roman" w:cs="Times New Roman"/>
                <w:sz w:val="24"/>
                <w:lang w:val="en-US" w:eastAsia="zh-CN"/>
              </w:rPr>
              <w:t>本工程施工阶段无大量生产废水产生。施工期潜在地下水影响主要来自生活污水、机械油品滴漏、固体废物淋溶下渗。项目施工过程落实污染防控措施：施工车辆冲洗废水经沉淀池沉淀后循环回用；施工生活污水排入防渗化粪池，定期清运处置；机械设备检修不在站内开展；油品临时存放区域设置防渗托盘；建筑垃圾、生活垃圾分类收集、及时清运，不就地堆存。在严格落实上述防控措施前提下，施工期对地下水环境影响很小。</w:t>
            </w:r>
          </w:p>
          <w:p w14:paraId="59231B8B">
            <w:pPr>
              <w:pStyle w:val="18"/>
              <w:keepNext w:val="0"/>
              <w:keepLines w:val="0"/>
              <w:pageBreakBefore w:val="0"/>
              <w:widowControl/>
              <w:numPr>
                <w:ilvl w:val="0"/>
                <w:numId w:val="0"/>
              </w:numPr>
              <w:kinsoku/>
              <w:wordWrap/>
              <w:overflowPunct/>
              <w:topLinePunct w:val="0"/>
              <w:autoSpaceDE/>
              <w:autoSpaceDN/>
              <w:bidi w:val="0"/>
              <w:adjustRightInd/>
              <w:snapToGrid/>
              <w:spacing w:before="0" w:after="0" w:line="480" w:lineRule="exact"/>
              <w:ind w:left="0" w:leftChars="0" w:right="0" w:rightChars="0" w:firstLine="424" w:firstLineChars="200"/>
              <w:textAlignment w:val="auto"/>
              <w:rPr>
                <w:rFonts w:hint="default" w:ascii="Times New Roman" w:hAnsi="Times New Roman" w:eastAsia="黑体" w:cs="Times New Roman"/>
                <w:sz w:val="24"/>
                <w:lang w:val="en-US" w:eastAsia="zh-CN"/>
              </w:rPr>
            </w:pPr>
            <w:r>
              <w:rPr>
                <w:rFonts w:hint="default" w:ascii="Times New Roman" w:hAnsi="Times New Roman" w:eastAsia="黑体" w:cs="Times New Roman"/>
                <w:sz w:val="24"/>
                <w:lang w:val="en-US" w:eastAsia="zh-CN"/>
              </w:rPr>
              <w:t>2.3声环境影响分析</w:t>
            </w:r>
          </w:p>
          <w:p w14:paraId="32E497DC">
            <w:pPr>
              <w:spacing w:line="480" w:lineRule="exact"/>
              <w:ind w:firstLine="522"/>
              <w:rPr>
                <w:rFonts w:hint="default" w:ascii="Times New Roman" w:hAnsi="Times New Roman" w:cs="Times New Roman"/>
                <w:sz w:val="24"/>
              </w:rPr>
            </w:pPr>
            <w:r>
              <w:rPr>
                <w:rFonts w:hint="default" w:ascii="Times New Roman" w:hAnsi="Times New Roman" w:cs="Times New Roman"/>
                <w:sz w:val="24"/>
              </w:rPr>
              <w:t>施工期主要噪声污染源为施工过程中的施工机械噪声与交通运输车辆噪声。</w:t>
            </w:r>
          </w:p>
          <w:p w14:paraId="116F9BE1">
            <w:pPr>
              <w:spacing w:line="480" w:lineRule="exact"/>
              <w:ind w:firstLine="522"/>
              <w:rPr>
                <w:rFonts w:hint="default" w:ascii="Times New Roman" w:hAnsi="Times New Roman" w:cs="Times New Roman"/>
                <w:sz w:val="24"/>
              </w:rPr>
            </w:pPr>
            <w:r>
              <w:rPr>
                <w:rFonts w:hint="default" w:ascii="Times New Roman" w:hAnsi="Times New Roman" w:cs="Times New Roman"/>
                <w:sz w:val="24"/>
              </w:rPr>
              <w:t>根据《环境噪声与振动控制工程技术导则》（HJ 2034-2013）附录A，常见施工设施设备噪声源不同距离声压级见表4-</w:t>
            </w:r>
            <w:r>
              <w:rPr>
                <w:rFonts w:hint="default" w:ascii="Times New Roman" w:hAnsi="Times New Roman" w:cs="Times New Roman"/>
                <w:sz w:val="24"/>
                <w:lang w:val="en-US" w:eastAsia="zh-CN"/>
              </w:rPr>
              <w:t>4</w:t>
            </w:r>
            <w:r>
              <w:rPr>
                <w:rFonts w:hint="default" w:ascii="Times New Roman" w:hAnsi="Times New Roman" w:cs="Times New Roman"/>
                <w:sz w:val="24"/>
              </w:rPr>
              <w:t>。</w:t>
            </w:r>
          </w:p>
          <w:p w14:paraId="19E0C1C9">
            <w:pPr>
              <w:pStyle w:val="67"/>
              <w:numPr>
                <w:ilvl w:val="0"/>
                <w:numId w:val="0"/>
              </w:numPr>
              <w:spacing w:line="480" w:lineRule="exact"/>
              <w:ind w:left="420" w:leftChars="0"/>
              <w:jc w:val="center"/>
              <w:rPr>
                <w:rFonts w:hint="default" w:ascii="Times New Roman" w:hAnsi="Times New Roman" w:eastAsia="黑体" w:cs="Times New Roman"/>
                <w:lang w:val="en-US" w:eastAsia="zh-CN"/>
              </w:rPr>
            </w:pPr>
            <w:r>
              <w:rPr>
                <w:rFonts w:hint="default" w:ascii="Times New Roman" w:hAnsi="Times New Roman" w:eastAsia="黑体" w:cs="Times New Roman"/>
                <w:lang w:val="en-US" w:eastAsia="zh-CN"/>
              </w:rPr>
              <w:t>表4-4  主要施工机械噪声源及噪声影响预测结果一览表 单位：dB（A）</w:t>
            </w:r>
          </w:p>
          <w:tbl>
            <w:tblPr>
              <w:tblStyle w:val="43"/>
              <w:tblW w:w="76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0" w:type="dxa"/>
                <w:bottom w:w="57" w:type="dxa"/>
                <w:right w:w="0" w:type="dxa"/>
              </w:tblCellMar>
            </w:tblPr>
            <w:tblGrid>
              <w:gridCol w:w="1250"/>
              <w:gridCol w:w="1001"/>
              <w:gridCol w:w="1001"/>
              <w:gridCol w:w="1454"/>
              <w:gridCol w:w="1270"/>
              <w:gridCol w:w="1641"/>
            </w:tblGrid>
            <w:tr w14:paraId="2144D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c>
                <w:tcPr>
                  <w:tcW w:w="1250" w:type="dxa"/>
                  <w:noWrap/>
                  <w:vAlign w:val="center"/>
                </w:tcPr>
                <w:p w14:paraId="58B9DE72">
                  <w:pPr>
                    <w:jc w:val="center"/>
                    <w:rPr>
                      <w:rFonts w:hint="default" w:ascii="Times New Roman" w:hAnsi="Times New Roman" w:cs="Times New Roman"/>
                      <w:b w:val="0"/>
                      <w:bCs w:val="0"/>
                    </w:rPr>
                  </w:pPr>
                  <w:r>
                    <w:rPr>
                      <w:rFonts w:hint="default" w:ascii="Times New Roman" w:hAnsi="Times New Roman" w:cs="Times New Roman"/>
                      <w:b w:val="0"/>
                      <w:bCs w:val="0"/>
                    </w:rPr>
                    <w:t>施工设备名称</w:t>
                  </w:r>
                </w:p>
              </w:tc>
              <w:tc>
                <w:tcPr>
                  <w:tcW w:w="1001" w:type="dxa"/>
                  <w:noWrap/>
                  <w:vAlign w:val="center"/>
                </w:tcPr>
                <w:p w14:paraId="6D97B04D">
                  <w:pPr>
                    <w:jc w:val="center"/>
                    <w:rPr>
                      <w:rFonts w:hint="default" w:ascii="Times New Roman" w:hAnsi="Times New Roman" w:cs="Times New Roman"/>
                      <w:b w:val="0"/>
                      <w:bCs w:val="0"/>
                    </w:rPr>
                  </w:pPr>
                  <w:r>
                    <w:rPr>
                      <w:rFonts w:hint="default" w:ascii="Times New Roman" w:hAnsi="Times New Roman" w:cs="Times New Roman"/>
                      <w:b w:val="0"/>
                      <w:bCs w:val="0"/>
                    </w:rPr>
                    <w:t>距声源5mdB(A)</w:t>
                  </w:r>
                </w:p>
              </w:tc>
              <w:tc>
                <w:tcPr>
                  <w:tcW w:w="1001" w:type="dxa"/>
                  <w:noWrap/>
                  <w:vAlign w:val="center"/>
                </w:tcPr>
                <w:p w14:paraId="6F536199">
                  <w:pPr>
                    <w:jc w:val="center"/>
                    <w:rPr>
                      <w:rFonts w:hint="default" w:ascii="Times New Roman" w:hAnsi="Times New Roman" w:cs="Times New Roman"/>
                      <w:b w:val="0"/>
                      <w:bCs w:val="0"/>
                    </w:rPr>
                  </w:pPr>
                  <w:r>
                    <w:rPr>
                      <w:rFonts w:hint="default" w:ascii="Times New Roman" w:hAnsi="Times New Roman" w:cs="Times New Roman"/>
                      <w:b w:val="0"/>
                      <w:bCs w:val="0"/>
                    </w:rPr>
                    <w:t>距声源10mdB(A)</w:t>
                  </w:r>
                </w:p>
              </w:tc>
              <w:tc>
                <w:tcPr>
                  <w:tcW w:w="1454" w:type="dxa"/>
                  <w:noWrap/>
                  <w:vAlign w:val="center"/>
                </w:tcPr>
                <w:p w14:paraId="6CD40C83">
                  <w:pPr>
                    <w:jc w:val="center"/>
                    <w:rPr>
                      <w:rFonts w:hint="default" w:ascii="Times New Roman" w:hAnsi="Times New Roman" w:cs="Times New Roman"/>
                      <w:b w:val="0"/>
                      <w:bCs w:val="0"/>
                    </w:rPr>
                  </w:pPr>
                  <w:r>
                    <w:rPr>
                      <w:rFonts w:hint="default" w:ascii="Times New Roman" w:hAnsi="Times New Roman" w:cs="Times New Roman"/>
                      <w:b w:val="0"/>
                      <w:bCs w:val="0"/>
                    </w:rPr>
                    <w:t>施工设备名称</w:t>
                  </w:r>
                </w:p>
              </w:tc>
              <w:tc>
                <w:tcPr>
                  <w:tcW w:w="1270" w:type="dxa"/>
                  <w:noWrap/>
                  <w:vAlign w:val="center"/>
                </w:tcPr>
                <w:p w14:paraId="1DF0E704">
                  <w:pPr>
                    <w:jc w:val="center"/>
                    <w:rPr>
                      <w:rFonts w:hint="default" w:ascii="Times New Roman" w:hAnsi="Times New Roman" w:cs="Times New Roman"/>
                      <w:b w:val="0"/>
                      <w:bCs w:val="0"/>
                    </w:rPr>
                  </w:pPr>
                  <w:r>
                    <w:rPr>
                      <w:rFonts w:hint="default" w:ascii="Times New Roman" w:hAnsi="Times New Roman" w:cs="Times New Roman"/>
                      <w:b w:val="0"/>
                      <w:bCs w:val="0"/>
                    </w:rPr>
                    <w:t>距声源5mdB(A)</w:t>
                  </w:r>
                </w:p>
              </w:tc>
              <w:tc>
                <w:tcPr>
                  <w:tcW w:w="1641" w:type="dxa"/>
                  <w:noWrap/>
                  <w:vAlign w:val="center"/>
                </w:tcPr>
                <w:p w14:paraId="3DDB4DCF">
                  <w:pPr>
                    <w:jc w:val="center"/>
                    <w:rPr>
                      <w:rFonts w:hint="default" w:ascii="Times New Roman" w:hAnsi="Times New Roman" w:cs="Times New Roman"/>
                      <w:b w:val="0"/>
                      <w:bCs w:val="0"/>
                    </w:rPr>
                  </w:pPr>
                  <w:r>
                    <w:rPr>
                      <w:rFonts w:hint="default" w:ascii="Times New Roman" w:hAnsi="Times New Roman" w:cs="Times New Roman"/>
                      <w:b w:val="0"/>
                      <w:bCs w:val="0"/>
                    </w:rPr>
                    <w:t>距声源10mdB(A)</w:t>
                  </w:r>
                </w:p>
              </w:tc>
            </w:tr>
            <w:tr w14:paraId="59CDD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c>
                <w:tcPr>
                  <w:tcW w:w="1250" w:type="dxa"/>
                  <w:noWrap/>
                  <w:vAlign w:val="center"/>
                </w:tcPr>
                <w:p w14:paraId="6820F4D0">
                  <w:pPr>
                    <w:jc w:val="center"/>
                    <w:rPr>
                      <w:rFonts w:hint="default" w:ascii="Times New Roman" w:hAnsi="Times New Roman" w:cs="Times New Roman"/>
                      <w:b w:val="0"/>
                      <w:bCs w:val="0"/>
                    </w:rPr>
                  </w:pPr>
                  <w:r>
                    <w:rPr>
                      <w:rFonts w:hint="default" w:ascii="Times New Roman" w:hAnsi="Times New Roman" w:cs="Times New Roman"/>
                      <w:b w:val="0"/>
                      <w:bCs w:val="0"/>
                    </w:rPr>
                    <w:t>液压挖掘机</w:t>
                  </w:r>
                </w:p>
              </w:tc>
              <w:tc>
                <w:tcPr>
                  <w:tcW w:w="1001" w:type="dxa"/>
                  <w:noWrap/>
                  <w:vAlign w:val="center"/>
                </w:tcPr>
                <w:p w14:paraId="535CBE75">
                  <w:pPr>
                    <w:jc w:val="center"/>
                    <w:rPr>
                      <w:rFonts w:hint="default" w:ascii="Times New Roman" w:hAnsi="Times New Roman" w:cs="Times New Roman"/>
                      <w:b w:val="0"/>
                      <w:bCs w:val="0"/>
                    </w:rPr>
                  </w:pPr>
                  <w:r>
                    <w:rPr>
                      <w:rFonts w:hint="default" w:ascii="Times New Roman" w:hAnsi="Times New Roman" w:cs="Times New Roman"/>
                      <w:b w:val="0"/>
                      <w:bCs w:val="0"/>
                    </w:rPr>
                    <w:t>82~90</w:t>
                  </w:r>
                </w:p>
              </w:tc>
              <w:tc>
                <w:tcPr>
                  <w:tcW w:w="1001" w:type="dxa"/>
                  <w:noWrap/>
                  <w:vAlign w:val="center"/>
                </w:tcPr>
                <w:p w14:paraId="280361C0">
                  <w:pPr>
                    <w:jc w:val="center"/>
                    <w:rPr>
                      <w:rFonts w:hint="default" w:ascii="Times New Roman" w:hAnsi="Times New Roman" w:cs="Times New Roman"/>
                      <w:b w:val="0"/>
                      <w:bCs w:val="0"/>
                    </w:rPr>
                  </w:pPr>
                  <w:r>
                    <w:rPr>
                      <w:rFonts w:hint="default" w:ascii="Times New Roman" w:hAnsi="Times New Roman" w:cs="Times New Roman"/>
                      <w:b w:val="0"/>
                      <w:bCs w:val="0"/>
                    </w:rPr>
                    <w:t>78~86</w:t>
                  </w:r>
                </w:p>
              </w:tc>
              <w:tc>
                <w:tcPr>
                  <w:tcW w:w="1454" w:type="dxa"/>
                  <w:noWrap/>
                  <w:vAlign w:val="center"/>
                </w:tcPr>
                <w:p w14:paraId="24C9D506">
                  <w:pPr>
                    <w:jc w:val="center"/>
                    <w:rPr>
                      <w:rFonts w:hint="default" w:ascii="Times New Roman" w:hAnsi="Times New Roman" w:cs="Times New Roman"/>
                      <w:b w:val="0"/>
                      <w:bCs w:val="0"/>
                    </w:rPr>
                  </w:pPr>
                  <w:r>
                    <w:rPr>
                      <w:rFonts w:hint="default" w:ascii="Times New Roman" w:hAnsi="Times New Roman" w:cs="Times New Roman"/>
                      <w:b w:val="0"/>
                      <w:bCs w:val="0"/>
                    </w:rPr>
                    <w:t>振动夯锤</w:t>
                  </w:r>
                </w:p>
              </w:tc>
              <w:tc>
                <w:tcPr>
                  <w:tcW w:w="1270" w:type="dxa"/>
                  <w:noWrap/>
                  <w:vAlign w:val="center"/>
                </w:tcPr>
                <w:p w14:paraId="6DFE0B96">
                  <w:pPr>
                    <w:jc w:val="center"/>
                    <w:rPr>
                      <w:rFonts w:hint="default" w:ascii="Times New Roman" w:hAnsi="Times New Roman" w:cs="Times New Roman"/>
                      <w:b w:val="0"/>
                      <w:bCs w:val="0"/>
                    </w:rPr>
                  </w:pPr>
                  <w:r>
                    <w:rPr>
                      <w:rFonts w:hint="default" w:ascii="Times New Roman" w:hAnsi="Times New Roman" w:cs="Times New Roman"/>
                      <w:b w:val="0"/>
                      <w:bCs w:val="0"/>
                    </w:rPr>
                    <w:t>92~100</w:t>
                  </w:r>
                </w:p>
              </w:tc>
              <w:tc>
                <w:tcPr>
                  <w:tcW w:w="1641" w:type="dxa"/>
                  <w:noWrap/>
                  <w:vAlign w:val="center"/>
                </w:tcPr>
                <w:p w14:paraId="460F737A">
                  <w:pPr>
                    <w:jc w:val="center"/>
                    <w:rPr>
                      <w:rFonts w:hint="default" w:ascii="Times New Roman" w:hAnsi="Times New Roman" w:cs="Times New Roman"/>
                      <w:b w:val="0"/>
                      <w:bCs w:val="0"/>
                    </w:rPr>
                  </w:pPr>
                  <w:r>
                    <w:rPr>
                      <w:rFonts w:hint="default" w:ascii="Times New Roman" w:hAnsi="Times New Roman" w:cs="Times New Roman"/>
                      <w:b w:val="0"/>
                      <w:bCs w:val="0"/>
                    </w:rPr>
                    <w:t>86~94</w:t>
                  </w:r>
                </w:p>
              </w:tc>
            </w:tr>
            <w:tr w14:paraId="0337F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c>
                <w:tcPr>
                  <w:tcW w:w="1250" w:type="dxa"/>
                  <w:noWrap/>
                  <w:vAlign w:val="center"/>
                </w:tcPr>
                <w:p w14:paraId="49CD2EB5">
                  <w:pPr>
                    <w:jc w:val="center"/>
                    <w:rPr>
                      <w:rFonts w:hint="default" w:ascii="Times New Roman" w:hAnsi="Times New Roman" w:cs="Times New Roman"/>
                      <w:b w:val="0"/>
                      <w:bCs w:val="0"/>
                    </w:rPr>
                  </w:pPr>
                  <w:r>
                    <w:rPr>
                      <w:rFonts w:hint="default" w:ascii="Times New Roman" w:hAnsi="Times New Roman" w:cs="Times New Roman"/>
                      <w:b w:val="0"/>
                      <w:bCs w:val="0"/>
                    </w:rPr>
                    <w:t>电动挖掘机</w:t>
                  </w:r>
                </w:p>
              </w:tc>
              <w:tc>
                <w:tcPr>
                  <w:tcW w:w="1001" w:type="dxa"/>
                  <w:noWrap/>
                  <w:vAlign w:val="center"/>
                </w:tcPr>
                <w:p w14:paraId="5F85AB3F">
                  <w:pPr>
                    <w:jc w:val="center"/>
                    <w:rPr>
                      <w:rFonts w:hint="default" w:ascii="Times New Roman" w:hAnsi="Times New Roman" w:cs="Times New Roman"/>
                      <w:b w:val="0"/>
                      <w:bCs w:val="0"/>
                    </w:rPr>
                  </w:pPr>
                  <w:r>
                    <w:rPr>
                      <w:rFonts w:hint="default" w:ascii="Times New Roman" w:hAnsi="Times New Roman" w:cs="Times New Roman"/>
                      <w:b w:val="0"/>
                      <w:bCs w:val="0"/>
                    </w:rPr>
                    <w:t>80~86</w:t>
                  </w:r>
                </w:p>
              </w:tc>
              <w:tc>
                <w:tcPr>
                  <w:tcW w:w="1001" w:type="dxa"/>
                  <w:noWrap/>
                  <w:vAlign w:val="center"/>
                </w:tcPr>
                <w:p w14:paraId="26077365">
                  <w:pPr>
                    <w:jc w:val="center"/>
                    <w:rPr>
                      <w:rFonts w:hint="default" w:ascii="Times New Roman" w:hAnsi="Times New Roman" w:cs="Times New Roman"/>
                      <w:b w:val="0"/>
                      <w:bCs w:val="0"/>
                    </w:rPr>
                  </w:pPr>
                  <w:r>
                    <w:rPr>
                      <w:rFonts w:hint="default" w:ascii="Times New Roman" w:hAnsi="Times New Roman" w:cs="Times New Roman"/>
                      <w:b w:val="0"/>
                      <w:bCs w:val="0"/>
                    </w:rPr>
                    <w:t>75~83</w:t>
                  </w:r>
                </w:p>
              </w:tc>
              <w:tc>
                <w:tcPr>
                  <w:tcW w:w="1454" w:type="dxa"/>
                  <w:noWrap/>
                  <w:vAlign w:val="center"/>
                </w:tcPr>
                <w:p w14:paraId="06E2A590">
                  <w:pPr>
                    <w:jc w:val="center"/>
                    <w:rPr>
                      <w:rFonts w:hint="default" w:ascii="Times New Roman" w:hAnsi="Times New Roman" w:cs="Times New Roman"/>
                      <w:b w:val="0"/>
                      <w:bCs w:val="0"/>
                    </w:rPr>
                  </w:pPr>
                  <w:r>
                    <w:rPr>
                      <w:rFonts w:hint="default" w:ascii="Times New Roman" w:hAnsi="Times New Roman" w:cs="Times New Roman"/>
                      <w:b w:val="0"/>
                      <w:bCs w:val="0"/>
                    </w:rPr>
                    <w:t>打桩机</w:t>
                  </w:r>
                </w:p>
              </w:tc>
              <w:tc>
                <w:tcPr>
                  <w:tcW w:w="1270" w:type="dxa"/>
                  <w:noWrap/>
                  <w:vAlign w:val="center"/>
                </w:tcPr>
                <w:p w14:paraId="3FF63DCF">
                  <w:pPr>
                    <w:jc w:val="center"/>
                    <w:rPr>
                      <w:rFonts w:hint="default" w:ascii="Times New Roman" w:hAnsi="Times New Roman" w:cs="Times New Roman"/>
                      <w:b w:val="0"/>
                      <w:bCs w:val="0"/>
                    </w:rPr>
                  </w:pPr>
                  <w:r>
                    <w:rPr>
                      <w:rFonts w:hint="default" w:ascii="Times New Roman" w:hAnsi="Times New Roman" w:cs="Times New Roman"/>
                      <w:b w:val="0"/>
                      <w:bCs w:val="0"/>
                    </w:rPr>
                    <w:t>100~110</w:t>
                  </w:r>
                </w:p>
              </w:tc>
              <w:tc>
                <w:tcPr>
                  <w:tcW w:w="1641" w:type="dxa"/>
                  <w:noWrap/>
                  <w:vAlign w:val="center"/>
                </w:tcPr>
                <w:p w14:paraId="64AE0663">
                  <w:pPr>
                    <w:jc w:val="center"/>
                    <w:rPr>
                      <w:rFonts w:hint="default" w:ascii="Times New Roman" w:hAnsi="Times New Roman" w:cs="Times New Roman"/>
                      <w:b w:val="0"/>
                      <w:bCs w:val="0"/>
                    </w:rPr>
                  </w:pPr>
                  <w:r>
                    <w:rPr>
                      <w:rFonts w:hint="default" w:ascii="Times New Roman" w:hAnsi="Times New Roman" w:cs="Times New Roman"/>
                      <w:b w:val="0"/>
                      <w:bCs w:val="0"/>
                    </w:rPr>
                    <w:t>95~105</w:t>
                  </w:r>
                </w:p>
              </w:tc>
            </w:tr>
            <w:tr w14:paraId="72A6C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c>
                <w:tcPr>
                  <w:tcW w:w="1250" w:type="dxa"/>
                  <w:noWrap/>
                  <w:vAlign w:val="center"/>
                </w:tcPr>
                <w:p w14:paraId="15D12522">
                  <w:pPr>
                    <w:jc w:val="center"/>
                    <w:rPr>
                      <w:rFonts w:hint="default" w:ascii="Times New Roman" w:hAnsi="Times New Roman" w:cs="Times New Roman"/>
                      <w:b w:val="0"/>
                      <w:bCs w:val="0"/>
                    </w:rPr>
                  </w:pPr>
                  <w:r>
                    <w:rPr>
                      <w:rFonts w:hint="default" w:ascii="Times New Roman" w:hAnsi="Times New Roman" w:cs="Times New Roman"/>
                      <w:b w:val="0"/>
                      <w:bCs w:val="0"/>
                    </w:rPr>
                    <w:t>轮式装载机</w:t>
                  </w:r>
                </w:p>
              </w:tc>
              <w:tc>
                <w:tcPr>
                  <w:tcW w:w="1001" w:type="dxa"/>
                  <w:noWrap/>
                  <w:vAlign w:val="center"/>
                </w:tcPr>
                <w:p w14:paraId="138A4F57">
                  <w:pPr>
                    <w:jc w:val="center"/>
                    <w:rPr>
                      <w:rFonts w:hint="default" w:ascii="Times New Roman" w:hAnsi="Times New Roman" w:cs="Times New Roman"/>
                      <w:b w:val="0"/>
                      <w:bCs w:val="0"/>
                    </w:rPr>
                  </w:pPr>
                  <w:r>
                    <w:rPr>
                      <w:rFonts w:hint="default" w:ascii="Times New Roman" w:hAnsi="Times New Roman" w:cs="Times New Roman"/>
                      <w:b w:val="0"/>
                      <w:bCs w:val="0"/>
                    </w:rPr>
                    <w:t>90~95</w:t>
                  </w:r>
                </w:p>
              </w:tc>
              <w:tc>
                <w:tcPr>
                  <w:tcW w:w="1001" w:type="dxa"/>
                  <w:noWrap/>
                  <w:vAlign w:val="center"/>
                </w:tcPr>
                <w:p w14:paraId="3C1279BF">
                  <w:pPr>
                    <w:jc w:val="center"/>
                    <w:rPr>
                      <w:rFonts w:hint="default" w:ascii="Times New Roman" w:hAnsi="Times New Roman" w:cs="Times New Roman"/>
                      <w:b w:val="0"/>
                      <w:bCs w:val="0"/>
                    </w:rPr>
                  </w:pPr>
                  <w:r>
                    <w:rPr>
                      <w:rFonts w:hint="default" w:ascii="Times New Roman" w:hAnsi="Times New Roman" w:cs="Times New Roman"/>
                      <w:b w:val="0"/>
                      <w:bCs w:val="0"/>
                    </w:rPr>
                    <w:t>85~91</w:t>
                  </w:r>
                </w:p>
              </w:tc>
              <w:tc>
                <w:tcPr>
                  <w:tcW w:w="1454" w:type="dxa"/>
                  <w:noWrap/>
                  <w:vAlign w:val="center"/>
                </w:tcPr>
                <w:p w14:paraId="2BD5769F">
                  <w:pPr>
                    <w:jc w:val="center"/>
                    <w:rPr>
                      <w:rFonts w:hint="default" w:ascii="Times New Roman" w:hAnsi="Times New Roman" w:cs="Times New Roman"/>
                      <w:b w:val="0"/>
                      <w:bCs w:val="0"/>
                    </w:rPr>
                  </w:pPr>
                  <w:r>
                    <w:rPr>
                      <w:rFonts w:hint="default" w:ascii="Times New Roman" w:hAnsi="Times New Roman" w:cs="Times New Roman"/>
                      <w:b w:val="0"/>
                      <w:bCs w:val="0"/>
                    </w:rPr>
                    <w:t>静力压桩机</w:t>
                  </w:r>
                </w:p>
              </w:tc>
              <w:tc>
                <w:tcPr>
                  <w:tcW w:w="1270" w:type="dxa"/>
                  <w:noWrap/>
                  <w:vAlign w:val="center"/>
                </w:tcPr>
                <w:p w14:paraId="37346A42">
                  <w:pPr>
                    <w:jc w:val="center"/>
                    <w:rPr>
                      <w:rFonts w:hint="default" w:ascii="Times New Roman" w:hAnsi="Times New Roman" w:cs="Times New Roman"/>
                      <w:b w:val="0"/>
                      <w:bCs w:val="0"/>
                    </w:rPr>
                  </w:pPr>
                  <w:r>
                    <w:rPr>
                      <w:rFonts w:hint="default" w:ascii="Times New Roman" w:hAnsi="Times New Roman" w:cs="Times New Roman"/>
                      <w:b w:val="0"/>
                      <w:bCs w:val="0"/>
                    </w:rPr>
                    <w:t>70~75</w:t>
                  </w:r>
                </w:p>
              </w:tc>
              <w:tc>
                <w:tcPr>
                  <w:tcW w:w="1641" w:type="dxa"/>
                  <w:noWrap/>
                  <w:vAlign w:val="center"/>
                </w:tcPr>
                <w:p w14:paraId="70DD3E2A">
                  <w:pPr>
                    <w:jc w:val="center"/>
                    <w:rPr>
                      <w:rFonts w:hint="default" w:ascii="Times New Roman" w:hAnsi="Times New Roman" w:cs="Times New Roman"/>
                      <w:b w:val="0"/>
                      <w:bCs w:val="0"/>
                    </w:rPr>
                  </w:pPr>
                  <w:r>
                    <w:rPr>
                      <w:rFonts w:hint="default" w:ascii="Times New Roman" w:hAnsi="Times New Roman" w:cs="Times New Roman"/>
                      <w:b w:val="0"/>
                      <w:bCs w:val="0"/>
                    </w:rPr>
                    <w:t>68~73</w:t>
                  </w:r>
                </w:p>
              </w:tc>
            </w:tr>
            <w:tr w14:paraId="6555B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c>
                <w:tcPr>
                  <w:tcW w:w="1250" w:type="dxa"/>
                  <w:noWrap/>
                  <w:vAlign w:val="center"/>
                </w:tcPr>
                <w:p w14:paraId="038ADB62">
                  <w:pPr>
                    <w:jc w:val="center"/>
                    <w:rPr>
                      <w:rFonts w:hint="default" w:ascii="Times New Roman" w:hAnsi="Times New Roman" w:cs="Times New Roman"/>
                      <w:b w:val="0"/>
                      <w:bCs w:val="0"/>
                    </w:rPr>
                  </w:pPr>
                  <w:r>
                    <w:rPr>
                      <w:rFonts w:hint="default" w:ascii="Times New Roman" w:hAnsi="Times New Roman" w:cs="Times New Roman"/>
                      <w:b w:val="0"/>
                      <w:bCs w:val="0"/>
                    </w:rPr>
                    <w:t>推土机</w:t>
                  </w:r>
                </w:p>
              </w:tc>
              <w:tc>
                <w:tcPr>
                  <w:tcW w:w="1001" w:type="dxa"/>
                  <w:noWrap/>
                  <w:vAlign w:val="center"/>
                </w:tcPr>
                <w:p w14:paraId="010EDE4D">
                  <w:pPr>
                    <w:jc w:val="center"/>
                    <w:rPr>
                      <w:rFonts w:hint="default" w:ascii="Times New Roman" w:hAnsi="Times New Roman" w:cs="Times New Roman"/>
                      <w:b w:val="0"/>
                      <w:bCs w:val="0"/>
                    </w:rPr>
                  </w:pPr>
                  <w:r>
                    <w:rPr>
                      <w:rFonts w:hint="default" w:ascii="Times New Roman" w:hAnsi="Times New Roman" w:cs="Times New Roman"/>
                      <w:b w:val="0"/>
                      <w:bCs w:val="0"/>
                    </w:rPr>
                    <w:t>83~88</w:t>
                  </w:r>
                </w:p>
              </w:tc>
              <w:tc>
                <w:tcPr>
                  <w:tcW w:w="1001" w:type="dxa"/>
                  <w:noWrap/>
                  <w:vAlign w:val="center"/>
                </w:tcPr>
                <w:p w14:paraId="3272DD15">
                  <w:pPr>
                    <w:jc w:val="center"/>
                    <w:rPr>
                      <w:rFonts w:hint="default" w:ascii="Times New Roman" w:hAnsi="Times New Roman" w:cs="Times New Roman"/>
                      <w:b w:val="0"/>
                      <w:bCs w:val="0"/>
                    </w:rPr>
                  </w:pPr>
                  <w:r>
                    <w:rPr>
                      <w:rFonts w:hint="default" w:ascii="Times New Roman" w:hAnsi="Times New Roman" w:cs="Times New Roman"/>
                      <w:b w:val="0"/>
                      <w:bCs w:val="0"/>
                    </w:rPr>
                    <w:t>80~85</w:t>
                  </w:r>
                </w:p>
              </w:tc>
              <w:tc>
                <w:tcPr>
                  <w:tcW w:w="1454" w:type="dxa"/>
                  <w:noWrap/>
                  <w:vAlign w:val="center"/>
                </w:tcPr>
                <w:p w14:paraId="7B982F71">
                  <w:pPr>
                    <w:jc w:val="center"/>
                    <w:rPr>
                      <w:rFonts w:hint="default" w:ascii="Times New Roman" w:hAnsi="Times New Roman" w:cs="Times New Roman"/>
                      <w:b w:val="0"/>
                      <w:bCs w:val="0"/>
                    </w:rPr>
                  </w:pPr>
                  <w:r>
                    <w:rPr>
                      <w:rFonts w:hint="default" w:ascii="Times New Roman" w:hAnsi="Times New Roman" w:cs="Times New Roman"/>
                      <w:b w:val="0"/>
                      <w:bCs w:val="0"/>
                    </w:rPr>
                    <w:t>混凝土输送泵</w:t>
                  </w:r>
                </w:p>
              </w:tc>
              <w:tc>
                <w:tcPr>
                  <w:tcW w:w="1270" w:type="dxa"/>
                  <w:noWrap/>
                  <w:vAlign w:val="center"/>
                </w:tcPr>
                <w:p w14:paraId="1860EBF7">
                  <w:pPr>
                    <w:jc w:val="center"/>
                    <w:rPr>
                      <w:rFonts w:hint="default" w:ascii="Times New Roman" w:hAnsi="Times New Roman" w:cs="Times New Roman"/>
                      <w:b w:val="0"/>
                      <w:bCs w:val="0"/>
                    </w:rPr>
                  </w:pPr>
                  <w:r>
                    <w:rPr>
                      <w:rFonts w:hint="default" w:ascii="Times New Roman" w:hAnsi="Times New Roman" w:cs="Times New Roman"/>
                      <w:b w:val="0"/>
                      <w:bCs w:val="0"/>
                    </w:rPr>
                    <w:t>88~95</w:t>
                  </w:r>
                </w:p>
              </w:tc>
              <w:tc>
                <w:tcPr>
                  <w:tcW w:w="1641" w:type="dxa"/>
                  <w:noWrap/>
                  <w:vAlign w:val="center"/>
                </w:tcPr>
                <w:p w14:paraId="59491FCC">
                  <w:pPr>
                    <w:jc w:val="center"/>
                    <w:rPr>
                      <w:rFonts w:hint="default" w:ascii="Times New Roman" w:hAnsi="Times New Roman" w:cs="Times New Roman"/>
                      <w:b w:val="0"/>
                      <w:bCs w:val="0"/>
                    </w:rPr>
                  </w:pPr>
                  <w:r>
                    <w:rPr>
                      <w:rFonts w:hint="default" w:ascii="Times New Roman" w:hAnsi="Times New Roman" w:cs="Times New Roman"/>
                      <w:b w:val="0"/>
                      <w:bCs w:val="0"/>
                    </w:rPr>
                    <w:t>84~90</w:t>
                  </w:r>
                </w:p>
              </w:tc>
            </w:tr>
            <w:tr w14:paraId="04069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c>
                <w:tcPr>
                  <w:tcW w:w="1250" w:type="dxa"/>
                  <w:noWrap/>
                  <w:vAlign w:val="center"/>
                </w:tcPr>
                <w:p w14:paraId="71314B4C">
                  <w:pPr>
                    <w:jc w:val="center"/>
                    <w:rPr>
                      <w:rFonts w:hint="default" w:ascii="Times New Roman" w:hAnsi="Times New Roman" w:cs="Times New Roman"/>
                      <w:b w:val="0"/>
                      <w:bCs w:val="0"/>
                    </w:rPr>
                  </w:pPr>
                  <w:r>
                    <w:rPr>
                      <w:rFonts w:hint="default" w:ascii="Times New Roman" w:hAnsi="Times New Roman" w:cs="Times New Roman"/>
                      <w:b w:val="0"/>
                      <w:bCs w:val="0"/>
                    </w:rPr>
                    <w:t>重型运输车</w:t>
                  </w:r>
                </w:p>
              </w:tc>
              <w:tc>
                <w:tcPr>
                  <w:tcW w:w="1001" w:type="dxa"/>
                  <w:noWrap/>
                  <w:vAlign w:val="center"/>
                </w:tcPr>
                <w:p w14:paraId="0B228691">
                  <w:pPr>
                    <w:jc w:val="center"/>
                    <w:rPr>
                      <w:rFonts w:hint="default" w:ascii="Times New Roman" w:hAnsi="Times New Roman" w:cs="Times New Roman"/>
                      <w:b w:val="0"/>
                      <w:bCs w:val="0"/>
                    </w:rPr>
                  </w:pPr>
                  <w:r>
                    <w:rPr>
                      <w:rFonts w:hint="default" w:ascii="Times New Roman" w:hAnsi="Times New Roman" w:cs="Times New Roman"/>
                      <w:b w:val="0"/>
                      <w:bCs w:val="0"/>
                    </w:rPr>
                    <w:t>82~90</w:t>
                  </w:r>
                </w:p>
              </w:tc>
              <w:tc>
                <w:tcPr>
                  <w:tcW w:w="1001" w:type="dxa"/>
                  <w:noWrap/>
                  <w:vAlign w:val="center"/>
                </w:tcPr>
                <w:p w14:paraId="46912824">
                  <w:pPr>
                    <w:jc w:val="center"/>
                    <w:rPr>
                      <w:rFonts w:hint="default" w:ascii="Times New Roman" w:hAnsi="Times New Roman" w:cs="Times New Roman"/>
                      <w:b w:val="0"/>
                      <w:bCs w:val="0"/>
                    </w:rPr>
                  </w:pPr>
                  <w:r>
                    <w:rPr>
                      <w:rFonts w:hint="default" w:ascii="Times New Roman" w:hAnsi="Times New Roman" w:cs="Times New Roman"/>
                      <w:b w:val="0"/>
                      <w:bCs w:val="0"/>
                    </w:rPr>
                    <w:t>78~86</w:t>
                  </w:r>
                </w:p>
              </w:tc>
              <w:tc>
                <w:tcPr>
                  <w:tcW w:w="1454" w:type="dxa"/>
                  <w:noWrap/>
                  <w:vAlign w:val="center"/>
                </w:tcPr>
                <w:p w14:paraId="49BDC126">
                  <w:pPr>
                    <w:jc w:val="center"/>
                    <w:rPr>
                      <w:rFonts w:hint="default" w:ascii="Times New Roman" w:hAnsi="Times New Roman" w:cs="Times New Roman"/>
                      <w:b w:val="0"/>
                      <w:bCs w:val="0"/>
                    </w:rPr>
                  </w:pPr>
                  <w:r>
                    <w:rPr>
                      <w:rFonts w:hint="default" w:ascii="Times New Roman" w:hAnsi="Times New Roman" w:cs="Times New Roman"/>
                      <w:b w:val="0"/>
                      <w:bCs w:val="0"/>
                    </w:rPr>
                    <w:t>混凝土振捣器</w:t>
                  </w:r>
                </w:p>
              </w:tc>
              <w:tc>
                <w:tcPr>
                  <w:tcW w:w="1270" w:type="dxa"/>
                  <w:noWrap/>
                  <w:vAlign w:val="center"/>
                </w:tcPr>
                <w:p w14:paraId="0FA7A101">
                  <w:pPr>
                    <w:jc w:val="center"/>
                    <w:rPr>
                      <w:rFonts w:hint="default" w:ascii="Times New Roman" w:hAnsi="Times New Roman" w:cs="Times New Roman"/>
                      <w:b w:val="0"/>
                      <w:bCs w:val="0"/>
                    </w:rPr>
                  </w:pPr>
                  <w:r>
                    <w:rPr>
                      <w:rFonts w:hint="default" w:ascii="Times New Roman" w:hAnsi="Times New Roman" w:cs="Times New Roman"/>
                      <w:b w:val="0"/>
                      <w:bCs w:val="0"/>
                    </w:rPr>
                    <w:t>80~88</w:t>
                  </w:r>
                </w:p>
              </w:tc>
              <w:tc>
                <w:tcPr>
                  <w:tcW w:w="1641" w:type="dxa"/>
                  <w:noWrap/>
                  <w:vAlign w:val="center"/>
                </w:tcPr>
                <w:p w14:paraId="2CD860CE">
                  <w:pPr>
                    <w:jc w:val="center"/>
                    <w:rPr>
                      <w:rFonts w:hint="default" w:ascii="Times New Roman" w:hAnsi="Times New Roman" w:cs="Times New Roman"/>
                      <w:b w:val="0"/>
                      <w:bCs w:val="0"/>
                    </w:rPr>
                  </w:pPr>
                  <w:r>
                    <w:rPr>
                      <w:rFonts w:hint="default" w:ascii="Times New Roman" w:hAnsi="Times New Roman" w:cs="Times New Roman"/>
                      <w:b w:val="0"/>
                      <w:bCs w:val="0"/>
                    </w:rPr>
                    <w:t>75~84</w:t>
                  </w:r>
                </w:p>
              </w:tc>
            </w:tr>
            <w:tr w14:paraId="4D87F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c>
                <w:tcPr>
                  <w:tcW w:w="1250" w:type="dxa"/>
                  <w:noWrap/>
                  <w:vAlign w:val="center"/>
                </w:tcPr>
                <w:p w14:paraId="48BFDB5C">
                  <w:pPr>
                    <w:jc w:val="center"/>
                    <w:rPr>
                      <w:rFonts w:hint="default" w:ascii="Times New Roman" w:hAnsi="Times New Roman" w:cs="Times New Roman"/>
                      <w:b w:val="0"/>
                      <w:bCs w:val="0"/>
                    </w:rPr>
                  </w:pPr>
                  <w:r>
                    <w:rPr>
                      <w:rFonts w:hint="default" w:ascii="Times New Roman" w:hAnsi="Times New Roman" w:cs="Times New Roman"/>
                      <w:b w:val="0"/>
                      <w:bCs w:val="0"/>
                    </w:rPr>
                    <w:t>电锤</w:t>
                  </w:r>
                </w:p>
              </w:tc>
              <w:tc>
                <w:tcPr>
                  <w:tcW w:w="1001" w:type="dxa"/>
                  <w:noWrap/>
                  <w:vAlign w:val="center"/>
                </w:tcPr>
                <w:p w14:paraId="034F3783">
                  <w:pPr>
                    <w:jc w:val="center"/>
                    <w:rPr>
                      <w:rFonts w:hint="default" w:ascii="Times New Roman" w:hAnsi="Times New Roman" w:cs="Times New Roman"/>
                      <w:b w:val="0"/>
                      <w:bCs w:val="0"/>
                    </w:rPr>
                  </w:pPr>
                  <w:r>
                    <w:rPr>
                      <w:rFonts w:hint="default" w:ascii="Times New Roman" w:hAnsi="Times New Roman" w:cs="Times New Roman"/>
                      <w:b w:val="0"/>
                      <w:bCs w:val="0"/>
                    </w:rPr>
                    <w:t>100~105</w:t>
                  </w:r>
                </w:p>
              </w:tc>
              <w:tc>
                <w:tcPr>
                  <w:tcW w:w="1001" w:type="dxa"/>
                  <w:noWrap/>
                  <w:vAlign w:val="center"/>
                </w:tcPr>
                <w:p w14:paraId="11113CF6">
                  <w:pPr>
                    <w:jc w:val="center"/>
                    <w:rPr>
                      <w:rFonts w:hint="default" w:ascii="Times New Roman" w:hAnsi="Times New Roman" w:cs="Times New Roman"/>
                      <w:b w:val="0"/>
                      <w:bCs w:val="0"/>
                    </w:rPr>
                  </w:pPr>
                  <w:r>
                    <w:rPr>
                      <w:rFonts w:hint="default" w:ascii="Times New Roman" w:hAnsi="Times New Roman" w:cs="Times New Roman"/>
                      <w:b w:val="0"/>
                      <w:bCs w:val="0"/>
                    </w:rPr>
                    <w:t>95~99</w:t>
                  </w:r>
                </w:p>
              </w:tc>
              <w:tc>
                <w:tcPr>
                  <w:tcW w:w="1454" w:type="dxa"/>
                  <w:noWrap/>
                  <w:vAlign w:val="center"/>
                </w:tcPr>
                <w:p w14:paraId="5D5C6ED4">
                  <w:pPr>
                    <w:jc w:val="center"/>
                    <w:rPr>
                      <w:rFonts w:hint="default" w:ascii="Times New Roman" w:hAnsi="Times New Roman" w:cs="Times New Roman"/>
                      <w:b w:val="0"/>
                      <w:bCs w:val="0"/>
                    </w:rPr>
                  </w:pPr>
                  <w:r>
                    <w:rPr>
                      <w:rFonts w:hint="default" w:ascii="Times New Roman" w:hAnsi="Times New Roman" w:cs="Times New Roman"/>
                      <w:b w:val="0"/>
                      <w:bCs w:val="0"/>
                    </w:rPr>
                    <w:t>空压机</w:t>
                  </w:r>
                </w:p>
              </w:tc>
              <w:tc>
                <w:tcPr>
                  <w:tcW w:w="1270" w:type="dxa"/>
                  <w:noWrap/>
                  <w:vAlign w:val="center"/>
                </w:tcPr>
                <w:p w14:paraId="3E14941B">
                  <w:pPr>
                    <w:jc w:val="center"/>
                    <w:rPr>
                      <w:rFonts w:hint="default" w:ascii="Times New Roman" w:hAnsi="Times New Roman" w:cs="Times New Roman"/>
                      <w:b w:val="0"/>
                      <w:bCs w:val="0"/>
                    </w:rPr>
                  </w:pPr>
                  <w:r>
                    <w:rPr>
                      <w:rFonts w:hint="default" w:ascii="Times New Roman" w:hAnsi="Times New Roman" w:cs="Times New Roman"/>
                      <w:b w:val="0"/>
                      <w:bCs w:val="0"/>
                    </w:rPr>
                    <w:t>88~92</w:t>
                  </w:r>
                </w:p>
              </w:tc>
              <w:tc>
                <w:tcPr>
                  <w:tcW w:w="1641" w:type="dxa"/>
                  <w:noWrap/>
                  <w:vAlign w:val="center"/>
                </w:tcPr>
                <w:p w14:paraId="3682A886">
                  <w:pPr>
                    <w:jc w:val="center"/>
                    <w:rPr>
                      <w:rFonts w:hint="default" w:ascii="Times New Roman" w:hAnsi="Times New Roman" w:cs="Times New Roman"/>
                      <w:b w:val="0"/>
                      <w:bCs w:val="0"/>
                    </w:rPr>
                  </w:pPr>
                  <w:r>
                    <w:rPr>
                      <w:rFonts w:hint="default" w:ascii="Times New Roman" w:hAnsi="Times New Roman" w:cs="Times New Roman"/>
                      <w:b w:val="0"/>
                      <w:bCs w:val="0"/>
                    </w:rPr>
                    <w:t>83~88</w:t>
                  </w:r>
                </w:p>
              </w:tc>
            </w:tr>
          </w:tbl>
          <w:p w14:paraId="06A2B023">
            <w:pPr>
              <w:spacing w:line="480" w:lineRule="exact"/>
              <w:ind w:firstLine="522"/>
              <w:rPr>
                <w:rFonts w:hint="default" w:ascii="Times New Roman" w:hAnsi="Times New Roman" w:cs="Times New Roman"/>
                <w:sz w:val="24"/>
              </w:rPr>
            </w:pPr>
            <w:r>
              <w:rPr>
                <w:rFonts w:hint="default" w:ascii="Times New Roman" w:hAnsi="Times New Roman" w:cs="Times New Roman"/>
                <w:sz w:val="24"/>
              </w:rPr>
              <w:t>本评价选取使用数量、时间、频次较多、噪声级较高的推土机、装载机、搅拌机等噪声源，对其影响范围进行预测。点源扩散衰减采用半球扩散模型计算，以噪声源为中心，噪声传到不同距离处的强度值采用下式计算：</w:t>
            </w:r>
          </w:p>
          <w:p w14:paraId="2A4BE0B2">
            <w:pPr>
              <w:spacing w:line="480" w:lineRule="exact"/>
              <w:ind w:firstLine="522"/>
              <w:jc w:val="center"/>
              <w:rPr>
                <w:rFonts w:hint="default" w:ascii="Times New Roman" w:hAnsi="Times New Roman" w:cs="Times New Roman"/>
                <w:sz w:val="24"/>
              </w:rPr>
            </w:pPr>
            <w:r>
              <w:rPr>
                <w:rFonts w:hint="default" w:ascii="Times New Roman" w:hAnsi="Times New Roman" w:cs="Times New Roman"/>
                <w:sz w:val="24"/>
              </w:rPr>
              <w:t>L</w:t>
            </w:r>
            <w:r>
              <w:rPr>
                <w:rFonts w:hint="default" w:ascii="Times New Roman" w:hAnsi="Times New Roman" w:cs="Times New Roman"/>
                <w:sz w:val="24"/>
                <w:vertAlign w:val="subscript"/>
              </w:rPr>
              <w:t>A</w:t>
            </w:r>
            <w:r>
              <w:rPr>
                <w:rFonts w:hint="default" w:ascii="Times New Roman" w:hAnsi="Times New Roman" w:cs="Times New Roman"/>
                <w:sz w:val="24"/>
              </w:rPr>
              <w:t>（r）＝L</w:t>
            </w:r>
            <w:r>
              <w:rPr>
                <w:rFonts w:hint="default" w:ascii="Times New Roman" w:hAnsi="Times New Roman" w:cs="Times New Roman"/>
                <w:sz w:val="24"/>
                <w:vertAlign w:val="subscript"/>
              </w:rPr>
              <w:t>A</w:t>
            </w:r>
            <w:r>
              <w:rPr>
                <w:rFonts w:hint="default" w:ascii="Times New Roman" w:hAnsi="Times New Roman" w:cs="Times New Roman"/>
                <w:sz w:val="24"/>
              </w:rPr>
              <w:t>（r</w:t>
            </w:r>
            <w:r>
              <w:rPr>
                <w:rFonts w:hint="default" w:ascii="Times New Roman" w:hAnsi="Times New Roman" w:cs="Times New Roman"/>
                <w:sz w:val="24"/>
                <w:vertAlign w:val="subscript"/>
              </w:rPr>
              <w:t>0</w:t>
            </w:r>
            <w:r>
              <w:rPr>
                <w:rFonts w:hint="default" w:ascii="Times New Roman" w:hAnsi="Times New Roman" w:cs="Times New Roman"/>
                <w:sz w:val="24"/>
              </w:rPr>
              <w:t>）-20lg（r/r</w:t>
            </w:r>
            <w:r>
              <w:rPr>
                <w:rFonts w:hint="default" w:ascii="Times New Roman" w:hAnsi="Times New Roman" w:cs="Times New Roman"/>
                <w:sz w:val="24"/>
                <w:vertAlign w:val="subscript"/>
              </w:rPr>
              <w:t>0</w:t>
            </w:r>
            <w:r>
              <w:rPr>
                <w:rFonts w:hint="default" w:ascii="Times New Roman" w:hAnsi="Times New Roman" w:cs="Times New Roman"/>
                <w:sz w:val="24"/>
              </w:rPr>
              <w:t>）</w:t>
            </w:r>
          </w:p>
          <w:p w14:paraId="3BF7C60F">
            <w:pPr>
              <w:spacing w:line="480" w:lineRule="exact"/>
              <w:ind w:firstLine="522"/>
              <w:rPr>
                <w:rFonts w:hint="default" w:ascii="Times New Roman" w:hAnsi="Times New Roman" w:cs="Times New Roman"/>
                <w:sz w:val="24"/>
              </w:rPr>
            </w:pPr>
            <w:r>
              <w:rPr>
                <w:rFonts w:hint="default" w:ascii="Times New Roman" w:hAnsi="Times New Roman" w:cs="Times New Roman"/>
                <w:sz w:val="24"/>
              </w:rPr>
              <w:t>式中：L</w:t>
            </w:r>
            <w:r>
              <w:rPr>
                <w:rFonts w:hint="default" w:ascii="Times New Roman" w:hAnsi="Times New Roman" w:cs="Times New Roman"/>
                <w:sz w:val="24"/>
                <w:vertAlign w:val="subscript"/>
              </w:rPr>
              <w:t>A</w:t>
            </w:r>
            <w:r>
              <w:rPr>
                <w:rFonts w:hint="default" w:ascii="Times New Roman" w:hAnsi="Times New Roman" w:cs="Times New Roman"/>
                <w:sz w:val="24"/>
              </w:rPr>
              <w:t>（r）—距声源r处的A声级，dB（A）；</w:t>
            </w:r>
          </w:p>
          <w:p w14:paraId="2B760C89">
            <w:pPr>
              <w:spacing w:line="480" w:lineRule="exact"/>
              <w:ind w:firstLine="1200" w:firstLineChars="500"/>
              <w:rPr>
                <w:rFonts w:hint="default" w:ascii="Times New Roman" w:hAnsi="Times New Roman" w:cs="Times New Roman"/>
                <w:sz w:val="24"/>
              </w:rPr>
            </w:pPr>
            <w:r>
              <w:rPr>
                <w:rFonts w:hint="default" w:ascii="Times New Roman" w:hAnsi="Times New Roman" w:cs="Times New Roman"/>
                <w:sz w:val="24"/>
              </w:rPr>
              <w:t>L</w:t>
            </w:r>
            <w:r>
              <w:rPr>
                <w:rFonts w:hint="default" w:ascii="Times New Roman" w:hAnsi="Times New Roman" w:cs="Times New Roman"/>
                <w:sz w:val="24"/>
                <w:vertAlign w:val="subscript"/>
              </w:rPr>
              <w:t>A</w:t>
            </w:r>
            <w:r>
              <w:rPr>
                <w:rFonts w:hint="default" w:ascii="Times New Roman" w:hAnsi="Times New Roman" w:cs="Times New Roman"/>
                <w:sz w:val="24"/>
              </w:rPr>
              <w:t>（r0）—参考位置r</w:t>
            </w:r>
            <w:r>
              <w:rPr>
                <w:rFonts w:hint="default" w:ascii="Times New Roman" w:hAnsi="Times New Roman" w:cs="Times New Roman"/>
                <w:sz w:val="24"/>
                <w:vertAlign w:val="subscript"/>
              </w:rPr>
              <w:t>0</w:t>
            </w:r>
            <w:r>
              <w:rPr>
                <w:rFonts w:hint="default" w:ascii="Times New Roman" w:hAnsi="Times New Roman" w:cs="Times New Roman"/>
                <w:sz w:val="24"/>
              </w:rPr>
              <w:t>处的A声级，dB（A）；</w:t>
            </w:r>
          </w:p>
          <w:p w14:paraId="6ACBAA80">
            <w:pPr>
              <w:spacing w:line="480" w:lineRule="exact"/>
              <w:ind w:firstLine="1200" w:firstLineChars="500"/>
              <w:rPr>
                <w:rFonts w:hint="default" w:ascii="Times New Roman" w:hAnsi="Times New Roman" w:cs="Times New Roman"/>
                <w:sz w:val="24"/>
              </w:rPr>
            </w:pPr>
            <w:r>
              <w:rPr>
                <w:rFonts w:hint="default" w:ascii="Times New Roman" w:hAnsi="Times New Roman" w:cs="Times New Roman"/>
                <w:sz w:val="24"/>
              </w:rPr>
              <w:t>r—预测点距离声源的距离，米；</w:t>
            </w:r>
          </w:p>
          <w:p w14:paraId="2258DC53">
            <w:pPr>
              <w:spacing w:line="480" w:lineRule="exact"/>
              <w:ind w:firstLine="1200" w:firstLineChars="500"/>
              <w:rPr>
                <w:rFonts w:hint="default" w:ascii="Times New Roman" w:hAnsi="Times New Roman" w:cs="Times New Roman"/>
                <w:sz w:val="24"/>
              </w:rPr>
            </w:pPr>
            <w:r>
              <w:rPr>
                <w:rFonts w:hint="default" w:ascii="Times New Roman" w:hAnsi="Times New Roman" w:cs="Times New Roman"/>
                <w:sz w:val="24"/>
              </w:rPr>
              <w:t>r</w:t>
            </w:r>
            <w:r>
              <w:rPr>
                <w:rFonts w:hint="default" w:ascii="Times New Roman" w:hAnsi="Times New Roman" w:cs="Times New Roman"/>
                <w:sz w:val="24"/>
                <w:vertAlign w:val="subscript"/>
              </w:rPr>
              <w:t>0</w:t>
            </w:r>
            <w:r>
              <w:rPr>
                <w:rFonts w:hint="default" w:ascii="Times New Roman" w:hAnsi="Times New Roman" w:cs="Times New Roman"/>
                <w:sz w:val="24"/>
              </w:rPr>
              <w:t>—参考位置距离声源的距离，米。</w:t>
            </w:r>
          </w:p>
          <w:p w14:paraId="46091E50">
            <w:pPr>
              <w:spacing w:line="480" w:lineRule="exact"/>
              <w:ind w:firstLine="522"/>
              <w:rPr>
                <w:rFonts w:hint="default" w:ascii="Times New Roman" w:hAnsi="Times New Roman" w:cs="Times New Roman"/>
                <w:sz w:val="24"/>
              </w:rPr>
            </w:pPr>
            <w:r>
              <w:rPr>
                <w:rFonts w:hint="default" w:ascii="Times New Roman" w:hAnsi="Times New Roman" w:cs="Times New Roman"/>
                <w:sz w:val="24"/>
              </w:rPr>
              <w:t>施工设备噪声的距离衰减情况见下表。</w:t>
            </w:r>
          </w:p>
          <w:p w14:paraId="66DCCBCF">
            <w:pPr>
              <w:pStyle w:val="67"/>
              <w:numPr>
                <w:ilvl w:val="0"/>
                <w:numId w:val="0"/>
              </w:numPr>
              <w:spacing w:line="480" w:lineRule="exact"/>
              <w:ind w:left="420" w:leftChars="0"/>
              <w:jc w:val="center"/>
              <w:rPr>
                <w:rFonts w:hint="default" w:ascii="Times New Roman" w:hAnsi="Times New Roman" w:eastAsia="黑体" w:cs="Times New Roman"/>
              </w:rPr>
            </w:pPr>
            <w:r>
              <w:rPr>
                <w:rFonts w:hint="default" w:ascii="Times New Roman" w:hAnsi="Times New Roman" w:eastAsia="黑体" w:cs="Times New Roman"/>
                <w:lang w:val="en-US" w:eastAsia="zh-CN"/>
              </w:rPr>
              <w:t xml:space="preserve">表4-5 </w:t>
            </w:r>
            <w:r>
              <w:rPr>
                <w:rFonts w:hint="default" w:ascii="Times New Roman" w:hAnsi="Times New Roman" w:eastAsia="黑体" w:cs="Times New Roman"/>
              </w:rPr>
              <w:t>主要施工机械噪声源及噪声影响预测结果一览表</w:t>
            </w:r>
            <w:r>
              <w:rPr>
                <w:rFonts w:hint="default" w:ascii="Times New Roman" w:hAnsi="Times New Roman" w:eastAsia="黑体" w:cs="Times New Roman"/>
                <w:lang w:val="en-US" w:eastAsia="zh-CN"/>
              </w:rPr>
              <w:t xml:space="preserve"> </w:t>
            </w:r>
            <w:r>
              <w:rPr>
                <w:rFonts w:hint="default" w:ascii="Times New Roman" w:hAnsi="Times New Roman" w:eastAsia="黑体" w:cs="Times New Roman"/>
              </w:rPr>
              <w:t>单位：dB（A）</w:t>
            </w:r>
          </w:p>
          <w:tbl>
            <w:tblPr>
              <w:tblStyle w:val="4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0" w:type="dxa"/>
                <w:bottom w:w="57" w:type="dxa"/>
                <w:right w:w="0" w:type="dxa"/>
              </w:tblCellMar>
            </w:tblPr>
            <w:tblGrid>
              <w:gridCol w:w="1330"/>
              <w:gridCol w:w="1644"/>
              <w:gridCol w:w="1282"/>
              <w:gridCol w:w="845"/>
              <w:gridCol w:w="809"/>
              <w:gridCol w:w="915"/>
              <w:gridCol w:w="940"/>
            </w:tblGrid>
            <w:tr w14:paraId="56A3C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c>
                <w:tcPr>
                  <w:tcW w:w="868" w:type="pct"/>
                  <w:vMerge w:val="restart"/>
                  <w:noWrap/>
                  <w:vAlign w:val="center"/>
                </w:tcPr>
                <w:p w14:paraId="524254B0">
                  <w:pPr>
                    <w:jc w:val="center"/>
                    <w:rPr>
                      <w:rFonts w:hint="default" w:ascii="Times New Roman" w:hAnsi="Times New Roman" w:cs="Times New Roman"/>
                    </w:rPr>
                  </w:pPr>
                  <w:r>
                    <w:rPr>
                      <w:rFonts w:hint="default" w:ascii="Times New Roman" w:hAnsi="Times New Roman" w:cs="Times New Roman"/>
                    </w:rPr>
                    <w:t>主要噪声源</w:t>
                  </w:r>
                </w:p>
              </w:tc>
              <w:tc>
                <w:tcPr>
                  <w:tcW w:w="834" w:type="pct"/>
                  <w:vMerge w:val="restart"/>
                  <w:noWrap/>
                  <w:vAlign w:val="center"/>
                </w:tcPr>
                <w:p w14:paraId="55B7C51E">
                  <w:pPr>
                    <w:jc w:val="center"/>
                    <w:rPr>
                      <w:rFonts w:hint="default" w:ascii="Times New Roman" w:hAnsi="Times New Roman" w:cs="Times New Roman"/>
                    </w:rPr>
                  </w:pPr>
                  <w:r>
                    <w:rPr>
                      <w:rFonts w:hint="default" w:ascii="Times New Roman" w:hAnsi="Times New Roman" w:cs="Times New Roman"/>
                    </w:rPr>
                    <w:t>距声源距离（m）</w:t>
                  </w:r>
                </w:p>
              </w:tc>
              <w:tc>
                <w:tcPr>
                  <w:tcW w:w="716" w:type="pct"/>
                  <w:vMerge w:val="restart"/>
                  <w:noWrap/>
                  <w:vAlign w:val="center"/>
                </w:tcPr>
                <w:p w14:paraId="0612004B">
                  <w:pPr>
                    <w:jc w:val="center"/>
                    <w:rPr>
                      <w:rFonts w:hint="default" w:ascii="Times New Roman" w:hAnsi="Times New Roman" w:cs="Times New Roman"/>
                    </w:rPr>
                  </w:pPr>
                  <w:r>
                    <w:rPr>
                      <w:rFonts w:hint="default" w:ascii="Times New Roman" w:hAnsi="Times New Roman" w:cs="Times New Roman"/>
                    </w:rPr>
                    <w:t>噪声级 dB(A)</w:t>
                  </w:r>
                </w:p>
              </w:tc>
              <w:tc>
                <w:tcPr>
                  <w:tcW w:w="1366" w:type="pct"/>
                  <w:gridSpan w:val="2"/>
                  <w:noWrap/>
                  <w:vAlign w:val="center"/>
                </w:tcPr>
                <w:p w14:paraId="7BA20267">
                  <w:pPr>
                    <w:jc w:val="center"/>
                    <w:rPr>
                      <w:rFonts w:hint="default" w:ascii="Times New Roman" w:hAnsi="Times New Roman" w:cs="Times New Roman"/>
                    </w:rPr>
                  </w:pPr>
                  <w:r>
                    <w:rPr>
                      <w:rFonts w:hint="default" w:ascii="Times New Roman" w:hAnsi="Times New Roman" w:cs="Times New Roman"/>
                    </w:rPr>
                    <w:t>评价标准 dB(A)</w:t>
                  </w:r>
                </w:p>
              </w:tc>
              <w:tc>
                <w:tcPr>
                  <w:tcW w:w="1214" w:type="pct"/>
                  <w:gridSpan w:val="2"/>
                  <w:noWrap/>
                  <w:vAlign w:val="center"/>
                </w:tcPr>
                <w:p w14:paraId="11431C5C">
                  <w:pPr>
                    <w:jc w:val="center"/>
                    <w:rPr>
                      <w:rFonts w:hint="default" w:ascii="Times New Roman" w:hAnsi="Times New Roman" w:cs="Times New Roman"/>
                    </w:rPr>
                  </w:pPr>
                  <w:r>
                    <w:rPr>
                      <w:rFonts w:hint="default" w:ascii="Times New Roman" w:hAnsi="Times New Roman" w:cs="Times New Roman"/>
                    </w:rPr>
                    <w:t>最大超标范围（m）</w:t>
                  </w:r>
                </w:p>
              </w:tc>
            </w:tr>
            <w:tr w14:paraId="4A767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c>
                <w:tcPr>
                  <w:tcW w:w="868" w:type="pct"/>
                  <w:vMerge w:val="continue"/>
                  <w:noWrap/>
                  <w:vAlign w:val="center"/>
                </w:tcPr>
                <w:p w14:paraId="634226CE">
                  <w:pPr>
                    <w:jc w:val="center"/>
                    <w:rPr>
                      <w:rFonts w:hint="default" w:ascii="Times New Roman" w:hAnsi="Times New Roman" w:cs="Times New Roman"/>
                    </w:rPr>
                  </w:pPr>
                </w:p>
              </w:tc>
              <w:tc>
                <w:tcPr>
                  <w:tcW w:w="834" w:type="pct"/>
                  <w:vMerge w:val="continue"/>
                  <w:noWrap/>
                  <w:vAlign w:val="center"/>
                </w:tcPr>
                <w:p w14:paraId="7BD7A398">
                  <w:pPr>
                    <w:jc w:val="center"/>
                    <w:rPr>
                      <w:rFonts w:hint="default" w:ascii="Times New Roman" w:hAnsi="Times New Roman" w:cs="Times New Roman"/>
                    </w:rPr>
                  </w:pPr>
                </w:p>
              </w:tc>
              <w:tc>
                <w:tcPr>
                  <w:tcW w:w="716" w:type="pct"/>
                  <w:vMerge w:val="continue"/>
                  <w:noWrap/>
                  <w:vAlign w:val="center"/>
                </w:tcPr>
                <w:p w14:paraId="1AABFA9A">
                  <w:pPr>
                    <w:jc w:val="center"/>
                    <w:rPr>
                      <w:rFonts w:hint="default" w:ascii="Times New Roman" w:hAnsi="Times New Roman" w:cs="Times New Roman"/>
                    </w:rPr>
                  </w:pPr>
                </w:p>
              </w:tc>
              <w:tc>
                <w:tcPr>
                  <w:tcW w:w="722" w:type="pct"/>
                  <w:noWrap/>
                  <w:vAlign w:val="center"/>
                </w:tcPr>
                <w:p w14:paraId="52B9AD80">
                  <w:pPr>
                    <w:jc w:val="center"/>
                    <w:rPr>
                      <w:rFonts w:hint="default" w:ascii="Times New Roman" w:hAnsi="Times New Roman" w:cs="Times New Roman"/>
                    </w:rPr>
                  </w:pPr>
                  <w:r>
                    <w:rPr>
                      <w:rFonts w:hint="default" w:ascii="Times New Roman" w:hAnsi="Times New Roman" w:cs="Times New Roman"/>
                    </w:rPr>
                    <w:t>昼间</w:t>
                  </w:r>
                </w:p>
              </w:tc>
              <w:tc>
                <w:tcPr>
                  <w:tcW w:w="643" w:type="pct"/>
                  <w:noWrap/>
                  <w:vAlign w:val="center"/>
                </w:tcPr>
                <w:p w14:paraId="3841F33F">
                  <w:pPr>
                    <w:jc w:val="center"/>
                    <w:rPr>
                      <w:rFonts w:hint="default" w:ascii="Times New Roman" w:hAnsi="Times New Roman" w:cs="Times New Roman"/>
                    </w:rPr>
                  </w:pPr>
                  <w:r>
                    <w:rPr>
                      <w:rFonts w:hint="default" w:ascii="Times New Roman" w:hAnsi="Times New Roman" w:cs="Times New Roman"/>
                    </w:rPr>
                    <w:t>夜间</w:t>
                  </w:r>
                </w:p>
              </w:tc>
              <w:tc>
                <w:tcPr>
                  <w:tcW w:w="599" w:type="pct"/>
                  <w:noWrap/>
                  <w:vAlign w:val="center"/>
                </w:tcPr>
                <w:p w14:paraId="551D995E">
                  <w:pPr>
                    <w:jc w:val="center"/>
                    <w:rPr>
                      <w:rFonts w:hint="default" w:ascii="Times New Roman" w:hAnsi="Times New Roman" w:cs="Times New Roman"/>
                    </w:rPr>
                  </w:pPr>
                  <w:r>
                    <w:rPr>
                      <w:rFonts w:hint="default" w:ascii="Times New Roman" w:hAnsi="Times New Roman" w:cs="Times New Roman"/>
                    </w:rPr>
                    <w:t>昼间</w:t>
                  </w:r>
                </w:p>
              </w:tc>
              <w:tc>
                <w:tcPr>
                  <w:tcW w:w="615" w:type="pct"/>
                  <w:noWrap/>
                  <w:vAlign w:val="center"/>
                </w:tcPr>
                <w:p w14:paraId="6B91910C">
                  <w:pPr>
                    <w:jc w:val="center"/>
                    <w:rPr>
                      <w:rFonts w:hint="default" w:ascii="Times New Roman" w:hAnsi="Times New Roman" w:cs="Times New Roman"/>
                    </w:rPr>
                  </w:pPr>
                  <w:r>
                    <w:rPr>
                      <w:rFonts w:hint="default" w:ascii="Times New Roman" w:hAnsi="Times New Roman" w:cs="Times New Roman"/>
                    </w:rPr>
                    <w:t>夜间</w:t>
                  </w:r>
                </w:p>
              </w:tc>
            </w:tr>
            <w:tr w14:paraId="2B532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c>
                <w:tcPr>
                  <w:tcW w:w="868" w:type="pct"/>
                  <w:noWrap/>
                  <w:vAlign w:val="bottom"/>
                </w:tcPr>
                <w:p w14:paraId="3E5058FE">
                  <w:pPr>
                    <w:jc w:val="center"/>
                    <w:rPr>
                      <w:rFonts w:hint="default" w:ascii="Times New Roman" w:hAnsi="Times New Roman" w:cs="Times New Roman"/>
                    </w:rPr>
                  </w:pPr>
                  <w:r>
                    <w:rPr>
                      <w:rFonts w:hint="default" w:ascii="Times New Roman" w:hAnsi="Times New Roman" w:cs="Times New Roman"/>
                      <w:sz w:val="22"/>
                      <w:szCs w:val="22"/>
                    </w:rPr>
                    <w:t>液压挖掘机</w:t>
                  </w:r>
                </w:p>
              </w:tc>
              <w:tc>
                <w:tcPr>
                  <w:tcW w:w="834" w:type="pct"/>
                  <w:noWrap/>
                  <w:vAlign w:val="bottom"/>
                </w:tcPr>
                <w:p w14:paraId="2B72CD0F">
                  <w:pPr>
                    <w:jc w:val="center"/>
                    <w:rPr>
                      <w:rFonts w:hint="default" w:ascii="Times New Roman" w:hAnsi="Times New Roman" w:cs="Times New Roman"/>
                    </w:rPr>
                  </w:pPr>
                  <w:r>
                    <w:rPr>
                      <w:rFonts w:hint="default" w:ascii="Times New Roman" w:hAnsi="Times New Roman" w:cs="Times New Roman"/>
                      <w:sz w:val="22"/>
                      <w:szCs w:val="22"/>
                    </w:rPr>
                    <w:t>10</w:t>
                  </w:r>
                </w:p>
              </w:tc>
              <w:tc>
                <w:tcPr>
                  <w:tcW w:w="716" w:type="pct"/>
                  <w:noWrap/>
                  <w:vAlign w:val="bottom"/>
                </w:tcPr>
                <w:p w14:paraId="6E31888C">
                  <w:pPr>
                    <w:jc w:val="center"/>
                    <w:rPr>
                      <w:rFonts w:hint="default" w:ascii="Times New Roman" w:hAnsi="Times New Roman" w:cs="Times New Roman"/>
                    </w:rPr>
                  </w:pPr>
                  <w:r>
                    <w:rPr>
                      <w:rFonts w:hint="default" w:ascii="Times New Roman" w:hAnsi="Times New Roman" w:cs="Times New Roman"/>
                      <w:sz w:val="22"/>
                      <w:szCs w:val="22"/>
                    </w:rPr>
                    <w:t>82</w:t>
                  </w:r>
                </w:p>
              </w:tc>
              <w:tc>
                <w:tcPr>
                  <w:tcW w:w="722" w:type="pct"/>
                  <w:noWrap/>
                  <w:vAlign w:val="bottom"/>
                </w:tcPr>
                <w:p w14:paraId="7D50435D">
                  <w:pPr>
                    <w:jc w:val="center"/>
                    <w:rPr>
                      <w:rFonts w:hint="default" w:ascii="Times New Roman" w:hAnsi="Times New Roman" w:cs="Times New Roman"/>
                    </w:rPr>
                  </w:pPr>
                  <w:r>
                    <w:rPr>
                      <w:rFonts w:hint="default" w:ascii="Times New Roman" w:hAnsi="Times New Roman" w:cs="Times New Roman"/>
                      <w:sz w:val="22"/>
                      <w:szCs w:val="22"/>
                    </w:rPr>
                    <w:t>70</w:t>
                  </w:r>
                </w:p>
              </w:tc>
              <w:tc>
                <w:tcPr>
                  <w:tcW w:w="643" w:type="pct"/>
                  <w:noWrap/>
                  <w:vAlign w:val="bottom"/>
                </w:tcPr>
                <w:p w14:paraId="0B354531">
                  <w:pPr>
                    <w:jc w:val="center"/>
                    <w:rPr>
                      <w:rFonts w:hint="default" w:ascii="Times New Roman" w:hAnsi="Times New Roman" w:cs="Times New Roman"/>
                    </w:rPr>
                  </w:pPr>
                  <w:r>
                    <w:rPr>
                      <w:rFonts w:hint="default" w:ascii="Times New Roman" w:hAnsi="Times New Roman" w:cs="Times New Roman"/>
                      <w:sz w:val="22"/>
                      <w:szCs w:val="22"/>
                    </w:rPr>
                    <w:t>55</w:t>
                  </w:r>
                </w:p>
              </w:tc>
              <w:tc>
                <w:tcPr>
                  <w:tcW w:w="599" w:type="pct"/>
                  <w:noWrap/>
                  <w:vAlign w:val="bottom"/>
                </w:tcPr>
                <w:p w14:paraId="15AC2CC3">
                  <w:pPr>
                    <w:jc w:val="center"/>
                    <w:rPr>
                      <w:rFonts w:hint="default" w:ascii="Times New Roman" w:hAnsi="Times New Roman" w:cs="Times New Roman"/>
                    </w:rPr>
                  </w:pPr>
                  <w:r>
                    <w:rPr>
                      <w:rFonts w:hint="default" w:ascii="Times New Roman" w:hAnsi="Times New Roman" w:cs="Times New Roman"/>
                      <w:sz w:val="22"/>
                      <w:szCs w:val="22"/>
                    </w:rPr>
                    <w:t xml:space="preserve">40 </w:t>
                  </w:r>
                </w:p>
              </w:tc>
              <w:tc>
                <w:tcPr>
                  <w:tcW w:w="615" w:type="pct"/>
                  <w:noWrap/>
                  <w:vAlign w:val="bottom"/>
                </w:tcPr>
                <w:p w14:paraId="093E0504">
                  <w:pPr>
                    <w:jc w:val="center"/>
                    <w:rPr>
                      <w:rFonts w:hint="default" w:ascii="Times New Roman" w:hAnsi="Times New Roman" w:cs="Times New Roman"/>
                    </w:rPr>
                  </w:pPr>
                  <w:r>
                    <w:rPr>
                      <w:rFonts w:hint="default" w:ascii="Times New Roman" w:hAnsi="Times New Roman" w:cs="Times New Roman"/>
                      <w:sz w:val="22"/>
                      <w:szCs w:val="22"/>
                    </w:rPr>
                    <w:t xml:space="preserve">224 </w:t>
                  </w:r>
                </w:p>
              </w:tc>
            </w:tr>
            <w:tr w14:paraId="5A5AC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c>
                <w:tcPr>
                  <w:tcW w:w="868" w:type="pct"/>
                  <w:noWrap/>
                  <w:vAlign w:val="bottom"/>
                </w:tcPr>
                <w:p w14:paraId="30BB2D99">
                  <w:pPr>
                    <w:jc w:val="center"/>
                    <w:rPr>
                      <w:rFonts w:hint="default" w:ascii="Times New Roman" w:hAnsi="Times New Roman" w:cs="Times New Roman"/>
                    </w:rPr>
                  </w:pPr>
                  <w:r>
                    <w:rPr>
                      <w:rFonts w:hint="default" w:ascii="Times New Roman" w:hAnsi="Times New Roman" w:cs="Times New Roman"/>
                      <w:sz w:val="22"/>
                      <w:szCs w:val="22"/>
                    </w:rPr>
                    <w:t>电动挖掘机</w:t>
                  </w:r>
                </w:p>
              </w:tc>
              <w:tc>
                <w:tcPr>
                  <w:tcW w:w="834" w:type="pct"/>
                  <w:noWrap/>
                  <w:vAlign w:val="bottom"/>
                </w:tcPr>
                <w:p w14:paraId="17D10AD8">
                  <w:pPr>
                    <w:jc w:val="center"/>
                    <w:rPr>
                      <w:rFonts w:hint="default" w:ascii="Times New Roman" w:hAnsi="Times New Roman" w:cs="Times New Roman"/>
                    </w:rPr>
                  </w:pPr>
                  <w:r>
                    <w:rPr>
                      <w:rFonts w:hint="default" w:ascii="Times New Roman" w:hAnsi="Times New Roman" w:cs="Times New Roman"/>
                      <w:sz w:val="22"/>
                      <w:szCs w:val="22"/>
                    </w:rPr>
                    <w:t>10</w:t>
                  </w:r>
                </w:p>
              </w:tc>
              <w:tc>
                <w:tcPr>
                  <w:tcW w:w="716" w:type="pct"/>
                  <w:noWrap/>
                  <w:vAlign w:val="bottom"/>
                </w:tcPr>
                <w:p w14:paraId="4999C627">
                  <w:pPr>
                    <w:jc w:val="center"/>
                    <w:rPr>
                      <w:rFonts w:hint="default" w:ascii="Times New Roman" w:hAnsi="Times New Roman" w:cs="Times New Roman"/>
                    </w:rPr>
                  </w:pPr>
                  <w:r>
                    <w:rPr>
                      <w:rFonts w:hint="default" w:ascii="Times New Roman" w:hAnsi="Times New Roman" w:cs="Times New Roman"/>
                      <w:sz w:val="22"/>
                      <w:szCs w:val="22"/>
                    </w:rPr>
                    <w:t>79</w:t>
                  </w:r>
                </w:p>
              </w:tc>
              <w:tc>
                <w:tcPr>
                  <w:tcW w:w="722" w:type="pct"/>
                  <w:noWrap/>
                  <w:vAlign w:val="bottom"/>
                </w:tcPr>
                <w:p w14:paraId="2B539D29">
                  <w:pPr>
                    <w:jc w:val="center"/>
                    <w:rPr>
                      <w:rFonts w:hint="default" w:ascii="Times New Roman" w:hAnsi="Times New Roman" w:cs="Times New Roman"/>
                    </w:rPr>
                  </w:pPr>
                  <w:r>
                    <w:rPr>
                      <w:rFonts w:hint="default" w:ascii="Times New Roman" w:hAnsi="Times New Roman" w:cs="Times New Roman"/>
                      <w:sz w:val="22"/>
                      <w:szCs w:val="22"/>
                    </w:rPr>
                    <w:t>70</w:t>
                  </w:r>
                </w:p>
              </w:tc>
              <w:tc>
                <w:tcPr>
                  <w:tcW w:w="643" w:type="pct"/>
                  <w:noWrap/>
                  <w:vAlign w:val="bottom"/>
                </w:tcPr>
                <w:p w14:paraId="41C10350">
                  <w:pPr>
                    <w:jc w:val="center"/>
                    <w:rPr>
                      <w:rFonts w:hint="default" w:ascii="Times New Roman" w:hAnsi="Times New Roman" w:cs="Times New Roman"/>
                    </w:rPr>
                  </w:pPr>
                  <w:r>
                    <w:rPr>
                      <w:rFonts w:hint="default" w:ascii="Times New Roman" w:hAnsi="Times New Roman" w:cs="Times New Roman"/>
                      <w:sz w:val="22"/>
                      <w:szCs w:val="22"/>
                    </w:rPr>
                    <w:t>55</w:t>
                  </w:r>
                </w:p>
              </w:tc>
              <w:tc>
                <w:tcPr>
                  <w:tcW w:w="599" w:type="pct"/>
                  <w:noWrap/>
                  <w:vAlign w:val="bottom"/>
                </w:tcPr>
                <w:p w14:paraId="24A8F09A">
                  <w:pPr>
                    <w:jc w:val="center"/>
                    <w:rPr>
                      <w:rFonts w:hint="default" w:ascii="Times New Roman" w:hAnsi="Times New Roman" w:cs="Times New Roman"/>
                    </w:rPr>
                  </w:pPr>
                  <w:r>
                    <w:rPr>
                      <w:rFonts w:hint="default" w:ascii="Times New Roman" w:hAnsi="Times New Roman" w:cs="Times New Roman"/>
                      <w:sz w:val="22"/>
                      <w:szCs w:val="22"/>
                    </w:rPr>
                    <w:t xml:space="preserve">28 </w:t>
                  </w:r>
                </w:p>
              </w:tc>
              <w:tc>
                <w:tcPr>
                  <w:tcW w:w="615" w:type="pct"/>
                  <w:noWrap/>
                  <w:vAlign w:val="bottom"/>
                </w:tcPr>
                <w:p w14:paraId="002303F0">
                  <w:pPr>
                    <w:jc w:val="center"/>
                    <w:rPr>
                      <w:rFonts w:hint="default" w:ascii="Times New Roman" w:hAnsi="Times New Roman" w:cs="Times New Roman"/>
                    </w:rPr>
                  </w:pPr>
                  <w:r>
                    <w:rPr>
                      <w:rFonts w:hint="default" w:ascii="Times New Roman" w:hAnsi="Times New Roman" w:cs="Times New Roman"/>
                      <w:sz w:val="22"/>
                      <w:szCs w:val="22"/>
                    </w:rPr>
                    <w:t xml:space="preserve">159 </w:t>
                  </w:r>
                </w:p>
              </w:tc>
            </w:tr>
            <w:tr w14:paraId="74B2A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c>
                <w:tcPr>
                  <w:tcW w:w="868" w:type="pct"/>
                  <w:noWrap/>
                  <w:vAlign w:val="bottom"/>
                </w:tcPr>
                <w:p w14:paraId="6776A069">
                  <w:pPr>
                    <w:jc w:val="center"/>
                    <w:rPr>
                      <w:rFonts w:hint="default" w:ascii="Times New Roman" w:hAnsi="Times New Roman" w:cs="Times New Roman"/>
                    </w:rPr>
                  </w:pPr>
                  <w:r>
                    <w:rPr>
                      <w:rFonts w:hint="default" w:ascii="Times New Roman" w:hAnsi="Times New Roman" w:cs="Times New Roman"/>
                      <w:sz w:val="22"/>
                      <w:szCs w:val="22"/>
                    </w:rPr>
                    <w:t>轮式装载机</w:t>
                  </w:r>
                </w:p>
              </w:tc>
              <w:tc>
                <w:tcPr>
                  <w:tcW w:w="834" w:type="pct"/>
                  <w:noWrap/>
                  <w:vAlign w:val="bottom"/>
                </w:tcPr>
                <w:p w14:paraId="4CF4D0F5">
                  <w:pPr>
                    <w:jc w:val="center"/>
                    <w:rPr>
                      <w:rFonts w:hint="default" w:ascii="Times New Roman" w:hAnsi="Times New Roman" w:cs="Times New Roman"/>
                    </w:rPr>
                  </w:pPr>
                  <w:r>
                    <w:rPr>
                      <w:rFonts w:hint="default" w:ascii="Times New Roman" w:hAnsi="Times New Roman" w:cs="Times New Roman"/>
                      <w:sz w:val="22"/>
                      <w:szCs w:val="22"/>
                    </w:rPr>
                    <w:t>10</w:t>
                  </w:r>
                </w:p>
              </w:tc>
              <w:tc>
                <w:tcPr>
                  <w:tcW w:w="716" w:type="pct"/>
                  <w:noWrap/>
                  <w:vAlign w:val="bottom"/>
                </w:tcPr>
                <w:p w14:paraId="670127A9">
                  <w:pPr>
                    <w:jc w:val="center"/>
                    <w:rPr>
                      <w:rFonts w:hint="default" w:ascii="Times New Roman" w:hAnsi="Times New Roman" w:cs="Times New Roman"/>
                    </w:rPr>
                  </w:pPr>
                  <w:r>
                    <w:rPr>
                      <w:rFonts w:hint="default" w:ascii="Times New Roman" w:hAnsi="Times New Roman" w:cs="Times New Roman"/>
                      <w:sz w:val="22"/>
                      <w:szCs w:val="22"/>
                    </w:rPr>
                    <w:t>88</w:t>
                  </w:r>
                </w:p>
              </w:tc>
              <w:tc>
                <w:tcPr>
                  <w:tcW w:w="722" w:type="pct"/>
                  <w:noWrap/>
                  <w:vAlign w:val="bottom"/>
                </w:tcPr>
                <w:p w14:paraId="325B6460">
                  <w:pPr>
                    <w:jc w:val="center"/>
                    <w:rPr>
                      <w:rFonts w:hint="default" w:ascii="Times New Roman" w:hAnsi="Times New Roman" w:cs="Times New Roman"/>
                    </w:rPr>
                  </w:pPr>
                  <w:r>
                    <w:rPr>
                      <w:rFonts w:hint="default" w:ascii="Times New Roman" w:hAnsi="Times New Roman" w:cs="Times New Roman"/>
                      <w:sz w:val="22"/>
                      <w:szCs w:val="22"/>
                    </w:rPr>
                    <w:t>70</w:t>
                  </w:r>
                </w:p>
              </w:tc>
              <w:tc>
                <w:tcPr>
                  <w:tcW w:w="643" w:type="pct"/>
                  <w:noWrap/>
                  <w:vAlign w:val="bottom"/>
                </w:tcPr>
                <w:p w14:paraId="77267284">
                  <w:pPr>
                    <w:jc w:val="center"/>
                    <w:rPr>
                      <w:rFonts w:hint="default" w:ascii="Times New Roman" w:hAnsi="Times New Roman" w:cs="Times New Roman"/>
                    </w:rPr>
                  </w:pPr>
                  <w:r>
                    <w:rPr>
                      <w:rFonts w:hint="default" w:ascii="Times New Roman" w:hAnsi="Times New Roman" w:cs="Times New Roman"/>
                      <w:sz w:val="22"/>
                      <w:szCs w:val="22"/>
                    </w:rPr>
                    <w:t>55</w:t>
                  </w:r>
                </w:p>
              </w:tc>
              <w:tc>
                <w:tcPr>
                  <w:tcW w:w="599" w:type="pct"/>
                  <w:noWrap/>
                  <w:vAlign w:val="bottom"/>
                </w:tcPr>
                <w:p w14:paraId="19042246">
                  <w:pPr>
                    <w:jc w:val="center"/>
                    <w:rPr>
                      <w:rFonts w:hint="default" w:ascii="Times New Roman" w:hAnsi="Times New Roman" w:cs="Times New Roman"/>
                    </w:rPr>
                  </w:pPr>
                  <w:r>
                    <w:rPr>
                      <w:rFonts w:hint="default" w:ascii="Times New Roman" w:hAnsi="Times New Roman" w:cs="Times New Roman"/>
                      <w:sz w:val="22"/>
                      <w:szCs w:val="22"/>
                    </w:rPr>
                    <w:t xml:space="preserve">79 </w:t>
                  </w:r>
                </w:p>
              </w:tc>
              <w:tc>
                <w:tcPr>
                  <w:tcW w:w="615" w:type="pct"/>
                  <w:noWrap/>
                  <w:vAlign w:val="bottom"/>
                </w:tcPr>
                <w:p w14:paraId="4EA395B2">
                  <w:pPr>
                    <w:jc w:val="center"/>
                    <w:rPr>
                      <w:rFonts w:hint="default" w:ascii="Times New Roman" w:hAnsi="Times New Roman" w:cs="Times New Roman"/>
                    </w:rPr>
                  </w:pPr>
                  <w:r>
                    <w:rPr>
                      <w:rFonts w:hint="default" w:ascii="Times New Roman" w:hAnsi="Times New Roman" w:cs="Times New Roman"/>
                      <w:sz w:val="22"/>
                      <w:szCs w:val="22"/>
                    </w:rPr>
                    <w:t xml:space="preserve">447 </w:t>
                  </w:r>
                </w:p>
              </w:tc>
            </w:tr>
            <w:tr w14:paraId="266EF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c>
                <w:tcPr>
                  <w:tcW w:w="868" w:type="pct"/>
                  <w:noWrap/>
                  <w:vAlign w:val="bottom"/>
                </w:tcPr>
                <w:p w14:paraId="047D754A">
                  <w:pPr>
                    <w:jc w:val="center"/>
                    <w:rPr>
                      <w:rFonts w:hint="default" w:ascii="Times New Roman" w:hAnsi="Times New Roman" w:cs="Times New Roman"/>
                    </w:rPr>
                  </w:pPr>
                  <w:r>
                    <w:rPr>
                      <w:rFonts w:hint="default" w:ascii="Times New Roman" w:hAnsi="Times New Roman" w:cs="Times New Roman"/>
                      <w:sz w:val="22"/>
                      <w:szCs w:val="22"/>
                    </w:rPr>
                    <w:t>推土机</w:t>
                  </w:r>
                </w:p>
              </w:tc>
              <w:tc>
                <w:tcPr>
                  <w:tcW w:w="834" w:type="pct"/>
                  <w:noWrap/>
                  <w:vAlign w:val="bottom"/>
                </w:tcPr>
                <w:p w14:paraId="5C094F67">
                  <w:pPr>
                    <w:jc w:val="center"/>
                    <w:rPr>
                      <w:rFonts w:hint="default" w:ascii="Times New Roman" w:hAnsi="Times New Roman" w:cs="Times New Roman"/>
                    </w:rPr>
                  </w:pPr>
                  <w:r>
                    <w:rPr>
                      <w:rFonts w:hint="default" w:ascii="Times New Roman" w:hAnsi="Times New Roman" w:cs="Times New Roman"/>
                      <w:sz w:val="22"/>
                      <w:szCs w:val="22"/>
                    </w:rPr>
                    <w:t>10</w:t>
                  </w:r>
                </w:p>
              </w:tc>
              <w:tc>
                <w:tcPr>
                  <w:tcW w:w="716" w:type="pct"/>
                  <w:noWrap/>
                  <w:vAlign w:val="bottom"/>
                </w:tcPr>
                <w:p w14:paraId="6C38131C">
                  <w:pPr>
                    <w:jc w:val="center"/>
                    <w:rPr>
                      <w:rFonts w:hint="default" w:ascii="Times New Roman" w:hAnsi="Times New Roman" w:cs="Times New Roman"/>
                    </w:rPr>
                  </w:pPr>
                  <w:r>
                    <w:rPr>
                      <w:rFonts w:hint="default" w:ascii="Times New Roman" w:hAnsi="Times New Roman" w:cs="Times New Roman"/>
                      <w:sz w:val="22"/>
                      <w:szCs w:val="22"/>
                    </w:rPr>
                    <w:t>82.5</w:t>
                  </w:r>
                </w:p>
              </w:tc>
              <w:tc>
                <w:tcPr>
                  <w:tcW w:w="722" w:type="pct"/>
                  <w:noWrap/>
                  <w:vAlign w:val="bottom"/>
                </w:tcPr>
                <w:p w14:paraId="3E41FA34">
                  <w:pPr>
                    <w:jc w:val="center"/>
                    <w:rPr>
                      <w:rFonts w:hint="default" w:ascii="Times New Roman" w:hAnsi="Times New Roman" w:cs="Times New Roman"/>
                    </w:rPr>
                  </w:pPr>
                  <w:r>
                    <w:rPr>
                      <w:rFonts w:hint="default" w:ascii="Times New Roman" w:hAnsi="Times New Roman" w:cs="Times New Roman"/>
                      <w:sz w:val="22"/>
                      <w:szCs w:val="22"/>
                    </w:rPr>
                    <w:t>70</w:t>
                  </w:r>
                </w:p>
              </w:tc>
              <w:tc>
                <w:tcPr>
                  <w:tcW w:w="643" w:type="pct"/>
                  <w:noWrap/>
                  <w:vAlign w:val="bottom"/>
                </w:tcPr>
                <w:p w14:paraId="04287F6D">
                  <w:pPr>
                    <w:jc w:val="center"/>
                    <w:rPr>
                      <w:rFonts w:hint="default" w:ascii="Times New Roman" w:hAnsi="Times New Roman" w:cs="Times New Roman"/>
                    </w:rPr>
                  </w:pPr>
                  <w:r>
                    <w:rPr>
                      <w:rFonts w:hint="default" w:ascii="Times New Roman" w:hAnsi="Times New Roman" w:cs="Times New Roman"/>
                      <w:sz w:val="22"/>
                      <w:szCs w:val="22"/>
                    </w:rPr>
                    <w:t>55</w:t>
                  </w:r>
                </w:p>
              </w:tc>
              <w:tc>
                <w:tcPr>
                  <w:tcW w:w="599" w:type="pct"/>
                  <w:noWrap/>
                  <w:vAlign w:val="bottom"/>
                </w:tcPr>
                <w:p w14:paraId="20AD269B">
                  <w:pPr>
                    <w:jc w:val="center"/>
                    <w:rPr>
                      <w:rFonts w:hint="default" w:ascii="Times New Roman" w:hAnsi="Times New Roman" w:cs="Times New Roman"/>
                    </w:rPr>
                  </w:pPr>
                  <w:r>
                    <w:rPr>
                      <w:rFonts w:hint="default" w:ascii="Times New Roman" w:hAnsi="Times New Roman" w:cs="Times New Roman"/>
                      <w:sz w:val="22"/>
                      <w:szCs w:val="22"/>
                    </w:rPr>
                    <w:t xml:space="preserve">42 </w:t>
                  </w:r>
                </w:p>
              </w:tc>
              <w:tc>
                <w:tcPr>
                  <w:tcW w:w="615" w:type="pct"/>
                  <w:noWrap/>
                  <w:vAlign w:val="bottom"/>
                </w:tcPr>
                <w:p w14:paraId="2DAED004">
                  <w:pPr>
                    <w:jc w:val="center"/>
                    <w:rPr>
                      <w:rFonts w:hint="default" w:ascii="Times New Roman" w:hAnsi="Times New Roman" w:cs="Times New Roman"/>
                    </w:rPr>
                  </w:pPr>
                  <w:r>
                    <w:rPr>
                      <w:rFonts w:hint="default" w:ascii="Times New Roman" w:hAnsi="Times New Roman" w:cs="Times New Roman"/>
                      <w:sz w:val="22"/>
                      <w:szCs w:val="22"/>
                    </w:rPr>
                    <w:t xml:space="preserve">237 </w:t>
                  </w:r>
                </w:p>
              </w:tc>
            </w:tr>
            <w:tr w14:paraId="38DD4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c>
                <w:tcPr>
                  <w:tcW w:w="868" w:type="pct"/>
                  <w:noWrap/>
                  <w:vAlign w:val="bottom"/>
                </w:tcPr>
                <w:p w14:paraId="0AE4112C">
                  <w:pPr>
                    <w:jc w:val="center"/>
                    <w:rPr>
                      <w:rFonts w:hint="default" w:ascii="Times New Roman" w:hAnsi="Times New Roman" w:cs="Times New Roman"/>
                    </w:rPr>
                  </w:pPr>
                  <w:r>
                    <w:rPr>
                      <w:rFonts w:hint="default" w:ascii="Times New Roman" w:hAnsi="Times New Roman" w:cs="Times New Roman"/>
                      <w:sz w:val="22"/>
                      <w:szCs w:val="22"/>
                    </w:rPr>
                    <w:t>重型运输车</w:t>
                  </w:r>
                </w:p>
              </w:tc>
              <w:tc>
                <w:tcPr>
                  <w:tcW w:w="834" w:type="pct"/>
                  <w:noWrap/>
                  <w:vAlign w:val="bottom"/>
                </w:tcPr>
                <w:p w14:paraId="6A738545">
                  <w:pPr>
                    <w:jc w:val="center"/>
                    <w:rPr>
                      <w:rFonts w:hint="default" w:ascii="Times New Roman" w:hAnsi="Times New Roman" w:cs="Times New Roman"/>
                    </w:rPr>
                  </w:pPr>
                  <w:r>
                    <w:rPr>
                      <w:rFonts w:hint="default" w:ascii="Times New Roman" w:hAnsi="Times New Roman" w:cs="Times New Roman"/>
                      <w:sz w:val="22"/>
                      <w:szCs w:val="22"/>
                    </w:rPr>
                    <w:t>10</w:t>
                  </w:r>
                </w:p>
              </w:tc>
              <w:tc>
                <w:tcPr>
                  <w:tcW w:w="716" w:type="pct"/>
                  <w:noWrap/>
                  <w:vAlign w:val="bottom"/>
                </w:tcPr>
                <w:p w14:paraId="6CCCA26C">
                  <w:pPr>
                    <w:jc w:val="center"/>
                    <w:rPr>
                      <w:rFonts w:hint="default" w:ascii="Times New Roman" w:hAnsi="Times New Roman" w:cs="Times New Roman"/>
                    </w:rPr>
                  </w:pPr>
                  <w:r>
                    <w:rPr>
                      <w:rFonts w:hint="default" w:ascii="Times New Roman" w:hAnsi="Times New Roman" w:cs="Times New Roman"/>
                      <w:sz w:val="22"/>
                      <w:szCs w:val="22"/>
                    </w:rPr>
                    <w:t>82</w:t>
                  </w:r>
                </w:p>
              </w:tc>
              <w:tc>
                <w:tcPr>
                  <w:tcW w:w="722" w:type="pct"/>
                  <w:noWrap/>
                  <w:vAlign w:val="bottom"/>
                </w:tcPr>
                <w:p w14:paraId="017FFAD4">
                  <w:pPr>
                    <w:jc w:val="center"/>
                    <w:rPr>
                      <w:rFonts w:hint="default" w:ascii="Times New Roman" w:hAnsi="Times New Roman" w:cs="Times New Roman"/>
                    </w:rPr>
                  </w:pPr>
                  <w:r>
                    <w:rPr>
                      <w:rFonts w:hint="default" w:ascii="Times New Roman" w:hAnsi="Times New Roman" w:cs="Times New Roman"/>
                      <w:sz w:val="22"/>
                      <w:szCs w:val="22"/>
                    </w:rPr>
                    <w:t>70</w:t>
                  </w:r>
                </w:p>
              </w:tc>
              <w:tc>
                <w:tcPr>
                  <w:tcW w:w="643" w:type="pct"/>
                  <w:noWrap/>
                  <w:vAlign w:val="bottom"/>
                </w:tcPr>
                <w:p w14:paraId="25C65894">
                  <w:pPr>
                    <w:jc w:val="center"/>
                    <w:rPr>
                      <w:rFonts w:hint="default" w:ascii="Times New Roman" w:hAnsi="Times New Roman" w:cs="Times New Roman"/>
                    </w:rPr>
                  </w:pPr>
                  <w:r>
                    <w:rPr>
                      <w:rFonts w:hint="default" w:ascii="Times New Roman" w:hAnsi="Times New Roman" w:cs="Times New Roman"/>
                      <w:sz w:val="22"/>
                      <w:szCs w:val="22"/>
                    </w:rPr>
                    <w:t>55</w:t>
                  </w:r>
                </w:p>
              </w:tc>
              <w:tc>
                <w:tcPr>
                  <w:tcW w:w="599" w:type="pct"/>
                  <w:noWrap/>
                  <w:vAlign w:val="bottom"/>
                </w:tcPr>
                <w:p w14:paraId="4540FD22">
                  <w:pPr>
                    <w:jc w:val="center"/>
                    <w:rPr>
                      <w:rFonts w:hint="default" w:ascii="Times New Roman" w:hAnsi="Times New Roman" w:cs="Times New Roman"/>
                    </w:rPr>
                  </w:pPr>
                  <w:r>
                    <w:rPr>
                      <w:rFonts w:hint="default" w:ascii="Times New Roman" w:hAnsi="Times New Roman" w:cs="Times New Roman"/>
                      <w:sz w:val="22"/>
                      <w:szCs w:val="22"/>
                    </w:rPr>
                    <w:t xml:space="preserve">40 </w:t>
                  </w:r>
                </w:p>
              </w:tc>
              <w:tc>
                <w:tcPr>
                  <w:tcW w:w="615" w:type="pct"/>
                  <w:noWrap/>
                  <w:vAlign w:val="bottom"/>
                </w:tcPr>
                <w:p w14:paraId="693BDEBF">
                  <w:pPr>
                    <w:jc w:val="center"/>
                    <w:rPr>
                      <w:rFonts w:hint="default" w:ascii="Times New Roman" w:hAnsi="Times New Roman" w:cs="Times New Roman"/>
                    </w:rPr>
                  </w:pPr>
                  <w:r>
                    <w:rPr>
                      <w:rFonts w:hint="default" w:ascii="Times New Roman" w:hAnsi="Times New Roman" w:cs="Times New Roman"/>
                      <w:sz w:val="22"/>
                      <w:szCs w:val="22"/>
                    </w:rPr>
                    <w:t xml:space="preserve">224 </w:t>
                  </w:r>
                </w:p>
              </w:tc>
            </w:tr>
            <w:tr w14:paraId="46D51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c>
                <w:tcPr>
                  <w:tcW w:w="868" w:type="pct"/>
                  <w:noWrap/>
                  <w:vAlign w:val="bottom"/>
                </w:tcPr>
                <w:p w14:paraId="1B47E917">
                  <w:pPr>
                    <w:jc w:val="center"/>
                    <w:rPr>
                      <w:rFonts w:hint="default" w:ascii="Times New Roman" w:hAnsi="Times New Roman" w:cs="Times New Roman"/>
                    </w:rPr>
                  </w:pPr>
                  <w:r>
                    <w:rPr>
                      <w:rFonts w:hint="default" w:ascii="Times New Roman" w:hAnsi="Times New Roman" w:cs="Times New Roman"/>
                      <w:sz w:val="22"/>
                      <w:szCs w:val="22"/>
                    </w:rPr>
                    <w:t>电锤</w:t>
                  </w:r>
                </w:p>
              </w:tc>
              <w:tc>
                <w:tcPr>
                  <w:tcW w:w="834" w:type="pct"/>
                  <w:noWrap/>
                  <w:vAlign w:val="bottom"/>
                </w:tcPr>
                <w:p w14:paraId="30C5E223">
                  <w:pPr>
                    <w:jc w:val="center"/>
                    <w:rPr>
                      <w:rFonts w:hint="default" w:ascii="Times New Roman" w:hAnsi="Times New Roman" w:cs="Times New Roman"/>
                    </w:rPr>
                  </w:pPr>
                  <w:r>
                    <w:rPr>
                      <w:rFonts w:hint="default" w:ascii="Times New Roman" w:hAnsi="Times New Roman" w:cs="Times New Roman"/>
                      <w:sz w:val="22"/>
                      <w:szCs w:val="22"/>
                    </w:rPr>
                    <w:t>10</w:t>
                  </w:r>
                </w:p>
              </w:tc>
              <w:tc>
                <w:tcPr>
                  <w:tcW w:w="716" w:type="pct"/>
                  <w:noWrap/>
                  <w:vAlign w:val="bottom"/>
                </w:tcPr>
                <w:p w14:paraId="328116D5">
                  <w:pPr>
                    <w:jc w:val="center"/>
                    <w:rPr>
                      <w:rFonts w:hint="default" w:ascii="Times New Roman" w:hAnsi="Times New Roman" w:cs="Times New Roman"/>
                    </w:rPr>
                  </w:pPr>
                  <w:r>
                    <w:rPr>
                      <w:rFonts w:hint="default" w:ascii="Times New Roman" w:hAnsi="Times New Roman" w:cs="Times New Roman"/>
                      <w:sz w:val="22"/>
                      <w:szCs w:val="22"/>
                    </w:rPr>
                    <w:t>97</w:t>
                  </w:r>
                </w:p>
              </w:tc>
              <w:tc>
                <w:tcPr>
                  <w:tcW w:w="722" w:type="pct"/>
                  <w:noWrap/>
                  <w:vAlign w:val="bottom"/>
                </w:tcPr>
                <w:p w14:paraId="1D55B31C">
                  <w:pPr>
                    <w:jc w:val="center"/>
                    <w:rPr>
                      <w:rFonts w:hint="default" w:ascii="Times New Roman" w:hAnsi="Times New Roman" w:cs="Times New Roman"/>
                    </w:rPr>
                  </w:pPr>
                  <w:r>
                    <w:rPr>
                      <w:rFonts w:hint="default" w:ascii="Times New Roman" w:hAnsi="Times New Roman" w:cs="Times New Roman"/>
                      <w:sz w:val="22"/>
                      <w:szCs w:val="22"/>
                    </w:rPr>
                    <w:t>70</w:t>
                  </w:r>
                </w:p>
              </w:tc>
              <w:tc>
                <w:tcPr>
                  <w:tcW w:w="643" w:type="pct"/>
                  <w:noWrap/>
                  <w:vAlign w:val="bottom"/>
                </w:tcPr>
                <w:p w14:paraId="7BC508D1">
                  <w:pPr>
                    <w:jc w:val="center"/>
                    <w:rPr>
                      <w:rFonts w:hint="default" w:ascii="Times New Roman" w:hAnsi="Times New Roman" w:cs="Times New Roman"/>
                    </w:rPr>
                  </w:pPr>
                  <w:r>
                    <w:rPr>
                      <w:rFonts w:hint="default" w:ascii="Times New Roman" w:hAnsi="Times New Roman" w:cs="Times New Roman"/>
                      <w:sz w:val="22"/>
                      <w:szCs w:val="22"/>
                    </w:rPr>
                    <w:t>55</w:t>
                  </w:r>
                </w:p>
              </w:tc>
              <w:tc>
                <w:tcPr>
                  <w:tcW w:w="599" w:type="pct"/>
                  <w:noWrap/>
                  <w:vAlign w:val="bottom"/>
                </w:tcPr>
                <w:p w14:paraId="50F03D59">
                  <w:pPr>
                    <w:jc w:val="center"/>
                    <w:rPr>
                      <w:rFonts w:hint="default" w:ascii="Times New Roman" w:hAnsi="Times New Roman" w:cs="Times New Roman"/>
                    </w:rPr>
                  </w:pPr>
                  <w:r>
                    <w:rPr>
                      <w:rFonts w:hint="default" w:ascii="Times New Roman" w:hAnsi="Times New Roman" w:cs="Times New Roman"/>
                      <w:sz w:val="22"/>
                      <w:szCs w:val="22"/>
                    </w:rPr>
                    <w:t xml:space="preserve">224 </w:t>
                  </w:r>
                </w:p>
              </w:tc>
              <w:tc>
                <w:tcPr>
                  <w:tcW w:w="615" w:type="pct"/>
                  <w:noWrap/>
                  <w:vAlign w:val="bottom"/>
                </w:tcPr>
                <w:p w14:paraId="2B6E7040">
                  <w:pPr>
                    <w:jc w:val="center"/>
                    <w:rPr>
                      <w:rFonts w:hint="default" w:ascii="Times New Roman" w:hAnsi="Times New Roman" w:cs="Times New Roman"/>
                    </w:rPr>
                  </w:pPr>
                  <w:r>
                    <w:rPr>
                      <w:rFonts w:hint="default" w:ascii="Times New Roman" w:hAnsi="Times New Roman" w:cs="Times New Roman"/>
                      <w:sz w:val="22"/>
                      <w:szCs w:val="22"/>
                    </w:rPr>
                    <w:t xml:space="preserve">1259 </w:t>
                  </w:r>
                </w:p>
              </w:tc>
            </w:tr>
            <w:tr w14:paraId="758B5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c>
                <w:tcPr>
                  <w:tcW w:w="868" w:type="pct"/>
                  <w:noWrap/>
                  <w:vAlign w:val="bottom"/>
                </w:tcPr>
                <w:p w14:paraId="3F58B1DB">
                  <w:pPr>
                    <w:jc w:val="center"/>
                    <w:rPr>
                      <w:rFonts w:hint="default" w:ascii="Times New Roman" w:hAnsi="Times New Roman" w:cs="Times New Roman"/>
                    </w:rPr>
                  </w:pPr>
                  <w:r>
                    <w:rPr>
                      <w:rFonts w:hint="default" w:ascii="Times New Roman" w:hAnsi="Times New Roman" w:cs="Times New Roman"/>
                      <w:sz w:val="22"/>
                      <w:szCs w:val="22"/>
                    </w:rPr>
                    <w:t>振动夯锤</w:t>
                  </w:r>
                </w:p>
              </w:tc>
              <w:tc>
                <w:tcPr>
                  <w:tcW w:w="834" w:type="pct"/>
                  <w:noWrap/>
                  <w:vAlign w:val="bottom"/>
                </w:tcPr>
                <w:p w14:paraId="48ABF207">
                  <w:pPr>
                    <w:jc w:val="center"/>
                    <w:rPr>
                      <w:rFonts w:hint="default" w:ascii="Times New Roman" w:hAnsi="Times New Roman" w:cs="Times New Roman"/>
                    </w:rPr>
                  </w:pPr>
                  <w:r>
                    <w:rPr>
                      <w:rFonts w:hint="default" w:ascii="Times New Roman" w:hAnsi="Times New Roman" w:cs="Times New Roman"/>
                      <w:sz w:val="22"/>
                      <w:szCs w:val="22"/>
                    </w:rPr>
                    <w:t>10</w:t>
                  </w:r>
                </w:p>
              </w:tc>
              <w:tc>
                <w:tcPr>
                  <w:tcW w:w="716" w:type="pct"/>
                  <w:noWrap/>
                  <w:vAlign w:val="bottom"/>
                </w:tcPr>
                <w:p w14:paraId="0770DDB9">
                  <w:pPr>
                    <w:jc w:val="center"/>
                    <w:rPr>
                      <w:rFonts w:hint="default" w:ascii="Times New Roman" w:hAnsi="Times New Roman" w:cs="Times New Roman"/>
                    </w:rPr>
                  </w:pPr>
                  <w:r>
                    <w:rPr>
                      <w:rFonts w:hint="default" w:ascii="Times New Roman" w:hAnsi="Times New Roman" w:cs="Times New Roman"/>
                      <w:sz w:val="22"/>
                      <w:szCs w:val="22"/>
                    </w:rPr>
                    <w:t>90</w:t>
                  </w:r>
                </w:p>
              </w:tc>
              <w:tc>
                <w:tcPr>
                  <w:tcW w:w="722" w:type="pct"/>
                  <w:noWrap/>
                  <w:vAlign w:val="bottom"/>
                </w:tcPr>
                <w:p w14:paraId="0FF6BA42">
                  <w:pPr>
                    <w:jc w:val="center"/>
                    <w:rPr>
                      <w:rFonts w:hint="default" w:ascii="Times New Roman" w:hAnsi="Times New Roman" w:cs="Times New Roman"/>
                    </w:rPr>
                  </w:pPr>
                  <w:r>
                    <w:rPr>
                      <w:rFonts w:hint="default" w:ascii="Times New Roman" w:hAnsi="Times New Roman" w:cs="Times New Roman"/>
                      <w:sz w:val="22"/>
                      <w:szCs w:val="22"/>
                    </w:rPr>
                    <w:t>70</w:t>
                  </w:r>
                </w:p>
              </w:tc>
              <w:tc>
                <w:tcPr>
                  <w:tcW w:w="643" w:type="pct"/>
                  <w:noWrap/>
                  <w:vAlign w:val="bottom"/>
                </w:tcPr>
                <w:p w14:paraId="0754245C">
                  <w:pPr>
                    <w:jc w:val="center"/>
                    <w:rPr>
                      <w:rFonts w:hint="default" w:ascii="Times New Roman" w:hAnsi="Times New Roman" w:cs="Times New Roman"/>
                    </w:rPr>
                  </w:pPr>
                  <w:r>
                    <w:rPr>
                      <w:rFonts w:hint="default" w:ascii="Times New Roman" w:hAnsi="Times New Roman" w:cs="Times New Roman"/>
                      <w:sz w:val="22"/>
                      <w:szCs w:val="22"/>
                    </w:rPr>
                    <w:t>55</w:t>
                  </w:r>
                </w:p>
              </w:tc>
              <w:tc>
                <w:tcPr>
                  <w:tcW w:w="599" w:type="pct"/>
                  <w:noWrap/>
                  <w:vAlign w:val="bottom"/>
                </w:tcPr>
                <w:p w14:paraId="4203A19B">
                  <w:pPr>
                    <w:jc w:val="center"/>
                    <w:rPr>
                      <w:rFonts w:hint="default" w:ascii="Times New Roman" w:hAnsi="Times New Roman" w:cs="Times New Roman"/>
                    </w:rPr>
                  </w:pPr>
                  <w:r>
                    <w:rPr>
                      <w:rFonts w:hint="default" w:ascii="Times New Roman" w:hAnsi="Times New Roman" w:cs="Times New Roman"/>
                      <w:sz w:val="22"/>
                      <w:szCs w:val="22"/>
                    </w:rPr>
                    <w:t xml:space="preserve">100 </w:t>
                  </w:r>
                </w:p>
              </w:tc>
              <w:tc>
                <w:tcPr>
                  <w:tcW w:w="615" w:type="pct"/>
                  <w:noWrap/>
                  <w:vAlign w:val="bottom"/>
                </w:tcPr>
                <w:p w14:paraId="205B9C64">
                  <w:pPr>
                    <w:jc w:val="center"/>
                    <w:rPr>
                      <w:rFonts w:hint="default" w:ascii="Times New Roman" w:hAnsi="Times New Roman" w:cs="Times New Roman"/>
                    </w:rPr>
                  </w:pPr>
                  <w:r>
                    <w:rPr>
                      <w:rFonts w:hint="default" w:ascii="Times New Roman" w:hAnsi="Times New Roman" w:cs="Times New Roman"/>
                      <w:sz w:val="22"/>
                      <w:szCs w:val="22"/>
                    </w:rPr>
                    <w:t xml:space="preserve">562 </w:t>
                  </w:r>
                </w:p>
              </w:tc>
            </w:tr>
            <w:tr w14:paraId="0B4C2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c>
                <w:tcPr>
                  <w:tcW w:w="868" w:type="pct"/>
                  <w:noWrap/>
                  <w:vAlign w:val="bottom"/>
                </w:tcPr>
                <w:p w14:paraId="44C9059B">
                  <w:pPr>
                    <w:jc w:val="center"/>
                    <w:rPr>
                      <w:rFonts w:hint="default" w:ascii="Times New Roman" w:hAnsi="Times New Roman" w:cs="Times New Roman"/>
                    </w:rPr>
                  </w:pPr>
                  <w:r>
                    <w:rPr>
                      <w:rFonts w:hint="default" w:ascii="Times New Roman" w:hAnsi="Times New Roman" w:cs="Times New Roman"/>
                      <w:sz w:val="22"/>
                      <w:szCs w:val="22"/>
                    </w:rPr>
                    <w:t>打桩机</w:t>
                  </w:r>
                </w:p>
              </w:tc>
              <w:tc>
                <w:tcPr>
                  <w:tcW w:w="834" w:type="pct"/>
                  <w:noWrap/>
                  <w:vAlign w:val="bottom"/>
                </w:tcPr>
                <w:p w14:paraId="6EE8D1F7">
                  <w:pPr>
                    <w:jc w:val="center"/>
                    <w:rPr>
                      <w:rFonts w:hint="default" w:ascii="Times New Roman" w:hAnsi="Times New Roman" w:cs="Times New Roman"/>
                    </w:rPr>
                  </w:pPr>
                  <w:r>
                    <w:rPr>
                      <w:rFonts w:hint="default" w:ascii="Times New Roman" w:hAnsi="Times New Roman" w:cs="Times New Roman"/>
                      <w:sz w:val="22"/>
                      <w:szCs w:val="22"/>
                    </w:rPr>
                    <w:t>10</w:t>
                  </w:r>
                </w:p>
              </w:tc>
              <w:tc>
                <w:tcPr>
                  <w:tcW w:w="716" w:type="pct"/>
                  <w:noWrap/>
                  <w:vAlign w:val="bottom"/>
                </w:tcPr>
                <w:p w14:paraId="74CBD595">
                  <w:pPr>
                    <w:jc w:val="center"/>
                    <w:rPr>
                      <w:rFonts w:hint="default" w:ascii="Times New Roman" w:hAnsi="Times New Roman" w:cs="Times New Roman"/>
                    </w:rPr>
                  </w:pPr>
                  <w:r>
                    <w:rPr>
                      <w:rFonts w:hint="default" w:ascii="Times New Roman" w:hAnsi="Times New Roman" w:cs="Times New Roman"/>
                      <w:sz w:val="22"/>
                      <w:szCs w:val="22"/>
                    </w:rPr>
                    <w:t>100</w:t>
                  </w:r>
                </w:p>
              </w:tc>
              <w:tc>
                <w:tcPr>
                  <w:tcW w:w="722" w:type="pct"/>
                  <w:noWrap/>
                  <w:vAlign w:val="bottom"/>
                </w:tcPr>
                <w:p w14:paraId="4ACDA1D9">
                  <w:pPr>
                    <w:jc w:val="center"/>
                    <w:rPr>
                      <w:rFonts w:hint="default" w:ascii="Times New Roman" w:hAnsi="Times New Roman" w:cs="Times New Roman"/>
                    </w:rPr>
                  </w:pPr>
                  <w:r>
                    <w:rPr>
                      <w:rFonts w:hint="default" w:ascii="Times New Roman" w:hAnsi="Times New Roman" w:cs="Times New Roman"/>
                      <w:sz w:val="22"/>
                      <w:szCs w:val="22"/>
                    </w:rPr>
                    <w:t>70</w:t>
                  </w:r>
                </w:p>
              </w:tc>
              <w:tc>
                <w:tcPr>
                  <w:tcW w:w="643" w:type="pct"/>
                  <w:noWrap/>
                  <w:vAlign w:val="bottom"/>
                </w:tcPr>
                <w:p w14:paraId="4DC6F140">
                  <w:pPr>
                    <w:jc w:val="center"/>
                    <w:rPr>
                      <w:rFonts w:hint="default" w:ascii="Times New Roman" w:hAnsi="Times New Roman" w:cs="Times New Roman"/>
                    </w:rPr>
                  </w:pPr>
                  <w:r>
                    <w:rPr>
                      <w:rFonts w:hint="default" w:ascii="Times New Roman" w:hAnsi="Times New Roman" w:cs="Times New Roman"/>
                      <w:sz w:val="22"/>
                      <w:szCs w:val="22"/>
                    </w:rPr>
                    <w:t>55</w:t>
                  </w:r>
                </w:p>
              </w:tc>
              <w:tc>
                <w:tcPr>
                  <w:tcW w:w="599" w:type="pct"/>
                  <w:noWrap/>
                  <w:vAlign w:val="bottom"/>
                </w:tcPr>
                <w:p w14:paraId="642201E9">
                  <w:pPr>
                    <w:jc w:val="center"/>
                    <w:rPr>
                      <w:rFonts w:hint="default" w:ascii="Times New Roman" w:hAnsi="Times New Roman" w:cs="Times New Roman"/>
                    </w:rPr>
                  </w:pPr>
                  <w:r>
                    <w:rPr>
                      <w:rFonts w:hint="default" w:ascii="Times New Roman" w:hAnsi="Times New Roman" w:cs="Times New Roman"/>
                      <w:sz w:val="22"/>
                      <w:szCs w:val="22"/>
                    </w:rPr>
                    <w:t xml:space="preserve">316 </w:t>
                  </w:r>
                </w:p>
              </w:tc>
              <w:tc>
                <w:tcPr>
                  <w:tcW w:w="615" w:type="pct"/>
                  <w:noWrap/>
                  <w:vAlign w:val="bottom"/>
                </w:tcPr>
                <w:p w14:paraId="07B0236F">
                  <w:pPr>
                    <w:jc w:val="center"/>
                    <w:rPr>
                      <w:rFonts w:hint="default" w:ascii="Times New Roman" w:hAnsi="Times New Roman" w:cs="Times New Roman"/>
                    </w:rPr>
                  </w:pPr>
                  <w:r>
                    <w:rPr>
                      <w:rFonts w:hint="default" w:ascii="Times New Roman" w:hAnsi="Times New Roman" w:cs="Times New Roman"/>
                      <w:sz w:val="22"/>
                      <w:szCs w:val="22"/>
                    </w:rPr>
                    <w:t xml:space="preserve">1778 </w:t>
                  </w:r>
                </w:p>
              </w:tc>
            </w:tr>
            <w:tr w14:paraId="706C0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c>
                <w:tcPr>
                  <w:tcW w:w="868" w:type="pct"/>
                  <w:noWrap/>
                  <w:vAlign w:val="bottom"/>
                </w:tcPr>
                <w:p w14:paraId="351C12F6">
                  <w:pPr>
                    <w:jc w:val="center"/>
                    <w:rPr>
                      <w:rFonts w:hint="default" w:ascii="Times New Roman" w:hAnsi="Times New Roman" w:cs="Times New Roman"/>
                    </w:rPr>
                  </w:pPr>
                  <w:r>
                    <w:rPr>
                      <w:rFonts w:hint="default" w:ascii="Times New Roman" w:hAnsi="Times New Roman" w:cs="Times New Roman"/>
                      <w:sz w:val="22"/>
                      <w:szCs w:val="22"/>
                    </w:rPr>
                    <w:t>静力压桩机</w:t>
                  </w:r>
                </w:p>
              </w:tc>
              <w:tc>
                <w:tcPr>
                  <w:tcW w:w="834" w:type="pct"/>
                  <w:noWrap/>
                  <w:vAlign w:val="bottom"/>
                </w:tcPr>
                <w:p w14:paraId="111028B5">
                  <w:pPr>
                    <w:jc w:val="center"/>
                    <w:rPr>
                      <w:rFonts w:hint="default" w:ascii="Times New Roman" w:hAnsi="Times New Roman" w:cs="Times New Roman"/>
                    </w:rPr>
                  </w:pPr>
                  <w:r>
                    <w:rPr>
                      <w:rFonts w:hint="default" w:ascii="Times New Roman" w:hAnsi="Times New Roman" w:cs="Times New Roman"/>
                      <w:sz w:val="22"/>
                      <w:szCs w:val="22"/>
                    </w:rPr>
                    <w:t>10</w:t>
                  </w:r>
                </w:p>
              </w:tc>
              <w:tc>
                <w:tcPr>
                  <w:tcW w:w="716" w:type="pct"/>
                  <w:noWrap/>
                  <w:vAlign w:val="bottom"/>
                </w:tcPr>
                <w:p w14:paraId="33F66A37">
                  <w:pPr>
                    <w:jc w:val="center"/>
                    <w:rPr>
                      <w:rFonts w:hint="default" w:ascii="Times New Roman" w:hAnsi="Times New Roman" w:cs="Times New Roman"/>
                    </w:rPr>
                  </w:pPr>
                  <w:r>
                    <w:rPr>
                      <w:rFonts w:hint="default" w:ascii="Times New Roman" w:hAnsi="Times New Roman" w:cs="Times New Roman"/>
                      <w:sz w:val="22"/>
                      <w:szCs w:val="22"/>
                    </w:rPr>
                    <w:t>70.5</w:t>
                  </w:r>
                </w:p>
              </w:tc>
              <w:tc>
                <w:tcPr>
                  <w:tcW w:w="722" w:type="pct"/>
                  <w:noWrap/>
                  <w:vAlign w:val="bottom"/>
                </w:tcPr>
                <w:p w14:paraId="0F559E3E">
                  <w:pPr>
                    <w:jc w:val="center"/>
                    <w:rPr>
                      <w:rFonts w:hint="default" w:ascii="Times New Roman" w:hAnsi="Times New Roman" w:cs="Times New Roman"/>
                    </w:rPr>
                  </w:pPr>
                  <w:r>
                    <w:rPr>
                      <w:rFonts w:hint="default" w:ascii="Times New Roman" w:hAnsi="Times New Roman" w:cs="Times New Roman"/>
                      <w:sz w:val="22"/>
                      <w:szCs w:val="22"/>
                    </w:rPr>
                    <w:t>70</w:t>
                  </w:r>
                </w:p>
              </w:tc>
              <w:tc>
                <w:tcPr>
                  <w:tcW w:w="643" w:type="pct"/>
                  <w:noWrap/>
                  <w:vAlign w:val="bottom"/>
                </w:tcPr>
                <w:p w14:paraId="62A47754">
                  <w:pPr>
                    <w:jc w:val="center"/>
                    <w:rPr>
                      <w:rFonts w:hint="default" w:ascii="Times New Roman" w:hAnsi="Times New Roman" w:cs="Times New Roman"/>
                    </w:rPr>
                  </w:pPr>
                  <w:r>
                    <w:rPr>
                      <w:rFonts w:hint="default" w:ascii="Times New Roman" w:hAnsi="Times New Roman" w:cs="Times New Roman"/>
                      <w:sz w:val="22"/>
                      <w:szCs w:val="22"/>
                    </w:rPr>
                    <w:t>55</w:t>
                  </w:r>
                </w:p>
              </w:tc>
              <w:tc>
                <w:tcPr>
                  <w:tcW w:w="599" w:type="pct"/>
                  <w:noWrap/>
                  <w:vAlign w:val="bottom"/>
                </w:tcPr>
                <w:p w14:paraId="5A82C44E">
                  <w:pPr>
                    <w:jc w:val="center"/>
                    <w:rPr>
                      <w:rFonts w:hint="default" w:ascii="Times New Roman" w:hAnsi="Times New Roman" w:cs="Times New Roman"/>
                    </w:rPr>
                  </w:pPr>
                  <w:r>
                    <w:rPr>
                      <w:rFonts w:hint="default" w:ascii="Times New Roman" w:hAnsi="Times New Roman" w:cs="Times New Roman"/>
                      <w:sz w:val="22"/>
                      <w:szCs w:val="22"/>
                    </w:rPr>
                    <w:t xml:space="preserve">11 </w:t>
                  </w:r>
                </w:p>
              </w:tc>
              <w:tc>
                <w:tcPr>
                  <w:tcW w:w="615" w:type="pct"/>
                  <w:noWrap/>
                  <w:vAlign w:val="bottom"/>
                </w:tcPr>
                <w:p w14:paraId="65B1C8AA">
                  <w:pPr>
                    <w:jc w:val="center"/>
                    <w:rPr>
                      <w:rFonts w:hint="default" w:ascii="Times New Roman" w:hAnsi="Times New Roman" w:cs="Times New Roman"/>
                    </w:rPr>
                  </w:pPr>
                  <w:r>
                    <w:rPr>
                      <w:rFonts w:hint="default" w:ascii="Times New Roman" w:hAnsi="Times New Roman" w:cs="Times New Roman"/>
                      <w:sz w:val="22"/>
                      <w:szCs w:val="22"/>
                    </w:rPr>
                    <w:t xml:space="preserve">60 </w:t>
                  </w:r>
                </w:p>
              </w:tc>
            </w:tr>
            <w:tr w14:paraId="65B2C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c>
                <w:tcPr>
                  <w:tcW w:w="868" w:type="pct"/>
                  <w:noWrap/>
                  <w:vAlign w:val="bottom"/>
                </w:tcPr>
                <w:p w14:paraId="6374E700">
                  <w:pPr>
                    <w:jc w:val="center"/>
                    <w:rPr>
                      <w:rFonts w:hint="default" w:ascii="Times New Roman" w:hAnsi="Times New Roman" w:cs="Times New Roman"/>
                    </w:rPr>
                  </w:pPr>
                  <w:r>
                    <w:rPr>
                      <w:rFonts w:hint="default" w:ascii="Times New Roman" w:hAnsi="Times New Roman" w:cs="Times New Roman"/>
                      <w:sz w:val="22"/>
                      <w:szCs w:val="22"/>
                    </w:rPr>
                    <w:t>混凝土输送泵</w:t>
                  </w:r>
                </w:p>
              </w:tc>
              <w:tc>
                <w:tcPr>
                  <w:tcW w:w="834" w:type="pct"/>
                  <w:noWrap/>
                  <w:vAlign w:val="bottom"/>
                </w:tcPr>
                <w:p w14:paraId="16CED0E8">
                  <w:pPr>
                    <w:jc w:val="center"/>
                    <w:rPr>
                      <w:rFonts w:hint="default" w:ascii="Times New Roman" w:hAnsi="Times New Roman" w:cs="Times New Roman"/>
                    </w:rPr>
                  </w:pPr>
                  <w:r>
                    <w:rPr>
                      <w:rFonts w:hint="default" w:ascii="Times New Roman" w:hAnsi="Times New Roman" w:cs="Times New Roman"/>
                      <w:sz w:val="22"/>
                      <w:szCs w:val="22"/>
                    </w:rPr>
                    <w:t>10</w:t>
                  </w:r>
                </w:p>
              </w:tc>
              <w:tc>
                <w:tcPr>
                  <w:tcW w:w="716" w:type="pct"/>
                  <w:noWrap/>
                  <w:vAlign w:val="bottom"/>
                </w:tcPr>
                <w:p w14:paraId="173108F5">
                  <w:pPr>
                    <w:jc w:val="center"/>
                    <w:rPr>
                      <w:rFonts w:hint="default" w:ascii="Times New Roman" w:hAnsi="Times New Roman" w:cs="Times New Roman"/>
                    </w:rPr>
                  </w:pPr>
                  <w:r>
                    <w:rPr>
                      <w:rFonts w:hint="default" w:ascii="Times New Roman" w:hAnsi="Times New Roman" w:cs="Times New Roman"/>
                      <w:sz w:val="22"/>
                      <w:szCs w:val="22"/>
                    </w:rPr>
                    <w:t>87</w:t>
                  </w:r>
                </w:p>
              </w:tc>
              <w:tc>
                <w:tcPr>
                  <w:tcW w:w="722" w:type="pct"/>
                  <w:noWrap/>
                  <w:vAlign w:val="bottom"/>
                </w:tcPr>
                <w:p w14:paraId="4F316D14">
                  <w:pPr>
                    <w:jc w:val="center"/>
                    <w:rPr>
                      <w:rFonts w:hint="default" w:ascii="Times New Roman" w:hAnsi="Times New Roman" w:cs="Times New Roman"/>
                    </w:rPr>
                  </w:pPr>
                  <w:r>
                    <w:rPr>
                      <w:rFonts w:hint="default" w:ascii="Times New Roman" w:hAnsi="Times New Roman" w:cs="Times New Roman"/>
                      <w:sz w:val="22"/>
                      <w:szCs w:val="22"/>
                    </w:rPr>
                    <w:t>70</w:t>
                  </w:r>
                </w:p>
              </w:tc>
              <w:tc>
                <w:tcPr>
                  <w:tcW w:w="643" w:type="pct"/>
                  <w:noWrap/>
                  <w:vAlign w:val="bottom"/>
                </w:tcPr>
                <w:p w14:paraId="36327C72">
                  <w:pPr>
                    <w:jc w:val="center"/>
                    <w:rPr>
                      <w:rFonts w:hint="default" w:ascii="Times New Roman" w:hAnsi="Times New Roman" w:cs="Times New Roman"/>
                    </w:rPr>
                  </w:pPr>
                  <w:r>
                    <w:rPr>
                      <w:rFonts w:hint="default" w:ascii="Times New Roman" w:hAnsi="Times New Roman" w:cs="Times New Roman"/>
                      <w:sz w:val="22"/>
                      <w:szCs w:val="22"/>
                    </w:rPr>
                    <w:t>55</w:t>
                  </w:r>
                </w:p>
              </w:tc>
              <w:tc>
                <w:tcPr>
                  <w:tcW w:w="599" w:type="pct"/>
                  <w:noWrap/>
                  <w:vAlign w:val="bottom"/>
                </w:tcPr>
                <w:p w14:paraId="49DCF5A2">
                  <w:pPr>
                    <w:jc w:val="center"/>
                    <w:rPr>
                      <w:rFonts w:hint="default" w:ascii="Times New Roman" w:hAnsi="Times New Roman" w:cs="Times New Roman"/>
                    </w:rPr>
                  </w:pPr>
                  <w:r>
                    <w:rPr>
                      <w:rFonts w:hint="default" w:ascii="Times New Roman" w:hAnsi="Times New Roman" w:cs="Times New Roman"/>
                      <w:sz w:val="22"/>
                      <w:szCs w:val="22"/>
                    </w:rPr>
                    <w:t xml:space="preserve">71 </w:t>
                  </w:r>
                </w:p>
              </w:tc>
              <w:tc>
                <w:tcPr>
                  <w:tcW w:w="615" w:type="pct"/>
                  <w:noWrap/>
                  <w:vAlign w:val="bottom"/>
                </w:tcPr>
                <w:p w14:paraId="3CC827FC">
                  <w:pPr>
                    <w:jc w:val="center"/>
                    <w:rPr>
                      <w:rFonts w:hint="default" w:ascii="Times New Roman" w:hAnsi="Times New Roman" w:cs="Times New Roman"/>
                    </w:rPr>
                  </w:pPr>
                  <w:r>
                    <w:rPr>
                      <w:rFonts w:hint="default" w:ascii="Times New Roman" w:hAnsi="Times New Roman" w:cs="Times New Roman"/>
                      <w:sz w:val="22"/>
                      <w:szCs w:val="22"/>
                    </w:rPr>
                    <w:t xml:space="preserve">398 </w:t>
                  </w:r>
                </w:p>
              </w:tc>
            </w:tr>
            <w:tr w14:paraId="25489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c>
                <w:tcPr>
                  <w:tcW w:w="868" w:type="pct"/>
                  <w:noWrap/>
                  <w:vAlign w:val="bottom"/>
                </w:tcPr>
                <w:p w14:paraId="0E21FA7E">
                  <w:pPr>
                    <w:jc w:val="center"/>
                    <w:rPr>
                      <w:rFonts w:hint="default" w:ascii="Times New Roman" w:hAnsi="Times New Roman" w:cs="Times New Roman"/>
                    </w:rPr>
                  </w:pPr>
                  <w:r>
                    <w:rPr>
                      <w:rFonts w:hint="default" w:ascii="Times New Roman" w:hAnsi="Times New Roman" w:cs="Times New Roman"/>
                      <w:sz w:val="22"/>
                      <w:szCs w:val="22"/>
                    </w:rPr>
                    <w:t>混凝土振捣器</w:t>
                  </w:r>
                </w:p>
              </w:tc>
              <w:tc>
                <w:tcPr>
                  <w:tcW w:w="834" w:type="pct"/>
                  <w:noWrap/>
                  <w:vAlign w:val="bottom"/>
                </w:tcPr>
                <w:p w14:paraId="48937662">
                  <w:pPr>
                    <w:jc w:val="center"/>
                    <w:rPr>
                      <w:rFonts w:hint="default" w:ascii="Times New Roman" w:hAnsi="Times New Roman" w:cs="Times New Roman"/>
                    </w:rPr>
                  </w:pPr>
                  <w:r>
                    <w:rPr>
                      <w:rFonts w:hint="default" w:ascii="Times New Roman" w:hAnsi="Times New Roman" w:cs="Times New Roman"/>
                      <w:sz w:val="22"/>
                      <w:szCs w:val="22"/>
                    </w:rPr>
                    <w:t>10</w:t>
                  </w:r>
                </w:p>
              </w:tc>
              <w:tc>
                <w:tcPr>
                  <w:tcW w:w="716" w:type="pct"/>
                  <w:noWrap/>
                  <w:vAlign w:val="bottom"/>
                </w:tcPr>
                <w:p w14:paraId="5C3179CC">
                  <w:pPr>
                    <w:jc w:val="center"/>
                    <w:rPr>
                      <w:rFonts w:hint="default" w:ascii="Times New Roman" w:hAnsi="Times New Roman" w:cs="Times New Roman"/>
                    </w:rPr>
                  </w:pPr>
                  <w:r>
                    <w:rPr>
                      <w:rFonts w:hint="default" w:ascii="Times New Roman" w:hAnsi="Times New Roman" w:cs="Times New Roman"/>
                      <w:sz w:val="22"/>
                      <w:szCs w:val="22"/>
                    </w:rPr>
                    <w:t>79.5</w:t>
                  </w:r>
                </w:p>
              </w:tc>
              <w:tc>
                <w:tcPr>
                  <w:tcW w:w="722" w:type="pct"/>
                  <w:noWrap/>
                  <w:vAlign w:val="bottom"/>
                </w:tcPr>
                <w:p w14:paraId="711A6C09">
                  <w:pPr>
                    <w:jc w:val="center"/>
                    <w:rPr>
                      <w:rFonts w:hint="default" w:ascii="Times New Roman" w:hAnsi="Times New Roman" w:cs="Times New Roman"/>
                    </w:rPr>
                  </w:pPr>
                  <w:r>
                    <w:rPr>
                      <w:rFonts w:hint="default" w:ascii="Times New Roman" w:hAnsi="Times New Roman" w:cs="Times New Roman"/>
                      <w:sz w:val="22"/>
                      <w:szCs w:val="22"/>
                    </w:rPr>
                    <w:t>70</w:t>
                  </w:r>
                </w:p>
              </w:tc>
              <w:tc>
                <w:tcPr>
                  <w:tcW w:w="643" w:type="pct"/>
                  <w:noWrap/>
                  <w:vAlign w:val="bottom"/>
                </w:tcPr>
                <w:p w14:paraId="1DAF88D0">
                  <w:pPr>
                    <w:jc w:val="center"/>
                    <w:rPr>
                      <w:rFonts w:hint="default" w:ascii="Times New Roman" w:hAnsi="Times New Roman" w:cs="Times New Roman"/>
                    </w:rPr>
                  </w:pPr>
                  <w:r>
                    <w:rPr>
                      <w:rFonts w:hint="default" w:ascii="Times New Roman" w:hAnsi="Times New Roman" w:cs="Times New Roman"/>
                      <w:sz w:val="22"/>
                      <w:szCs w:val="22"/>
                    </w:rPr>
                    <w:t>55</w:t>
                  </w:r>
                </w:p>
              </w:tc>
              <w:tc>
                <w:tcPr>
                  <w:tcW w:w="599" w:type="pct"/>
                  <w:noWrap/>
                  <w:vAlign w:val="bottom"/>
                </w:tcPr>
                <w:p w14:paraId="72204AA2">
                  <w:pPr>
                    <w:jc w:val="center"/>
                    <w:rPr>
                      <w:rFonts w:hint="default" w:ascii="Times New Roman" w:hAnsi="Times New Roman" w:cs="Times New Roman"/>
                    </w:rPr>
                  </w:pPr>
                  <w:r>
                    <w:rPr>
                      <w:rFonts w:hint="default" w:ascii="Times New Roman" w:hAnsi="Times New Roman" w:cs="Times New Roman"/>
                      <w:sz w:val="22"/>
                      <w:szCs w:val="22"/>
                    </w:rPr>
                    <w:t xml:space="preserve">30 </w:t>
                  </w:r>
                </w:p>
              </w:tc>
              <w:tc>
                <w:tcPr>
                  <w:tcW w:w="615" w:type="pct"/>
                  <w:noWrap/>
                  <w:vAlign w:val="bottom"/>
                </w:tcPr>
                <w:p w14:paraId="5BDC1618">
                  <w:pPr>
                    <w:jc w:val="center"/>
                    <w:rPr>
                      <w:rFonts w:hint="default" w:ascii="Times New Roman" w:hAnsi="Times New Roman" w:cs="Times New Roman"/>
                    </w:rPr>
                  </w:pPr>
                  <w:r>
                    <w:rPr>
                      <w:rFonts w:hint="default" w:ascii="Times New Roman" w:hAnsi="Times New Roman" w:cs="Times New Roman"/>
                      <w:sz w:val="22"/>
                      <w:szCs w:val="22"/>
                    </w:rPr>
                    <w:t xml:space="preserve">168 </w:t>
                  </w:r>
                </w:p>
              </w:tc>
            </w:tr>
            <w:tr w14:paraId="2270D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c>
                <w:tcPr>
                  <w:tcW w:w="868" w:type="pct"/>
                  <w:noWrap/>
                  <w:vAlign w:val="bottom"/>
                </w:tcPr>
                <w:p w14:paraId="1451F81D">
                  <w:pPr>
                    <w:jc w:val="center"/>
                    <w:rPr>
                      <w:rFonts w:hint="default" w:ascii="Times New Roman" w:hAnsi="Times New Roman" w:cs="Times New Roman"/>
                    </w:rPr>
                  </w:pPr>
                  <w:r>
                    <w:rPr>
                      <w:rFonts w:hint="default" w:ascii="Times New Roman" w:hAnsi="Times New Roman" w:cs="Times New Roman"/>
                      <w:sz w:val="22"/>
                      <w:szCs w:val="22"/>
                    </w:rPr>
                    <w:t>空压机</w:t>
                  </w:r>
                </w:p>
              </w:tc>
              <w:tc>
                <w:tcPr>
                  <w:tcW w:w="834" w:type="pct"/>
                  <w:noWrap/>
                  <w:vAlign w:val="bottom"/>
                </w:tcPr>
                <w:p w14:paraId="27A833D3">
                  <w:pPr>
                    <w:jc w:val="center"/>
                    <w:rPr>
                      <w:rFonts w:hint="default" w:ascii="Times New Roman" w:hAnsi="Times New Roman" w:cs="Times New Roman"/>
                    </w:rPr>
                  </w:pPr>
                  <w:r>
                    <w:rPr>
                      <w:rFonts w:hint="default" w:ascii="Times New Roman" w:hAnsi="Times New Roman" w:cs="Times New Roman"/>
                      <w:sz w:val="22"/>
                      <w:szCs w:val="22"/>
                    </w:rPr>
                    <w:t>10</w:t>
                  </w:r>
                </w:p>
              </w:tc>
              <w:tc>
                <w:tcPr>
                  <w:tcW w:w="716" w:type="pct"/>
                  <w:noWrap/>
                  <w:vAlign w:val="bottom"/>
                </w:tcPr>
                <w:p w14:paraId="7AD8DD78">
                  <w:pPr>
                    <w:jc w:val="center"/>
                    <w:rPr>
                      <w:rFonts w:hint="default" w:ascii="Times New Roman" w:hAnsi="Times New Roman" w:cs="Times New Roman"/>
                    </w:rPr>
                  </w:pPr>
                  <w:r>
                    <w:rPr>
                      <w:rFonts w:hint="default" w:ascii="Times New Roman" w:hAnsi="Times New Roman" w:cs="Times New Roman"/>
                      <w:sz w:val="22"/>
                      <w:szCs w:val="22"/>
                    </w:rPr>
                    <w:t>85.5</w:t>
                  </w:r>
                </w:p>
              </w:tc>
              <w:tc>
                <w:tcPr>
                  <w:tcW w:w="722" w:type="pct"/>
                  <w:noWrap/>
                  <w:vAlign w:val="bottom"/>
                </w:tcPr>
                <w:p w14:paraId="6CB55128">
                  <w:pPr>
                    <w:jc w:val="center"/>
                    <w:rPr>
                      <w:rFonts w:hint="default" w:ascii="Times New Roman" w:hAnsi="Times New Roman" w:cs="Times New Roman"/>
                    </w:rPr>
                  </w:pPr>
                  <w:r>
                    <w:rPr>
                      <w:rFonts w:hint="default" w:ascii="Times New Roman" w:hAnsi="Times New Roman" w:cs="Times New Roman"/>
                      <w:sz w:val="22"/>
                      <w:szCs w:val="22"/>
                    </w:rPr>
                    <w:t>70</w:t>
                  </w:r>
                </w:p>
              </w:tc>
              <w:tc>
                <w:tcPr>
                  <w:tcW w:w="643" w:type="pct"/>
                  <w:noWrap/>
                  <w:vAlign w:val="bottom"/>
                </w:tcPr>
                <w:p w14:paraId="02F76272">
                  <w:pPr>
                    <w:jc w:val="center"/>
                    <w:rPr>
                      <w:rFonts w:hint="default" w:ascii="Times New Roman" w:hAnsi="Times New Roman" w:cs="Times New Roman"/>
                    </w:rPr>
                  </w:pPr>
                  <w:r>
                    <w:rPr>
                      <w:rFonts w:hint="default" w:ascii="Times New Roman" w:hAnsi="Times New Roman" w:cs="Times New Roman"/>
                      <w:sz w:val="22"/>
                      <w:szCs w:val="22"/>
                    </w:rPr>
                    <w:t>55</w:t>
                  </w:r>
                </w:p>
              </w:tc>
              <w:tc>
                <w:tcPr>
                  <w:tcW w:w="599" w:type="pct"/>
                  <w:noWrap/>
                  <w:vAlign w:val="bottom"/>
                </w:tcPr>
                <w:p w14:paraId="67886D14">
                  <w:pPr>
                    <w:jc w:val="center"/>
                    <w:rPr>
                      <w:rFonts w:hint="default" w:ascii="Times New Roman" w:hAnsi="Times New Roman" w:cs="Times New Roman"/>
                    </w:rPr>
                  </w:pPr>
                  <w:r>
                    <w:rPr>
                      <w:rFonts w:hint="default" w:ascii="Times New Roman" w:hAnsi="Times New Roman" w:cs="Times New Roman"/>
                      <w:sz w:val="22"/>
                      <w:szCs w:val="22"/>
                    </w:rPr>
                    <w:t xml:space="preserve">60 </w:t>
                  </w:r>
                </w:p>
              </w:tc>
              <w:tc>
                <w:tcPr>
                  <w:tcW w:w="615" w:type="pct"/>
                  <w:noWrap/>
                  <w:vAlign w:val="bottom"/>
                </w:tcPr>
                <w:p w14:paraId="77CD84E9">
                  <w:pPr>
                    <w:jc w:val="center"/>
                    <w:rPr>
                      <w:rFonts w:hint="default" w:ascii="Times New Roman" w:hAnsi="Times New Roman" w:cs="Times New Roman"/>
                    </w:rPr>
                  </w:pPr>
                  <w:r>
                    <w:rPr>
                      <w:rFonts w:hint="default" w:ascii="Times New Roman" w:hAnsi="Times New Roman" w:cs="Times New Roman"/>
                      <w:sz w:val="22"/>
                      <w:szCs w:val="22"/>
                    </w:rPr>
                    <w:t xml:space="preserve">335 </w:t>
                  </w:r>
                </w:p>
              </w:tc>
            </w:tr>
          </w:tbl>
          <w:p w14:paraId="20D5A31C">
            <w:pPr>
              <w:spacing w:line="480" w:lineRule="exact"/>
              <w:ind w:firstLine="522"/>
              <w:rPr>
                <w:rFonts w:hint="default" w:ascii="Times New Roman" w:hAnsi="Times New Roman" w:eastAsia="宋体&quot; '仿宋_GB2312，宋体" w:cs="Times New Roman"/>
                <w:sz w:val="24"/>
                <w:lang w:val="zh-CN"/>
              </w:rPr>
            </w:pPr>
            <w:r>
              <w:rPr>
                <w:rFonts w:hint="default" w:ascii="Times New Roman" w:hAnsi="Times New Roman" w:eastAsia="宋体&quot; '仿宋_GB2312，宋体" w:cs="Times New Roman"/>
                <w:sz w:val="24"/>
                <w:lang w:val="zh-CN"/>
              </w:rPr>
              <w:t>由表</w:t>
            </w:r>
            <w:r>
              <w:rPr>
                <w:rFonts w:hint="default" w:ascii="Times New Roman" w:hAnsi="Times New Roman" w:eastAsia="宋体&quot; '仿宋_GB2312，宋体" w:cs="Times New Roman"/>
                <w:sz w:val="24"/>
                <w:lang w:val="en-US" w:eastAsia="zh-CN"/>
              </w:rPr>
              <w:t>4-5</w:t>
            </w:r>
            <w:r>
              <w:rPr>
                <w:rFonts w:hint="default" w:ascii="Times New Roman" w:hAnsi="Times New Roman" w:eastAsia="宋体&quot; '仿宋_GB2312，宋体" w:cs="Times New Roman"/>
                <w:sz w:val="24"/>
                <w:lang w:val="zh-CN"/>
              </w:rPr>
              <w:t>预测结果可知，距主要</w:t>
            </w:r>
            <w:r>
              <w:rPr>
                <w:rFonts w:hint="default" w:ascii="Times New Roman" w:hAnsi="Times New Roman" w:eastAsia="宋体&quot; '仿宋_GB2312，宋体" w:cs="Times New Roman"/>
                <w:sz w:val="24"/>
              </w:rPr>
              <w:t>产噪</w:t>
            </w:r>
            <w:r>
              <w:rPr>
                <w:rFonts w:hint="default" w:ascii="Times New Roman" w:hAnsi="Times New Roman" w:eastAsia="宋体&quot; '仿宋_GB2312，宋体" w:cs="Times New Roman"/>
                <w:sz w:val="24"/>
                <w:lang w:val="zh-CN"/>
              </w:rPr>
              <w:t>设备</w:t>
            </w:r>
            <w:r>
              <w:rPr>
                <w:rFonts w:hint="default" w:ascii="Times New Roman" w:hAnsi="Times New Roman" w:eastAsia="宋体&quot; '仿宋_GB2312，宋体" w:cs="Times New Roman"/>
                <w:sz w:val="24"/>
              </w:rPr>
              <w:t>316米外</w:t>
            </w:r>
            <w:r>
              <w:rPr>
                <w:rFonts w:hint="default" w:ascii="Times New Roman" w:hAnsi="Times New Roman" w:eastAsia="宋体&quot; '仿宋_GB2312，宋体" w:cs="Times New Roman"/>
                <w:sz w:val="24"/>
                <w:lang w:val="zh-CN"/>
              </w:rPr>
              <w:t>昼间噪声可以</w:t>
            </w:r>
            <w:r>
              <w:rPr>
                <w:rFonts w:hint="default" w:ascii="Times New Roman" w:hAnsi="Times New Roman" w:eastAsia="宋体&quot; '仿宋_GB2312，宋体" w:cs="Times New Roman"/>
                <w:sz w:val="24"/>
              </w:rPr>
              <w:t>满足</w:t>
            </w:r>
            <w:r>
              <w:rPr>
                <w:rFonts w:hint="default" w:ascii="Times New Roman" w:hAnsi="Times New Roman" w:eastAsia="宋体&quot; '仿宋_GB2312，宋体" w:cs="Times New Roman"/>
                <w:sz w:val="24"/>
                <w:lang w:val="zh-CN"/>
              </w:rPr>
              <w:t>《建筑施工噪声排放标准》（GB12523-2025）</w:t>
            </w:r>
            <w:r>
              <w:rPr>
                <w:rFonts w:hint="default" w:ascii="Times New Roman" w:hAnsi="Times New Roman" w:eastAsia="宋体&quot; '仿宋_GB2312，宋体" w:cs="Times New Roman"/>
                <w:sz w:val="24"/>
              </w:rPr>
              <w:t>昼间</w:t>
            </w:r>
            <w:r>
              <w:rPr>
                <w:rFonts w:hint="default" w:ascii="Times New Roman" w:hAnsi="Times New Roman" w:eastAsia="宋体&quot; '仿宋_GB2312，宋体" w:cs="Times New Roman"/>
                <w:sz w:val="24"/>
                <w:lang w:val="zh-CN"/>
              </w:rPr>
              <w:t>70dB（A）的要求；</w:t>
            </w:r>
            <w:r>
              <w:rPr>
                <w:rFonts w:hint="default" w:ascii="Times New Roman" w:hAnsi="Times New Roman" w:eastAsia="宋体&quot; '仿宋_GB2312，宋体" w:cs="Times New Roman"/>
                <w:sz w:val="24"/>
              </w:rPr>
              <w:t>1778米</w:t>
            </w:r>
            <w:r>
              <w:rPr>
                <w:rFonts w:hint="default" w:ascii="Times New Roman" w:hAnsi="Times New Roman" w:eastAsia="宋体&quot; '仿宋_GB2312，宋体" w:cs="Times New Roman"/>
                <w:sz w:val="24"/>
                <w:lang w:val="zh-CN"/>
              </w:rPr>
              <w:t>外</w:t>
            </w:r>
            <w:r>
              <w:rPr>
                <w:rFonts w:hint="default" w:ascii="Times New Roman" w:hAnsi="Times New Roman" w:eastAsia="宋体&quot; '仿宋_GB2312，宋体" w:cs="Times New Roman"/>
                <w:sz w:val="24"/>
              </w:rPr>
              <w:t>夜间噪声可</w:t>
            </w:r>
            <w:r>
              <w:rPr>
                <w:rFonts w:hint="default" w:ascii="Times New Roman" w:hAnsi="Times New Roman" w:eastAsia="宋体&quot; '仿宋_GB2312，宋体" w:cs="Times New Roman"/>
                <w:sz w:val="24"/>
                <w:lang w:val="zh-CN"/>
              </w:rPr>
              <w:t>满足55dB（A）的夜间标准值。项目位于新疆维吾尔自治区</w:t>
            </w:r>
            <w:r>
              <w:rPr>
                <w:rFonts w:hint="default" w:ascii="Times New Roman" w:hAnsi="Times New Roman" w:eastAsia="宋体&quot; '仿宋_GB2312，宋体" w:cs="Times New Roman"/>
                <w:sz w:val="24"/>
                <w:lang w:val="en-US" w:eastAsia="zh-CN"/>
              </w:rPr>
              <w:t>尉犁</w:t>
            </w:r>
            <w:r>
              <w:rPr>
                <w:rFonts w:hint="default" w:ascii="Times New Roman" w:hAnsi="Times New Roman" w:eastAsia="宋体&quot; '仿宋_GB2312，宋体" w:cs="Times New Roman"/>
                <w:sz w:val="24"/>
                <w:lang w:val="zh-CN"/>
              </w:rPr>
              <w:t>县境内，根据现场调查，</w:t>
            </w:r>
            <w:r>
              <w:rPr>
                <w:rFonts w:hint="default" w:ascii="Times New Roman" w:hAnsi="Times New Roman" w:eastAsia="宋体&quot; '仿宋_GB2312，宋体" w:cs="Times New Roman"/>
                <w:sz w:val="24"/>
                <w:lang w:val="en-US" w:eastAsia="zh-CN"/>
              </w:rPr>
              <w:t>110kV变电站</w:t>
            </w:r>
            <w:r>
              <w:rPr>
                <w:rFonts w:hint="default" w:ascii="Times New Roman" w:hAnsi="Times New Roman" w:eastAsia="宋体&quot; '仿宋_GB2312，宋体" w:cs="Times New Roman"/>
                <w:sz w:val="24"/>
              </w:rPr>
              <w:t>周边</w:t>
            </w:r>
            <w:r>
              <w:rPr>
                <w:rFonts w:hint="default" w:ascii="Times New Roman" w:hAnsi="Times New Roman" w:eastAsia="宋体&quot; '仿宋_GB2312，宋体" w:cs="Times New Roman"/>
                <w:sz w:val="24"/>
                <w:lang w:val="en-US" w:eastAsia="zh-CN"/>
              </w:rPr>
              <w:t>1.5</w:t>
            </w:r>
            <w:r>
              <w:rPr>
                <w:rFonts w:hint="default" w:ascii="Times New Roman" w:hAnsi="Times New Roman" w:eastAsia="宋体&quot; '仿宋_GB2312，宋体" w:cs="Times New Roman"/>
                <w:sz w:val="24"/>
              </w:rPr>
              <w:t>km范围内无声环境敏感目标，</w:t>
            </w:r>
            <w:r>
              <w:rPr>
                <w:rFonts w:hint="default" w:ascii="Times New Roman" w:hAnsi="Times New Roman" w:eastAsia="宋体&quot; '仿宋_GB2312，宋体" w:cs="Times New Roman"/>
                <w:sz w:val="24"/>
                <w:lang w:val="zh-CN"/>
              </w:rPr>
              <w:t>施工噪声不会</w:t>
            </w:r>
            <w:r>
              <w:rPr>
                <w:rFonts w:hint="default" w:ascii="Times New Roman" w:hAnsi="Times New Roman" w:eastAsia="宋体&quot; '仿宋_GB2312，宋体" w:cs="Times New Roman"/>
                <w:sz w:val="24"/>
              </w:rPr>
              <w:t>产生</w:t>
            </w:r>
            <w:r>
              <w:rPr>
                <w:rFonts w:hint="default" w:ascii="Times New Roman" w:hAnsi="Times New Roman" w:eastAsia="宋体&quot; '仿宋_GB2312，宋体" w:cs="Times New Roman"/>
                <w:sz w:val="24"/>
                <w:lang w:val="zh-CN"/>
              </w:rPr>
              <w:t>扰民</w:t>
            </w:r>
            <w:r>
              <w:rPr>
                <w:rFonts w:hint="default" w:ascii="Times New Roman" w:hAnsi="Times New Roman" w:eastAsia="宋体&quot; '仿宋_GB2312，宋体" w:cs="Times New Roman"/>
                <w:sz w:val="24"/>
              </w:rPr>
              <w:t>问题</w:t>
            </w:r>
            <w:r>
              <w:rPr>
                <w:rFonts w:hint="default" w:ascii="Times New Roman" w:hAnsi="Times New Roman" w:eastAsia="宋体&quot; '仿宋_GB2312，宋体" w:cs="Times New Roman"/>
                <w:sz w:val="24"/>
                <w:lang w:val="zh-CN"/>
              </w:rPr>
              <w:t>。</w:t>
            </w:r>
          </w:p>
          <w:p w14:paraId="3EDF2EEE">
            <w:pPr>
              <w:pStyle w:val="18"/>
              <w:keepNext w:val="0"/>
              <w:keepLines w:val="0"/>
              <w:pageBreakBefore w:val="0"/>
              <w:widowControl/>
              <w:numPr>
                <w:ilvl w:val="0"/>
                <w:numId w:val="0"/>
              </w:numPr>
              <w:kinsoku/>
              <w:wordWrap/>
              <w:overflowPunct/>
              <w:topLinePunct w:val="0"/>
              <w:autoSpaceDE/>
              <w:autoSpaceDN/>
              <w:bidi w:val="0"/>
              <w:adjustRightInd/>
              <w:snapToGrid/>
              <w:spacing w:before="0" w:after="0" w:line="480" w:lineRule="exact"/>
              <w:ind w:left="0" w:leftChars="0" w:right="0" w:rightChars="0" w:firstLine="424" w:firstLineChars="200"/>
              <w:textAlignment w:val="auto"/>
              <w:rPr>
                <w:rFonts w:hint="default" w:ascii="Times New Roman" w:hAnsi="Times New Roman" w:eastAsia="黑体" w:cs="Times New Roman"/>
                <w:sz w:val="24"/>
                <w:lang w:val="en-US" w:eastAsia="zh-CN"/>
              </w:rPr>
            </w:pPr>
            <w:r>
              <w:rPr>
                <w:rFonts w:hint="default" w:ascii="Times New Roman" w:hAnsi="Times New Roman" w:eastAsia="黑体" w:cs="Times New Roman"/>
                <w:sz w:val="24"/>
                <w:lang w:val="en-US" w:eastAsia="zh-CN"/>
              </w:rPr>
              <w:t>2.4固体废物环境影响分析</w:t>
            </w:r>
          </w:p>
          <w:p w14:paraId="13183E6D">
            <w:pPr>
              <w:spacing w:line="480" w:lineRule="exact"/>
              <w:ind w:firstLine="522"/>
              <w:rPr>
                <w:rFonts w:hint="default" w:ascii="Times New Roman" w:hAnsi="Times New Roman" w:eastAsia="宋体&quot; '仿宋_GB2312，宋体" w:cs="Times New Roman"/>
                <w:sz w:val="24"/>
              </w:rPr>
            </w:pPr>
            <w:r>
              <w:rPr>
                <w:rFonts w:hint="default" w:ascii="Times New Roman" w:hAnsi="Times New Roman" w:eastAsia="宋体&quot; '仿宋_GB2312，宋体" w:cs="Times New Roman"/>
                <w:sz w:val="24"/>
              </w:rPr>
              <w:t>（1）施工人员生活垃圾</w:t>
            </w:r>
          </w:p>
          <w:p w14:paraId="241F8689">
            <w:pPr>
              <w:spacing w:line="480" w:lineRule="exact"/>
              <w:ind w:firstLine="522"/>
              <w:rPr>
                <w:rFonts w:hint="default" w:ascii="Times New Roman" w:hAnsi="Times New Roman" w:eastAsia="宋体&quot; '仿宋_GB2312，宋体" w:cs="Times New Roman"/>
                <w:sz w:val="24"/>
              </w:rPr>
            </w:pPr>
            <w:r>
              <w:rPr>
                <w:rFonts w:hint="default" w:ascii="Times New Roman" w:hAnsi="Times New Roman" w:eastAsia="宋体&quot; '仿宋_GB2312，宋体" w:cs="Times New Roman"/>
                <w:sz w:val="24"/>
              </w:rPr>
              <w:t>生活垃圾集中收集，</w:t>
            </w:r>
            <w:r>
              <w:rPr>
                <w:rFonts w:hint="default" w:ascii="Times New Roman" w:hAnsi="Times New Roman" w:eastAsia="宋体&quot; '仿宋_GB2312，宋体" w:cs="Times New Roman"/>
                <w:sz w:val="24"/>
                <w:lang w:val="en-US" w:eastAsia="zh-CN"/>
              </w:rPr>
              <w:t>由环卫部门统一清运至垃圾填埋场卫生处置</w:t>
            </w:r>
            <w:r>
              <w:rPr>
                <w:rFonts w:hint="default" w:ascii="Times New Roman" w:hAnsi="Times New Roman" w:eastAsia="宋体&quot; '仿宋_GB2312，宋体" w:cs="Times New Roman"/>
                <w:sz w:val="24"/>
              </w:rPr>
              <w:t>。</w:t>
            </w:r>
          </w:p>
          <w:p w14:paraId="6878EC51">
            <w:pPr>
              <w:spacing w:line="480" w:lineRule="exact"/>
              <w:ind w:firstLine="522"/>
              <w:rPr>
                <w:rFonts w:hint="default" w:ascii="Times New Roman" w:hAnsi="Times New Roman" w:eastAsia="宋体&quot; '仿宋_GB2312，宋体" w:cs="Times New Roman"/>
                <w:sz w:val="24"/>
              </w:rPr>
            </w:pPr>
            <w:r>
              <w:rPr>
                <w:rFonts w:hint="default" w:ascii="Times New Roman" w:hAnsi="Times New Roman" w:eastAsia="宋体&quot; '仿宋_GB2312，宋体" w:cs="Times New Roman"/>
                <w:sz w:val="24"/>
              </w:rPr>
              <w:t>（2）建筑垃圾</w:t>
            </w:r>
          </w:p>
          <w:p w14:paraId="020EC243">
            <w:pPr>
              <w:spacing w:line="480" w:lineRule="exact"/>
              <w:ind w:firstLine="522"/>
              <w:rPr>
                <w:rFonts w:hint="default" w:ascii="Times New Roman" w:hAnsi="Times New Roman" w:eastAsia="宋体&quot; '仿宋_GB2312，宋体" w:cs="Times New Roman"/>
                <w:sz w:val="24"/>
              </w:rPr>
            </w:pPr>
            <w:r>
              <w:rPr>
                <w:rFonts w:hint="default" w:ascii="Times New Roman" w:hAnsi="Times New Roman" w:eastAsia="宋体&quot; '仿宋_GB2312，宋体" w:cs="Times New Roman"/>
                <w:sz w:val="24"/>
              </w:rPr>
              <w:t>工程施工期间产生的固体废弃物主要来自施工场所产生的建筑垃圾（主要指场地平整、开挖、管道敷设、材料运输、基础工程和房屋建筑等工程施工期间产生的大量废弃的建筑材料，如木材、包装材料、土石方等），建筑垃圾优先综合利用，无法利用的建筑垃圾统一收集后运至</w:t>
            </w:r>
            <w:r>
              <w:rPr>
                <w:rFonts w:hint="default" w:ascii="Times New Roman" w:hAnsi="Times New Roman" w:eastAsia="宋体&quot; '仿宋_GB2312，宋体" w:cs="Times New Roman"/>
                <w:sz w:val="24"/>
                <w:lang w:val="en-US" w:eastAsia="zh-CN"/>
              </w:rPr>
              <w:t>和硕（园区）固废处置中心处置</w:t>
            </w:r>
            <w:r>
              <w:rPr>
                <w:rFonts w:hint="default" w:ascii="Times New Roman" w:hAnsi="Times New Roman" w:eastAsia="宋体&quot; '仿宋_GB2312，宋体" w:cs="Times New Roman"/>
                <w:sz w:val="24"/>
              </w:rPr>
              <w:t>。</w:t>
            </w:r>
          </w:p>
          <w:p w14:paraId="10E8DA26">
            <w:pPr>
              <w:pStyle w:val="18"/>
              <w:keepNext w:val="0"/>
              <w:keepLines w:val="0"/>
              <w:pageBreakBefore w:val="0"/>
              <w:widowControl/>
              <w:numPr>
                <w:ilvl w:val="0"/>
                <w:numId w:val="0"/>
              </w:numPr>
              <w:kinsoku/>
              <w:wordWrap/>
              <w:overflowPunct/>
              <w:topLinePunct w:val="0"/>
              <w:autoSpaceDE/>
              <w:autoSpaceDN/>
              <w:bidi w:val="0"/>
              <w:adjustRightInd/>
              <w:snapToGrid/>
              <w:spacing w:before="0" w:after="0" w:line="480" w:lineRule="exact"/>
              <w:ind w:left="0" w:leftChars="0" w:right="0" w:rightChars="0" w:firstLine="424" w:firstLineChars="200"/>
              <w:textAlignment w:val="auto"/>
              <w:rPr>
                <w:rFonts w:hint="default" w:ascii="Times New Roman" w:hAnsi="Times New Roman" w:eastAsia="黑体" w:cs="Times New Roman"/>
                <w:sz w:val="24"/>
                <w:lang w:val="en-US" w:eastAsia="zh-CN"/>
              </w:rPr>
            </w:pPr>
            <w:r>
              <w:rPr>
                <w:rFonts w:hint="default" w:ascii="Times New Roman" w:hAnsi="Times New Roman" w:eastAsia="黑体" w:cs="Times New Roman"/>
                <w:sz w:val="24"/>
                <w:lang w:val="en-US" w:eastAsia="zh-CN"/>
              </w:rPr>
              <w:t>2.5生态环境影响</w:t>
            </w:r>
          </w:p>
          <w:p w14:paraId="5005A941">
            <w:pPr>
              <w:spacing w:line="480" w:lineRule="exact"/>
              <w:ind w:firstLine="522"/>
              <w:rPr>
                <w:rFonts w:hint="default" w:ascii="Times New Roman" w:hAnsi="Times New Roman" w:eastAsia="宋体&quot; '仿宋_GB2312，宋体" w:cs="Times New Roman"/>
                <w:sz w:val="24"/>
              </w:rPr>
            </w:pPr>
            <w:bookmarkStart w:id="68" w:name="_Hlk210828323"/>
            <w:r>
              <w:rPr>
                <w:rFonts w:hint="default" w:ascii="Times New Roman" w:hAnsi="Times New Roman" w:eastAsia="宋体&quot; '仿宋_GB2312，宋体" w:cs="Times New Roman"/>
                <w:sz w:val="24"/>
              </w:rPr>
              <w:t>（1）评价区域项目占地及扰动土地情况</w:t>
            </w:r>
            <w:bookmarkEnd w:id="68"/>
          </w:p>
          <w:p w14:paraId="1F0B5508">
            <w:pPr>
              <w:spacing w:line="480" w:lineRule="exact"/>
              <w:ind w:firstLine="510"/>
              <w:rPr>
                <w:rFonts w:hint="default" w:ascii="Times New Roman" w:hAnsi="Times New Roman" w:eastAsia="宋体&quot; '仿宋_GB2312，宋体" w:cs="Times New Roman"/>
                <w:sz w:val="24"/>
              </w:rPr>
            </w:pPr>
            <w:bookmarkStart w:id="69" w:name="_Hlk210819437"/>
            <w:r>
              <w:rPr>
                <w:rFonts w:hint="default" w:ascii="Times New Roman" w:hAnsi="Times New Roman" w:eastAsia="宋体&quot; '仿宋_GB2312，宋体" w:cs="Times New Roman"/>
                <w:sz w:val="24"/>
              </w:rPr>
              <w:t>本项目永久占地</w:t>
            </w:r>
            <w:r>
              <w:rPr>
                <w:rFonts w:hint="default" w:ascii="Times New Roman" w:hAnsi="Times New Roman" w:eastAsia="宋体&quot; '仿宋_GB2312，宋体" w:cs="Times New Roman"/>
                <w:sz w:val="24"/>
                <w:lang w:val="en-US" w:eastAsia="zh-CN"/>
              </w:rPr>
              <w:t>9422</w:t>
            </w:r>
            <w:r>
              <w:rPr>
                <w:rFonts w:hint="default" w:ascii="Times New Roman" w:hAnsi="Times New Roman" w:eastAsia="宋体&quot; '仿宋_GB2312，宋体" w:cs="Times New Roman"/>
                <w:sz w:val="24"/>
              </w:rPr>
              <w:t>m</w:t>
            </w:r>
            <w:r>
              <w:rPr>
                <w:rFonts w:hint="default" w:ascii="Times New Roman" w:hAnsi="Times New Roman" w:eastAsia="宋体&quot; '仿宋_GB2312，宋体" w:cs="Times New Roman"/>
                <w:sz w:val="24"/>
                <w:vertAlign w:val="superscript"/>
              </w:rPr>
              <w:t>2</w:t>
            </w:r>
            <w:r>
              <w:rPr>
                <w:rFonts w:hint="default" w:ascii="Times New Roman" w:hAnsi="Times New Roman" w:eastAsia="宋体&quot; '仿宋_GB2312，宋体" w:cs="Times New Roman"/>
                <w:sz w:val="24"/>
              </w:rPr>
              <w:t>，占地类型主要为</w:t>
            </w:r>
            <w:r>
              <w:rPr>
                <w:rFonts w:hint="eastAsia" w:eastAsia="宋体&quot; '仿宋_GB2312，宋体" w:cs="Times New Roman"/>
                <w:sz w:val="24"/>
                <w:lang w:val="en-US" w:eastAsia="zh-CN"/>
              </w:rPr>
              <w:t>其他灌木林地</w:t>
            </w:r>
            <w:r>
              <w:rPr>
                <w:rFonts w:hint="default" w:ascii="Times New Roman" w:hAnsi="Times New Roman" w:eastAsia="宋体&quot; '仿宋_GB2312，宋体" w:cs="Times New Roman"/>
                <w:sz w:val="24"/>
              </w:rPr>
              <w:t>。</w:t>
            </w:r>
          </w:p>
          <w:p w14:paraId="043AFBD2">
            <w:pPr>
              <w:spacing w:line="480" w:lineRule="exact"/>
              <w:ind w:firstLine="510"/>
              <w:rPr>
                <w:rFonts w:hint="default" w:ascii="Times New Roman" w:hAnsi="Times New Roman" w:cs="Times New Roman"/>
                <w:kern w:val="0"/>
                <w:sz w:val="24"/>
                <w:lang w:bidi="ar"/>
              </w:rPr>
            </w:pPr>
            <w:r>
              <w:rPr>
                <w:rFonts w:hint="default" w:ascii="Times New Roman" w:hAnsi="Times New Roman" w:cs="Times New Roman"/>
                <w:kern w:val="0"/>
                <w:sz w:val="24"/>
                <w:lang w:bidi="ar"/>
              </w:rPr>
              <w:t>本项目占地情况见表5.7-1。</w:t>
            </w:r>
          </w:p>
          <w:p w14:paraId="65DB50F2">
            <w:pPr>
              <w:pStyle w:val="67"/>
              <w:numPr>
                <w:ilvl w:val="0"/>
                <w:numId w:val="0"/>
              </w:numPr>
              <w:spacing w:line="480" w:lineRule="exact"/>
              <w:ind w:left="420" w:leftChars="0"/>
              <w:jc w:val="center"/>
              <w:rPr>
                <w:rFonts w:hint="default" w:ascii="Times New Roman" w:hAnsi="Times New Roman" w:eastAsia="黑体" w:cs="Times New Roman"/>
                <w:lang w:val="en-US" w:eastAsia="zh-CN"/>
              </w:rPr>
            </w:pPr>
            <w:r>
              <w:rPr>
                <w:rFonts w:hint="default" w:ascii="Times New Roman" w:hAnsi="Times New Roman" w:eastAsia="黑体" w:cs="Times New Roman"/>
                <w:lang w:val="en-US" w:eastAsia="zh-CN"/>
              </w:rPr>
              <w:t>表4-6 本项目占地情况统计表</w:t>
            </w:r>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0" w:type="dxa"/>
                <w:bottom w:w="57" w:type="dxa"/>
                <w:right w:w="0" w:type="dxa"/>
              </w:tblCellMar>
            </w:tblPr>
            <w:tblGrid>
              <w:gridCol w:w="2047"/>
              <w:gridCol w:w="2730"/>
              <w:gridCol w:w="2988"/>
            </w:tblGrid>
            <w:tr w14:paraId="28FAA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rPr>
                <w:tblHeader/>
              </w:trPr>
              <w:tc>
                <w:tcPr>
                  <w:tcW w:w="1318" w:type="pct"/>
                  <w:vAlign w:val="center"/>
                </w:tcPr>
                <w:p w14:paraId="29BD53D1">
                  <w:pPr>
                    <w:jc w:val="center"/>
                    <w:rPr>
                      <w:rFonts w:hint="default" w:ascii="Times New Roman" w:hAnsi="Times New Roman" w:cs="Times New Roman"/>
                      <w:bCs/>
                      <w:szCs w:val="21"/>
                      <w:lang w:bidi="ar"/>
                    </w:rPr>
                  </w:pPr>
                  <w:r>
                    <w:rPr>
                      <w:rFonts w:hint="default" w:ascii="Times New Roman" w:hAnsi="Times New Roman" w:cs="Times New Roman"/>
                      <w:bCs/>
                      <w:szCs w:val="21"/>
                      <w:lang w:bidi="ar"/>
                    </w:rPr>
                    <w:t>区域名称</w:t>
                  </w:r>
                </w:p>
              </w:tc>
              <w:tc>
                <w:tcPr>
                  <w:tcW w:w="1757" w:type="pct"/>
                  <w:vAlign w:val="center"/>
                </w:tcPr>
                <w:p w14:paraId="01DE16DF">
                  <w:pPr>
                    <w:jc w:val="center"/>
                    <w:rPr>
                      <w:rFonts w:hint="default" w:ascii="Times New Roman" w:hAnsi="Times New Roman" w:cs="Times New Roman"/>
                      <w:bCs/>
                      <w:szCs w:val="21"/>
                      <w:lang w:bidi="ar"/>
                    </w:rPr>
                  </w:pPr>
                  <w:r>
                    <w:rPr>
                      <w:rFonts w:hint="default" w:ascii="Times New Roman" w:hAnsi="Times New Roman" w:cs="Times New Roman"/>
                      <w:bCs/>
                      <w:szCs w:val="21"/>
                      <w:lang w:bidi="ar"/>
                    </w:rPr>
                    <w:t>永久占地面积（m</w:t>
                  </w:r>
                  <w:r>
                    <w:rPr>
                      <w:rFonts w:hint="default" w:ascii="Times New Roman" w:hAnsi="Times New Roman" w:cs="Times New Roman"/>
                      <w:bCs/>
                      <w:szCs w:val="21"/>
                      <w:vertAlign w:val="superscript"/>
                      <w:lang w:bidi="ar"/>
                    </w:rPr>
                    <w:t>2</w:t>
                  </w:r>
                  <w:r>
                    <w:rPr>
                      <w:rFonts w:hint="default" w:ascii="Times New Roman" w:hAnsi="Times New Roman" w:cs="Times New Roman"/>
                      <w:bCs/>
                      <w:szCs w:val="21"/>
                      <w:lang w:bidi="ar"/>
                    </w:rPr>
                    <w:t>）</w:t>
                  </w:r>
                </w:p>
              </w:tc>
              <w:tc>
                <w:tcPr>
                  <w:tcW w:w="1923" w:type="pct"/>
                  <w:vAlign w:val="center"/>
                </w:tcPr>
                <w:p w14:paraId="40200F60">
                  <w:pPr>
                    <w:jc w:val="center"/>
                    <w:rPr>
                      <w:rFonts w:hint="default" w:ascii="Times New Roman" w:hAnsi="Times New Roman" w:cs="Times New Roman"/>
                      <w:bCs/>
                      <w:szCs w:val="21"/>
                      <w:lang w:bidi="ar"/>
                    </w:rPr>
                  </w:pPr>
                  <w:r>
                    <w:rPr>
                      <w:rFonts w:hint="default" w:ascii="Times New Roman" w:hAnsi="Times New Roman" w:cs="Times New Roman"/>
                      <w:bCs/>
                      <w:szCs w:val="21"/>
                      <w:lang w:bidi="ar"/>
                    </w:rPr>
                    <w:t>占地类型</w:t>
                  </w:r>
                </w:p>
              </w:tc>
            </w:tr>
            <w:tr w14:paraId="60949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c>
                <w:tcPr>
                  <w:tcW w:w="1318" w:type="pct"/>
                  <w:vAlign w:val="center"/>
                </w:tcPr>
                <w:p w14:paraId="3433E828">
                  <w:pPr>
                    <w:jc w:val="center"/>
                    <w:rPr>
                      <w:rFonts w:hint="default" w:ascii="Times New Roman" w:hAnsi="Times New Roman" w:cs="Times New Roman"/>
                      <w:szCs w:val="21"/>
                      <w:lang w:bidi="ar"/>
                    </w:rPr>
                  </w:pPr>
                  <w:r>
                    <w:rPr>
                      <w:rFonts w:hint="default" w:ascii="Times New Roman" w:hAnsi="Times New Roman" w:cs="Times New Roman"/>
                      <w:szCs w:val="21"/>
                      <w:lang w:val="en-US" w:eastAsia="zh-CN" w:bidi="ar"/>
                    </w:rPr>
                    <w:t>110kV变电站</w:t>
                  </w:r>
                  <w:r>
                    <w:rPr>
                      <w:rFonts w:hint="default" w:ascii="Times New Roman" w:hAnsi="Times New Roman" w:cs="Times New Roman"/>
                      <w:szCs w:val="21"/>
                      <w:lang w:bidi="ar"/>
                    </w:rPr>
                    <w:t>站区</w:t>
                  </w:r>
                </w:p>
              </w:tc>
              <w:tc>
                <w:tcPr>
                  <w:tcW w:w="1757" w:type="pct"/>
                  <w:vAlign w:val="center"/>
                </w:tcPr>
                <w:p w14:paraId="465E16DB">
                  <w:pPr>
                    <w:pStyle w:val="58"/>
                    <w:autoSpaceDE/>
                    <w:autoSpaceDN/>
                    <w:spacing w:before="0"/>
                    <w:jc w:val="center"/>
                    <w:rPr>
                      <w:rFonts w:hint="default" w:ascii="Times New Roman" w:hAnsi="Times New Roman" w:eastAsia="宋体" w:cs="Times New Roman"/>
                      <w:kern w:val="2"/>
                      <w:sz w:val="21"/>
                      <w:szCs w:val="21"/>
                      <w:lang w:val="en-US" w:bidi="ar-SA"/>
                    </w:rPr>
                  </w:pPr>
                  <w:r>
                    <w:rPr>
                      <w:rFonts w:hint="default" w:ascii="Times New Roman" w:hAnsi="Times New Roman" w:eastAsia="宋体&quot; '仿宋_GB2312，宋体" w:cs="Times New Roman"/>
                      <w:sz w:val="24"/>
                      <w:lang w:val="en-US" w:eastAsia="zh-CN"/>
                    </w:rPr>
                    <w:t>9422</w:t>
                  </w:r>
                </w:p>
              </w:tc>
              <w:tc>
                <w:tcPr>
                  <w:tcW w:w="1923" w:type="pct"/>
                  <w:vAlign w:val="center"/>
                </w:tcPr>
                <w:p w14:paraId="229F9E9C">
                  <w:pPr>
                    <w:jc w:val="center"/>
                    <w:rPr>
                      <w:rFonts w:hint="default" w:ascii="Times New Roman" w:hAnsi="Times New Roman" w:cs="Times New Roman"/>
                      <w:szCs w:val="21"/>
                      <w:lang w:bidi="ar"/>
                    </w:rPr>
                  </w:pPr>
                  <w:r>
                    <w:rPr>
                      <w:rFonts w:hint="eastAsia" w:cs="Times New Roman"/>
                      <w:szCs w:val="21"/>
                      <w:lang w:val="en-US" w:eastAsia="zh-CN" w:bidi="ar"/>
                    </w:rPr>
                    <w:t>其他灌木林地</w:t>
                  </w:r>
                </w:p>
              </w:tc>
            </w:tr>
            <w:tr w14:paraId="2F2E0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c>
                <w:tcPr>
                  <w:tcW w:w="1318" w:type="pct"/>
                  <w:vAlign w:val="center"/>
                </w:tcPr>
                <w:p w14:paraId="555F5CF7">
                  <w:pPr>
                    <w:jc w:val="center"/>
                    <w:rPr>
                      <w:rFonts w:hint="default" w:ascii="Times New Roman" w:hAnsi="Times New Roman" w:cs="Times New Roman"/>
                      <w:szCs w:val="21"/>
                      <w:lang w:bidi="ar"/>
                    </w:rPr>
                  </w:pPr>
                  <w:r>
                    <w:rPr>
                      <w:rFonts w:hint="default" w:ascii="Times New Roman" w:hAnsi="Times New Roman" w:cs="Times New Roman"/>
                      <w:szCs w:val="21"/>
                      <w:lang w:bidi="ar"/>
                    </w:rPr>
                    <w:t>合计</w:t>
                  </w:r>
                </w:p>
              </w:tc>
              <w:tc>
                <w:tcPr>
                  <w:tcW w:w="1757" w:type="pct"/>
                  <w:vAlign w:val="center"/>
                </w:tcPr>
                <w:p w14:paraId="467E47EC">
                  <w:pPr>
                    <w:jc w:val="center"/>
                    <w:rPr>
                      <w:rFonts w:hint="default" w:ascii="Times New Roman" w:hAnsi="Times New Roman" w:eastAsia="宋体" w:cs="Times New Roman"/>
                      <w:szCs w:val="22"/>
                      <w:lang w:eastAsia="zh-CN"/>
                    </w:rPr>
                  </w:pPr>
                  <w:r>
                    <w:rPr>
                      <w:rFonts w:hint="default" w:ascii="Times New Roman" w:hAnsi="Times New Roman" w:cs="Times New Roman"/>
                      <w:szCs w:val="22"/>
                      <w:lang w:eastAsia="zh-CN"/>
                    </w:rPr>
                    <w:t>9422</w:t>
                  </w:r>
                </w:p>
              </w:tc>
              <w:tc>
                <w:tcPr>
                  <w:tcW w:w="1923" w:type="pct"/>
                  <w:vAlign w:val="center"/>
                </w:tcPr>
                <w:p w14:paraId="7599FA8E">
                  <w:pPr>
                    <w:jc w:val="center"/>
                    <w:rPr>
                      <w:rFonts w:hint="default" w:ascii="Times New Roman" w:hAnsi="Times New Roman" w:eastAsia="宋体" w:cs="Times New Roman"/>
                      <w:lang w:val="en-US" w:eastAsia="zh-CN"/>
                    </w:rPr>
                  </w:pPr>
                  <w:r>
                    <w:rPr>
                      <w:rFonts w:hint="default" w:ascii="Times New Roman" w:hAnsi="Times New Roman" w:cs="Times New Roman"/>
                      <w:lang w:val="en-US" w:eastAsia="zh-CN"/>
                    </w:rPr>
                    <w:t>/</w:t>
                  </w:r>
                </w:p>
              </w:tc>
            </w:tr>
            <w:bookmarkEnd w:id="64"/>
            <w:bookmarkEnd w:id="65"/>
            <w:bookmarkEnd w:id="69"/>
          </w:tbl>
          <w:p w14:paraId="12E5D712">
            <w:pPr>
              <w:spacing w:line="480" w:lineRule="exact"/>
              <w:ind w:firstLine="480" w:firstLineChars="200"/>
              <w:rPr>
                <w:rFonts w:hint="default" w:ascii="Times New Roman" w:hAnsi="Times New Roman" w:cs="Times New Roman"/>
                <w:snapToGrid w:val="0"/>
                <w:kern w:val="0"/>
                <w:sz w:val="24"/>
                <w:szCs w:val="20"/>
              </w:rPr>
            </w:pPr>
            <w:r>
              <w:rPr>
                <w:rFonts w:hint="default" w:ascii="Times New Roman" w:hAnsi="Times New Roman" w:cs="Times New Roman"/>
                <w:snapToGrid w:val="0"/>
                <w:kern w:val="0"/>
                <w:sz w:val="24"/>
                <w:szCs w:val="20"/>
              </w:rPr>
              <w:t>（2）永久占地对土地利用的影响</w:t>
            </w:r>
          </w:p>
          <w:p w14:paraId="79E8CB15">
            <w:pPr>
              <w:spacing w:line="480" w:lineRule="exact"/>
              <w:ind w:firstLine="480" w:firstLineChars="200"/>
              <w:rPr>
                <w:rFonts w:hint="default" w:ascii="Times New Roman" w:hAnsi="Times New Roman" w:cs="Times New Roman"/>
                <w:snapToGrid w:val="0"/>
                <w:kern w:val="0"/>
                <w:sz w:val="24"/>
                <w:szCs w:val="20"/>
              </w:rPr>
            </w:pPr>
            <w:r>
              <w:rPr>
                <w:rFonts w:hint="default" w:ascii="Times New Roman" w:hAnsi="Times New Roman" w:eastAsia="宋体" w:cs="Times New Roman"/>
                <w:sz w:val="24"/>
                <w:szCs w:val="24"/>
              </w:rPr>
              <w:t>永久占地对土地利用的影响具有永久性，占地类型为</w:t>
            </w:r>
            <w:r>
              <w:rPr>
                <w:rFonts w:hint="eastAsia" w:cs="Times New Roman"/>
                <w:sz w:val="24"/>
                <w:szCs w:val="24"/>
                <w:lang w:eastAsia="zh-CN"/>
              </w:rPr>
              <w:t>其他灌木林地</w:t>
            </w:r>
            <w:r>
              <w:rPr>
                <w:rFonts w:hint="default" w:ascii="Times New Roman" w:hAnsi="Times New Roman" w:eastAsia="宋体" w:cs="Times New Roman"/>
                <w:sz w:val="24"/>
                <w:szCs w:val="24"/>
              </w:rPr>
              <w:t>，占地 9422m²，主要用于主变、配电装置楼、场内道路、电缆沟等设施建设，占地范围内土地利用类型将转变为建设用地。项目占地面积较小，不涉及基本农田、公益林等敏感用地，仅造成局部灌木植被消失，不会改变区域整体土地利用格局，对区域生态环境影响较小。</w:t>
            </w:r>
          </w:p>
          <w:p w14:paraId="2705F31F">
            <w:pPr>
              <w:spacing w:line="480" w:lineRule="exact"/>
              <w:ind w:firstLine="480" w:firstLineChars="200"/>
              <w:rPr>
                <w:rFonts w:hint="default" w:ascii="Times New Roman" w:hAnsi="Times New Roman" w:cs="Times New Roman"/>
                <w:snapToGrid w:val="0"/>
                <w:kern w:val="0"/>
                <w:sz w:val="24"/>
                <w:szCs w:val="20"/>
              </w:rPr>
            </w:pPr>
            <w:r>
              <w:rPr>
                <w:rFonts w:hint="default" w:ascii="Times New Roman" w:hAnsi="Times New Roman" w:cs="Times New Roman"/>
                <w:snapToGrid w:val="0"/>
                <w:kern w:val="0"/>
                <w:sz w:val="24"/>
                <w:szCs w:val="20"/>
              </w:rPr>
              <w:t>（3）临时占地对土地利用的影响</w:t>
            </w:r>
          </w:p>
          <w:p w14:paraId="5A84D7B2">
            <w:pPr>
              <w:spacing w:line="480" w:lineRule="exact"/>
              <w:ind w:firstLine="480" w:firstLineChars="200"/>
              <w:rPr>
                <w:rFonts w:hint="default" w:ascii="Times New Roman" w:hAnsi="Times New Roman" w:cs="Times New Roman"/>
                <w:snapToGrid w:val="0"/>
                <w:kern w:val="0"/>
                <w:sz w:val="24"/>
                <w:szCs w:val="20"/>
              </w:rPr>
            </w:pPr>
            <w:r>
              <w:rPr>
                <w:rFonts w:hint="default" w:ascii="Times New Roman" w:hAnsi="Times New Roman" w:cs="Times New Roman"/>
                <w:snapToGrid w:val="0"/>
                <w:kern w:val="0"/>
                <w:sz w:val="24"/>
                <w:szCs w:val="20"/>
              </w:rPr>
              <w:t>本工程施工利用站区围墙内场地及厂区既有道路组织，施工营地、材料堆场及混凝土均依托厂区及尉犁县城既有设施，施工区不设混凝土搅拌站、不设施工营地，不新增临时占地。</w:t>
            </w:r>
          </w:p>
          <w:p w14:paraId="59483F71">
            <w:pPr>
              <w:spacing w:line="480" w:lineRule="exact"/>
              <w:ind w:firstLine="480" w:firstLineChars="200"/>
              <w:rPr>
                <w:rFonts w:hint="default" w:ascii="Times New Roman" w:hAnsi="Times New Roman" w:cs="Times New Roman"/>
                <w:snapToGrid w:val="0"/>
                <w:kern w:val="0"/>
                <w:sz w:val="24"/>
                <w:szCs w:val="20"/>
              </w:rPr>
            </w:pPr>
            <w:r>
              <w:rPr>
                <w:rFonts w:hint="default" w:ascii="Times New Roman" w:hAnsi="Times New Roman" w:cs="Times New Roman"/>
                <w:snapToGrid w:val="0"/>
                <w:kern w:val="0"/>
                <w:sz w:val="24"/>
                <w:szCs w:val="20"/>
              </w:rPr>
              <w:t>（4）对陆生植物的影响</w:t>
            </w:r>
          </w:p>
          <w:p w14:paraId="43B6BC99">
            <w:pPr>
              <w:keepNext w:val="0"/>
              <w:keepLines w:val="0"/>
              <w:pageBreakBefore w:val="0"/>
              <w:kinsoku/>
              <w:wordWrap/>
              <w:overflowPunct/>
              <w:topLinePunct w:val="0"/>
              <w:autoSpaceDE/>
              <w:autoSpaceDN/>
              <w:bidi w:val="0"/>
              <w:adjustRightInd/>
              <w:spacing w:line="480" w:lineRule="exact"/>
              <w:ind w:right="0" w:firstLine="480" w:firstLineChars="200"/>
              <w:textAlignment w:val="auto"/>
              <w:rPr>
                <w:rFonts w:hint="default" w:ascii="Times New Roman" w:hAnsi="Times New Roman" w:cs="Times New Roman"/>
                <w:snapToGrid w:val="0"/>
                <w:kern w:val="0"/>
                <w:sz w:val="24"/>
                <w:szCs w:val="20"/>
              </w:rPr>
            </w:pPr>
            <w:r>
              <w:rPr>
                <w:rFonts w:hint="default" w:ascii="Times New Roman" w:hAnsi="Times New Roman" w:cs="Times New Roman"/>
                <w:snapToGrid w:val="0"/>
                <w:kern w:val="0"/>
                <w:sz w:val="24"/>
                <w:szCs w:val="20"/>
              </w:rPr>
              <w:t>本项目占地主要包括主变、配电装置楼、道路、电缆沟等部分。主变基础施工、电缆沟开挖、场内道路建设、建筑物等施工建设，以及施工机械和车辆碾压等过程中会使施工范围内永久征地，将使土壤的结构、组成及理化特性等发生变化，从而影响植被的恢复。</w:t>
            </w:r>
          </w:p>
          <w:p w14:paraId="618E99B9">
            <w:pPr>
              <w:pStyle w:val="17"/>
              <w:keepNext w:val="0"/>
              <w:keepLines w:val="0"/>
              <w:pageBreakBefore w:val="0"/>
              <w:kinsoku/>
              <w:wordWrap/>
              <w:overflowPunct/>
              <w:topLinePunct w:val="0"/>
              <w:autoSpaceDE/>
              <w:autoSpaceDN/>
              <w:bidi w:val="0"/>
              <w:adjustRightInd/>
              <w:spacing w:before="0" w:after="0" w:line="480" w:lineRule="exact"/>
              <w:ind w:right="0" w:firstLine="480" w:firstLineChars="200"/>
              <w:textAlignment w:val="auto"/>
              <w:rPr>
                <w:rFonts w:hint="default" w:ascii="Times New Roman" w:hAnsi="Times New Roman" w:eastAsia="宋体" w:cs="Times New Roman"/>
                <w:snapToGrid w:val="0"/>
                <w:kern w:val="0"/>
                <w:sz w:val="24"/>
                <w:szCs w:val="20"/>
                <w:lang w:val="en-US" w:eastAsia="zh-CN" w:bidi="ar-SA"/>
              </w:rPr>
            </w:pPr>
            <w:r>
              <w:rPr>
                <w:rFonts w:hint="default" w:ascii="Times New Roman" w:hAnsi="Times New Roman" w:eastAsia="宋体" w:cs="Times New Roman"/>
                <w:snapToGrid w:val="0"/>
                <w:kern w:val="0"/>
                <w:sz w:val="24"/>
                <w:szCs w:val="20"/>
                <w:lang w:val="en-US" w:eastAsia="zh-CN" w:bidi="ar-SA"/>
              </w:rPr>
              <w:t>本次</w:t>
            </w:r>
            <w:r>
              <w:rPr>
                <w:rFonts w:hint="eastAsia" w:cs="Times New Roman"/>
                <w:snapToGrid w:val="0"/>
                <w:kern w:val="0"/>
                <w:sz w:val="24"/>
                <w:szCs w:val="20"/>
                <w:lang w:val="en-US" w:eastAsia="zh-CN" w:bidi="ar-SA"/>
              </w:rPr>
              <w:t>不</w:t>
            </w:r>
            <w:r>
              <w:rPr>
                <w:rFonts w:hint="default" w:ascii="Times New Roman" w:hAnsi="Times New Roman" w:eastAsia="宋体" w:cs="Times New Roman"/>
                <w:snapToGrid w:val="0"/>
                <w:kern w:val="0"/>
                <w:sz w:val="24"/>
                <w:szCs w:val="20"/>
                <w:lang w:val="en-US" w:eastAsia="zh-CN" w:bidi="ar-SA"/>
              </w:rPr>
              <w:t>新征用地，均在园区规划范围内进行建设，工程永久占地所导致的植被生物量损失非常小。因项目场地平整、施工等活动，导致生物量下降的影响可通过绿化和人工植被进行补偿。</w:t>
            </w:r>
          </w:p>
          <w:p w14:paraId="7A695C34">
            <w:pPr>
              <w:spacing w:line="480" w:lineRule="exact"/>
              <w:ind w:firstLine="480" w:firstLineChars="200"/>
              <w:rPr>
                <w:rFonts w:hint="default" w:ascii="Times New Roman" w:hAnsi="Times New Roman" w:cs="Times New Roman"/>
                <w:snapToGrid w:val="0"/>
                <w:kern w:val="0"/>
                <w:sz w:val="24"/>
                <w:szCs w:val="20"/>
              </w:rPr>
            </w:pPr>
            <w:r>
              <w:rPr>
                <w:rFonts w:hint="default" w:ascii="Times New Roman" w:hAnsi="Times New Roman" w:cs="Times New Roman"/>
                <w:snapToGrid w:val="0"/>
                <w:kern w:val="0"/>
                <w:sz w:val="24"/>
                <w:szCs w:val="20"/>
              </w:rPr>
              <w:t>（5）对动物的影响</w:t>
            </w:r>
          </w:p>
          <w:p w14:paraId="3703342C">
            <w:pPr>
              <w:spacing w:line="480" w:lineRule="exact"/>
              <w:ind w:firstLine="480" w:firstLineChars="200"/>
              <w:rPr>
                <w:rFonts w:hint="default" w:ascii="Times New Roman" w:hAnsi="Times New Roman" w:cs="Times New Roman"/>
                <w:snapToGrid w:val="0"/>
                <w:kern w:val="0"/>
                <w:sz w:val="24"/>
                <w:szCs w:val="20"/>
              </w:rPr>
            </w:pPr>
            <w:r>
              <w:rPr>
                <w:rFonts w:hint="default" w:ascii="Times New Roman" w:hAnsi="Times New Roman" w:cs="Times New Roman"/>
                <w:snapToGrid w:val="0"/>
                <w:kern w:val="0"/>
                <w:sz w:val="24"/>
                <w:szCs w:val="20"/>
              </w:rPr>
              <w:t>项目占地区植被条件较差，人为活动干扰大，分布的动物种类和数量也较少，主要是一些小的动物和飞禽，如鼠、蜥蜴、麻雀等动物，项目永久及临时占地、迹地开挖等导致工程影响区原有植被破坏，将使部分动物觅食场所相应减少；考虑周边区域大范围分布有类似生境分布，因此，对区域动物觅食的影响不大。</w:t>
            </w:r>
          </w:p>
          <w:p w14:paraId="10F54A70">
            <w:pPr>
              <w:tabs>
                <w:tab w:val="left" w:pos="425"/>
                <w:tab w:val="left" w:pos="1050"/>
              </w:tabs>
              <w:spacing w:line="480" w:lineRule="exact"/>
              <w:ind w:firstLine="522"/>
              <w:rPr>
                <w:rFonts w:hint="default" w:ascii="Times New Roman" w:hAnsi="Times New Roman" w:cs="Times New Roman"/>
                <w:snapToGrid w:val="0"/>
                <w:kern w:val="0"/>
                <w:sz w:val="24"/>
                <w:szCs w:val="20"/>
              </w:rPr>
            </w:pPr>
            <w:r>
              <w:rPr>
                <w:rFonts w:hint="default" w:ascii="Times New Roman" w:hAnsi="Times New Roman" w:cs="Times New Roman"/>
                <w:snapToGrid w:val="0"/>
                <w:kern w:val="0"/>
                <w:sz w:val="24"/>
                <w:szCs w:val="20"/>
              </w:rPr>
              <w:t>（6）水土流失影响分析</w:t>
            </w:r>
          </w:p>
          <w:p w14:paraId="0734CBB1">
            <w:pPr>
              <w:spacing w:line="480" w:lineRule="exact"/>
              <w:ind w:firstLine="480" w:firstLineChars="200"/>
              <w:rPr>
                <w:rFonts w:hint="default" w:ascii="Times New Roman" w:hAnsi="Times New Roman" w:cs="Times New Roman"/>
                <w:kern w:val="0"/>
                <w:sz w:val="24"/>
              </w:rPr>
            </w:pPr>
            <w:r>
              <w:rPr>
                <w:rFonts w:ascii="宋体" w:hAnsi="宋体" w:eastAsia="宋体" w:cs="宋体"/>
                <w:sz w:val="24"/>
                <w:szCs w:val="24"/>
              </w:rPr>
              <w:t>本项目水土流失主要发生于施工期，扰动区域包括主变压器区、生产生活区及场内道路等。工程建设将扰动原地貌、破坏土壤结构与地表植被，可能加剧区域水土流失。项目区属于塔里木河中上游自治区级重点预防区、塔里木河流域自治区级重点治理区，土壤侵蚀类型以风力侵蚀为主，站</w:t>
            </w:r>
            <w:r>
              <w:rPr>
                <w:rFonts w:hint="default" w:ascii="Times New Roman" w:hAnsi="Times New Roman" w:eastAsia="宋体" w:cs="Times New Roman"/>
                <w:sz w:val="24"/>
                <w:szCs w:val="24"/>
              </w:rPr>
              <w:t>址现状为轻度风力侵蚀区。施工期地基开挖、土方临时堆存、机械碾压等活动会短时加剧局部水土流失强度；本工程土石方场内平衡，填方约 1000m³，全部利用基槽开挖余土，不设置取、弃土场，施工活动均控制在永久占地 9422m²范围内，扰动地表面积有限，新增水土流失量较小、影响时段短。水土保持防控措施主要包括：表土堆存采用防尘毡覆盖，抑制风蚀扬尘；施工扰动区域完工后实施土地整治，做到挖填方基本平衡。施工结束后，随着场地硬化、</w:t>
            </w:r>
            <w:r>
              <w:rPr>
                <w:rFonts w:ascii="宋体" w:hAnsi="宋体" w:eastAsia="宋体" w:cs="宋体"/>
                <w:sz w:val="24"/>
                <w:szCs w:val="24"/>
              </w:rPr>
              <w:t>碎石覆盖及绿化措施落实，水土流失可得到有效控制，不会产生显著水土流失影响。</w:t>
            </w:r>
          </w:p>
          <w:p w14:paraId="019E21E8">
            <w:pPr>
              <w:keepNext w:val="0"/>
              <w:keepLines w:val="0"/>
              <w:pageBreakBefore w:val="0"/>
              <w:widowControl w:val="0"/>
              <w:tabs>
                <w:tab w:val="left" w:pos="425"/>
                <w:tab w:val="left" w:pos="1050"/>
              </w:tabs>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snapToGrid w:val="0"/>
                <w:kern w:val="0"/>
                <w:sz w:val="24"/>
                <w:szCs w:val="20"/>
              </w:rPr>
            </w:pPr>
            <w:r>
              <w:rPr>
                <w:rFonts w:hint="default" w:ascii="Times New Roman" w:hAnsi="Times New Roman" w:cs="Times New Roman"/>
                <w:snapToGrid w:val="0"/>
                <w:kern w:val="0"/>
                <w:sz w:val="24"/>
                <w:szCs w:val="20"/>
              </w:rPr>
              <w:t>（7）对周边沙化土地影响分析</w:t>
            </w:r>
          </w:p>
          <w:p w14:paraId="177C9453">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kern w:val="0"/>
                <w:sz w:val="24"/>
              </w:rPr>
            </w:pPr>
            <w:r>
              <w:rPr>
                <w:rFonts w:hint="default" w:ascii="Times New Roman" w:hAnsi="Times New Roman" w:cs="Times New Roman"/>
                <w:kern w:val="0"/>
                <w:sz w:val="24"/>
              </w:rPr>
              <w:t>施工期对沙化土地的影响主要表现为场地平整、基础及电缆沟开挖、土方堆放和车辆运输造成的地表扰动与风蚀起尘。本工程扰动全部控制在站区围墙范围内：永久占地0.9422hm</w:t>
            </w:r>
            <w:r>
              <w:rPr>
                <w:rFonts w:hint="default" w:ascii="Times New Roman" w:hAnsi="Times New Roman" w:cs="Times New Roman"/>
                <w:kern w:val="0"/>
                <w:sz w:val="24"/>
                <w:vertAlign w:val="superscript"/>
                <w:lang w:val="en-US" w:eastAsia="zh-CN"/>
              </w:rPr>
              <w:t>2</w:t>
            </w:r>
            <w:r>
              <w:rPr>
                <w:rFonts w:hint="default" w:ascii="Times New Roman" w:hAnsi="Times New Roman" w:cs="Times New Roman"/>
                <w:kern w:val="0"/>
                <w:sz w:val="24"/>
              </w:rPr>
              <w:t>（其中围墙内0.3586hm</w:t>
            </w:r>
            <w:r>
              <w:rPr>
                <w:rFonts w:hint="default" w:ascii="Times New Roman" w:hAnsi="Times New Roman" w:cs="Times New Roman"/>
                <w:kern w:val="0"/>
                <w:sz w:val="24"/>
                <w:vertAlign w:val="superscript"/>
                <w:lang w:val="en-US" w:eastAsia="zh-CN"/>
              </w:rPr>
              <w:t>2</w:t>
            </w:r>
            <w:r>
              <w:rPr>
                <w:rFonts w:hint="default" w:ascii="Times New Roman" w:hAnsi="Times New Roman" w:cs="Times New Roman"/>
                <w:kern w:val="0"/>
                <w:sz w:val="24"/>
              </w:rPr>
              <w:t>），临时占地为0，</w:t>
            </w:r>
            <w:r>
              <w:rPr>
                <w:rFonts w:hint="default" w:ascii="Times New Roman" w:hAnsi="Times New Roman" w:cs="Times New Roman"/>
                <w:kern w:val="0"/>
                <w:sz w:val="24"/>
                <w:lang w:eastAsia="zh-CN"/>
              </w:rPr>
              <w:t>施工场地设置</w:t>
            </w:r>
            <w:r>
              <w:rPr>
                <w:rFonts w:hint="default" w:ascii="Times New Roman" w:hAnsi="Times New Roman" w:cs="Times New Roman"/>
                <w:kern w:val="0"/>
                <w:sz w:val="24"/>
              </w:rPr>
              <w:t>于围墙内约800m</w:t>
            </w:r>
            <w:r>
              <w:rPr>
                <w:rFonts w:hint="default" w:ascii="Times New Roman" w:hAnsi="Times New Roman" w:cs="Times New Roman"/>
                <w:kern w:val="0"/>
                <w:sz w:val="24"/>
                <w:vertAlign w:val="superscript"/>
                <w:lang w:val="en-US" w:eastAsia="zh-CN"/>
              </w:rPr>
              <w:t>2</w:t>
            </w:r>
            <w:r>
              <w:rPr>
                <w:rFonts w:hint="default" w:ascii="Times New Roman" w:hAnsi="Times New Roman" w:cs="Times New Roman"/>
                <w:kern w:val="0"/>
                <w:sz w:val="24"/>
              </w:rPr>
              <w:t>；场地平整填方1000m</w:t>
            </w:r>
            <w:r>
              <w:rPr>
                <w:rFonts w:hint="default" w:ascii="Times New Roman" w:hAnsi="Times New Roman" w:cs="Times New Roman"/>
                <w:kern w:val="0"/>
                <w:sz w:val="24"/>
                <w:vertAlign w:val="superscript"/>
                <w:lang w:val="en-US" w:eastAsia="zh-CN"/>
              </w:rPr>
              <w:t>3</w:t>
            </w:r>
            <w:r>
              <w:rPr>
                <w:rFonts w:hint="default" w:ascii="Times New Roman" w:hAnsi="Times New Roman" w:cs="Times New Roman"/>
                <w:kern w:val="0"/>
                <w:sz w:val="24"/>
              </w:rPr>
              <w:t>，挖填就地平衡，不设取土场和弃土场；施工车辆及大件设备运输全部利用园区既有道路，不新辟施工便道、不越野行驶；施工及生活用水引接厂区给水管网，不抽取地下水，不改变周边地下水位。</w:t>
            </w:r>
          </w:p>
          <w:p w14:paraId="38C61211">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kern w:val="0"/>
                <w:sz w:val="24"/>
              </w:rPr>
            </w:pPr>
            <w:r>
              <w:rPr>
                <w:rFonts w:hint="default" w:ascii="Times New Roman" w:hAnsi="Times New Roman" w:cs="Times New Roman"/>
                <w:kern w:val="0"/>
                <w:sz w:val="24"/>
              </w:rPr>
              <w:t>站址表层为人工填土，下伏粉土、粉细砂，结构松散、抗风蚀能力弱，扰动后裸露面在风力作用下易产生风蚀起尘。区域3</w:t>
            </w:r>
            <w:r>
              <w:rPr>
                <w:rFonts w:hint="default" w:ascii="Times New Roman" w:hAnsi="Times New Roman" w:cs="Times New Roman"/>
                <w:kern w:val="0"/>
                <w:sz w:val="24"/>
                <w:lang w:val="en-US" w:eastAsia="zh-CN"/>
              </w:rPr>
              <w:t>-</w:t>
            </w:r>
            <w:r>
              <w:rPr>
                <w:rFonts w:hint="default" w:ascii="Times New Roman" w:hAnsi="Times New Roman" w:cs="Times New Roman"/>
                <w:kern w:val="0"/>
                <w:sz w:val="24"/>
              </w:rPr>
              <w:t>5月为大风沙尘高发期，参照同类干旱区工程经验，施工扬尘影响范围主要在</w:t>
            </w:r>
            <w:r>
              <w:rPr>
                <w:rFonts w:hint="eastAsia" w:cs="Times New Roman"/>
                <w:kern w:val="0"/>
                <w:sz w:val="24"/>
                <w:lang w:eastAsia="zh-CN"/>
              </w:rPr>
              <w:t>变电站站界</w:t>
            </w:r>
            <w:r>
              <w:rPr>
                <w:rFonts w:hint="default" w:ascii="Times New Roman" w:hAnsi="Times New Roman" w:cs="Times New Roman"/>
                <w:kern w:val="0"/>
                <w:sz w:val="24"/>
              </w:rPr>
              <w:t>外100m以内，评价范围内无居民点等敏感目标。扰动面积仅相当于巴州沙化土地面积的3.8×10</w:t>
            </w:r>
            <w:r>
              <w:rPr>
                <w:rFonts w:hint="default" w:ascii="Times New Roman" w:hAnsi="Times New Roman" w:cs="Times New Roman"/>
                <w:kern w:val="0"/>
                <w:sz w:val="24"/>
                <w:vertAlign w:val="superscript"/>
                <w:lang w:val="en-US" w:eastAsia="zh-CN"/>
              </w:rPr>
              <w:t>-8</w:t>
            </w:r>
            <w:r>
              <w:rPr>
                <w:rFonts w:hint="default" w:ascii="Times New Roman" w:hAnsi="Times New Roman" w:cs="Times New Roman"/>
                <w:kern w:val="0"/>
                <w:sz w:val="24"/>
              </w:rPr>
              <w:t>，不改变区域沙化土地的类型、面积和分布格局，不引发沙丘活化或沙丘移动，不产生新的沙化土地。</w:t>
            </w:r>
          </w:p>
          <w:p w14:paraId="2735A392">
            <w:pPr>
              <w:spacing w:line="480" w:lineRule="exact"/>
              <w:ind w:firstLine="522"/>
              <w:rPr>
                <w:rFonts w:hint="default" w:ascii="Times New Roman" w:hAnsi="Times New Roman" w:cs="Times New Roman"/>
              </w:rPr>
            </w:pPr>
            <w:r>
              <w:rPr>
                <w:rFonts w:hint="default" w:ascii="Times New Roman" w:hAnsi="Times New Roman" w:cs="Times New Roman"/>
                <w:kern w:val="0"/>
                <w:sz w:val="24"/>
              </w:rPr>
              <w:t>施工期严格控制施工范围，</w:t>
            </w:r>
            <w:r>
              <w:rPr>
                <w:rFonts w:hint="default" w:ascii="Times New Roman" w:hAnsi="Times New Roman" w:cs="Times New Roman"/>
                <w:kern w:val="0"/>
                <w:sz w:val="24"/>
                <w:szCs w:val="20"/>
              </w:rPr>
              <w:t>合理规划临时工程的位置，尽可能减小扰动范围</w:t>
            </w:r>
            <w:r>
              <w:rPr>
                <w:rFonts w:hint="default" w:ascii="Times New Roman" w:hAnsi="Times New Roman" w:cs="Times New Roman"/>
                <w:kern w:val="0"/>
                <w:sz w:val="24"/>
              </w:rPr>
              <w:t>。施工过程中采取相应的拦挡、苫盖、洒水降尘等措施，加强施工环境管理，</w:t>
            </w:r>
            <w:r>
              <w:rPr>
                <w:rFonts w:hint="default" w:ascii="Times New Roman" w:hAnsi="Times New Roman" w:cs="Times New Roman"/>
                <w:snapToGrid w:val="0"/>
                <w:kern w:val="0"/>
                <w:sz w:val="24"/>
                <w:szCs w:val="20"/>
              </w:rPr>
              <w:t>施工结束后，及时平整清理恢复临时占地，并覆盖砾石防止水土流失，临时占地区域自然恢复植被</w:t>
            </w:r>
            <w:r>
              <w:rPr>
                <w:rFonts w:hint="default" w:ascii="Times New Roman" w:hAnsi="Times New Roman" w:cs="Times New Roman"/>
                <w:kern w:val="0"/>
                <w:sz w:val="24"/>
              </w:rPr>
              <w:t>，项目建设对沙化土地影响较小。</w:t>
            </w:r>
          </w:p>
        </w:tc>
      </w:tr>
      <w:tr w14:paraId="760AEAC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84" w:hRule="atLeast"/>
          <w:jc w:val="center"/>
        </w:trPr>
        <w:tc>
          <w:tcPr>
            <w:tcW w:w="271" w:type="pct"/>
            <w:tcMar>
              <w:left w:w="28" w:type="dxa"/>
              <w:right w:w="28" w:type="dxa"/>
            </w:tcMar>
            <w:vAlign w:val="center"/>
          </w:tcPr>
          <w:p w14:paraId="1876E48E">
            <w:pPr>
              <w:pStyle w:val="40"/>
              <w:adjustRightInd w:val="0"/>
              <w:snapToGrid w:val="0"/>
              <w:spacing w:before="0" w:beforeAutospacing="0" w:after="0" w:afterAutospacing="0" w:line="360" w:lineRule="auto"/>
              <w:jc w:val="center"/>
              <w:rPr>
                <w:rFonts w:hint="default" w:ascii="Times New Roman" w:hAnsi="Times New Roman" w:cs="Times New Roman" w:eastAsiaTheme="minorEastAsia"/>
                <w:bCs/>
                <w:kern w:val="2"/>
              </w:rPr>
            </w:pPr>
            <w:r>
              <w:rPr>
                <w:rFonts w:hint="default" w:ascii="Times New Roman" w:hAnsi="Times New Roman" w:cs="Times New Roman" w:eastAsiaTheme="minorEastAsia"/>
                <w:bCs/>
                <w:kern w:val="2"/>
              </w:rPr>
              <w:t>运营期生态环境影响分析</w:t>
            </w:r>
          </w:p>
        </w:tc>
        <w:tc>
          <w:tcPr>
            <w:tcW w:w="4729" w:type="pct"/>
          </w:tcPr>
          <w:p w14:paraId="242AD309">
            <w:pPr>
              <w:spacing w:line="480" w:lineRule="exact"/>
              <w:ind w:firstLine="522"/>
              <w:rPr>
                <w:rFonts w:hint="default" w:ascii="Times New Roman" w:hAnsi="Times New Roman" w:cs="Times New Roman"/>
                <w:sz w:val="24"/>
              </w:rPr>
            </w:pPr>
            <w:r>
              <w:rPr>
                <w:rFonts w:hint="default" w:ascii="Times New Roman" w:hAnsi="Times New Roman" w:cs="Times New Roman"/>
                <w:sz w:val="24"/>
              </w:rPr>
              <w:t>根据输变电工程的项目特点，本项目运行期可能产生环境污染的主要环节及影响因素见图4-2、表4-</w:t>
            </w:r>
            <w:r>
              <w:rPr>
                <w:rFonts w:hint="default" w:ascii="Times New Roman" w:hAnsi="Times New Roman" w:cs="Times New Roman"/>
                <w:sz w:val="24"/>
                <w:lang w:val="en-US" w:eastAsia="zh-CN"/>
              </w:rPr>
              <w:t>7</w:t>
            </w:r>
            <w:r>
              <w:rPr>
                <w:rFonts w:hint="default" w:ascii="Times New Roman" w:hAnsi="Times New Roman" w:cs="Times New Roman"/>
                <w:sz w:val="24"/>
              </w:rPr>
              <w:t>。</w:t>
            </w:r>
          </w:p>
          <w:p w14:paraId="19EEC3A2">
            <w:pPr>
              <w:pStyle w:val="17"/>
              <w:rPr>
                <w:rFonts w:hint="default" w:ascii="Times New Roman" w:hAnsi="Times New Roman" w:eastAsia="宋体" w:cs="Times New Roman"/>
                <w:lang w:eastAsia="zh-CN"/>
              </w:rPr>
            </w:pPr>
          </w:p>
          <w:p w14:paraId="77D3DCA3">
            <w:pPr>
              <w:pStyle w:val="18"/>
              <w:numPr>
                <w:ilvl w:val="0"/>
                <w:numId w:val="10"/>
              </w:numPr>
              <w:spacing w:line="240" w:lineRule="auto"/>
              <w:ind w:firstLineChars="0"/>
              <w:jc w:val="center"/>
              <w:rPr>
                <w:rFonts w:hint="default" w:ascii="Times New Roman" w:hAnsi="Times New Roman" w:eastAsia="黑体" w:cs="Times New Roman"/>
                <w:sz w:val="21"/>
                <w:szCs w:val="21"/>
              </w:rPr>
            </w:pPr>
            <w:r>
              <w:rPr>
                <w:rFonts w:hint="default" w:ascii="Times New Roman" w:hAnsi="Times New Roman" w:eastAsia="黑体" w:cs="Times New Roman"/>
                <w:spacing w:val="0"/>
                <w:kern w:val="2"/>
                <w:sz w:val="21"/>
                <w:szCs w:val="20"/>
              </w:rPr>
              <w:t>运行期产污环节示意图</w:t>
            </w:r>
          </w:p>
          <w:p w14:paraId="15C461AA">
            <w:pPr>
              <w:pStyle w:val="67"/>
              <w:numPr>
                <w:ilvl w:val="0"/>
                <w:numId w:val="0"/>
              </w:numPr>
              <w:spacing w:line="480" w:lineRule="exact"/>
              <w:ind w:left="420" w:leftChars="0"/>
              <w:jc w:val="center"/>
              <w:rPr>
                <w:rFonts w:hint="default" w:ascii="Times New Roman" w:hAnsi="Times New Roman" w:eastAsia="黑体" w:cs="Times New Roman"/>
                <w:lang w:val="en-US" w:eastAsia="zh-CN"/>
              </w:rPr>
            </w:pPr>
            <w:r>
              <w:rPr>
                <w:rFonts w:hint="default" w:ascii="Times New Roman" w:hAnsi="Times New Roman" w:eastAsia="黑体" w:cs="Times New Roman"/>
                <w:lang w:val="en-US" w:eastAsia="zh-CN"/>
              </w:rPr>
              <w:t>表4-7 本工程运行期主要的环境影响因素</w:t>
            </w:r>
          </w:p>
          <w:tbl>
            <w:tblPr>
              <w:tblStyle w:val="43"/>
              <w:tblW w:w="76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0" w:type="dxa"/>
                <w:bottom w:w="57" w:type="dxa"/>
                <w:right w:w="0" w:type="dxa"/>
              </w:tblCellMar>
            </w:tblPr>
            <w:tblGrid>
              <w:gridCol w:w="741"/>
              <w:gridCol w:w="1520"/>
              <w:gridCol w:w="5394"/>
            </w:tblGrid>
            <w:tr w14:paraId="2CE43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rPr>
                <w:tblHeader/>
              </w:trPr>
              <w:tc>
                <w:tcPr>
                  <w:tcW w:w="741" w:type="dxa"/>
                  <w:tcMar>
                    <w:top w:w="120" w:type="dxa"/>
                    <w:left w:w="120" w:type="dxa"/>
                    <w:bottom w:w="120" w:type="dxa"/>
                    <w:right w:w="120" w:type="dxa"/>
                  </w:tcMar>
                  <w:vAlign w:val="center"/>
                </w:tcPr>
                <w:p w14:paraId="29E36165">
                  <w:pPr>
                    <w:jc w:val="center"/>
                    <w:rPr>
                      <w:rFonts w:hint="default" w:ascii="Times New Roman" w:hAnsi="Times New Roman" w:cs="Times New Roman"/>
                    </w:rPr>
                  </w:pPr>
                  <w:r>
                    <w:rPr>
                      <w:rFonts w:hint="default" w:ascii="Times New Roman" w:hAnsi="Times New Roman" w:cs="Times New Roman"/>
                    </w:rPr>
                    <w:t>序号</w:t>
                  </w:r>
                </w:p>
              </w:tc>
              <w:tc>
                <w:tcPr>
                  <w:tcW w:w="1520" w:type="dxa"/>
                  <w:tcMar>
                    <w:top w:w="120" w:type="dxa"/>
                    <w:left w:w="120" w:type="dxa"/>
                    <w:bottom w:w="120" w:type="dxa"/>
                    <w:right w:w="120" w:type="dxa"/>
                  </w:tcMar>
                  <w:vAlign w:val="center"/>
                </w:tcPr>
                <w:p w14:paraId="131C20BB">
                  <w:pPr>
                    <w:jc w:val="center"/>
                    <w:rPr>
                      <w:rFonts w:hint="default" w:ascii="Times New Roman" w:hAnsi="Times New Roman" w:cs="Times New Roman"/>
                    </w:rPr>
                  </w:pPr>
                  <w:r>
                    <w:rPr>
                      <w:rFonts w:hint="default" w:ascii="Times New Roman" w:hAnsi="Times New Roman" w:cs="Times New Roman"/>
                    </w:rPr>
                    <w:t>影响因素</w:t>
                  </w:r>
                </w:p>
              </w:tc>
              <w:tc>
                <w:tcPr>
                  <w:tcW w:w="5394" w:type="dxa"/>
                  <w:tcMar>
                    <w:top w:w="120" w:type="dxa"/>
                    <w:left w:w="120" w:type="dxa"/>
                    <w:bottom w:w="120" w:type="dxa"/>
                    <w:right w:w="120" w:type="dxa"/>
                  </w:tcMar>
                  <w:vAlign w:val="center"/>
                </w:tcPr>
                <w:p w14:paraId="392072E3">
                  <w:pPr>
                    <w:jc w:val="center"/>
                    <w:rPr>
                      <w:rFonts w:hint="default" w:ascii="Times New Roman" w:hAnsi="Times New Roman" w:cs="Times New Roman"/>
                    </w:rPr>
                  </w:pPr>
                  <w:r>
                    <w:rPr>
                      <w:rFonts w:hint="default" w:ascii="Times New Roman" w:hAnsi="Times New Roman" w:cs="Times New Roman"/>
                    </w:rPr>
                    <w:t>环境影响分析内容</w:t>
                  </w:r>
                </w:p>
              </w:tc>
            </w:tr>
            <w:tr w14:paraId="1826B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c>
                <w:tcPr>
                  <w:tcW w:w="741" w:type="dxa"/>
                  <w:tcMar>
                    <w:top w:w="120" w:type="dxa"/>
                    <w:left w:w="120" w:type="dxa"/>
                    <w:bottom w:w="120" w:type="dxa"/>
                    <w:right w:w="120" w:type="dxa"/>
                  </w:tcMar>
                  <w:vAlign w:val="center"/>
                </w:tcPr>
                <w:p w14:paraId="4A18E824">
                  <w:pPr>
                    <w:jc w:val="center"/>
                    <w:rPr>
                      <w:rFonts w:hint="default" w:ascii="Times New Roman" w:hAnsi="Times New Roman" w:cs="Times New Roman"/>
                    </w:rPr>
                  </w:pPr>
                  <w:r>
                    <w:rPr>
                      <w:rFonts w:hint="default" w:ascii="Times New Roman" w:hAnsi="Times New Roman" w:cs="Times New Roman"/>
                    </w:rPr>
                    <w:t>1</w:t>
                  </w:r>
                </w:p>
              </w:tc>
              <w:tc>
                <w:tcPr>
                  <w:tcW w:w="1520" w:type="dxa"/>
                  <w:tcMar>
                    <w:top w:w="120" w:type="dxa"/>
                    <w:left w:w="120" w:type="dxa"/>
                    <w:bottom w:w="120" w:type="dxa"/>
                    <w:right w:w="120" w:type="dxa"/>
                  </w:tcMar>
                  <w:vAlign w:val="center"/>
                </w:tcPr>
                <w:p w14:paraId="388E8798">
                  <w:pPr>
                    <w:jc w:val="center"/>
                    <w:rPr>
                      <w:rFonts w:hint="default" w:ascii="Times New Roman" w:hAnsi="Times New Roman" w:cs="Times New Roman"/>
                    </w:rPr>
                  </w:pPr>
                  <w:r>
                    <w:rPr>
                      <w:rFonts w:hint="default" w:ascii="Times New Roman" w:hAnsi="Times New Roman" w:cs="Times New Roman"/>
                    </w:rPr>
                    <w:t>电磁环境</w:t>
                  </w:r>
                </w:p>
              </w:tc>
              <w:tc>
                <w:tcPr>
                  <w:tcW w:w="5394" w:type="dxa"/>
                  <w:tcMar>
                    <w:top w:w="120" w:type="dxa"/>
                    <w:left w:w="120" w:type="dxa"/>
                    <w:bottom w:w="120" w:type="dxa"/>
                    <w:right w:w="120" w:type="dxa"/>
                  </w:tcMar>
                  <w:vAlign w:val="center"/>
                </w:tcPr>
                <w:p w14:paraId="4EF495E1">
                  <w:pPr>
                    <w:jc w:val="center"/>
                    <w:rPr>
                      <w:rFonts w:hint="default" w:ascii="Times New Roman" w:hAnsi="Times New Roman" w:cs="Times New Roman"/>
                    </w:rPr>
                  </w:pPr>
                  <w:r>
                    <w:rPr>
                      <w:rFonts w:hint="default" w:ascii="Times New Roman" w:hAnsi="Times New Roman" w:cs="Times New Roman"/>
                    </w:rPr>
                    <w:t>工频电场、工频磁场</w:t>
                  </w:r>
                </w:p>
              </w:tc>
            </w:tr>
            <w:tr w14:paraId="2F2EE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c>
                <w:tcPr>
                  <w:tcW w:w="741" w:type="dxa"/>
                  <w:tcMar>
                    <w:top w:w="120" w:type="dxa"/>
                    <w:left w:w="120" w:type="dxa"/>
                    <w:bottom w:w="120" w:type="dxa"/>
                    <w:right w:w="120" w:type="dxa"/>
                  </w:tcMar>
                  <w:vAlign w:val="center"/>
                </w:tcPr>
                <w:p w14:paraId="1FBD4804">
                  <w:pPr>
                    <w:jc w:val="center"/>
                    <w:rPr>
                      <w:rFonts w:hint="default" w:ascii="Times New Roman" w:hAnsi="Times New Roman" w:cs="Times New Roman"/>
                    </w:rPr>
                  </w:pPr>
                  <w:r>
                    <w:rPr>
                      <w:rFonts w:hint="default" w:ascii="Times New Roman" w:hAnsi="Times New Roman" w:cs="Times New Roman"/>
                    </w:rPr>
                    <w:t>2</w:t>
                  </w:r>
                </w:p>
              </w:tc>
              <w:tc>
                <w:tcPr>
                  <w:tcW w:w="1520" w:type="dxa"/>
                  <w:tcMar>
                    <w:top w:w="120" w:type="dxa"/>
                    <w:left w:w="120" w:type="dxa"/>
                    <w:bottom w:w="120" w:type="dxa"/>
                    <w:right w:w="120" w:type="dxa"/>
                  </w:tcMar>
                  <w:vAlign w:val="center"/>
                </w:tcPr>
                <w:p w14:paraId="3B8093E0">
                  <w:pPr>
                    <w:jc w:val="center"/>
                    <w:rPr>
                      <w:rFonts w:hint="default" w:ascii="Times New Roman" w:hAnsi="Times New Roman" w:cs="Times New Roman"/>
                    </w:rPr>
                  </w:pPr>
                  <w:r>
                    <w:rPr>
                      <w:rFonts w:hint="default" w:ascii="Times New Roman" w:hAnsi="Times New Roman" w:cs="Times New Roman"/>
                    </w:rPr>
                    <w:t>噪声</w:t>
                  </w:r>
                </w:p>
              </w:tc>
              <w:tc>
                <w:tcPr>
                  <w:tcW w:w="5394" w:type="dxa"/>
                  <w:tcMar>
                    <w:top w:w="120" w:type="dxa"/>
                    <w:left w:w="120" w:type="dxa"/>
                    <w:bottom w:w="120" w:type="dxa"/>
                    <w:right w:w="120" w:type="dxa"/>
                  </w:tcMar>
                  <w:vAlign w:val="center"/>
                </w:tcPr>
                <w:p w14:paraId="4EB5CAB8">
                  <w:pPr>
                    <w:jc w:val="center"/>
                    <w:rPr>
                      <w:rFonts w:hint="default" w:ascii="Times New Roman" w:hAnsi="Times New Roman" w:cs="Times New Roman"/>
                    </w:rPr>
                  </w:pPr>
                  <w:r>
                    <w:rPr>
                      <w:rFonts w:hint="default" w:ascii="Times New Roman" w:hAnsi="Times New Roman" w:cs="Times New Roman"/>
                    </w:rPr>
                    <w:t>主要噪声源、</w:t>
                  </w:r>
                  <w:r>
                    <w:rPr>
                      <w:rFonts w:hint="default" w:ascii="Times New Roman" w:hAnsi="Times New Roman" w:cs="Times New Roman"/>
                      <w:lang w:eastAsia="zh-CN"/>
                    </w:rPr>
                    <w:t>变电站</w:t>
                  </w:r>
                  <w:r>
                    <w:rPr>
                      <w:rFonts w:hint="default" w:ascii="Times New Roman" w:hAnsi="Times New Roman" w:cs="Times New Roman"/>
                    </w:rPr>
                    <w:t>厂界噪声达标情况</w:t>
                  </w:r>
                </w:p>
              </w:tc>
            </w:tr>
            <w:tr w14:paraId="0A64E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c>
                <w:tcPr>
                  <w:tcW w:w="741" w:type="dxa"/>
                  <w:tcMar>
                    <w:top w:w="120" w:type="dxa"/>
                    <w:left w:w="120" w:type="dxa"/>
                    <w:bottom w:w="120" w:type="dxa"/>
                    <w:right w:w="120" w:type="dxa"/>
                  </w:tcMar>
                  <w:vAlign w:val="center"/>
                </w:tcPr>
                <w:p w14:paraId="0CDC101F">
                  <w:pPr>
                    <w:jc w:val="center"/>
                    <w:rPr>
                      <w:rFonts w:hint="default" w:ascii="Times New Roman" w:hAnsi="Times New Roman" w:eastAsia="宋体" w:cs="Times New Roman"/>
                      <w:lang w:eastAsia="zh-CN"/>
                    </w:rPr>
                  </w:pPr>
                  <w:r>
                    <w:rPr>
                      <w:rFonts w:hint="default" w:ascii="Times New Roman" w:hAnsi="Times New Roman" w:cs="Times New Roman"/>
                      <w:lang w:val="en-US" w:eastAsia="zh-CN"/>
                    </w:rPr>
                    <w:t>3</w:t>
                  </w:r>
                </w:p>
              </w:tc>
              <w:tc>
                <w:tcPr>
                  <w:tcW w:w="1520" w:type="dxa"/>
                  <w:tcMar>
                    <w:top w:w="120" w:type="dxa"/>
                    <w:left w:w="120" w:type="dxa"/>
                    <w:bottom w:w="120" w:type="dxa"/>
                    <w:right w:w="120" w:type="dxa"/>
                  </w:tcMar>
                  <w:vAlign w:val="center"/>
                </w:tcPr>
                <w:p w14:paraId="7163225E">
                  <w:pPr>
                    <w:jc w:val="center"/>
                    <w:rPr>
                      <w:rFonts w:hint="default" w:ascii="Times New Roman" w:hAnsi="Times New Roman" w:cs="Times New Roman"/>
                    </w:rPr>
                  </w:pPr>
                  <w:r>
                    <w:rPr>
                      <w:rFonts w:hint="default" w:ascii="Times New Roman" w:hAnsi="Times New Roman" w:cs="Times New Roman"/>
                    </w:rPr>
                    <w:t>水环境</w:t>
                  </w:r>
                </w:p>
              </w:tc>
              <w:tc>
                <w:tcPr>
                  <w:tcW w:w="5394" w:type="dxa"/>
                  <w:tcMar>
                    <w:top w:w="120" w:type="dxa"/>
                    <w:left w:w="120" w:type="dxa"/>
                    <w:bottom w:w="120" w:type="dxa"/>
                    <w:right w:w="120" w:type="dxa"/>
                  </w:tcMar>
                  <w:vAlign w:val="center"/>
                </w:tcPr>
                <w:p w14:paraId="032A5754">
                  <w:pPr>
                    <w:jc w:val="center"/>
                    <w:rPr>
                      <w:rFonts w:hint="default" w:ascii="Times New Roman" w:hAnsi="Times New Roman" w:cs="Times New Roman"/>
                    </w:rPr>
                  </w:pPr>
                  <w:r>
                    <w:rPr>
                      <w:rFonts w:hint="default" w:ascii="Times New Roman" w:hAnsi="Times New Roman" w:cs="Times New Roman"/>
                      <w:lang w:val="en-US" w:eastAsia="zh-CN"/>
                    </w:rPr>
                    <w:t>卫生间生活污水排水</w:t>
                  </w:r>
                </w:p>
              </w:tc>
            </w:tr>
            <w:tr w14:paraId="6F30B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c>
                <w:tcPr>
                  <w:tcW w:w="741" w:type="dxa"/>
                  <w:tcMar>
                    <w:top w:w="120" w:type="dxa"/>
                    <w:left w:w="120" w:type="dxa"/>
                    <w:bottom w:w="120" w:type="dxa"/>
                    <w:right w:w="120" w:type="dxa"/>
                  </w:tcMar>
                  <w:vAlign w:val="center"/>
                </w:tcPr>
                <w:p w14:paraId="5C63EDEE">
                  <w:pPr>
                    <w:jc w:val="center"/>
                    <w:rPr>
                      <w:rFonts w:hint="default" w:ascii="Times New Roman" w:hAnsi="Times New Roman" w:eastAsia="宋体" w:cs="Times New Roman"/>
                      <w:lang w:eastAsia="zh-CN"/>
                    </w:rPr>
                  </w:pPr>
                  <w:r>
                    <w:rPr>
                      <w:rFonts w:hint="default" w:ascii="Times New Roman" w:hAnsi="Times New Roman" w:cs="Times New Roman"/>
                      <w:lang w:val="en-US" w:eastAsia="zh-CN"/>
                    </w:rPr>
                    <w:t>4</w:t>
                  </w:r>
                </w:p>
              </w:tc>
              <w:tc>
                <w:tcPr>
                  <w:tcW w:w="1520" w:type="dxa"/>
                  <w:tcMar>
                    <w:top w:w="120" w:type="dxa"/>
                    <w:left w:w="120" w:type="dxa"/>
                    <w:bottom w:w="120" w:type="dxa"/>
                    <w:right w:w="120" w:type="dxa"/>
                  </w:tcMar>
                  <w:vAlign w:val="center"/>
                </w:tcPr>
                <w:p w14:paraId="00AB9A86">
                  <w:pPr>
                    <w:jc w:val="center"/>
                    <w:rPr>
                      <w:rFonts w:hint="default" w:ascii="Times New Roman" w:hAnsi="Times New Roman" w:cs="Times New Roman"/>
                    </w:rPr>
                  </w:pPr>
                  <w:r>
                    <w:rPr>
                      <w:rFonts w:hint="default" w:ascii="Times New Roman" w:hAnsi="Times New Roman" w:cs="Times New Roman"/>
                    </w:rPr>
                    <w:t>固体废物</w:t>
                  </w:r>
                </w:p>
              </w:tc>
              <w:tc>
                <w:tcPr>
                  <w:tcW w:w="5394" w:type="dxa"/>
                  <w:tcMar>
                    <w:top w:w="120" w:type="dxa"/>
                    <w:left w:w="120" w:type="dxa"/>
                    <w:bottom w:w="120" w:type="dxa"/>
                    <w:right w:w="120" w:type="dxa"/>
                  </w:tcMar>
                  <w:vAlign w:val="center"/>
                </w:tcPr>
                <w:p w14:paraId="5253AD6B">
                  <w:pPr>
                    <w:jc w:val="center"/>
                    <w:rPr>
                      <w:rFonts w:hint="default" w:ascii="Times New Roman" w:hAnsi="Times New Roman" w:cs="Times New Roman"/>
                    </w:rPr>
                  </w:pPr>
                  <w:r>
                    <w:rPr>
                      <w:rFonts w:hint="default" w:ascii="Times New Roman" w:hAnsi="Times New Roman" w:cs="Times New Roman"/>
                    </w:rPr>
                    <w:t>生活垃圾等处置情况；废旧铅酸蓄电池、废矿物油及废变压器油等危险废物处置情况</w:t>
                  </w:r>
                </w:p>
              </w:tc>
            </w:tr>
            <w:tr w14:paraId="25782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c>
                <w:tcPr>
                  <w:tcW w:w="741" w:type="dxa"/>
                  <w:tcMar>
                    <w:top w:w="120" w:type="dxa"/>
                    <w:left w:w="120" w:type="dxa"/>
                    <w:bottom w:w="120" w:type="dxa"/>
                    <w:right w:w="120" w:type="dxa"/>
                  </w:tcMar>
                  <w:vAlign w:val="center"/>
                </w:tcPr>
                <w:p w14:paraId="3B16F855">
                  <w:pPr>
                    <w:jc w:val="center"/>
                    <w:rPr>
                      <w:rFonts w:hint="default" w:ascii="Times New Roman" w:hAnsi="Times New Roman" w:eastAsia="宋体" w:cs="Times New Roman"/>
                      <w:lang w:eastAsia="zh-CN"/>
                    </w:rPr>
                  </w:pPr>
                  <w:r>
                    <w:rPr>
                      <w:rFonts w:hint="default" w:ascii="Times New Roman" w:hAnsi="Times New Roman" w:cs="Times New Roman"/>
                      <w:lang w:val="en-US" w:eastAsia="zh-CN"/>
                    </w:rPr>
                    <w:t>5</w:t>
                  </w:r>
                </w:p>
              </w:tc>
              <w:tc>
                <w:tcPr>
                  <w:tcW w:w="1520" w:type="dxa"/>
                  <w:tcMar>
                    <w:top w:w="120" w:type="dxa"/>
                    <w:left w:w="120" w:type="dxa"/>
                    <w:bottom w:w="120" w:type="dxa"/>
                    <w:right w:w="120" w:type="dxa"/>
                  </w:tcMar>
                  <w:vAlign w:val="center"/>
                </w:tcPr>
                <w:p w14:paraId="7B41A81F">
                  <w:pPr>
                    <w:jc w:val="center"/>
                    <w:rPr>
                      <w:rFonts w:hint="default" w:ascii="Times New Roman" w:hAnsi="Times New Roman" w:cs="Times New Roman"/>
                    </w:rPr>
                  </w:pPr>
                  <w:r>
                    <w:rPr>
                      <w:rFonts w:hint="default" w:ascii="Times New Roman" w:hAnsi="Times New Roman" w:cs="Times New Roman"/>
                    </w:rPr>
                    <w:t>环境风险</w:t>
                  </w:r>
                </w:p>
              </w:tc>
              <w:tc>
                <w:tcPr>
                  <w:tcW w:w="5394" w:type="dxa"/>
                  <w:tcMar>
                    <w:top w:w="120" w:type="dxa"/>
                    <w:left w:w="120" w:type="dxa"/>
                    <w:bottom w:w="120" w:type="dxa"/>
                    <w:right w:w="120" w:type="dxa"/>
                  </w:tcMar>
                  <w:vAlign w:val="center"/>
                </w:tcPr>
                <w:p w14:paraId="20DBA5E6">
                  <w:pPr>
                    <w:jc w:val="center"/>
                    <w:rPr>
                      <w:rFonts w:hint="default" w:ascii="Times New Roman" w:hAnsi="Times New Roman" w:cs="Times New Roman"/>
                    </w:rPr>
                  </w:pPr>
                  <w:r>
                    <w:rPr>
                      <w:rFonts w:hint="default" w:ascii="Times New Roman" w:hAnsi="Times New Roman" w:cs="Times New Roman"/>
                    </w:rPr>
                    <w:t>事故状态下漏油产生的环境风险，事故油池设置要求</w:t>
                  </w:r>
                </w:p>
              </w:tc>
            </w:tr>
          </w:tbl>
          <w:p w14:paraId="0E679318">
            <w:pPr>
              <w:rPr>
                <w:rFonts w:hint="default" w:ascii="Times New Roman" w:hAnsi="Times New Roman" w:cs="Times New Roman"/>
              </w:rPr>
            </w:pPr>
          </w:p>
          <w:p w14:paraId="3682C63A">
            <w:pPr>
              <w:pStyle w:val="67"/>
              <w:numPr>
                <w:ilvl w:val="0"/>
                <w:numId w:val="11"/>
              </w:numPr>
              <w:spacing w:line="480" w:lineRule="exact"/>
              <w:ind w:firstLineChars="0"/>
              <w:rPr>
                <w:rFonts w:hint="default" w:ascii="Times New Roman" w:hAnsi="Times New Roman" w:eastAsia="黑体" w:cs="Times New Roman"/>
                <w:sz w:val="25"/>
              </w:rPr>
            </w:pPr>
            <w:r>
              <w:rPr>
                <w:rFonts w:hint="default" w:ascii="Times New Roman" w:hAnsi="Times New Roman" w:eastAsia="黑体" w:cs="Times New Roman"/>
                <w:sz w:val="25"/>
              </w:rPr>
              <w:t>电磁环境影响分析</w:t>
            </w:r>
          </w:p>
          <w:p w14:paraId="51FB75FD">
            <w:pPr>
              <w:spacing w:line="480" w:lineRule="exact"/>
              <w:ind w:firstLine="522"/>
              <w:rPr>
                <w:rFonts w:hint="default" w:ascii="Times New Roman" w:hAnsi="Times New Roman" w:cs="Times New Roman"/>
                <w:sz w:val="24"/>
              </w:rPr>
            </w:pPr>
            <w:r>
              <w:rPr>
                <w:rFonts w:hint="default" w:ascii="Times New Roman" w:hAnsi="Times New Roman" w:cs="Times New Roman"/>
                <w:sz w:val="24"/>
              </w:rPr>
              <w:t>本工程环境影响评价按照《环境影响评价技术导则</w:t>
            </w:r>
            <w:r>
              <w:rPr>
                <w:rFonts w:hint="default" w:ascii="Times New Roman" w:hAnsi="Times New Roman" w:cs="Times New Roman"/>
                <w:sz w:val="24"/>
                <w:lang w:val="en-US" w:eastAsia="zh-CN"/>
              </w:rPr>
              <w:t xml:space="preserve"> </w:t>
            </w:r>
            <w:r>
              <w:rPr>
                <w:rFonts w:hint="default" w:ascii="Times New Roman" w:hAnsi="Times New Roman" w:cs="Times New Roman"/>
                <w:sz w:val="24"/>
              </w:rPr>
              <w:t>输变电》（HJ24-2020）的要求设置了电磁环境影响专题评价，对于监测方法及仪器、监测布点、预测因子、预测模式和预测工况及环境条件的选择等内容详见电磁环境影响专题评价，下面电磁环境影响分析内容引用电磁环境影响专题评价中的电磁环境影响分析内容。</w:t>
            </w:r>
          </w:p>
          <w:p w14:paraId="2AC43B8F">
            <w:pPr>
              <w:spacing w:line="480" w:lineRule="exact"/>
              <w:ind w:firstLine="522"/>
              <w:rPr>
                <w:rFonts w:hint="default" w:ascii="Times New Roman" w:hAnsi="Times New Roman" w:cs="Times New Roman"/>
                <w:sz w:val="24"/>
                <w:lang w:eastAsia="zh-CN"/>
              </w:rPr>
            </w:pPr>
            <w:r>
              <w:rPr>
                <w:rFonts w:hint="default" w:ascii="Times New Roman" w:hAnsi="Times New Roman" w:cs="Times New Roman"/>
                <w:sz w:val="24"/>
                <w:lang w:eastAsia="zh-CN"/>
              </w:rPr>
              <w:t>110kV 变电站内高压电气设备、带电导线运行时会在周边空间产生工频电磁场；同时站内高压带电导体可发生局部电晕放电，形成电晕无线电干扰源，进而产生电磁干扰影响。</w:t>
            </w:r>
          </w:p>
          <w:p w14:paraId="52A75F14">
            <w:pPr>
              <w:spacing w:line="480" w:lineRule="exact"/>
              <w:ind w:firstLine="522"/>
              <w:rPr>
                <w:rFonts w:hint="default" w:ascii="Times New Roman" w:hAnsi="Times New Roman" w:cs="Times New Roman"/>
                <w:sz w:val="24"/>
              </w:rPr>
            </w:pPr>
            <w:r>
              <w:rPr>
                <w:rFonts w:hint="default" w:ascii="Times New Roman" w:hAnsi="Times New Roman" w:cs="Times New Roman"/>
                <w:sz w:val="24"/>
                <w:lang w:eastAsia="zh-CN"/>
              </w:rPr>
              <w:t>本工程110kV变电站110kV配电装置GIS户内布置，主变压器户外布置，按照HJ24</w:t>
            </w:r>
            <w:r>
              <w:rPr>
                <w:rFonts w:hint="default" w:ascii="Times New Roman" w:hAnsi="Times New Roman" w:cs="Times New Roman"/>
                <w:sz w:val="24"/>
                <w:lang w:eastAsia="zh-CN"/>
              </w:rPr>
              <w:noBreakHyphen/>
            </w:r>
            <w:r>
              <w:rPr>
                <w:rFonts w:hint="default" w:ascii="Times New Roman" w:hAnsi="Times New Roman" w:cs="Times New Roman"/>
                <w:sz w:val="24"/>
                <w:lang w:eastAsia="zh-CN"/>
              </w:rPr>
              <w:t>2020，归类为户外式变电站，电磁环境影响评价工作等级为二级</w:t>
            </w:r>
            <w:r>
              <w:rPr>
                <w:rFonts w:hint="default" w:ascii="Times New Roman" w:hAnsi="Times New Roman" w:cs="Times New Roman"/>
                <w:sz w:val="24"/>
              </w:rPr>
              <w:t>，采用类比监测法进行电磁环境影响预测。选取与本工程</w:t>
            </w:r>
            <w:r>
              <w:rPr>
                <w:rFonts w:hint="default" w:ascii="Times New Roman" w:hAnsi="Times New Roman" w:cs="Times New Roman"/>
                <w:sz w:val="24"/>
                <w:lang w:eastAsia="zh-CN"/>
              </w:rPr>
              <w:t>110kV变电站</w:t>
            </w:r>
            <w:r>
              <w:rPr>
                <w:rFonts w:hint="default" w:ascii="Times New Roman" w:hAnsi="Times New Roman" w:cs="Times New Roman"/>
                <w:sz w:val="24"/>
              </w:rPr>
              <w:t>建设规模、电压等级、容量、总平面布置及环境条件等相似的</w:t>
            </w:r>
            <w:r>
              <w:rPr>
                <w:rFonts w:hint="default" w:ascii="Times New Roman" w:hAnsi="Times New Roman" w:eastAsia="宋体" w:cs="Times New Roman"/>
                <w:color w:val="auto"/>
                <w:sz w:val="24"/>
                <w:szCs w:val="24"/>
                <w:highlight w:val="none"/>
              </w:rPr>
              <w:t>现以已运行的</w:t>
            </w:r>
            <w:r>
              <w:rPr>
                <w:rFonts w:hint="default" w:ascii="Times New Roman" w:hAnsi="Times New Roman" w:cs="Times New Roman"/>
                <w:color w:val="auto"/>
                <w:sz w:val="24"/>
                <w:szCs w:val="24"/>
                <w:highlight w:val="none"/>
                <w:lang w:eastAsia="zh-CN"/>
              </w:rPr>
              <w:t>“</w:t>
            </w:r>
            <w:r>
              <w:rPr>
                <w:rFonts w:hint="eastAsia" w:ascii="Times New Roman" w:hAnsi="Times New Roman" w:eastAsia="宋体"/>
                <w:b w:val="0"/>
                <w:sz w:val="24"/>
              </w:rPr>
              <w:t>石河子市兵团第八师143团山河110kV输变电工程110kV升压站</w:t>
            </w:r>
            <w:r>
              <w:rPr>
                <w:rFonts w:hint="default" w:ascii="Times New Roman" w:hAnsi="Times New Roman"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作为类比对象</w:t>
            </w:r>
            <w:r>
              <w:rPr>
                <w:rFonts w:hint="default" w:ascii="Times New Roman" w:hAnsi="Times New Roman" w:cs="Times New Roman"/>
                <w:sz w:val="24"/>
              </w:rPr>
              <w:t>。</w:t>
            </w:r>
          </w:p>
          <w:p w14:paraId="79F7683D">
            <w:pPr>
              <w:spacing w:line="480" w:lineRule="exact"/>
              <w:ind w:firstLine="522"/>
              <w:rPr>
                <w:rFonts w:hint="default" w:ascii="Times New Roman" w:hAnsi="Times New Roman" w:cs="Times New Roman"/>
                <w:sz w:val="24"/>
              </w:rPr>
            </w:pPr>
            <w:r>
              <w:rPr>
                <w:rFonts w:hint="default" w:ascii="Times New Roman" w:hAnsi="Times New Roman" w:cs="Times New Roman"/>
                <w:sz w:val="24"/>
              </w:rPr>
              <w:t>根据类比监测结果</w:t>
            </w:r>
            <w:r>
              <w:rPr>
                <w:rFonts w:hint="default" w:ascii="Times New Roman" w:hAnsi="Times New Roman" w:eastAsia="宋体" w:cs="Times New Roman"/>
                <w:color w:val="auto"/>
                <w:sz w:val="24"/>
                <w:szCs w:val="24"/>
                <w:highlight w:val="none"/>
                <w:lang w:val="en-US" w:eastAsia="zh-CN"/>
              </w:rPr>
              <w:t>可知</w:t>
            </w:r>
            <w:r>
              <w:rPr>
                <w:rFonts w:hint="default" w:ascii="Times New Roman" w:hAnsi="Times New Roman" w:cs="Times New Roman"/>
                <w:sz w:val="24"/>
              </w:rPr>
              <w:t>，本工程新建</w:t>
            </w:r>
            <w:r>
              <w:rPr>
                <w:rFonts w:hint="default" w:ascii="Times New Roman" w:hAnsi="Times New Roman" w:cs="Times New Roman"/>
                <w:sz w:val="24"/>
                <w:lang w:eastAsia="zh-CN"/>
              </w:rPr>
              <w:t>110kV变电站</w:t>
            </w:r>
            <w:r>
              <w:rPr>
                <w:rFonts w:hint="default" w:ascii="Times New Roman" w:hAnsi="Times New Roman" w:cs="Times New Roman"/>
                <w:sz w:val="24"/>
              </w:rPr>
              <w:t>工程建成投运后厂界周边工频电场强度、工频磁感应强度满足《电磁环境控制限值》（GB8702-2014）中4000V/m和100μT的公众曝露控制限值要求。</w:t>
            </w:r>
          </w:p>
          <w:p w14:paraId="2366F488">
            <w:pPr>
              <w:pStyle w:val="67"/>
              <w:numPr>
                <w:ilvl w:val="0"/>
                <w:numId w:val="11"/>
              </w:numPr>
              <w:spacing w:line="480" w:lineRule="exact"/>
              <w:ind w:firstLineChars="0"/>
              <w:rPr>
                <w:rFonts w:hint="default" w:ascii="Times New Roman" w:hAnsi="Times New Roman" w:eastAsia="黑体" w:cs="Times New Roman"/>
                <w:sz w:val="25"/>
              </w:rPr>
            </w:pPr>
            <w:r>
              <w:rPr>
                <w:rFonts w:hint="default" w:ascii="Times New Roman" w:hAnsi="Times New Roman" w:eastAsia="黑体" w:cs="Times New Roman"/>
                <w:sz w:val="25"/>
              </w:rPr>
              <w:t>噪声环境影响分析</w:t>
            </w:r>
          </w:p>
          <w:p w14:paraId="52C59488">
            <w:pPr>
              <w:pStyle w:val="67"/>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firstLine="480" w:firstLineChars="200"/>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本项目新建110kV变电站运行期间，变压器会产生持续性电磁及机械噪声，断路器、电晕放电等工况会产生短时暂态噪声。噪声在传播过程中，受传播距离、空气吸收、遮挡屏障等因素作用，声级逐步衰减。本项目站址位于鸿泰鼎绿色新材料纺织产业园厂区内部，经现场核查，站界外200m声环境评价范围内无声环境保护目标；本次依据《环境影响评价技术导则 声环境》（HJ2.4-2021）附录A、附录B，结合表4-8噪声源强调查清单，采用模式预测法开展运营期声环境定量预测，给出四侧站界噪声贡献值、预测值并绘制等声级线图。</w:t>
            </w:r>
          </w:p>
          <w:p w14:paraId="783ACE42">
            <w:pPr>
              <w:pStyle w:val="67"/>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firstLine="480" w:firstLineChars="200"/>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（1）噪声源及防治措施</w:t>
            </w:r>
          </w:p>
          <w:p w14:paraId="4B0633E2">
            <w:pPr>
              <w:pStyle w:val="67"/>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firstLine="480" w:firstLineChars="200"/>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运行期噪声源以主变压器为主：主变2台（SZ-63000/110）户外布置、24h连续运行，按同类110kV变电站铭牌及类比实测数据，声压级取不大于65dB(A)（距源1m处）；110kV GIS、10kV开关柜、电容器组及站用变均为户内布置，经柜体及建筑墙体隔声后对外影响很小；机械排风机声压级约70～75dB(A)（风口1m处）、空调外机约55～60dB(A)，均为间歇运行；断路器操作及电晕放电产生的暂态噪声持续时间短、发生频率低，且110kV为户内GIS布置，对外环境影响可忽略。噪声源强调查清单见表4-8。</w:t>
            </w:r>
          </w:p>
          <w:p w14:paraId="26B7A8E2">
            <w:pPr>
              <w:pStyle w:val="67"/>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firstLine="480" w:firstLineChars="200"/>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防治措施：主变采购时明确声压级不大于65dB(A)（距源1m处）；高声源设备全部户内布置，利用建筑墙体隔声；排风机选用低噪声机型，风口设消声弯头、与风管软连接减振；空调外机布置于背离厂界一侧；站区四周设2.5m高实体围墙，兼作声屏障。</w:t>
            </w:r>
          </w:p>
          <w:p w14:paraId="6B9A6EBF">
            <w:pPr>
              <w:pStyle w:val="67"/>
              <w:numPr>
                <w:ilvl w:val="0"/>
                <w:numId w:val="0"/>
              </w:numPr>
              <w:spacing w:line="480" w:lineRule="exact"/>
              <w:ind w:left="420" w:leftChars="0"/>
              <w:jc w:val="center"/>
              <w:rPr>
                <w:rFonts w:hint="default" w:ascii="Times New Roman" w:hAnsi="Times New Roman" w:eastAsia="黑体" w:cs="Times New Roman"/>
                <w:lang w:val="en-US" w:eastAsia="zh-CN"/>
              </w:rPr>
            </w:pPr>
            <w:r>
              <w:rPr>
                <w:rFonts w:hint="default" w:ascii="Times New Roman" w:hAnsi="Times New Roman" w:eastAsia="黑体" w:cs="Times New Roman"/>
                <w:lang w:val="en-US" w:eastAsia="zh-CN"/>
              </w:rPr>
              <w:t>表4-8 本项目噪声源强调查清单</w:t>
            </w:r>
          </w:p>
          <w:tbl>
            <w:tblPr>
              <w:tblStyle w:val="4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0"/>
              <w:gridCol w:w="1906"/>
              <w:gridCol w:w="581"/>
              <w:gridCol w:w="1525"/>
              <w:gridCol w:w="820"/>
              <w:gridCol w:w="465"/>
              <w:gridCol w:w="976"/>
              <w:gridCol w:w="763"/>
            </w:tblGrid>
            <w:tr w14:paraId="4EF3B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0" w:type="dxa"/>
                  <w:vAlign w:val="center"/>
                </w:tcPr>
                <w:p w14:paraId="4124D7A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sz w:val="21"/>
                      <w:szCs w:val="21"/>
                    </w:rPr>
                  </w:pPr>
                  <w:r>
                    <w:rPr>
                      <w:rFonts w:hint="default" w:ascii="Times New Roman" w:hAnsi="Times New Roman" w:eastAsia="宋体" w:cs="Times New Roman"/>
                      <w:b/>
                      <w:sz w:val="21"/>
                      <w:szCs w:val="21"/>
                    </w:rPr>
                    <w:t>序号</w:t>
                  </w:r>
                </w:p>
              </w:tc>
              <w:tc>
                <w:tcPr>
                  <w:tcW w:w="1906" w:type="dxa"/>
                  <w:vAlign w:val="center"/>
                </w:tcPr>
                <w:p w14:paraId="16B671B4">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sz w:val="21"/>
                      <w:szCs w:val="21"/>
                    </w:rPr>
                  </w:pPr>
                  <w:r>
                    <w:rPr>
                      <w:rFonts w:hint="default" w:ascii="Times New Roman" w:hAnsi="Times New Roman" w:eastAsia="宋体" w:cs="Times New Roman"/>
                      <w:b/>
                      <w:sz w:val="21"/>
                      <w:szCs w:val="21"/>
                    </w:rPr>
                    <w:t>声源名称</w:t>
                  </w:r>
                </w:p>
              </w:tc>
              <w:tc>
                <w:tcPr>
                  <w:tcW w:w="581" w:type="dxa"/>
                  <w:vAlign w:val="center"/>
                </w:tcPr>
                <w:p w14:paraId="58B4635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sz w:val="21"/>
                      <w:szCs w:val="21"/>
                    </w:rPr>
                  </w:pPr>
                  <w:r>
                    <w:rPr>
                      <w:rFonts w:hint="default" w:ascii="Times New Roman" w:hAnsi="Times New Roman" w:eastAsia="宋体" w:cs="Times New Roman"/>
                      <w:b/>
                      <w:sz w:val="21"/>
                      <w:szCs w:val="21"/>
                    </w:rPr>
                    <w:t>数量</w:t>
                  </w:r>
                </w:p>
              </w:tc>
              <w:tc>
                <w:tcPr>
                  <w:tcW w:w="1525" w:type="dxa"/>
                  <w:vAlign w:val="center"/>
                </w:tcPr>
                <w:p w14:paraId="7F43BC0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sz w:val="21"/>
                      <w:szCs w:val="21"/>
                    </w:rPr>
                  </w:pPr>
                  <w:r>
                    <w:rPr>
                      <w:rFonts w:hint="default" w:ascii="Times New Roman" w:hAnsi="Times New Roman" w:eastAsia="宋体" w:cs="Times New Roman"/>
                      <w:b/>
                      <w:sz w:val="21"/>
                      <w:szCs w:val="21"/>
                    </w:rPr>
                    <w:t>空间相对位置</w:t>
                  </w:r>
                  <w:r>
                    <w:rPr>
                      <w:rFonts w:hint="default" w:ascii="Times New Roman" w:hAnsi="Times New Roman" w:eastAsia="宋体" w:cs="Times New Roman"/>
                      <w:b/>
                      <w:sz w:val="21"/>
                      <w:szCs w:val="21"/>
                    </w:rPr>
                    <w:br w:type="textWrapping"/>
                  </w:r>
                  <w:r>
                    <w:rPr>
                      <w:rFonts w:hint="default" w:ascii="Times New Roman" w:hAnsi="Times New Roman" w:eastAsia="宋体" w:cs="Times New Roman"/>
                      <w:b/>
                      <w:sz w:val="21"/>
                      <w:szCs w:val="21"/>
                    </w:rPr>
                    <w:t>(x,y,z)/m</w:t>
                  </w:r>
                </w:p>
              </w:tc>
              <w:tc>
                <w:tcPr>
                  <w:tcW w:w="820" w:type="dxa"/>
                  <w:vAlign w:val="center"/>
                </w:tcPr>
                <w:p w14:paraId="30ADDEF6">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sz w:val="21"/>
                      <w:szCs w:val="21"/>
                    </w:rPr>
                  </w:pPr>
                  <w:r>
                    <w:rPr>
                      <w:rFonts w:hint="default" w:ascii="Times New Roman" w:hAnsi="Times New Roman" w:eastAsia="宋体" w:cs="Times New Roman"/>
                      <w:b/>
                      <w:sz w:val="21"/>
                      <w:szCs w:val="21"/>
                    </w:rPr>
                    <w:t>声压级dB(A)</w:t>
                  </w:r>
                  <w:r>
                    <w:rPr>
                      <w:rFonts w:hint="default" w:ascii="Times New Roman" w:hAnsi="Times New Roman" w:eastAsia="宋体" w:cs="Times New Roman"/>
                      <w:b/>
                      <w:sz w:val="21"/>
                      <w:szCs w:val="21"/>
                    </w:rPr>
                    <w:br w:type="textWrapping"/>
                  </w:r>
                  <w:r>
                    <w:rPr>
                      <w:rFonts w:hint="default" w:ascii="Times New Roman" w:hAnsi="Times New Roman" w:eastAsia="宋体" w:cs="Times New Roman"/>
                      <w:b/>
                      <w:sz w:val="21"/>
                      <w:szCs w:val="21"/>
                    </w:rPr>
                    <w:t>（距声源1m）</w:t>
                  </w:r>
                </w:p>
              </w:tc>
              <w:tc>
                <w:tcPr>
                  <w:tcW w:w="465" w:type="dxa"/>
                  <w:vAlign w:val="center"/>
                </w:tcPr>
                <w:p w14:paraId="7F7D210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sz w:val="21"/>
                      <w:szCs w:val="21"/>
                    </w:rPr>
                  </w:pPr>
                  <w:r>
                    <w:rPr>
                      <w:rFonts w:hint="default" w:ascii="Times New Roman" w:hAnsi="Times New Roman" w:eastAsia="宋体" w:cs="Times New Roman"/>
                      <w:b/>
                      <w:sz w:val="21"/>
                      <w:szCs w:val="21"/>
                    </w:rPr>
                    <w:t>声源类型</w:t>
                  </w:r>
                </w:p>
              </w:tc>
              <w:tc>
                <w:tcPr>
                  <w:tcW w:w="976" w:type="dxa"/>
                  <w:vAlign w:val="center"/>
                </w:tcPr>
                <w:p w14:paraId="4928BE32">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sz w:val="21"/>
                      <w:szCs w:val="21"/>
                    </w:rPr>
                  </w:pPr>
                  <w:r>
                    <w:rPr>
                      <w:rFonts w:hint="default" w:ascii="Times New Roman" w:hAnsi="Times New Roman" w:eastAsia="宋体" w:cs="Times New Roman"/>
                      <w:b/>
                      <w:sz w:val="21"/>
                      <w:szCs w:val="21"/>
                    </w:rPr>
                    <w:t>运行时段</w:t>
                  </w:r>
                </w:p>
              </w:tc>
              <w:tc>
                <w:tcPr>
                  <w:tcW w:w="763" w:type="dxa"/>
                  <w:vAlign w:val="center"/>
                </w:tcPr>
                <w:p w14:paraId="5200FCC6">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sz w:val="21"/>
                      <w:szCs w:val="21"/>
                    </w:rPr>
                  </w:pPr>
                  <w:r>
                    <w:rPr>
                      <w:rFonts w:hint="default" w:ascii="Times New Roman" w:hAnsi="Times New Roman" w:eastAsia="宋体" w:cs="Times New Roman"/>
                      <w:b/>
                      <w:sz w:val="21"/>
                      <w:szCs w:val="21"/>
                    </w:rPr>
                    <w:t>声源控制措施</w:t>
                  </w:r>
                </w:p>
              </w:tc>
            </w:tr>
            <w:tr w14:paraId="08A46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0" w:type="dxa"/>
                  <w:vAlign w:val="center"/>
                </w:tcPr>
                <w:p w14:paraId="0BCFC7B4">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1</w:t>
                  </w:r>
                </w:p>
              </w:tc>
              <w:tc>
                <w:tcPr>
                  <w:tcW w:w="1906" w:type="dxa"/>
                  <w:vAlign w:val="center"/>
                </w:tcPr>
                <w:p w14:paraId="36896A16">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1#主变压器（SZ-63000/110）</w:t>
                  </w:r>
                </w:p>
              </w:tc>
              <w:tc>
                <w:tcPr>
                  <w:tcW w:w="581" w:type="dxa"/>
                  <w:vAlign w:val="center"/>
                </w:tcPr>
                <w:p w14:paraId="58573931">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1台</w:t>
                  </w:r>
                </w:p>
              </w:tc>
              <w:tc>
                <w:tcPr>
                  <w:tcW w:w="1525" w:type="dxa"/>
                  <w:vAlign w:val="center"/>
                </w:tcPr>
                <w:p w14:paraId="7902E288">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(33.0,11.0, 2.5)</w:t>
                  </w:r>
                </w:p>
              </w:tc>
              <w:tc>
                <w:tcPr>
                  <w:tcW w:w="820" w:type="dxa"/>
                  <w:vAlign w:val="center"/>
                </w:tcPr>
                <w:p w14:paraId="7C2733E7">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≤65</w:t>
                  </w:r>
                </w:p>
              </w:tc>
              <w:tc>
                <w:tcPr>
                  <w:tcW w:w="465" w:type="dxa"/>
                  <w:vAlign w:val="center"/>
                </w:tcPr>
                <w:p w14:paraId="46F1AD0A">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室外</w:t>
                  </w:r>
                </w:p>
              </w:tc>
              <w:tc>
                <w:tcPr>
                  <w:tcW w:w="976" w:type="dxa"/>
                  <w:vAlign w:val="center"/>
                </w:tcPr>
                <w:p w14:paraId="5FF564FC">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连续（24h）</w:t>
                  </w:r>
                </w:p>
              </w:tc>
              <w:tc>
                <w:tcPr>
                  <w:tcW w:w="763" w:type="dxa"/>
                  <w:vAlign w:val="center"/>
                </w:tcPr>
                <w:p w14:paraId="33C4AAAF">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设备选型控制值；基础减振</w:t>
                  </w:r>
                </w:p>
              </w:tc>
            </w:tr>
            <w:tr w14:paraId="74541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0" w:type="dxa"/>
                  <w:vAlign w:val="center"/>
                </w:tcPr>
                <w:p w14:paraId="11B784A7">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2</w:t>
                  </w:r>
                </w:p>
              </w:tc>
              <w:tc>
                <w:tcPr>
                  <w:tcW w:w="1906" w:type="dxa"/>
                  <w:vAlign w:val="center"/>
                </w:tcPr>
                <w:p w14:paraId="487BEA54">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2#主变压器（SZ-63000/110）</w:t>
                  </w:r>
                </w:p>
              </w:tc>
              <w:tc>
                <w:tcPr>
                  <w:tcW w:w="581" w:type="dxa"/>
                  <w:vAlign w:val="center"/>
                </w:tcPr>
                <w:p w14:paraId="4D1D5180">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1台</w:t>
                  </w:r>
                </w:p>
              </w:tc>
              <w:tc>
                <w:tcPr>
                  <w:tcW w:w="1525" w:type="dxa"/>
                  <w:vAlign w:val="center"/>
                </w:tcPr>
                <w:p w14:paraId="02C83ECC">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(51.0,11.0, 2.5)</w:t>
                  </w:r>
                </w:p>
              </w:tc>
              <w:tc>
                <w:tcPr>
                  <w:tcW w:w="820" w:type="dxa"/>
                  <w:vAlign w:val="center"/>
                </w:tcPr>
                <w:p w14:paraId="44C0EA3B">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≤65</w:t>
                  </w:r>
                </w:p>
              </w:tc>
              <w:tc>
                <w:tcPr>
                  <w:tcW w:w="465" w:type="dxa"/>
                  <w:vAlign w:val="center"/>
                </w:tcPr>
                <w:p w14:paraId="61FC70C5">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室外</w:t>
                  </w:r>
                </w:p>
              </w:tc>
              <w:tc>
                <w:tcPr>
                  <w:tcW w:w="976" w:type="dxa"/>
                  <w:vAlign w:val="center"/>
                </w:tcPr>
                <w:p w14:paraId="13769A3F">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连续（24h）</w:t>
                  </w:r>
                </w:p>
              </w:tc>
              <w:tc>
                <w:tcPr>
                  <w:tcW w:w="763" w:type="dxa"/>
                  <w:vAlign w:val="center"/>
                </w:tcPr>
                <w:p w14:paraId="6E62FA8E">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设备选型控制值；基础减振</w:t>
                  </w:r>
                </w:p>
              </w:tc>
            </w:tr>
            <w:tr w14:paraId="39DB4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0" w:type="dxa"/>
                  <w:vAlign w:val="center"/>
                </w:tcPr>
                <w:p w14:paraId="6D0A0B03">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3</w:t>
                  </w:r>
                </w:p>
              </w:tc>
              <w:tc>
                <w:tcPr>
                  <w:tcW w:w="1906" w:type="dxa"/>
                  <w:vAlign w:val="center"/>
                </w:tcPr>
                <w:p w14:paraId="40C524DE">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110kV GIS（配电装置楼二层）</w:t>
                  </w:r>
                </w:p>
              </w:tc>
              <w:tc>
                <w:tcPr>
                  <w:tcW w:w="581" w:type="dxa"/>
                  <w:vAlign w:val="center"/>
                </w:tcPr>
                <w:p w14:paraId="28666836">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1套</w:t>
                  </w:r>
                </w:p>
              </w:tc>
              <w:tc>
                <w:tcPr>
                  <w:tcW w:w="1525" w:type="dxa"/>
                  <w:vAlign w:val="center"/>
                </w:tcPr>
                <w:p w14:paraId="3C484C07">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(40.0,29.0, 7.0)</w:t>
                  </w:r>
                </w:p>
              </w:tc>
              <w:tc>
                <w:tcPr>
                  <w:tcW w:w="820" w:type="dxa"/>
                  <w:vAlign w:val="center"/>
                </w:tcPr>
                <w:p w14:paraId="3CA3AC6C">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≤60</w:t>
                  </w:r>
                </w:p>
              </w:tc>
              <w:tc>
                <w:tcPr>
                  <w:tcW w:w="465" w:type="dxa"/>
                  <w:vAlign w:val="center"/>
                </w:tcPr>
                <w:p w14:paraId="4486332D">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室内</w:t>
                  </w:r>
                </w:p>
              </w:tc>
              <w:tc>
                <w:tcPr>
                  <w:tcW w:w="976" w:type="dxa"/>
                  <w:vAlign w:val="center"/>
                </w:tcPr>
                <w:p w14:paraId="5CFCDDE1">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连续（24h）</w:t>
                  </w:r>
                </w:p>
              </w:tc>
              <w:tc>
                <w:tcPr>
                  <w:tcW w:w="763" w:type="dxa"/>
                  <w:vAlign w:val="center"/>
                </w:tcPr>
                <w:p w14:paraId="62E48503">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建筑墙体隔声</w:t>
                  </w:r>
                </w:p>
              </w:tc>
            </w:tr>
            <w:tr w14:paraId="0D3E1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0" w:type="dxa"/>
                  <w:vAlign w:val="center"/>
                </w:tcPr>
                <w:p w14:paraId="3E827826">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4</w:t>
                  </w:r>
                </w:p>
              </w:tc>
              <w:tc>
                <w:tcPr>
                  <w:tcW w:w="1906" w:type="dxa"/>
                  <w:vAlign w:val="center"/>
                </w:tcPr>
                <w:p w14:paraId="75B79A38">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10kV开关柜（配电装置楼一层）</w:t>
                  </w:r>
                </w:p>
              </w:tc>
              <w:tc>
                <w:tcPr>
                  <w:tcW w:w="581" w:type="dxa"/>
                  <w:vAlign w:val="center"/>
                </w:tcPr>
                <w:p w14:paraId="2FFE39E0">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32面</w:t>
                  </w:r>
                </w:p>
              </w:tc>
              <w:tc>
                <w:tcPr>
                  <w:tcW w:w="1525" w:type="dxa"/>
                  <w:vAlign w:val="center"/>
                </w:tcPr>
                <w:p w14:paraId="141C5A8A">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(40.0,29.0, 2.0)</w:t>
                  </w:r>
                </w:p>
              </w:tc>
              <w:tc>
                <w:tcPr>
                  <w:tcW w:w="820" w:type="dxa"/>
                  <w:vAlign w:val="center"/>
                </w:tcPr>
                <w:p w14:paraId="61AC33EA">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≤60</w:t>
                  </w:r>
                </w:p>
              </w:tc>
              <w:tc>
                <w:tcPr>
                  <w:tcW w:w="465" w:type="dxa"/>
                  <w:vAlign w:val="center"/>
                </w:tcPr>
                <w:p w14:paraId="534865BC">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室内</w:t>
                  </w:r>
                </w:p>
              </w:tc>
              <w:tc>
                <w:tcPr>
                  <w:tcW w:w="976" w:type="dxa"/>
                  <w:vAlign w:val="center"/>
                </w:tcPr>
                <w:p w14:paraId="4551AD63">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连续（24h）</w:t>
                  </w:r>
                </w:p>
              </w:tc>
              <w:tc>
                <w:tcPr>
                  <w:tcW w:w="763" w:type="dxa"/>
                  <w:vAlign w:val="center"/>
                </w:tcPr>
                <w:p w14:paraId="5FA6F0E8">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建筑墙体隔声</w:t>
                  </w:r>
                </w:p>
              </w:tc>
            </w:tr>
            <w:tr w14:paraId="3C903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0" w:type="dxa"/>
                  <w:vAlign w:val="center"/>
                </w:tcPr>
                <w:p w14:paraId="0F41D9D6">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5</w:t>
                  </w:r>
                </w:p>
              </w:tc>
              <w:tc>
                <w:tcPr>
                  <w:tcW w:w="1906" w:type="dxa"/>
                  <w:vAlign w:val="center"/>
                </w:tcPr>
                <w:p w14:paraId="6792D3EC">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电容器组（4×5Mvar）</w:t>
                  </w:r>
                </w:p>
              </w:tc>
              <w:tc>
                <w:tcPr>
                  <w:tcW w:w="581" w:type="dxa"/>
                  <w:vAlign w:val="center"/>
                </w:tcPr>
                <w:p w14:paraId="08CD9C29">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4组</w:t>
                  </w:r>
                </w:p>
              </w:tc>
              <w:tc>
                <w:tcPr>
                  <w:tcW w:w="1525" w:type="dxa"/>
                  <w:vAlign w:val="center"/>
                </w:tcPr>
                <w:p w14:paraId="159C06A6">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(40.0,29.0, 2.0)</w:t>
                  </w:r>
                </w:p>
              </w:tc>
              <w:tc>
                <w:tcPr>
                  <w:tcW w:w="820" w:type="dxa"/>
                  <w:vAlign w:val="center"/>
                </w:tcPr>
                <w:p w14:paraId="017B6D18">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≤60</w:t>
                  </w:r>
                </w:p>
              </w:tc>
              <w:tc>
                <w:tcPr>
                  <w:tcW w:w="465" w:type="dxa"/>
                  <w:vAlign w:val="center"/>
                </w:tcPr>
                <w:p w14:paraId="56C83820">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室内</w:t>
                  </w:r>
                </w:p>
              </w:tc>
              <w:tc>
                <w:tcPr>
                  <w:tcW w:w="976" w:type="dxa"/>
                  <w:vAlign w:val="center"/>
                </w:tcPr>
                <w:p w14:paraId="271C75D0">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连续（24h）</w:t>
                  </w:r>
                </w:p>
              </w:tc>
              <w:tc>
                <w:tcPr>
                  <w:tcW w:w="763" w:type="dxa"/>
                  <w:vAlign w:val="center"/>
                </w:tcPr>
                <w:p w14:paraId="01D12E54">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建筑墙体隔声</w:t>
                  </w:r>
                </w:p>
              </w:tc>
            </w:tr>
            <w:tr w14:paraId="6E54B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0" w:type="dxa"/>
                  <w:vAlign w:val="center"/>
                </w:tcPr>
                <w:p w14:paraId="06F884F5">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6</w:t>
                  </w:r>
                </w:p>
              </w:tc>
              <w:tc>
                <w:tcPr>
                  <w:tcW w:w="1906" w:type="dxa"/>
                  <w:vAlign w:val="center"/>
                </w:tcPr>
                <w:p w14:paraId="7D8539C5">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接地变及小电阻成套装置</w:t>
                  </w:r>
                </w:p>
              </w:tc>
              <w:tc>
                <w:tcPr>
                  <w:tcW w:w="581" w:type="dxa"/>
                  <w:vAlign w:val="center"/>
                </w:tcPr>
                <w:p w14:paraId="4D7128A8">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2套</w:t>
                  </w:r>
                </w:p>
              </w:tc>
              <w:tc>
                <w:tcPr>
                  <w:tcW w:w="1525" w:type="dxa"/>
                  <w:vAlign w:val="center"/>
                </w:tcPr>
                <w:p w14:paraId="16FC3682">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(40.0,29.0, 2.0)</w:t>
                  </w:r>
                </w:p>
              </w:tc>
              <w:tc>
                <w:tcPr>
                  <w:tcW w:w="820" w:type="dxa"/>
                  <w:vAlign w:val="center"/>
                </w:tcPr>
                <w:p w14:paraId="43B5E170">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≤60</w:t>
                  </w:r>
                </w:p>
              </w:tc>
              <w:tc>
                <w:tcPr>
                  <w:tcW w:w="465" w:type="dxa"/>
                  <w:vAlign w:val="center"/>
                </w:tcPr>
                <w:p w14:paraId="67977111">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室内</w:t>
                  </w:r>
                </w:p>
              </w:tc>
              <w:tc>
                <w:tcPr>
                  <w:tcW w:w="976" w:type="dxa"/>
                  <w:vAlign w:val="center"/>
                </w:tcPr>
                <w:p w14:paraId="6BED5E06">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连续（24h）</w:t>
                  </w:r>
                </w:p>
              </w:tc>
              <w:tc>
                <w:tcPr>
                  <w:tcW w:w="763" w:type="dxa"/>
                  <w:vAlign w:val="center"/>
                </w:tcPr>
                <w:p w14:paraId="61558265">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建筑墙体隔声</w:t>
                  </w:r>
                </w:p>
              </w:tc>
            </w:tr>
            <w:tr w14:paraId="051D6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0" w:type="dxa"/>
                  <w:vAlign w:val="center"/>
                </w:tcPr>
                <w:p w14:paraId="7B1E17A9">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7</w:t>
                  </w:r>
                </w:p>
              </w:tc>
              <w:tc>
                <w:tcPr>
                  <w:tcW w:w="1906" w:type="dxa"/>
                  <w:vAlign w:val="center"/>
                </w:tcPr>
                <w:p w14:paraId="340BD402">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站用变（2×200kVA）</w:t>
                  </w:r>
                </w:p>
              </w:tc>
              <w:tc>
                <w:tcPr>
                  <w:tcW w:w="581" w:type="dxa"/>
                  <w:vAlign w:val="center"/>
                </w:tcPr>
                <w:p w14:paraId="04784F67">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2台</w:t>
                  </w:r>
                </w:p>
              </w:tc>
              <w:tc>
                <w:tcPr>
                  <w:tcW w:w="1525" w:type="dxa"/>
                  <w:vAlign w:val="center"/>
                </w:tcPr>
                <w:p w14:paraId="78029CBE">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(40.0,29.0, 2.0)</w:t>
                  </w:r>
                </w:p>
              </w:tc>
              <w:tc>
                <w:tcPr>
                  <w:tcW w:w="820" w:type="dxa"/>
                  <w:vAlign w:val="center"/>
                </w:tcPr>
                <w:p w14:paraId="1650619D">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≤55</w:t>
                  </w:r>
                </w:p>
              </w:tc>
              <w:tc>
                <w:tcPr>
                  <w:tcW w:w="465" w:type="dxa"/>
                  <w:vAlign w:val="center"/>
                </w:tcPr>
                <w:p w14:paraId="7523B2F5">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室内</w:t>
                  </w:r>
                </w:p>
              </w:tc>
              <w:tc>
                <w:tcPr>
                  <w:tcW w:w="976" w:type="dxa"/>
                  <w:vAlign w:val="center"/>
                </w:tcPr>
                <w:p w14:paraId="260859BA">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连续（24h）</w:t>
                  </w:r>
                </w:p>
              </w:tc>
              <w:tc>
                <w:tcPr>
                  <w:tcW w:w="763" w:type="dxa"/>
                  <w:vAlign w:val="center"/>
                </w:tcPr>
                <w:p w14:paraId="134514C2">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建筑墙体隔声</w:t>
                  </w:r>
                </w:p>
              </w:tc>
            </w:tr>
            <w:tr w14:paraId="6B7BD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0" w:type="dxa"/>
                  <w:vAlign w:val="center"/>
                </w:tcPr>
                <w:p w14:paraId="062D70E6">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8</w:t>
                  </w:r>
                </w:p>
              </w:tc>
              <w:tc>
                <w:tcPr>
                  <w:tcW w:w="1906" w:type="dxa"/>
                  <w:vAlign w:val="center"/>
                </w:tcPr>
                <w:p w14:paraId="3684104D">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轴流排风机（一层排风口：10kV配电室6台、电容器室3台、接地变室2台）</w:t>
                  </w:r>
                </w:p>
              </w:tc>
              <w:tc>
                <w:tcPr>
                  <w:tcW w:w="581" w:type="dxa"/>
                  <w:vAlign w:val="center"/>
                </w:tcPr>
                <w:p w14:paraId="086F8BCF">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11台</w:t>
                  </w:r>
                </w:p>
              </w:tc>
              <w:tc>
                <w:tcPr>
                  <w:tcW w:w="1525" w:type="dxa"/>
                  <w:vAlign w:val="center"/>
                </w:tcPr>
                <w:p w14:paraId="7B75EFF5">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(30.0,29.0, 4.0)</w:t>
                  </w:r>
                </w:p>
              </w:tc>
              <w:tc>
                <w:tcPr>
                  <w:tcW w:w="820" w:type="dxa"/>
                  <w:vAlign w:val="center"/>
                </w:tcPr>
                <w:p w14:paraId="6A39DC88">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60（经消声后）</w:t>
                  </w:r>
                </w:p>
              </w:tc>
              <w:tc>
                <w:tcPr>
                  <w:tcW w:w="465" w:type="dxa"/>
                  <w:vAlign w:val="center"/>
                </w:tcPr>
                <w:p w14:paraId="3E9E729D">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室外</w:t>
                  </w:r>
                </w:p>
              </w:tc>
              <w:tc>
                <w:tcPr>
                  <w:tcW w:w="976" w:type="dxa"/>
                  <w:vAlign w:val="center"/>
                </w:tcPr>
                <w:p w14:paraId="517DD854">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间歇</w:t>
                  </w:r>
                </w:p>
              </w:tc>
              <w:tc>
                <w:tcPr>
                  <w:tcW w:w="763" w:type="dxa"/>
                  <w:vAlign w:val="center"/>
                </w:tcPr>
                <w:p w14:paraId="65992D7F">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消声弯头+防风沙百叶窗</w:t>
                  </w:r>
                </w:p>
              </w:tc>
            </w:tr>
            <w:tr w14:paraId="6D50D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0" w:type="dxa"/>
                  <w:vAlign w:val="center"/>
                </w:tcPr>
                <w:p w14:paraId="05E8739E">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9</w:t>
                  </w:r>
                </w:p>
              </w:tc>
              <w:tc>
                <w:tcPr>
                  <w:tcW w:w="1906" w:type="dxa"/>
                  <w:vAlign w:val="center"/>
                </w:tcPr>
                <w:p w14:paraId="52044142">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轴流排风机（二层排风口：110kV GIS室）</w:t>
                  </w:r>
                </w:p>
              </w:tc>
              <w:tc>
                <w:tcPr>
                  <w:tcW w:w="581" w:type="dxa"/>
                  <w:vAlign w:val="center"/>
                </w:tcPr>
                <w:p w14:paraId="65FB7AB5">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4台</w:t>
                  </w:r>
                </w:p>
              </w:tc>
              <w:tc>
                <w:tcPr>
                  <w:tcW w:w="1525" w:type="dxa"/>
                  <w:vAlign w:val="center"/>
                </w:tcPr>
                <w:p w14:paraId="09CDFC18">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(50.0,29.0, 8.0)</w:t>
                  </w:r>
                </w:p>
              </w:tc>
              <w:tc>
                <w:tcPr>
                  <w:tcW w:w="820" w:type="dxa"/>
                  <w:vAlign w:val="center"/>
                </w:tcPr>
                <w:p w14:paraId="3FF54C7C">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60（经消声后）</w:t>
                  </w:r>
                </w:p>
              </w:tc>
              <w:tc>
                <w:tcPr>
                  <w:tcW w:w="465" w:type="dxa"/>
                  <w:vAlign w:val="center"/>
                </w:tcPr>
                <w:p w14:paraId="4FB8C9DD">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室外</w:t>
                  </w:r>
                </w:p>
              </w:tc>
              <w:tc>
                <w:tcPr>
                  <w:tcW w:w="976" w:type="dxa"/>
                  <w:vAlign w:val="center"/>
                </w:tcPr>
                <w:p w14:paraId="6DB9AC4A">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间歇</w:t>
                  </w:r>
                </w:p>
              </w:tc>
              <w:tc>
                <w:tcPr>
                  <w:tcW w:w="763" w:type="dxa"/>
                  <w:vAlign w:val="center"/>
                </w:tcPr>
                <w:p w14:paraId="222EF8F9">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消声弯头+防风沙百叶窗</w:t>
                  </w:r>
                </w:p>
              </w:tc>
            </w:tr>
            <w:tr w14:paraId="533BE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0" w:type="dxa"/>
                  <w:vAlign w:val="center"/>
                </w:tcPr>
                <w:p w14:paraId="3AA21289">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10</w:t>
                  </w:r>
                </w:p>
              </w:tc>
              <w:tc>
                <w:tcPr>
                  <w:tcW w:w="1906" w:type="dxa"/>
                  <w:vAlign w:val="center"/>
                </w:tcPr>
                <w:p w14:paraId="65D99B2F">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空调室外机（立柜式4台、壁挂式3台）</w:t>
                  </w:r>
                </w:p>
              </w:tc>
              <w:tc>
                <w:tcPr>
                  <w:tcW w:w="581" w:type="dxa"/>
                  <w:vAlign w:val="center"/>
                </w:tcPr>
                <w:p w14:paraId="212A5916">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7台</w:t>
                  </w:r>
                </w:p>
              </w:tc>
              <w:tc>
                <w:tcPr>
                  <w:tcW w:w="1525" w:type="dxa"/>
                  <w:vAlign w:val="center"/>
                </w:tcPr>
                <w:p w14:paraId="720F3B4B">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(40.0,28.5, 0.8)</w:t>
                  </w:r>
                </w:p>
              </w:tc>
              <w:tc>
                <w:tcPr>
                  <w:tcW w:w="820" w:type="dxa"/>
                  <w:vAlign w:val="center"/>
                </w:tcPr>
                <w:p w14:paraId="3F34E31C">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58、55</w:t>
                  </w:r>
                </w:p>
              </w:tc>
              <w:tc>
                <w:tcPr>
                  <w:tcW w:w="465" w:type="dxa"/>
                  <w:vAlign w:val="center"/>
                </w:tcPr>
                <w:p w14:paraId="1A215633">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室外</w:t>
                  </w:r>
                </w:p>
              </w:tc>
              <w:tc>
                <w:tcPr>
                  <w:tcW w:w="976" w:type="dxa"/>
                  <w:vAlign w:val="center"/>
                </w:tcPr>
                <w:p w14:paraId="5C738BD2">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间歇</w:t>
                  </w:r>
                </w:p>
              </w:tc>
              <w:tc>
                <w:tcPr>
                  <w:tcW w:w="763" w:type="dxa"/>
                  <w:vAlign w:val="center"/>
                </w:tcPr>
                <w:p w14:paraId="4B46CF11">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sz w:val="21"/>
                      <w:szCs w:val="21"/>
                    </w:rPr>
                    <w:t>布置于建筑南侧</w:t>
                  </w:r>
                </w:p>
              </w:tc>
            </w:tr>
          </w:tbl>
          <w:p w14:paraId="2605BA55">
            <w:pPr>
              <w:pStyle w:val="67"/>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firstLine="480" w:firstLineChars="200"/>
              <w:textAlignment w:val="auto"/>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b w:val="0"/>
                <w:sz w:val="24"/>
              </w:rPr>
              <w:t>室内声源等效室外声源计算：110kV GIS、10kV开关柜、电容器组、接地变及站用变均布置于综合配电装置楼内，按HJ2.4-2021附录B.1.3，室内声源等效室外声源声压级按下式计算：Lp2＝Lp1－（TL＋6）。式中：Lp1为靠近围护结构处的室内声压级，取60dB(A)（室内设备距源1m处声压级最大值）；TL为围护结构隔声量，综合配电装置楼外墙为200mm加气混凝土砌块双面抹灰，考虑门窗及百叶风口后综合隔声量取TL＝30dB(A)（保守取值）。则等效室外声源声压级Lp2＝60－（30＋6）＝24dB(A)，对</w:t>
            </w:r>
            <w:r>
              <w:rPr>
                <w:rFonts w:hint="eastAsia" w:ascii="Times New Roman" w:hAnsi="Times New Roman" w:eastAsia="宋体"/>
                <w:b w:val="0"/>
                <w:sz w:val="24"/>
                <w:lang w:eastAsia="zh-CN"/>
              </w:rPr>
              <w:t>变电站站界</w:t>
            </w:r>
            <w:r>
              <w:rPr>
                <w:rFonts w:hint="eastAsia" w:ascii="Times New Roman" w:hAnsi="Times New Roman" w:eastAsia="宋体"/>
                <w:b w:val="0"/>
                <w:sz w:val="24"/>
              </w:rPr>
              <w:t>噪声贡献可忽略。</w:t>
            </w:r>
          </w:p>
          <w:p w14:paraId="5BC88108">
            <w:pPr>
              <w:pStyle w:val="67"/>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firstLine="480" w:firstLineChars="200"/>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（2）影响分析与达标结论</w:t>
            </w:r>
          </w:p>
          <w:p w14:paraId="6B89452B">
            <w:pPr>
              <w:pStyle w:val="67"/>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firstLine="480" w:firstLineChars="200"/>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本项目噪声主要来源于户外布置的主变压器，110kV GIS、10kV开关柜、电容器等设备</w:t>
            </w:r>
            <w:r>
              <w:rPr>
                <w:rFonts w:hint="eastAsia" w:cs="Times New Roman"/>
                <w:color w:val="auto"/>
                <w:kern w:val="2"/>
                <w:sz w:val="24"/>
                <w:szCs w:val="24"/>
                <w:highlight w:val="none"/>
                <w:lang w:val="en-US" w:eastAsia="zh-CN" w:bidi="ar-SA"/>
              </w:rPr>
              <w:t>均在</w:t>
            </w:r>
            <w:r>
              <w:rPr>
                <w:rFonts w:hint="default" w:ascii="Times New Roman" w:hAnsi="Times New Roman" w:eastAsia="宋体" w:cs="Times New Roman"/>
                <w:color w:val="auto"/>
                <w:kern w:val="2"/>
                <w:sz w:val="24"/>
                <w:szCs w:val="24"/>
                <w:highlight w:val="none"/>
                <w:lang w:val="en-US" w:eastAsia="zh-CN" w:bidi="ar-SA"/>
              </w:rPr>
              <w:t>户内布置，经建筑墙体隔声后对外噪声贡献很小；排风机、空调外机为间歇运行，断路器操作、电晕放电产生的暂态噪声发生频次低、持续时间短。</w:t>
            </w:r>
          </w:p>
          <w:p w14:paraId="3C4F4869">
            <w:pPr>
              <w:pStyle w:val="67"/>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firstLine="480" w:firstLineChars="200"/>
              <w:textAlignment w:val="auto"/>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1）</w:t>
            </w:r>
            <w:r>
              <w:rPr>
                <w:rFonts w:hint="default" w:ascii="Times New Roman" w:hAnsi="Times New Roman" w:eastAsia="宋体" w:cs="Times New Roman"/>
                <w:color w:val="auto"/>
                <w:kern w:val="2"/>
                <w:sz w:val="24"/>
                <w:szCs w:val="24"/>
                <w:highlight w:val="none"/>
                <w:lang w:val="en-US" w:eastAsia="zh-CN" w:bidi="ar-SA"/>
              </w:rPr>
              <w:t>预测模型与参数</w:t>
            </w:r>
          </w:p>
          <w:p w14:paraId="48DED866">
            <w:pPr>
              <w:pStyle w:val="67"/>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firstLine="480" w:firstLineChars="200"/>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依据《环境影响评价技术导则 声环境》（HJ2.4-2021）附录A、附录B进行预测。</w:t>
            </w:r>
          </w:p>
          <w:p w14:paraId="2D65B709">
            <w:pPr>
              <w:pStyle w:val="67"/>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firstLine="480" w:firstLineChars="200"/>
              <w:jc w:val="both"/>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①室内声源等效室外声源</w:t>
            </w:r>
          </w:p>
          <w:p w14:paraId="582141F0">
            <w:pPr>
              <w:pStyle w:val="67"/>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firstLine="480" w:firstLineChars="200"/>
              <w:jc w:val="both"/>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站内110kV GIS、10kV开关柜、电容器组、接地变及小电阻成套装置、站用变等均为户内布置，按HJ2.4-2021附录B.1.3等效为室外声源：</w:t>
            </w:r>
          </w:p>
          <w:p w14:paraId="4C3074A0">
            <w:pPr>
              <w:pStyle w:val="67"/>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firstLine="720" w:firstLineChars="300"/>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Lp</w:t>
            </w:r>
            <w:r>
              <w:rPr>
                <w:rFonts w:hint="default" w:ascii="Times New Roman" w:hAnsi="Times New Roman" w:eastAsia="宋体" w:cs="Times New Roman"/>
                <w:color w:val="auto"/>
                <w:kern w:val="2"/>
                <w:sz w:val="24"/>
                <w:szCs w:val="24"/>
                <w:highlight w:val="none"/>
                <w:vertAlign w:val="subscript"/>
                <w:lang w:val="en-US" w:eastAsia="zh-CN" w:bidi="ar-SA"/>
              </w:rPr>
              <w:t>2</w:t>
            </w:r>
            <w:r>
              <w:rPr>
                <w:rFonts w:hint="default" w:ascii="Times New Roman" w:hAnsi="Times New Roman" w:eastAsia="宋体" w:cs="Times New Roman"/>
                <w:color w:val="auto"/>
                <w:kern w:val="2"/>
                <w:sz w:val="24"/>
                <w:szCs w:val="24"/>
                <w:highlight w:val="none"/>
                <w:lang w:val="en-US" w:eastAsia="zh-CN" w:bidi="ar-SA"/>
              </w:rPr>
              <w:t>＝Lp</w:t>
            </w:r>
            <w:r>
              <w:rPr>
                <w:rFonts w:hint="default" w:ascii="Times New Roman" w:hAnsi="Times New Roman" w:eastAsia="宋体" w:cs="Times New Roman"/>
                <w:color w:val="auto"/>
                <w:kern w:val="2"/>
                <w:sz w:val="24"/>
                <w:szCs w:val="24"/>
                <w:highlight w:val="none"/>
                <w:vertAlign w:val="subscript"/>
                <w:lang w:val="en-US" w:eastAsia="zh-CN" w:bidi="ar-SA"/>
              </w:rPr>
              <w:t>1</w:t>
            </w:r>
            <w:r>
              <w:rPr>
                <w:rFonts w:hint="default" w:ascii="Times New Roman" w:hAnsi="Times New Roman" w:eastAsia="宋体" w:cs="Times New Roman"/>
                <w:color w:val="auto"/>
                <w:kern w:val="2"/>
                <w:sz w:val="24"/>
                <w:szCs w:val="24"/>
                <w:highlight w:val="none"/>
                <w:lang w:val="en-US" w:eastAsia="zh-CN" w:bidi="ar-SA"/>
              </w:rPr>
              <w:t>－（TL＋6）</w:t>
            </w:r>
            <w:r>
              <w:rPr>
                <w:rFonts w:hint="default" w:ascii="Times New Roman" w:hAnsi="Times New Roman" w:eastAsia="宋体" w:cs="Times New Roman"/>
                <w:color w:val="auto"/>
                <w:kern w:val="2"/>
                <w:sz w:val="24"/>
                <w:szCs w:val="24"/>
                <w:highlight w:val="none"/>
                <w:lang w:val="en-US" w:eastAsia="zh-CN" w:bidi="ar-SA"/>
              </w:rPr>
              <w:br w:type="textWrapping"/>
            </w:r>
            <w:r>
              <w:rPr>
                <w:rFonts w:hint="default" w:ascii="Times New Roman" w:hAnsi="Times New Roman" w:eastAsia="宋体" w:cs="Times New Roman"/>
                <w:color w:val="auto"/>
                <w:kern w:val="2"/>
                <w:sz w:val="24"/>
                <w:szCs w:val="24"/>
                <w:highlight w:val="none"/>
                <w:lang w:val="en-US" w:eastAsia="zh-CN" w:bidi="ar-SA"/>
              </w:rPr>
              <w:t>式中：Lp</w:t>
            </w:r>
            <w:r>
              <w:rPr>
                <w:rFonts w:hint="default" w:ascii="Times New Roman" w:hAnsi="Times New Roman" w:eastAsia="宋体" w:cs="Times New Roman"/>
                <w:color w:val="auto"/>
                <w:kern w:val="2"/>
                <w:sz w:val="24"/>
                <w:szCs w:val="24"/>
                <w:highlight w:val="none"/>
                <w:vertAlign w:val="subscript"/>
                <w:lang w:val="en-US" w:eastAsia="zh-CN" w:bidi="ar-SA"/>
              </w:rPr>
              <w:t>1</w:t>
            </w:r>
            <w:r>
              <w:rPr>
                <w:rFonts w:hint="eastAsia" w:ascii="Times New Roman" w:hAnsi="Times New Roman" w:eastAsia="宋体" w:cs="Times New Roman"/>
                <w:color w:val="auto"/>
                <w:kern w:val="2"/>
                <w:sz w:val="24"/>
                <w:szCs w:val="24"/>
                <w:highlight w:val="none"/>
                <w:lang w:val="en-US" w:eastAsia="zh-CN" w:bidi="ar-SA"/>
              </w:rPr>
              <w:t>-</w:t>
            </w:r>
            <w:r>
              <w:rPr>
                <w:rFonts w:hint="default" w:ascii="Times New Roman" w:hAnsi="Times New Roman" w:eastAsia="宋体" w:cs="Times New Roman"/>
                <w:color w:val="auto"/>
                <w:kern w:val="2"/>
                <w:sz w:val="24"/>
                <w:szCs w:val="24"/>
                <w:highlight w:val="none"/>
                <w:lang w:val="en-US" w:eastAsia="zh-CN" w:bidi="ar-SA"/>
              </w:rPr>
              <w:t>靠近围护结构处（室内）的声压级，dB（A）；</w:t>
            </w:r>
          </w:p>
          <w:p w14:paraId="6D9F4826">
            <w:pPr>
              <w:pStyle w:val="67"/>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firstLine="1440" w:firstLineChars="600"/>
              <w:jc w:val="both"/>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Lp</w:t>
            </w:r>
            <w:r>
              <w:rPr>
                <w:rFonts w:hint="default" w:ascii="Times New Roman" w:hAnsi="Times New Roman" w:eastAsia="宋体" w:cs="Times New Roman"/>
                <w:color w:val="auto"/>
                <w:kern w:val="2"/>
                <w:sz w:val="24"/>
                <w:szCs w:val="24"/>
                <w:highlight w:val="none"/>
                <w:vertAlign w:val="subscript"/>
                <w:lang w:val="en-US" w:eastAsia="zh-CN" w:bidi="ar-SA"/>
              </w:rPr>
              <w:t>2</w:t>
            </w:r>
            <w:r>
              <w:rPr>
                <w:rFonts w:hint="eastAsia" w:ascii="Times New Roman" w:hAnsi="Times New Roman" w:eastAsia="宋体" w:cs="Times New Roman"/>
                <w:color w:val="auto"/>
                <w:kern w:val="2"/>
                <w:sz w:val="24"/>
                <w:szCs w:val="24"/>
                <w:highlight w:val="none"/>
                <w:lang w:val="en-US" w:eastAsia="zh-CN" w:bidi="ar-SA"/>
              </w:rPr>
              <w:t>-</w:t>
            </w:r>
            <w:r>
              <w:rPr>
                <w:rFonts w:hint="default" w:ascii="Times New Roman" w:hAnsi="Times New Roman" w:eastAsia="宋体" w:cs="Times New Roman"/>
                <w:color w:val="auto"/>
                <w:kern w:val="2"/>
                <w:sz w:val="24"/>
                <w:szCs w:val="24"/>
                <w:highlight w:val="none"/>
                <w:lang w:val="en-US" w:eastAsia="zh-CN" w:bidi="ar-SA"/>
              </w:rPr>
              <w:t>等效室外声源声压级，dB（A）；</w:t>
            </w:r>
          </w:p>
          <w:p w14:paraId="06B692F5">
            <w:pPr>
              <w:pStyle w:val="67"/>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firstLine="1440" w:firstLineChars="600"/>
              <w:jc w:val="both"/>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TL</w:t>
            </w:r>
            <w:r>
              <w:rPr>
                <w:rFonts w:hint="eastAsia" w:ascii="Times New Roman" w:hAnsi="Times New Roman" w:eastAsia="宋体" w:cs="Times New Roman"/>
                <w:color w:val="auto"/>
                <w:kern w:val="2"/>
                <w:sz w:val="24"/>
                <w:szCs w:val="24"/>
                <w:highlight w:val="none"/>
                <w:lang w:val="en-US" w:eastAsia="zh-CN" w:bidi="ar-SA"/>
              </w:rPr>
              <w:t>-</w:t>
            </w:r>
            <w:r>
              <w:rPr>
                <w:rFonts w:hint="default" w:ascii="Times New Roman" w:hAnsi="Times New Roman" w:eastAsia="宋体" w:cs="Times New Roman"/>
                <w:color w:val="auto"/>
                <w:kern w:val="2"/>
                <w:sz w:val="24"/>
                <w:szCs w:val="24"/>
                <w:highlight w:val="none"/>
                <w:lang w:val="en-US" w:eastAsia="zh-CN" w:bidi="ar-SA"/>
              </w:rPr>
              <w:t>围护结构隔声量，dB。</w:t>
            </w:r>
          </w:p>
          <w:p w14:paraId="4DEB8620">
            <w:pPr>
              <w:pStyle w:val="67"/>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firstLine="480" w:firstLineChars="200"/>
              <w:jc w:val="both"/>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综合配电装置楼围护结构采用200mm加气混凝土砌块双面抹灰，并设隔声门窗及消声百叶，综合隔声量TL取30dB；则户内设备声压级≤60dB（A）时等效室外声源声压级为60－（30＋6）＝24dB（A），站用变（≤55dB（A））为19dB（A），远低于户外声源，对站界声环境贡献很小。</w:t>
            </w:r>
          </w:p>
          <w:p w14:paraId="5106CD5F">
            <w:pPr>
              <w:pStyle w:val="67"/>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firstLine="480" w:firstLineChars="200"/>
              <w:jc w:val="both"/>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②户外声传播衰减</w:t>
            </w:r>
          </w:p>
          <w:p w14:paraId="442A5CAE">
            <w:pPr>
              <w:pStyle w:val="67"/>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firstLine="480" w:firstLineChars="200"/>
              <w:jc w:val="both"/>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户外点声源在预测点的声压级按下式计算：</w:t>
            </w:r>
          </w:p>
          <w:p w14:paraId="148DAC08">
            <w:pPr>
              <w:pStyle w:val="67"/>
              <w:keepNext w:val="0"/>
              <w:keepLines w:val="0"/>
              <w:pageBreakBefore w:val="0"/>
              <w:widowControl w:val="0"/>
              <w:numPr>
                <w:ilvl w:val="0"/>
                <w:numId w:val="0"/>
              </w:numPr>
              <w:kinsoku/>
              <w:wordWrap/>
              <w:overflowPunct/>
              <w:topLinePunct w:val="0"/>
              <w:autoSpaceDE/>
              <w:autoSpaceDN/>
              <w:bidi w:val="0"/>
              <w:adjustRightInd/>
              <w:snapToGrid/>
              <w:spacing w:line="480" w:lineRule="exact"/>
              <w:ind w:left="479" w:leftChars="228" w:firstLine="0" w:firstLineChars="0"/>
              <w:jc w:val="both"/>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Lp（r）＝Lp（r0）－（Adiv＋Aatm＋Agr＋Abar＋Amisc）</w:t>
            </w:r>
            <w:r>
              <w:rPr>
                <w:rFonts w:hint="default" w:ascii="Times New Roman" w:hAnsi="Times New Roman" w:eastAsia="宋体" w:cs="Times New Roman"/>
                <w:color w:val="auto"/>
                <w:kern w:val="2"/>
                <w:sz w:val="24"/>
                <w:szCs w:val="24"/>
                <w:highlight w:val="none"/>
                <w:lang w:val="en-US" w:eastAsia="zh-CN" w:bidi="ar-SA"/>
              </w:rPr>
              <w:br w:type="textWrapping"/>
            </w:r>
            <w:r>
              <w:rPr>
                <w:rFonts w:hint="default" w:ascii="Times New Roman" w:hAnsi="Times New Roman" w:eastAsia="宋体" w:cs="Times New Roman"/>
                <w:color w:val="auto"/>
                <w:kern w:val="2"/>
                <w:sz w:val="24"/>
                <w:szCs w:val="24"/>
                <w:highlight w:val="none"/>
                <w:lang w:val="en-US" w:eastAsia="zh-CN" w:bidi="ar-SA"/>
              </w:rPr>
              <w:t>式中：Adiv——几何发散衰减，Adiv＝20lg（r/r0）；</w:t>
            </w:r>
          </w:p>
          <w:p w14:paraId="06B620F4">
            <w:pPr>
              <w:pStyle w:val="67"/>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firstLine="1200" w:firstLineChars="500"/>
              <w:jc w:val="both"/>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Aatm——空气吸收衰减，Aatm＝a（r－r0）/1000，a取1.9dB/km（500Hz、气温10℃、相对湿度30%）；</w:t>
            </w:r>
          </w:p>
          <w:p w14:paraId="423E7F51">
            <w:pPr>
              <w:pStyle w:val="67"/>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firstLine="1200" w:firstLineChars="500"/>
              <w:jc w:val="both"/>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Agr——地面效应衰减，保守取0；</w:t>
            </w:r>
          </w:p>
          <w:p w14:paraId="11A418DE">
            <w:pPr>
              <w:pStyle w:val="67"/>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firstLine="1200" w:firstLineChars="500"/>
              <w:jc w:val="both"/>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Abar——屏障屏蔽衰减，围墙遮挡保守取0，声传播路径穿越综合配电装置楼时计入15dB遮挡衰减；</w:t>
            </w:r>
          </w:p>
          <w:p w14:paraId="0F850431">
            <w:pPr>
              <w:pStyle w:val="67"/>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firstLine="1200" w:firstLineChars="500"/>
              <w:jc w:val="both"/>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Amisc——其他多方面效应衰减，取0。</w:t>
            </w:r>
          </w:p>
          <w:p w14:paraId="0D3BDAC7">
            <w:pPr>
              <w:pStyle w:val="67"/>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firstLine="480" w:firstLineChars="200"/>
              <w:jc w:val="both"/>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③多声源叠加</w:t>
            </w:r>
          </w:p>
          <w:p w14:paraId="1E1C9E4D">
            <w:pPr>
              <w:pStyle w:val="67"/>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firstLine="480" w:firstLineChars="200"/>
              <w:jc w:val="both"/>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同型号多台设备按能量叠加，组声压级Lp＝Lp单＋10lgn；预测点总声压级L＝10lg（Σ100.1Li）。</w:t>
            </w:r>
          </w:p>
          <w:p w14:paraId="59FF3514">
            <w:pPr>
              <w:pStyle w:val="67"/>
              <w:keepNext w:val="0"/>
              <w:keepLines w:val="0"/>
              <w:pageBreakBefore w:val="0"/>
              <w:widowControl w:val="0"/>
              <w:numPr>
                <w:ilvl w:val="0"/>
                <w:numId w:val="12"/>
              </w:numPr>
              <w:kinsoku/>
              <w:wordWrap/>
              <w:overflowPunct/>
              <w:topLinePunct w:val="0"/>
              <w:autoSpaceDE/>
              <w:autoSpaceDN/>
              <w:bidi w:val="0"/>
              <w:adjustRightInd/>
              <w:snapToGrid/>
              <w:spacing w:line="480" w:lineRule="exact"/>
              <w:ind w:leftChars="0" w:firstLine="480" w:firstLineChars="200"/>
              <w:jc w:val="both"/>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预测点位与工况</w:t>
            </w:r>
          </w:p>
          <w:p w14:paraId="7F99698E">
            <w:pPr>
              <w:pStyle w:val="67"/>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firstLine="480" w:firstLineChars="200"/>
              <w:jc w:val="both"/>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预测点为四侧站界外1m、离地1.2m处。站区围墙轴线81.5m（东西）×44m（南北），以西南角为坐标原点，主要声源空间相对位置见表4-8。预测取最不利工况：2台主变压器同时满载运行，一层11台及二层4台轴流排风机、7台空调室外机全部投入。</w:t>
            </w:r>
          </w:p>
          <w:p w14:paraId="4A10DE5B">
            <w:pPr>
              <w:pStyle w:val="67"/>
              <w:keepNext w:val="0"/>
              <w:keepLines w:val="0"/>
              <w:pageBreakBefore w:val="0"/>
              <w:widowControl w:val="0"/>
              <w:numPr>
                <w:ilvl w:val="0"/>
                <w:numId w:val="12"/>
              </w:numPr>
              <w:kinsoku/>
              <w:wordWrap/>
              <w:overflowPunct/>
              <w:topLinePunct w:val="0"/>
              <w:autoSpaceDE/>
              <w:autoSpaceDN/>
              <w:bidi w:val="0"/>
              <w:adjustRightInd/>
              <w:snapToGrid/>
              <w:spacing w:line="480" w:lineRule="exact"/>
              <w:ind w:left="0" w:leftChars="0" w:firstLine="480" w:firstLineChars="200"/>
              <w:jc w:val="both"/>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预测结果</w:t>
            </w:r>
          </w:p>
          <w:p w14:paraId="6348F5DF">
            <w:pPr>
              <w:pStyle w:val="67"/>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firstLine="480" w:firstLineChars="200"/>
              <w:jc w:val="both"/>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四侧站界噪声预测结果见表4-9，运行期噪声贡献值等声级线图见图4-3。本项目站界外200m声环境评价范围内无声环境保护目标，噪声经长距离衰减后贡献值低于 30dB (A)，对其影响可忽略。</w:t>
            </w:r>
          </w:p>
          <w:p w14:paraId="619C076A">
            <w:pPr>
              <w:pStyle w:val="67"/>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firstLine="480" w:firstLineChars="200"/>
              <w:jc w:val="both"/>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由表4-9可见，本工程投运后四侧站界噪声贡献值为32.3~46.6dB（A），最大值出现在南侧站界（46.6dB（A））；叠加区域声环境现状值后，四侧站界噪声预测值昼间为49.1~51.0dB（A）、夜间为41.6~47.6dB（A），均满足《工业企业厂界环境噪声排放标准》（GB12348-2008）3类区标准限值（昼间65dB（A）、夜间55dB（A））断路器等设备产生的暂态噪声为偶发短时噪声，不会改变站界噪声达标结论。需说明的是，本次预测按全部声源同时运行的最不利工况计算，且未计入围墙和建筑物的屏障屏蔽衰减及地面效应衰减，预测结果偏保守；实际运行中排风机和空调室外机为间歇运行，站界噪声将低于预测值。</w:t>
            </w:r>
          </w:p>
          <w:p w14:paraId="00098026">
            <w:pPr>
              <w:pStyle w:val="67"/>
              <w:numPr>
                <w:ilvl w:val="0"/>
                <w:numId w:val="0"/>
              </w:numPr>
              <w:spacing w:line="480" w:lineRule="exact"/>
              <w:ind w:left="420" w:leftChars="0"/>
              <w:jc w:val="center"/>
              <w:rPr>
                <w:rFonts w:hint="default" w:ascii="Times New Roman" w:hAnsi="Times New Roman" w:eastAsia="黑体" w:cs="Times New Roman"/>
                <w:lang w:val="en-US" w:eastAsia="zh-CN"/>
              </w:rPr>
            </w:pPr>
            <w:r>
              <w:rPr>
                <w:rFonts w:hint="default" w:ascii="Times New Roman" w:hAnsi="Times New Roman" w:eastAsia="黑体" w:cs="Times New Roman"/>
                <w:lang w:val="en-US" w:eastAsia="zh-CN"/>
              </w:rPr>
              <w:t>表4-9 本工程四侧站界噪声预测结果 单位：dB（A）</w:t>
            </w:r>
          </w:p>
          <w:tbl>
            <w:tblPr>
              <w:tblStyle w:val="4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9"/>
              <w:gridCol w:w="970"/>
              <w:gridCol w:w="970"/>
              <w:gridCol w:w="970"/>
              <w:gridCol w:w="970"/>
              <w:gridCol w:w="971"/>
              <w:gridCol w:w="971"/>
              <w:gridCol w:w="971"/>
            </w:tblGrid>
            <w:tr w14:paraId="3BBBD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24" w:type="pct"/>
                  <w:vAlign w:val="center"/>
                </w:tcPr>
                <w:p w14:paraId="22058C5F">
                  <w:pPr>
                    <w:spacing w:after="20" w:line="240" w:lineRule="auto"/>
                    <w:jc w:val="center"/>
                  </w:pPr>
                  <w:r>
                    <w:rPr>
                      <w:rFonts w:hint="eastAsia" w:ascii="Times New Roman" w:hAnsi="Times New Roman" w:eastAsia="宋体"/>
                      <w:b/>
                      <w:sz w:val="18"/>
                    </w:rPr>
                    <w:t>预测点位</w:t>
                  </w:r>
                </w:p>
              </w:tc>
              <w:tc>
                <w:tcPr>
                  <w:tcW w:w="624" w:type="pct"/>
                  <w:vAlign w:val="center"/>
                </w:tcPr>
                <w:p w14:paraId="7262ECB8">
                  <w:pPr>
                    <w:spacing w:after="20" w:line="240" w:lineRule="auto"/>
                    <w:jc w:val="center"/>
                  </w:pPr>
                  <w:r>
                    <w:rPr>
                      <w:rFonts w:hint="eastAsia" w:ascii="Times New Roman" w:hAnsi="Times New Roman" w:eastAsia="宋体"/>
                      <w:b/>
                      <w:sz w:val="18"/>
                    </w:rPr>
                    <w:t>噪声贡献值</w:t>
                  </w:r>
                </w:p>
              </w:tc>
              <w:tc>
                <w:tcPr>
                  <w:tcW w:w="624" w:type="pct"/>
                  <w:vAlign w:val="center"/>
                </w:tcPr>
                <w:p w14:paraId="036D389F">
                  <w:pPr>
                    <w:spacing w:after="20" w:line="240" w:lineRule="auto"/>
                    <w:jc w:val="center"/>
                  </w:pPr>
                  <w:r>
                    <w:rPr>
                      <w:rFonts w:hint="eastAsia" w:ascii="Times New Roman" w:hAnsi="Times New Roman" w:eastAsia="宋体"/>
                      <w:b/>
                      <w:sz w:val="18"/>
                    </w:rPr>
                    <w:t>现状值</w:t>
                  </w:r>
                  <w:r>
                    <w:rPr>
                      <w:rFonts w:ascii="Times New Roman" w:hAnsi="Times New Roman" w:eastAsia="宋体"/>
                      <w:b/>
                      <w:sz w:val="18"/>
                    </w:rPr>
                    <w:br w:type="textWrapping"/>
                  </w:r>
                  <w:r>
                    <w:rPr>
                      <w:rFonts w:hint="eastAsia" w:ascii="Times New Roman" w:hAnsi="Times New Roman" w:eastAsia="宋体"/>
                      <w:b/>
                      <w:sz w:val="18"/>
                    </w:rPr>
                    <w:t>昼间</w:t>
                  </w:r>
                </w:p>
              </w:tc>
              <w:tc>
                <w:tcPr>
                  <w:tcW w:w="624" w:type="pct"/>
                  <w:vAlign w:val="center"/>
                </w:tcPr>
                <w:p w14:paraId="1B527938">
                  <w:pPr>
                    <w:spacing w:after="20" w:line="240" w:lineRule="auto"/>
                    <w:jc w:val="center"/>
                  </w:pPr>
                  <w:r>
                    <w:rPr>
                      <w:rFonts w:hint="eastAsia" w:ascii="Times New Roman" w:hAnsi="Times New Roman" w:eastAsia="宋体"/>
                      <w:b/>
                      <w:sz w:val="18"/>
                    </w:rPr>
                    <w:t>预测值</w:t>
                  </w:r>
                  <w:r>
                    <w:rPr>
                      <w:rFonts w:ascii="Times New Roman" w:hAnsi="Times New Roman" w:eastAsia="宋体"/>
                      <w:b/>
                      <w:sz w:val="18"/>
                    </w:rPr>
                    <w:br w:type="textWrapping"/>
                  </w:r>
                  <w:r>
                    <w:rPr>
                      <w:rFonts w:hint="eastAsia" w:ascii="Times New Roman" w:hAnsi="Times New Roman" w:eastAsia="宋体"/>
                      <w:b/>
                      <w:sz w:val="18"/>
                    </w:rPr>
                    <w:t>昼间</w:t>
                  </w:r>
                </w:p>
              </w:tc>
              <w:tc>
                <w:tcPr>
                  <w:tcW w:w="624" w:type="pct"/>
                  <w:vAlign w:val="center"/>
                </w:tcPr>
                <w:p w14:paraId="76F6900F">
                  <w:pPr>
                    <w:spacing w:after="20" w:line="240" w:lineRule="auto"/>
                    <w:jc w:val="center"/>
                  </w:pPr>
                  <w:r>
                    <w:rPr>
                      <w:rFonts w:hint="eastAsia" w:ascii="Times New Roman" w:hAnsi="Times New Roman" w:eastAsia="宋体"/>
                      <w:b/>
                      <w:sz w:val="18"/>
                    </w:rPr>
                    <w:t>现状值</w:t>
                  </w:r>
                  <w:r>
                    <w:rPr>
                      <w:rFonts w:ascii="Times New Roman" w:hAnsi="Times New Roman" w:eastAsia="宋体"/>
                      <w:b/>
                      <w:sz w:val="18"/>
                    </w:rPr>
                    <w:br w:type="textWrapping"/>
                  </w:r>
                  <w:r>
                    <w:rPr>
                      <w:rFonts w:hint="eastAsia" w:ascii="Times New Roman" w:hAnsi="Times New Roman" w:eastAsia="宋体"/>
                      <w:b/>
                      <w:sz w:val="18"/>
                    </w:rPr>
                    <w:t>夜间</w:t>
                  </w:r>
                </w:p>
              </w:tc>
              <w:tc>
                <w:tcPr>
                  <w:tcW w:w="625" w:type="pct"/>
                  <w:vAlign w:val="center"/>
                </w:tcPr>
                <w:p w14:paraId="15E3A784">
                  <w:pPr>
                    <w:spacing w:after="20" w:line="240" w:lineRule="auto"/>
                    <w:jc w:val="center"/>
                  </w:pPr>
                  <w:r>
                    <w:rPr>
                      <w:rFonts w:hint="eastAsia" w:ascii="Times New Roman" w:hAnsi="Times New Roman" w:eastAsia="宋体"/>
                      <w:b/>
                      <w:sz w:val="18"/>
                    </w:rPr>
                    <w:t>预测值</w:t>
                  </w:r>
                  <w:r>
                    <w:rPr>
                      <w:rFonts w:ascii="Times New Roman" w:hAnsi="Times New Roman" w:eastAsia="宋体"/>
                      <w:b/>
                      <w:sz w:val="18"/>
                    </w:rPr>
                    <w:br w:type="textWrapping"/>
                  </w:r>
                  <w:r>
                    <w:rPr>
                      <w:rFonts w:hint="eastAsia" w:ascii="Times New Roman" w:hAnsi="Times New Roman" w:eastAsia="宋体"/>
                      <w:b/>
                      <w:sz w:val="18"/>
                    </w:rPr>
                    <w:t>夜间</w:t>
                  </w:r>
                </w:p>
              </w:tc>
              <w:tc>
                <w:tcPr>
                  <w:tcW w:w="625" w:type="pct"/>
                  <w:vAlign w:val="center"/>
                </w:tcPr>
                <w:p w14:paraId="03EA8D05">
                  <w:pPr>
                    <w:spacing w:after="20" w:line="240" w:lineRule="auto"/>
                    <w:jc w:val="center"/>
                  </w:pPr>
                  <w:r>
                    <w:rPr>
                      <w:rFonts w:hint="eastAsia" w:ascii="Times New Roman" w:hAnsi="Times New Roman" w:eastAsia="宋体"/>
                      <w:b/>
                      <w:sz w:val="18"/>
                    </w:rPr>
                    <w:t>标准限值</w:t>
                  </w:r>
                  <w:r>
                    <w:rPr>
                      <w:rFonts w:ascii="Times New Roman" w:hAnsi="Times New Roman" w:eastAsia="宋体"/>
                      <w:b/>
                      <w:sz w:val="18"/>
                    </w:rPr>
                    <w:br w:type="textWrapping"/>
                  </w:r>
                  <w:r>
                    <w:rPr>
                      <w:rFonts w:hint="eastAsia" w:ascii="Times New Roman" w:hAnsi="Times New Roman" w:eastAsia="宋体"/>
                      <w:b/>
                      <w:sz w:val="18"/>
                    </w:rPr>
                    <w:t>昼/夜</w:t>
                  </w:r>
                </w:p>
              </w:tc>
              <w:tc>
                <w:tcPr>
                  <w:tcW w:w="625" w:type="pct"/>
                  <w:vAlign w:val="center"/>
                </w:tcPr>
                <w:p w14:paraId="3E5505B2">
                  <w:pPr>
                    <w:spacing w:after="20" w:line="240" w:lineRule="auto"/>
                    <w:jc w:val="center"/>
                  </w:pPr>
                  <w:r>
                    <w:rPr>
                      <w:rFonts w:hint="eastAsia" w:ascii="Times New Roman" w:hAnsi="Times New Roman" w:eastAsia="宋体"/>
                      <w:b/>
                      <w:sz w:val="18"/>
                    </w:rPr>
                    <w:t>达标情况</w:t>
                  </w:r>
                </w:p>
              </w:tc>
            </w:tr>
            <w:tr w14:paraId="33812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24" w:type="pct"/>
                  <w:vAlign w:val="center"/>
                </w:tcPr>
                <w:p w14:paraId="152E54FB">
                  <w:pPr>
                    <w:spacing w:after="20" w:line="240" w:lineRule="auto"/>
                    <w:jc w:val="center"/>
                  </w:pPr>
                  <w:r>
                    <w:rPr>
                      <w:rFonts w:hint="eastAsia" w:ascii="Times New Roman" w:hAnsi="Times New Roman" w:eastAsia="宋体"/>
                      <w:sz w:val="18"/>
                    </w:rPr>
                    <w:t>东侧站界外1m</w:t>
                  </w:r>
                </w:p>
              </w:tc>
              <w:tc>
                <w:tcPr>
                  <w:tcW w:w="624" w:type="pct"/>
                  <w:vAlign w:val="center"/>
                </w:tcPr>
                <w:p w14:paraId="4ED2E5CA">
                  <w:pPr>
                    <w:spacing w:after="20" w:line="240" w:lineRule="auto"/>
                    <w:jc w:val="center"/>
                  </w:pPr>
                  <w:r>
                    <w:rPr>
                      <w:rFonts w:ascii="Times New Roman" w:hAnsi="Times New Roman" w:eastAsia="宋体"/>
                      <w:sz w:val="18"/>
                    </w:rPr>
                    <w:t>41.0</w:t>
                  </w:r>
                </w:p>
              </w:tc>
              <w:tc>
                <w:tcPr>
                  <w:tcW w:w="624" w:type="pct"/>
                  <w:vAlign w:val="center"/>
                </w:tcPr>
                <w:p w14:paraId="04ECB295">
                  <w:pPr>
                    <w:spacing w:after="20" w:line="240" w:lineRule="auto"/>
                    <w:jc w:val="center"/>
                  </w:pPr>
                  <w:r>
                    <w:rPr>
                      <w:rFonts w:ascii="Times New Roman" w:hAnsi="Times New Roman" w:eastAsia="宋体"/>
                      <w:sz w:val="18"/>
                    </w:rPr>
                    <w:t>49.0</w:t>
                  </w:r>
                </w:p>
              </w:tc>
              <w:tc>
                <w:tcPr>
                  <w:tcW w:w="624" w:type="pct"/>
                  <w:vAlign w:val="center"/>
                </w:tcPr>
                <w:p w14:paraId="56321FE4">
                  <w:pPr>
                    <w:spacing w:after="20" w:line="240" w:lineRule="auto"/>
                    <w:jc w:val="center"/>
                  </w:pPr>
                  <w:r>
                    <w:rPr>
                      <w:rFonts w:ascii="Times New Roman" w:hAnsi="Times New Roman" w:eastAsia="宋体"/>
                      <w:sz w:val="18"/>
                    </w:rPr>
                    <w:t>49.6</w:t>
                  </w:r>
                </w:p>
              </w:tc>
              <w:tc>
                <w:tcPr>
                  <w:tcW w:w="624" w:type="pct"/>
                  <w:vAlign w:val="center"/>
                </w:tcPr>
                <w:p w14:paraId="0F571772">
                  <w:pPr>
                    <w:spacing w:after="20" w:line="240" w:lineRule="auto"/>
                    <w:jc w:val="center"/>
                  </w:pPr>
                  <w:r>
                    <w:rPr>
                      <w:rFonts w:ascii="Times New Roman" w:hAnsi="Times New Roman" w:eastAsia="宋体"/>
                      <w:sz w:val="18"/>
                    </w:rPr>
                    <w:t>41.0</w:t>
                  </w:r>
                </w:p>
              </w:tc>
              <w:tc>
                <w:tcPr>
                  <w:tcW w:w="625" w:type="pct"/>
                  <w:vAlign w:val="center"/>
                </w:tcPr>
                <w:p w14:paraId="068AA0B9">
                  <w:pPr>
                    <w:spacing w:after="20" w:line="240" w:lineRule="auto"/>
                    <w:jc w:val="center"/>
                  </w:pPr>
                  <w:r>
                    <w:rPr>
                      <w:rFonts w:ascii="Times New Roman" w:hAnsi="Times New Roman" w:eastAsia="宋体"/>
                      <w:sz w:val="18"/>
                    </w:rPr>
                    <w:t>44.0</w:t>
                  </w:r>
                </w:p>
              </w:tc>
              <w:tc>
                <w:tcPr>
                  <w:tcW w:w="625" w:type="pct"/>
                  <w:vMerge w:val="restart"/>
                  <w:vAlign w:val="center"/>
                </w:tcPr>
                <w:p w14:paraId="301BA91B">
                  <w:pPr>
                    <w:spacing w:after="20" w:line="240" w:lineRule="auto"/>
                    <w:jc w:val="center"/>
                  </w:pPr>
                  <w:r>
                    <w:rPr>
                      <w:rFonts w:ascii="Times New Roman" w:hAnsi="Times New Roman" w:eastAsia="宋体"/>
                      <w:sz w:val="18"/>
                    </w:rPr>
                    <w:t>65/55</w:t>
                  </w:r>
                </w:p>
              </w:tc>
              <w:tc>
                <w:tcPr>
                  <w:tcW w:w="625" w:type="pct"/>
                  <w:vAlign w:val="center"/>
                </w:tcPr>
                <w:p w14:paraId="46AE6507">
                  <w:pPr>
                    <w:spacing w:after="20" w:line="240" w:lineRule="auto"/>
                    <w:jc w:val="center"/>
                  </w:pPr>
                  <w:r>
                    <w:rPr>
                      <w:rFonts w:hint="eastAsia" w:ascii="Times New Roman" w:hAnsi="Times New Roman" w:eastAsia="宋体"/>
                      <w:sz w:val="18"/>
                    </w:rPr>
                    <w:t>达标</w:t>
                  </w:r>
                </w:p>
              </w:tc>
            </w:tr>
            <w:tr w14:paraId="0585B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24" w:type="pct"/>
                  <w:vAlign w:val="center"/>
                </w:tcPr>
                <w:p w14:paraId="6A246C83">
                  <w:pPr>
                    <w:spacing w:after="20" w:line="240" w:lineRule="auto"/>
                    <w:jc w:val="center"/>
                  </w:pPr>
                  <w:r>
                    <w:rPr>
                      <w:rFonts w:hint="eastAsia" w:ascii="Times New Roman" w:hAnsi="Times New Roman" w:eastAsia="宋体"/>
                      <w:sz w:val="18"/>
                    </w:rPr>
                    <w:t>南侧站界外1m</w:t>
                  </w:r>
                </w:p>
              </w:tc>
              <w:tc>
                <w:tcPr>
                  <w:tcW w:w="624" w:type="pct"/>
                  <w:vAlign w:val="center"/>
                </w:tcPr>
                <w:p w14:paraId="08D54BEA">
                  <w:pPr>
                    <w:spacing w:after="20" w:line="240" w:lineRule="auto"/>
                    <w:jc w:val="center"/>
                  </w:pPr>
                  <w:r>
                    <w:rPr>
                      <w:rFonts w:ascii="Times New Roman" w:hAnsi="Times New Roman" w:eastAsia="宋体"/>
                      <w:sz w:val="18"/>
                    </w:rPr>
                    <w:t>46.6</w:t>
                  </w:r>
                </w:p>
              </w:tc>
              <w:tc>
                <w:tcPr>
                  <w:tcW w:w="624" w:type="pct"/>
                  <w:vAlign w:val="center"/>
                </w:tcPr>
                <w:p w14:paraId="17A9723A">
                  <w:pPr>
                    <w:spacing w:after="20" w:line="240" w:lineRule="auto"/>
                    <w:jc w:val="center"/>
                  </w:pPr>
                  <w:r>
                    <w:rPr>
                      <w:rFonts w:ascii="Times New Roman" w:hAnsi="Times New Roman" w:eastAsia="宋体"/>
                      <w:sz w:val="18"/>
                    </w:rPr>
                    <w:t>49.0</w:t>
                  </w:r>
                </w:p>
              </w:tc>
              <w:tc>
                <w:tcPr>
                  <w:tcW w:w="624" w:type="pct"/>
                  <w:vAlign w:val="center"/>
                </w:tcPr>
                <w:p w14:paraId="54101698">
                  <w:pPr>
                    <w:spacing w:after="20" w:line="240" w:lineRule="auto"/>
                    <w:jc w:val="center"/>
                  </w:pPr>
                  <w:r>
                    <w:rPr>
                      <w:rFonts w:ascii="Times New Roman" w:hAnsi="Times New Roman" w:eastAsia="宋体"/>
                      <w:sz w:val="18"/>
                    </w:rPr>
                    <w:t>51.0</w:t>
                  </w:r>
                </w:p>
              </w:tc>
              <w:tc>
                <w:tcPr>
                  <w:tcW w:w="624" w:type="pct"/>
                  <w:vAlign w:val="center"/>
                </w:tcPr>
                <w:p w14:paraId="10DBD1DD">
                  <w:pPr>
                    <w:spacing w:after="20" w:line="240" w:lineRule="auto"/>
                    <w:jc w:val="center"/>
                  </w:pPr>
                  <w:r>
                    <w:rPr>
                      <w:rFonts w:ascii="Times New Roman" w:hAnsi="Times New Roman" w:eastAsia="宋体"/>
                      <w:sz w:val="18"/>
                    </w:rPr>
                    <w:t>41.0</w:t>
                  </w:r>
                </w:p>
              </w:tc>
              <w:tc>
                <w:tcPr>
                  <w:tcW w:w="625" w:type="pct"/>
                  <w:vAlign w:val="center"/>
                </w:tcPr>
                <w:p w14:paraId="645DCB2F">
                  <w:pPr>
                    <w:spacing w:after="20" w:line="240" w:lineRule="auto"/>
                    <w:jc w:val="center"/>
                  </w:pPr>
                  <w:r>
                    <w:rPr>
                      <w:rFonts w:ascii="Times New Roman" w:hAnsi="Times New Roman" w:eastAsia="宋体"/>
                      <w:sz w:val="18"/>
                    </w:rPr>
                    <w:t>47.6</w:t>
                  </w:r>
                </w:p>
              </w:tc>
              <w:tc>
                <w:tcPr>
                  <w:tcW w:w="625" w:type="pct"/>
                  <w:vMerge w:val="continue"/>
                  <w:vAlign w:val="center"/>
                </w:tcPr>
                <w:p w14:paraId="167A4E15">
                  <w:pPr>
                    <w:spacing w:after="20" w:line="240" w:lineRule="auto"/>
                    <w:jc w:val="center"/>
                  </w:pPr>
                </w:p>
              </w:tc>
              <w:tc>
                <w:tcPr>
                  <w:tcW w:w="625" w:type="pct"/>
                  <w:vAlign w:val="center"/>
                </w:tcPr>
                <w:p w14:paraId="776FF9BD">
                  <w:pPr>
                    <w:spacing w:after="20" w:line="240" w:lineRule="auto"/>
                    <w:jc w:val="center"/>
                  </w:pPr>
                  <w:r>
                    <w:rPr>
                      <w:rFonts w:hint="eastAsia" w:ascii="Times New Roman" w:hAnsi="Times New Roman" w:eastAsia="宋体"/>
                      <w:sz w:val="18"/>
                    </w:rPr>
                    <w:t>达标</w:t>
                  </w:r>
                </w:p>
              </w:tc>
            </w:tr>
            <w:tr w14:paraId="7F3B5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24" w:type="pct"/>
                  <w:vAlign w:val="center"/>
                </w:tcPr>
                <w:p w14:paraId="5B9CB41A">
                  <w:pPr>
                    <w:spacing w:after="20" w:line="240" w:lineRule="auto"/>
                    <w:jc w:val="center"/>
                  </w:pPr>
                  <w:r>
                    <w:rPr>
                      <w:rFonts w:hint="eastAsia" w:ascii="Times New Roman" w:hAnsi="Times New Roman" w:eastAsia="宋体"/>
                      <w:sz w:val="18"/>
                    </w:rPr>
                    <w:t>西侧站界外1m</w:t>
                  </w:r>
                </w:p>
              </w:tc>
              <w:tc>
                <w:tcPr>
                  <w:tcW w:w="624" w:type="pct"/>
                  <w:vAlign w:val="center"/>
                </w:tcPr>
                <w:p w14:paraId="4514F4A7">
                  <w:pPr>
                    <w:spacing w:after="20" w:line="240" w:lineRule="auto"/>
                    <w:jc w:val="center"/>
                  </w:pPr>
                  <w:r>
                    <w:rPr>
                      <w:rFonts w:ascii="Times New Roman" w:hAnsi="Times New Roman" w:eastAsia="宋体"/>
                      <w:sz w:val="18"/>
                    </w:rPr>
                    <w:t>42.4</w:t>
                  </w:r>
                </w:p>
              </w:tc>
              <w:tc>
                <w:tcPr>
                  <w:tcW w:w="624" w:type="pct"/>
                  <w:vAlign w:val="center"/>
                </w:tcPr>
                <w:p w14:paraId="310A5DAF">
                  <w:pPr>
                    <w:spacing w:after="20" w:line="240" w:lineRule="auto"/>
                    <w:jc w:val="center"/>
                  </w:pPr>
                  <w:r>
                    <w:rPr>
                      <w:rFonts w:ascii="Times New Roman" w:hAnsi="Times New Roman" w:eastAsia="宋体"/>
                      <w:sz w:val="18"/>
                    </w:rPr>
                    <w:t>49.0</w:t>
                  </w:r>
                </w:p>
              </w:tc>
              <w:tc>
                <w:tcPr>
                  <w:tcW w:w="624" w:type="pct"/>
                  <w:vAlign w:val="center"/>
                </w:tcPr>
                <w:p w14:paraId="37B2600A">
                  <w:pPr>
                    <w:spacing w:after="20" w:line="240" w:lineRule="auto"/>
                    <w:jc w:val="center"/>
                  </w:pPr>
                  <w:r>
                    <w:rPr>
                      <w:rFonts w:ascii="Times New Roman" w:hAnsi="Times New Roman" w:eastAsia="宋体"/>
                      <w:sz w:val="18"/>
                    </w:rPr>
                    <w:t>49.9</w:t>
                  </w:r>
                </w:p>
              </w:tc>
              <w:tc>
                <w:tcPr>
                  <w:tcW w:w="624" w:type="pct"/>
                  <w:vAlign w:val="center"/>
                </w:tcPr>
                <w:p w14:paraId="5CD99539">
                  <w:pPr>
                    <w:spacing w:after="20" w:line="240" w:lineRule="auto"/>
                    <w:jc w:val="center"/>
                  </w:pPr>
                  <w:r>
                    <w:rPr>
                      <w:rFonts w:ascii="Times New Roman" w:hAnsi="Times New Roman" w:eastAsia="宋体"/>
                      <w:sz w:val="18"/>
                    </w:rPr>
                    <w:t>41.0</w:t>
                  </w:r>
                </w:p>
              </w:tc>
              <w:tc>
                <w:tcPr>
                  <w:tcW w:w="625" w:type="pct"/>
                  <w:vAlign w:val="center"/>
                </w:tcPr>
                <w:p w14:paraId="2ADD20C5">
                  <w:pPr>
                    <w:spacing w:after="20" w:line="240" w:lineRule="auto"/>
                    <w:jc w:val="center"/>
                  </w:pPr>
                  <w:r>
                    <w:rPr>
                      <w:rFonts w:ascii="Times New Roman" w:hAnsi="Times New Roman" w:eastAsia="宋体"/>
                      <w:sz w:val="18"/>
                    </w:rPr>
                    <w:t>44.7</w:t>
                  </w:r>
                </w:p>
              </w:tc>
              <w:tc>
                <w:tcPr>
                  <w:tcW w:w="625" w:type="pct"/>
                  <w:vMerge w:val="continue"/>
                  <w:vAlign w:val="center"/>
                </w:tcPr>
                <w:p w14:paraId="506CBC46">
                  <w:pPr>
                    <w:spacing w:after="20" w:line="240" w:lineRule="auto"/>
                    <w:jc w:val="center"/>
                  </w:pPr>
                </w:p>
              </w:tc>
              <w:tc>
                <w:tcPr>
                  <w:tcW w:w="625" w:type="pct"/>
                  <w:vAlign w:val="center"/>
                </w:tcPr>
                <w:p w14:paraId="43561BF9">
                  <w:pPr>
                    <w:spacing w:after="20" w:line="240" w:lineRule="auto"/>
                    <w:jc w:val="center"/>
                  </w:pPr>
                  <w:r>
                    <w:rPr>
                      <w:rFonts w:hint="eastAsia" w:ascii="Times New Roman" w:hAnsi="Times New Roman" w:eastAsia="宋体"/>
                      <w:sz w:val="18"/>
                    </w:rPr>
                    <w:t>达标</w:t>
                  </w:r>
                </w:p>
              </w:tc>
            </w:tr>
            <w:tr w14:paraId="140B5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24" w:type="pct"/>
                  <w:vAlign w:val="center"/>
                </w:tcPr>
                <w:p w14:paraId="0C6F9A7F">
                  <w:pPr>
                    <w:spacing w:after="20" w:line="240" w:lineRule="auto"/>
                    <w:jc w:val="center"/>
                  </w:pPr>
                  <w:r>
                    <w:rPr>
                      <w:rFonts w:hint="eastAsia" w:ascii="Times New Roman" w:hAnsi="Times New Roman" w:eastAsia="宋体"/>
                      <w:sz w:val="18"/>
                    </w:rPr>
                    <w:t>北侧站界外1m</w:t>
                  </w:r>
                </w:p>
              </w:tc>
              <w:tc>
                <w:tcPr>
                  <w:tcW w:w="624" w:type="pct"/>
                  <w:vAlign w:val="center"/>
                </w:tcPr>
                <w:p w14:paraId="020902DD">
                  <w:pPr>
                    <w:spacing w:after="20" w:line="240" w:lineRule="auto"/>
                    <w:jc w:val="center"/>
                  </w:pPr>
                  <w:r>
                    <w:rPr>
                      <w:rFonts w:ascii="Times New Roman" w:hAnsi="Times New Roman" w:eastAsia="宋体"/>
                      <w:sz w:val="18"/>
                    </w:rPr>
                    <w:t>32.3</w:t>
                  </w:r>
                </w:p>
              </w:tc>
              <w:tc>
                <w:tcPr>
                  <w:tcW w:w="624" w:type="pct"/>
                  <w:vAlign w:val="center"/>
                </w:tcPr>
                <w:p w14:paraId="5611D5D2">
                  <w:pPr>
                    <w:spacing w:after="20" w:line="240" w:lineRule="auto"/>
                    <w:jc w:val="center"/>
                  </w:pPr>
                  <w:r>
                    <w:rPr>
                      <w:rFonts w:ascii="Times New Roman" w:hAnsi="Times New Roman" w:eastAsia="宋体"/>
                      <w:sz w:val="18"/>
                    </w:rPr>
                    <w:t>49.0</w:t>
                  </w:r>
                </w:p>
              </w:tc>
              <w:tc>
                <w:tcPr>
                  <w:tcW w:w="624" w:type="pct"/>
                  <w:vAlign w:val="center"/>
                </w:tcPr>
                <w:p w14:paraId="3C22E48E">
                  <w:pPr>
                    <w:spacing w:after="20" w:line="240" w:lineRule="auto"/>
                    <w:jc w:val="center"/>
                  </w:pPr>
                  <w:r>
                    <w:rPr>
                      <w:rFonts w:ascii="Times New Roman" w:hAnsi="Times New Roman" w:eastAsia="宋体"/>
                      <w:sz w:val="18"/>
                    </w:rPr>
                    <w:t>49.1</w:t>
                  </w:r>
                </w:p>
              </w:tc>
              <w:tc>
                <w:tcPr>
                  <w:tcW w:w="624" w:type="pct"/>
                  <w:vAlign w:val="center"/>
                </w:tcPr>
                <w:p w14:paraId="35F2C1FF">
                  <w:pPr>
                    <w:spacing w:after="20" w:line="240" w:lineRule="auto"/>
                    <w:jc w:val="center"/>
                  </w:pPr>
                  <w:r>
                    <w:rPr>
                      <w:rFonts w:ascii="Times New Roman" w:hAnsi="Times New Roman" w:eastAsia="宋体"/>
                      <w:sz w:val="18"/>
                    </w:rPr>
                    <w:t>41.0</w:t>
                  </w:r>
                </w:p>
              </w:tc>
              <w:tc>
                <w:tcPr>
                  <w:tcW w:w="625" w:type="pct"/>
                  <w:vAlign w:val="center"/>
                </w:tcPr>
                <w:p w14:paraId="2466874B">
                  <w:pPr>
                    <w:spacing w:after="20" w:line="240" w:lineRule="auto"/>
                    <w:jc w:val="center"/>
                  </w:pPr>
                  <w:r>
                    <w:rPr>
                      <w:rFonts w:ascii="Times New Roman" w:hAnsi="Times New Roman" w:eastAsia="宋体"/>
                      <w:sz w:val="18"/>
                    </w:rPr>
                    <w:t>41.6</w:t>
                  </w:r>
                </w:p>
              </w:tc>
              <w:tc>
                <w:tcPr>
                  <w:tcW w:w="625" w:type="pct"/>
                  <w:vMerge w:val="continue"/>
                  <w:vAlign w:val="center"/>
                </w:tcPr>
                <w:p w14:paraId="2C8B9D5A">
                  <w:pPr>
                    <w:spacing w:after="20" w:line="240" w:lineRule="auto"/>
                    <w:jc w:val="center"/>
                  </w:pPr>
                </w:p>
              </w:tc>
              <w:tc>
                <w:tcPr>
                  <w:tcW w:w="625" w:type="pct"/>
                  <w:vAlign w:val="center"/>
                </w:tcPr>
                <w:p w14:paraId="015D976E">
                  <w:pPr>
                    <w:spacing w:after="20" w:line="240" w:lineRule="auto"/>
                    <w:jc w:val="center"/>
                  </w:pPr>
                  <w:r>
                    <w:rPr>
                      <w:rFonts w:hint="eastAsia" w:ascii="Times New Roman" w:hAnsi="Times New Roman" w:eastAsia="宋体"/>
                      <w:sz w:val="18"/>
                    </w:rPr>
                    <w:t>达标</w:t>
                  </w:r>
                </w:p>
              </w:tc>
            </w:tr>
          </w:tbl>
          <w:p w14:paraId="3047DD30">
            <w:pPr>
              <w:pStyle w:val="67"/>
              <w:keepNext w:val="0"/>
              <w:keepLines w:val="0"/>
              <w:pageBreakBefore w:val="0"/>
              <w:widowControl w:val="0"/>
              <w:numPr>
                <w:ilvl w:val="0"/>
                <w:numId w:val="0"/>
              </w:numPr>
              <w:kinsoku/>
              <w:wordWrap/>
              <w:overflowPunct/>
              <w:topLinePunct w:val="0"/>
              <w:autoSpaceDE/>
              <w:autoSpaceDN/>
              <w:bidi w:val="0"/>
              <w:adjustRightInd/>
              <w:snapToGrid/>
              <w:spacing w:line="480" w:lineRule="exact"/>
              <w:ind w:leftChars="0" w:firstLine="480" w:firstLineChars="200"/>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本工程变电站四侧站界噪声贡献值为32.3~46.6dB(A)，叠加现状值（引用产业园（一期）厂区厂界监测，昼间最大49dB(A)、夜间最大41dB(A)）后，站界噪声预测值昼间49.1~51.0dB(A)、夜间41.6~47.6dB(A)，均满足《工业企业厂界环境噪声排放标准》（GB12348-2008）3类标准（昼间65dB(A)、夜间55dB(A)）要求；站界外200m评价范围内无声环境保护目标，变电站运行噪声对周边声环境影响可接受。</w:t>
            </w:r>
          </w:p>
          <w:p w14:paraId="2301B206">
            <w:pPr>
              <w:pStyle w:val="67"/>
              <w:numPr>
                <w:ilvl w:val="0"/>
                <w:numId w:val="11"/>
              </w:numPr>
              <w:spacing w:line="480" w:lineRule="exact"/>
              <w:ind w:firstLineChars="0"/>
              <w:rPr>
                <w:rFonts w:hint="default" w:ascii="Times New Roman" w:hAnsi="Times New Roman" w:eastAsia="黑体" w:cs="Times New Roman"/>
                <w:sz w:val="25"/>
              </w:rPr>
            </w:pPr>
            <w:r>
              <w:rPr>
                <w:rFonts w:hint="default" w:ascii="Times New Roman" w:hAnsi="Times New Roman" w:eastAsia="黑体" w:cs="Times New Roman"/>
                <w:sz w:val="25"/>
              </w:rPr>
              <w:t>生态环境影响分析</w:t>
            </w:r>
          </w:p>
          <w:p w14:paraId="13175AF6">
            <w:pPr>
              <w:widowControl/>
              <w:spacing w:line="480" w:lineRule="exact"/>
              <w:ind w:firstLine="522"/>
              <w:rPr>
                <w:rFonts w:hint="default" w:ascii="Times New Roman" w:hAnsi="Times New Roman" w:cs="Times New Roman"/>
                <w:sz w:val="24"/>
              </w:rPr>
            </w:pPr>
            <w:r>
              <w:rPr>
                <w:rFonts w:hint="default" w:ascii="Times New Roman" w:hAnsi="Times New Roman" w:cs="Times New Roman"/>
                <w:sz w:val="24"/>
              </w:rPr>
              <w:t>本项目建成后，永久占地内的植被将完全被破坏，形成建筑及其他用地类型，但可以通过在站内及周边栽种当时适宜生长的灌木及草本等绿化方式减少由此造成的植被损失。</w:t>
            </w:r>
          </w:p>
          <w:p w14:paraId="02094D7D">
            <w:pPr>
              <w:pStyle w:val="67"/>
              <w:numPr>
                <w:ilvl w:val="0"/>
                <w:numId w:val="11"/>
              </w:numPr>
              <w:spacing w:line="480" w:lineRule="exact"/>
              <w:ind w:firstLineChars="0"/>
              <w:rPr>
                <w:rFonts w:hint="default" w:ascii="Times New Roman" w:hAnsi="Times New Roman" w:eastAsia="黑体" w:cs="Times New Roman"/>
                <w:sz w:val="25"/>
              </w:rPr>
            </w:pPr>
            <w:bookmarkStart w:id="70" w:name="_Hlk85710826"/>
            <w:r>
              <w:rPr>
                <w:rFonts w:hint="default" w:ascii="Times New Roman" w:hAnsi="Times New Roman" w:eastAsia="黑体" w:cs="Times New Roman"/>
                <w:sz w:val="25"/>
              </w:rPr>
              <w:t>水环境影响分析</w:t>
            </w:r>
          </w:p>
          <w:p w14:paraId="20E5F110">
            <w:pPr>
              <w:keepNext w:val="0"/>
              <w:keepLines w:val="0"/>
              <w:pageBreakBefore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kern w:val="0"/>
                <w:sz w:val="24"/>
              </w:rPr>
            </w:pPr>
            <w:r>
              <w:rPr>
                <w:rFonts w:hint="default" w:ascii="Times New Roman" w:hAnsi="Times New Roman" w:cs="Times New Roman"/>
                <w:kern w:val="0"/>
                <w:sz w:val="24"/>
              </w:rPr>
              <w:t>本站为无人值班站，站区仅考虑少量检修维护人员用水，生活用水量按50L/人·班计，工作人员按5人考虑，未预见水量按最高用水量的12%计，经计算最大用水量为0.28m³/天，全部引接厂区给水管网，站内不设水源井、不开采地下水。主变压器采用自然冷却方式，站内无循环冷却水系统，正常工况下无生产废水产生。</w:t>
            </w:r>
          </w:p>
          <w:p w14:paraId="0FBC81DF">
            <w:pPr>
              <w:keepNext w:val="0"/>
              <w:keepLines w:val="0"/>
              <w:pageBreakBefore w:val="0"/>
              <w:widowControl/>
              <w:kinsoku/>
              <w:wordWrap/>
              <w:overflowPunct/>
              <w:topLinePunct w:val="0"/>
              <w:autoSpaceDE/>
              <w:autoSpaceDN/>
              <w:bidi w:val="0"/>
              <w:adjustRightInd/>
              <w:snapToGrid/>
              <w:spacing w:after="0" w:line="480" w:lineRule="exact"/>
              <w:ind w:firstLine="480" w:firstLineChars="200"/>
              <w:jc w:val="both"/>
              <w:textAlignment w:val="auto"/>
            </w:pPr>
            <w:r>
              <w:rPr>
                <w:rFonts w:hint="eastAsia" w:ascii="Times New Roman" w:hAnsi="Times New Roman" w:eastAsia="宋体"/>
                <w:b w:val="0"/>
                <w:sz w:val="24"/>
              </w:rPr>
              <w:t>站内设防渗化粪池1座，生活污水经化粪池预处理后接入厂区污水管网，送产业园（一期）厂区自建污水处理站集中处理，处理达标后排入园区污水管网，最终进入尉犁工业园区工业污水处理厂深度处理，不直接排入外环境。产业园（一期）厂区污水处理站设计处理规模8950m³/d，与产业园主体工程统一建设，建设进度早于或同步于本工程；本工程计划2027年建成投运时，产业园（一期）厂区污水管网及污水处理站已同步建成投运。</w:t>
            </w:r>
          </w:p>
          <w:p w14:paraId="6A5F3AAB">
            <w:pPr>
              <w:keepNext w:val="0"/>
              <w:keepLines w:val="0"/>
              <w:pageBreakBefore w:val="0"/>
              <w:widowControl/>
              <w:kinsoku/>
              <w:wordWrap/>
              <w:overflowPunct/>
              <w:topLinePunct w:val="0"/>
              <w:autoSpaceDE/>
              <w:autoSpaceDN/>
              <w:bidi w:val="0"/>
              <w:adjustRightInd/>
              <w:snapToGrid/>
              <w:spacing w:after="0" w:line="480" w:lineRule="exact"/>
              <w:ind w:firstLine="480" w:firstLineChars="200"/>
              <w:jc w:val="both"/>
              <w:textAlignment w:val="auto"/>
            </w:pPr>
            <w:r>
              <w:rPr>
                <w:rFonts w:hint="eastAsia" w:ascii="Times New Roman" w:hAnsi="Times New Roman" w:eastAsia="宋体"/>
                <w:b w:val="0"/>
                <w:sz w:val="24"/>
              </w:rPr>
              <w:t>若依托污水设施未能与本工程同步投运，本站生活污水经站内防渗化粪池收集后由吸污车定期清运至</w:t>
            </w:r>
            <w:r>
              <w:rPr>
                <w:rFonts w:hint="eastAsia" w:ascii="Times New Roman" w:hAnsi="Times New Roman" w:eastAsia="宋体"/>
                <w:b w:val="0"/>
                <w:sz w:val="24"/>
                <w:lang w:eastAsia="zh-CN"/>
              </w:rPr>
              <w:t>尉犁工业园区工业污水处理厂</w:t>
            </w:r>
            <w:r>
              <w:rPr>
                <w:rFonts w:hint="eastAsia" w:ascii="Times New Roman" w:hAnsi="Times New Roman" w:eastAsia="宋体"/>
                <w:b w:val="0"/>
                <w:sz w:val="24"/>
              </w:rPr>
              <w:t>处理，不外排，确保不形成无去向排水。</w:t>
            </w:r>
          </w:p>
          <w:p w14:paraId="7BDA9392">
            <w:pPr>
              <w:keepNext w:val="0"/>
              <w:keepLines w:val="0"/>
              <w:pageBreakBefore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kern w:val="0"/>
                <w:sz w:val="24"/>
              </w:rPr>
            </w:pPr>
            <w:r>
              <w:rPr>
                <w:rFonts w:hint="default" w:ascii="Times New Roman" w:hAnsi="Times New Roman" w:cs="Times New Roman"/>
                <w:kern w:val="0"/>
                <w:sz w:val="24"/>
              </w:rPr>
              <w:t>本项目运营期废水量小、水质简单，经化粪池预处理后依托园区污水处理厂处置，正常工况下对周边水环境无明显影响。</w:t>
            </w:r>
          </w:p>
          <w:bookmarkEnd w:id="70"/>
          <w:p w14:paraId="07AA3CF3">
            <w:pPr>
              <w:pStyle w:val="67"/>
              <w:numPr>
                <w:ilvl w:val="0"/>
                <w:numId w:val="11"/>
              </w:numPr>
              <w:spacing w:line="480" w:lineRule="exact"/>
              <w:ind w:firstLineChars="0"/>
              <w:rPr>
                <w:rFonts w:hint="default" w:ascii="Times New Roman" w:hAnsi="Times New Roman" w:eastAsia="黑体" w:cs="Times New Roman"/>
                <w:sz w:val="25"/>
              </w:rPr>
            </w:pPr>
            <w:r>
              <w:rPr>
                <w:rFonts w:hint="default" w:ascii="Times New Roman" w:hAnsi="Times New Roman" w:eastAsia="黑体" w:cs="Times New Roman"/>
                <w:sz w:val="25"/>
              </w:rPr>
              <w:t>大气环境影响分析</w:t>
            </w:r>
          </w:p>
          <w:p w14:paraId="72945A87">
            <w:pPr>
              <w:spacing w:line="480" w:lineRule="exact"/>
              <w:ind w:firstLine="480" w:firstLineChars="200"/>
              <w:rPr>
                <w:rFonts w:hint="default" w:ascii="Times New Roman" w:hAnsi="Times New Roman" w:eastAsia="宋体" w:cs="Times New Roman"/>
                <w:kern w:val="0"/>
                <w:sz w:val="24"/>
              </w:rPr>
            </w:pPr>
            <w:r>
              <w:rPr>
                <w:rFonts w:hint="default" w:ascii="Times New Roman" w:hAnsi="Times New Roman" w:eastAsia="宋体" w:cs="Times New Roman"/>
                <w:kern w:val="0"/>
                <w:sz w:val="24"/>
              </w:rPr>
              <w:t>本项目为无人值班变电站，站内不设锅炉、食堂和宿舍，建筑物采暖采用壁挂式电采暖器辅以立式空调，无燃煤、燃气设施，不设固定式柴油发电机组，运营期无燃烧废气、工艺废气及油烟排放；110kV GIS的SF6气体密闭于气室内，正常运行不排放，设备检修时由厂家回收再生，高压设备电晕放电产生的微量臭氧、氮氧化物经室内机械通风稀释后排放。站区周围开阔，扩散条件良好，污染物落地浓度远低于《环境空气质量标准》（GB3095</w:t>
            </w:r>
            <w:r>
              <w:rPr>
                <w:rFonts w:hint="default" w:ascii="Times New Roman" w:hAnsi="Times New Roman" w:eastAsia="宋体" w:cs="Times New Roman"/>
                <w:kern w:val="0"/>
                <w:sz w:val="24"/>
                <w:lang w:val="en-US" w:eastAsia="zh-CN"/>
              </w:rPr>
              <w:t>-</w:t>
            </w:r>
            <w:r>
              <w:rPr>
                <w:rFonts w:hint="default" w:ascii="Times New Roman" w:hAnsi="Times New Roman" w:eastAsia="宋体" w:cs="Times New Roman"/>
                <w:kern w:val="0"/>
                <w:sz w:val="24"/>
              </w:rPr>
              <w:t>20</w:t>
            </w:r>
            <w:r>
              <w:rPr>
                <w:rFonts w:hint="default" w:ascii="Times New Roman" w:hAnsi="Times New Roman" w:eastAsia="宋体" w:cs="Times New Roman"/>
                <w:kern w:val="0"/>
                <w:sz w:val="24"/>
                <w:lang w:val="en-US" w:eastAsia="zh-CN"/>
              </w:rPr>
              <w:t>26</w:t>
            </w:r>
            <w:r>
              <w:rPr>
                <w:rFonts w:hint="default" w:ascii="Times New Roman" w:hAnsi="Times New Roman" w:eastAsia="宋体" w:cs="Times New Roman"/>
                <w:kern w:val="0"/>
                <w:sz w:val="24"/>
              </w:rPr>
              <w:t>）相应限值；区域环境空气中PM</w:t>
            </w:r>
            <w:r>
              <w:rPr>
                <w:rFonts w:hint="default" w:ascii="Times New Roman" w:hAnsi="Times New Roman" w:eastAsia="宋体" w:cs="Times New Roman"/>
                <w:kern w:val="0"/>
                <w:sz w:val="24"/>
                <w:vertAlign w:val="subscript"/>
              </w:rPr>
              <w:t>10</w:t>
            </w:r>
            <w:r>
              <w:rPr>
                <w:rFonts w:hint="default" w:ascii="Times New Roman" w:hAnsi="Times New Roman" w:eastAsia="宋体" w:cs="Times New Roman"/>
                <w:kern w:val="0"/>
                <w:sz w:val="24"/>
              </w:rPr>
              <w:t>、PM</w:t>
            </w:r>
            <w:r>
              <w:rPr>
                <w:rFonts w:hint="default" w:ascii="Times New Roman" w:hAnsi="Times New Roman" w:eastAsia="宋体" w:cs="Times New Roman"/>
                <w:kern w:val="0"/>
                <w:sz w:val="24"/>
                <w:vertAlign w:val="subscript"/>
              </w:rPr>
              <w:t>2.5</w:t>
            </w:r>
            <w:r>
              <w:rPr>
                <w:rFonts w:hint="default" w:ascii="Times New Roman" w:hAnsi="Times New Roman" w:eastAsia="宋体" w:cs="Times New Roman"/>
                <w:kern w:val="0"/>
                <w:sz w:val="24"/>
              </w:rPr>
              <w:t>现状超标主要受塔克拉玛干沙漠沙尘天气等自然背景因素影响，本项目运营期不新增颗粒物排放，不加重区域超标程度。GIS室按间隔配置SF6泄漏传感器并联动机械排风，泄漏时自动报警；站内固体废物分类收集，禁止焚烧。综上，本项目运营期大气污染物产生量可忽略，对周边大气环境无影响。</w:t>
            </w:r>
          </w:p>
          <w:p w14:paraId="3B72B7BD">
            <w:pPr>
              <w:pStyle w:val="67"/>
              <w:numPr>
                <w:ilvl w:val="0"/>
                <w:numId w:val="13"/>
              </w:numPr>
              <w:spacing w:line="480" w:lineRule="exact"/>
              <w:ind w:firstLineChars="0"/>
              <w:rPr>
                <w:rFonts w:hint="default" w:ascii="Times New Roman" w:hAnsi="Times New Roman" w:eastAsia="黑体" w:cs="Times New Roman"/>
                <w:sz w:val="25"/>
              </w:rPr>
            </w:pPr>
            <w:r>
              <w:rPr>
                <w:rFonts w:hint="default" w:ascii="Times New Roman" w:hAnsi="Times New Roman" w:eastAsia="黑体" w:cs="Times New Roman"/>
                <w:sz w:val="25"/>
              </w:rPr>
              <w:t>固体废物影响分析</w:t>
            </w:r>
          </w:p>
          <w:p w14:paraId="44401554">
            <w:pPr>
              <w:pStyle w:val="18"/>
              <w:keepNext w:val="0"/>
              <w:keepLines w:val="0"/>
              <w:pageBreakBefore w:val="0"/>
              <w:widowControl/>
              <w:numPr>
                <w:ilvl w:val="0"/>
                <w:numId w:val="0"/>
              </w:numPr>
              <w:kinsoku/>
              <w:wordWrap/>
              <w:overflowPunct/>
              <w:topLinePunct w:val="0"/>
              <w:autoSpaceDE/>
              <w:autoSpaceDN/>
              <w:bidi w:val="0"/>
              <w:adjustRightInd/>
              <w:snapToGrid/>
              <w:spacing w:before="0" w:after="0" w:line="480" w:lineRule="exact"/>
              <w:ind w:left="0" w:leftChars="0" w:right="0" w:rightChars="0" w:firstLine="424" w:firstLineChars="200"/>
              <w:textAlignment w:val="auto"/>
              <w:rPr>
                <w:rFonts w:hint="default" w:ascii="Times New Roman" w:hAnsi="Times New Roman" w:eastAsia="黑体" w:cs="Times New Roman"/>
                <w:sz w:val="24"/>
                <w:lang w:val="en-US" w:eastAsia="zh-CN"/>
              </w:rPr>
            </w:pPr>
            <w:r>
              <w:rPr>
                <w:rFonts w:hint="default" w:ascii="Times New Roman" w:hAnsi="Times New Roman" w:eastAsia="黑体" w:cs="Times New Roman"/>
                <w:sz w:val="24"/>
                <w:lang w:val="en-US" w:eastAsia="zh-CN"/>
              </w:rPr>
              <w:t>6.1固体废物产生及处置情况</w:t>
            </w:r>
          </w:p>
          <w:p w14:paraId="3AFF901F">
            <w:pPr>
              <w:keepNext w:val="0"/>
              <w:keepLines w:val="0"/>
              <w:pageBreakBefore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sz w:val="24"/>
              </w:rPr>
            </w:pPr>
            <w:r>
              <w:rPr>
                <w:rFonts w:hint="default" w:ascii="Times New Roman" w:hAnsi="Times New Roman" w:eastAsia="宋体" w:cs="Times New Roman"/>
                <w:sz w:val="24"/>
              </w:rPr>
              <w:t>本项目运行期固体废物主要为生活垃圾、一般固体废物</w:t>
            </w:r>
            <w:r>
              <w:rPr>
                <w:rFonts w:hint="default" w:ascii="Times New Roman" w:hAnsi="Times New Roman" w:eastAsia="宋体" w:cs="Times New Roman"/>
                <w:sz w:val="24"/>
                <w:lang w:eastAsia="zh-CN"/>
              </w:rPr>
              <w:t>、</w:t>
            </w:r>
            <w:r>
              <w:rPr>
                <w:rFonts w:hint="default" w:ascii="Times New Roman" w:hAnsi="Times New Roman" w:eastAsia="宋体" w:cs="Times New Roman"/>
                <w:sz w:val="24"/>
              </w:rPr>
              <w:t>危险废物。</w:t>
            </w:r>
          </w:p>
          <w:p w14:paraId="7948D385">
            <w:pPr>
              <w:keepNext w:val="0"/>
              <w:keepLines w:val="0"/>
              <w:pageBreakBefore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sz w:val="24"/>
              </w:rPr>
            </w:pPr>
            <w:r>
              <w:rPr>
                <w:rFonts w:hint="default" w:ascii="Times New Roman" w:hAnsi="Times New Roman" w:eastAsia="宋体" w:cs="Times New Roman"/>
                <w:sz w:val="24"/>
              </w:rPr>
              <w:t>（1）生活垃圾</w:t>
            </w:r>
          </w:p>
          <w:p w14:paraId="0B40A09F">
            <w:pPr>
              <w:keepNext w:val="0"/>
              <w:keepLines w:val="0"/>
              <w:pageBreakBefore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sz w:val="24"/>
              </w:rPr>
            </w:pPr>
            <w:r>
              <w:rPr>
                <w:rFonts w:hint="default" w:ascii="Times New Roman" w:hAnsi="Times New Roman" w:eastAsia="宋体" w:cs="Times New Roman"/>
                <w:sz w:val="24"/>
              </w:rPr>
              <w:t>本站为无人值班站，站内无常驻人员、无食堂和宿舍，仅在检修维护期间产生少量生活垃圾，集中收集于站内垃圾箱，由园区环卫部门统一清运至尉犁县生活垃圾填埋场处置，不乱堆乱弃。</w:t>
            </w:r>
          </w:p>
          <w:p w14:paraId="4185C1EA">
            <w:pPr>
              <w:keepNext w:val="0"/>
              <w:keepLines w:val="0"/>
              <w:pageBreakBefore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sz w:val="24"/>
              </w:rPr>
            </w:pPr>
            <w:r>
              <w:rPr>
                <w:rFonts w:hint="default" w:ascii="Times New Roman" w:hAnsi="Times New Roman" w:cs="Times New Roman"/>
                <w:sz w:val="24"/>
              </w:rPr>
              <w:t>（2）一般固废</w:t>
            </w:r>
          </w:p>
          <w:p w14:paraId="358714CD">
            <w:pPr>
              <w:keepNext w:val="0"/>
              <w:keepLines w:val="0"/>
              <w:pageBreakBefore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sz w:val="24"/>
              </w:rPr>
            </w:pPr>
            <w:r>
              <w:rPr>
                <w:rFonts w:hint="default" w:ascii="Times New Roman" w:hAnsi="Times New Roman" w:cs="Times New Roman"/>
                <w:sz w:val="24"/>
              </w:rPr>
              <w:t>一般固体废物主要为设备检修、更换产生的废旧金具、线缆、包装材料等，集中收集后外售物资回收单位综合利用，不随意丢弃。</w:t>
            </w:r>
          </w:p>
          <w:p w14:paraId="45B3C575">
            <w:pPr>
              <w:keepNext w:val="0"/>
              <w:keepLines w:val="0"/>
              <w:pageBreakBefore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sz w:val="24"/>
              </w:rPr>
            </w:pPr>
            <w:r>
              <w:rPr>
                <w:rFonts w:hint="default" w:ascii="Times New Roman" w:hAnsi="Times New Roman" w:cs="Times New Roman"/>
                <w:sz w:val="24"/>
              </w:rPr>
              <w:t>（3）危险废物</w:t>
            </w:r>
          </w:p>
          <w:p w14:paraId="1CAAEDA7">
            <w:pPr>
              <w:keepNext w:val="0"/>
              <w:keepLines w:val="0"/>
              <w:pageBreakBefore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sz w:val="24"/>
              </w:rPr>
            </w:pPr>
            <w:r>
              <w:rPr>
                <w:rFonts w:hint="default" w:ascii="Times New Roman" w:hAnsi="Times New Roman" w:cs="Times New Roman"/>
                <w:sz w:val="24"/>
              </w:rPr>
              <w:t>危险废物主要为废铅蓄电池、废变压器</w:t>
            </w:r>
            <w:r>
              <w:rPr>
                <w:rFonts w:hint="default" w:ascii="Times New Roman" w:hAnsi="Times New Roman" w:cs="Times New Roman"/>
                <w:sz w:val="24"/>
                <w:lang w:eastAsia="zh-CN"/>
              </w:rPr>
              <w:t>油</w:t>
            </w:r>
            <w:r>
              <w:rPr>
                <w:rFonts w:hint="default" w:ascii="Times New Roman" w:hAnsi="Times New Roman" w:cs="Times New Roman"/>
                <w:sz w:val="24"/>
              </w:rPr>
              <w:t>、废</w:t>
            </w:r>
            <w:r>
              <w:rPr>
                <w:rFonts w:hint="default" w:ascii="Times New Roman" w:hAnsi="Times New Roman" w:cs="Times New Roman"/>
                <w:sz w:val="24"/>
                <w:lang w:val="en-US" w:eastAsia="zh-CN"/>
              </w:rPr>
              <w:t>润滑</w:t>
            </w:r>
            <w:r>
              <w:rPr>
                <w:rFonts w:hint="default" w:ascii="Times New Roman" w:hAnsi="Times New Roman" w:cs="Times New Roman"/>
                <w:sz w:val="24"/>
              </w:rPr>
              <w:t>油、废油桶，废弃的含油抹布、劳保用品。</w:t>
            </w:r>
          </w:p>
          <w:p w14:paraId="51366CBE">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b w:val="0"/>
                <w:bCs w:val="0"/>
                <w:i w:val="0"/>
                <w:iCs w:val="0"/>
                <w:color w:val="000000"/>
                <w:spacing w:val="0"/>
                <w:w w:val="100"/>
                <w:sz w:val="24"/>
                <w:szCs w:val="24"/>
                <w:vertAlign w:val="baseline"/>
              </w:rPr>
            </w:pPr>
            <w:r>
              <w:rPr>
                <w:rFonts w:hint="default" w:ascii="Times New Roman" w:hAnsi="Times New Roman" w:eastAsia="宋体" w:cs="Times New Roman"/>
                <w:b w:val="0"/>
                <w:bCs w:val="0"/>
                <w:i w:val="0"/>
                <w:iCs w:val="0"/>
                <w:color w:val="000000"/>
                <w:spacing w:val="0"/>
                <w:w w:val="100"/>
                <w:sz w:val="24"/>
                <w:szCs w:val="24"/>
                <w:vertAlign w:val="baseline"/>
              </w:rPr>
              <w:t>①废铅蓄电池（HW31，900-052-31）</w:t>
            </w:r>
          </w:p>
          <w:p w14:paraId="4E8226C0">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b w:val="0"/>
                <w:bCs w:val="0"/>
                <w:i w:val="0"/>
                <w:iCs w:val="0"/>
                <w:color w:val="000000"/>
                <w:spacing w:val="0"/>
                <w:w w:val="100"/>
                <w:sz w:val="24"/>
                <w:szCs w:val="24"/>
                <w:vertAlign w:val="baseline"/>
              </w:rPr>
              <w:t>直流系统配置220V、300Ah阀控式密封铅酸蓄电池1组，单体2V、共104只，单只重约15.5kg，整组约1.6t，设计寿命6～10年（按8年计），更换时单次产生约1.6t，折合年均约0.2t</w:t>
            </w:r>
            <w:r>
              <w:rPr>
                <w:rFonts w:hint="default" w:ascii="Times New Roman" w:hAnsi="Times New Roman" w:eastAsia="宋体" w:cs="Times New Roman"/>
                <w:b w:val="0"/>
                <w:bCs w:val="0"/>
                <w:i w:val="0"/>
                <w:iCs w:val="0"/>
                <w:color w:val="000000"/>
                <w:spacing w:val="0"/>
                <w:w w:val="100"/>
                <w:sz w:val="24"/>
                <w:szCs w:val="24"/>
                <w:vertAlign w:val="baseline"/>
                <w:lang w:eastAsia="zh-CN"/>
              </w:rPr>
              <w:t>，更换后的废蓄电池整体装入专用容器，送厂区危险废物暂存间暂存，由有资质单位清运处置。</w:t>
            </w:r>
          </w:p>
          <w:p w14:paraId="1E334224">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b w:val="0"/>
                <w:bCs w:val="0"/>
                <w:i w:val="0"/>
                <w:iCs w:val="0"/>
                <w:color w:val="000000"/>
                <w:spacing w:val="0"/>
                <w:w w:val="100"/>
                <w:sz w:val="24"/>
                <w:szCs w:val="24"/>
                <w:vertAlign w:val="baseline"/>
              </w:rPr>
            </w:pPr>
            <w:r>
              <w:rPr>
                <w:rFonts w:hint="default" w:ascii="Times New Roman" w:hAnsi="Times New Roman" w:eastAsia="宋体" w:cs="Times New Roman"/>
                <w:b w:val="0"/>
                <w:bCs w:val="0"/>
                <w:i w:val="0"/>
                <w:iCs w:val="0"/>
                <w:color w:val="000000"/>
                <w:spacing w:val="0"/>
                <w:w w:val="100"/>
                <w:sz w:val="24"/>
                <w:szCs w:val="24"/>
                <w:vertAlign w:val="baseline"/>
              </w:rPr>
              <w:t>②废变压器油（HW08，900-220-08）</w:t>
            </w:r>
          </w:p>
          <w:p w14:paraId="0E33A835">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b w:val="0"/>
                <w:bCs w:val="0"/>
                <w:i w:val="0"/>
                <w:iCs w:val="0"/>
                <w:color w:val="000000"/>
                <w:spacing w:val="0"/>
                <w:w w:val="100"/>
                <w:sz w:val="24"/>
                <w:szCs w:val="24"/>
                <w:vertAlign w:val="baseline"/>
                <w:lang w:eastAsia="zh-CN"/>
              </w:rPr>
            </w:pPr>
            <w:r>
              <w:rPr>
                <w:rFonts w:hint="default" w:ascii="Times New Roman" w:hAnsi="Times New Roman" w:eastAsia="宋体" w:cs="Times New Roman"/>
                <w:b w:val="0"/>
                <w:bCs w:val="0"/>
                <w:i w:val="0"/>
                <w:iCs w:val="0"/>
                <w:color w:val="000000"/>
                <w:spacing w:val="0"/>
                <w:w w:val="100"/>
                <w:sz w:val="24"/>
                <w:szCs w:val="24"/>
                <w:vertAlign w:val="baseline"/>
              </w:rPr>
              <w:t>主变压器为油浸式，本期2台，单台参考油重25t、全站共约50t。变压器油在正常运行中循环使用，不整体更换，仅油质劣化时进行滤油再生处理，正常工况基本不产生废油；废变压器油主要产生于事故排油和检修排油工况，按单台主变油量全部排空的最不利情形计，单次最大产生量约25t，经排油槽、排油管道进入事故油池（有效容积30m³，设油水分离），由具有危险废物经营许可证的单位抽运处置，不外排，该部分属非经常性产生，不计入年度常规产生量</w:t>
            </w:r>
            <w:r>
              <w:rPr>
                <w:rFonts w:hint="default" w:ascii="Times New Roman" w:hAnsi="Times New Roman" w:eastAsia="宋体" w:cs="Times New Roman"/>
                <w:b w:val="0"/>
                <w:bCs w:val="0"/>
                <w:i w:val="0"/>
                <w:iCs w:val="0"/>
                <w:color w:val="000000"/>
                <w:spacing w:val="0"/>
                <w:w w:val="100"/>
                <w:sz w:val="24"/>
                <w:szCs w:val="24"/>
                <w:vertAlign w:val="baseline"/>
                <w:lang w:eastAsia="zh-CN"/>
              </w:rPr>
              <w:t>。</w:t>
            </w:r>
          </w:p>
          <w:p w14:paraId="04BA1D7F">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b w:val="0"/>
                <w:bCs w:val="0"/>
                <w:i w:val="0"/>
                <w:iCs w:val="0"/>
                <w:color w:val="000000"/>
                <w:spacing w:val="0"/>
                <w:w w:val="100"/>
                <w:sz w:val="24"/>
                <w:szCs w:val="24"/>
                <w:vertAlign w:val="baseline"/>
              </w:rPr>
            </w:pPr>
            <w:r>
              <w:rPr>
                <w:rFonts w:hint="default" w:ascii="Times New Roman" w:hAnsi="Times New Roman" w:eastAsia="宋体" w:cs="Times New Roman"/>
                <w:b w:val="0"/>
                <w:bCs w:val="0"/>
                <w:i w:val="0"/>
                <w:iCs w:val="0"/>
                <w:color w:val="000000"/>
                <w:spacing w:val="0"/>
                <w:w w:val="100"/>
                <w:sz w:val="24"/>
                <w:szCs w:val="24"/>
                <w:vertAlign w:val="baseline"/>
              </w:rPr>
              <w:t>③废润滑油（HW08，900-217-08）</w:t>
            </w:r>
          </w:p>
          <w:p w14:paraId="7DEFE252">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b w:val="0"/>
                <w:bCs w:val="0"/>
                <w:i w:val="0"/>
                <w:iCs w:val="0"/>
                <w:color w:val="000000"/>
                <w:spacing w:val="0"/>
                <w:w w:val="100"/>
                <w:sz w:val="24"/>
                <w:szCs w:val="24"/>
                <w:vertAlign w:val="baseline"/>
                <w:lang w:eastAsia="zh-CN"/>
              </w:rPr>
            </w:pPr>
            <w:r>
              <w:rPr>
                <w:rFonts w:hint="default" w:ascii="Times New Roman" w:hAnsi="Times New Roman" w:eastAsia="宋体" w:cs="Times New Roman"/>
                <w:b w:val="0"/>
                <w:bCs w:val="0"/>
                <w:i w:val="0"/>
                <w:iCs w:val="0"/>
                <w:color w:val="000000"/>
                <w:spacing w:val="0"/>
                <w:w w:val="100"/>
                <w:sz w:val="24"/>
                <w:szCs w:val="24"/>
                <w:vertAlign w:val="baseline"/>
              </w:rPr>
              <w:t>废润滑油主要来源于风机、空调压缩机、有载调压开关等设备的润滑油脂更换及主变油处理产生的少量废油，年产生量约0.1t，专用密闭容器收集后送厂区危险废物暂存间暂存</w:t>
            </w:r>
            <w:r>
              <w:rPr>
                <w:rFonts w:hint="default" w:ascii="Times New Roman" w:hAnsi="Times New Roman" w:eastAsia="宋体" w:cs="Times New Roman"/>
                <w:b w:val="0"/>
                <w:bCs w:val="0"/>
                <w:i w:val="0"/>
                <w:iCs w:val="0"/>
                <w:color w:val="000000"/>
                <w:spacing w:val="0"/>
                <w:w w:val="100"/>
                <w:sz w:val="24"/>
                <w:szCs w:val="24"/>
                <w:vertAlign w:val="baseline"/>
                <w:lang w:eastAsia="zh-CN"/>
              </w:rPr>
              <w:t>。</w:t>
            </w:r>
          </w:p>
          <w:p w14:paraId="769EA500">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b w:val="0"/>
                <w:bCs w:val="0"/>
                <w:i w:val="0"/>
                <w:iCs w:val="0"/>
                <w:color w:val="000000"/>
                <w:spacing w:val="0"/>
                <w:w w:val="100"/>
                <w:sz w:val="24"/>
                <w:szCs w:val="24"/>
                <w:vertAlign w:val="baseline"/>
              </w:rPr>
            </w:pPr>
            <w:r>
              <w:rPr>
                <w:rFonts w:hint="default" w:ascii="Times New Roman" w:hAnsi="Times New Roman" w:eastAsia="宋体" w:cs="Times New Roman"/>
                <w:b w:val="0"/>
                <w:bCs w:val="0"/>
                <w:i w:val="0"/>
                <w:iCs w:val="0"/>
                <w:color w:val="000000"/>
                <w:spacing w:val="0"/>
                <w:w w:val="100"/>
                <w:sz w:val="24"/>
                <w:szCs w:val="24"/>
                <w:vertAlign w:val="baseline"/>
              </w:rPr>
              <w:t>④废油桶（HW</w:t>
            </w:r>
            <w:r>
              <w:rPr>
                <w:rFonts w:hint="eastAsia" w:ascii="Times New Roman" w:hAnsi="Times New Roman" w:cs="Times New Roman"/>
                <w:b w:val="0"/>
                <w:bCs w:val="0"/>
                <w:i w:val="0"/>
                <w:iCs w:val="0"/>
                <w:color w:val="000000"/>
                <w:spacing w:val="0"/>
                <w:w w:val="100"/>
                <w:sz w:val="24"/>
                <w:szCs w:val="24"/>
                <w:vertAlign w:val="baseline"/>
                <w:lang w:val="en-US" w:eastAsia="zh-CN"/>
              </w:rPr>
              <w:t>08</w:t>
            </w:r>
            <w:r>
              <w:rPr>
                <w:rFonts w:hint="default" w:ascii="Times New Roman" w:hAnsi="Times New Roman" w:eastAsia="宋体" w:cs="Times New Roman"/>
                <w:b w:val="0"/>
                <w:bCs w:val="0"/>
                <w:i w:val="0"/>
                <w:iCs w:val="0"/>
                <w:color w:val="000000"/>
                <w:spacing w:val="0"/>
                <w:w w:val="100"/>
                <w:sz w:val="24"/>
                <w:szCs w:val="24"/>
                <w:vertAlign w:val="baseline"/>
              </w:rPr>
              <w:t>，900-249-08）</w:t>
            </w:r>
          </w:p>
          <w:p w14:paraId="6E5EA663">
            <w:pPr>
              <w:spacing w:line="480" w:lineRule="exact"/>
              <w:ind w:firstLine="522"/>
              <w:rPr>
                <w:rFonts w:hint="default" w:ascii="Times New Roman" w:hAnsi="Times New Roman" w:eastAsia="宋体" w:cs="Times New Roman"/>
                <w:b w:val="0"/>
                <w:bCs w:val="0"/>
                <w:i w:val="0"/>
                <w:iCs w:val="0"/>
                <w:color w:val="000000"/>
                <w:spacing w:val="0"/>
                <w:w w:val="100"/>
                <w:sz w:val="24"/>
                <w:szCs w:val="24"/>
                <w:vertAlign w:val="baseline"/>
              </w:rPr>
            </w:pPr>
            <w:r>
              <w:rPr>
                <w:rFonts w:hint="default" w:ascii="Times New Roman" w:hAnsi="Times New Roman" w:cs="Times New Roman"/>
                <w:sz w:val="24"/>
              </w:rPr>
              <w:t>运营期所需的各种油类物质均为桶装，因此会产生废油桶，产生量约为</w:t>
            </w:r>
            <w:r>
              <w:rPr>
                <w:rFonts w:hint="default" w:ascii="Times New Roman" w:hAnsi="Times New Roman" w:cs="Times New Roman"/>
                <w:sz w:val="24"/>
                <w:lang w:val="en-US" w:eastAsia="zh-CN"/>
              </w:rPr>
              <w:t>0.02</w:t>
            </w:r>
            <w:r>
              <w:rPr>
                <w:rFonts w:hint="default" w:ascii="Times New Roman" w:hAnsi="Times New Roman" w:cs="Times New Roman"/>
                <w:sz w:val="24"/>
              </w:rPr>
              <w:t>t/a，收集后送厂区危险废物暂存间暂存，定期交由有资质单位处置。</w:t>
            </w:r>
          </w:p>
          <w:p w14:paraId="68A22033">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b w:val="0"/>
                <w:bCs w:val="0"/>
                <w:i w:val="0"/>
                <w:iCs w:val="0"/>
                <w:color w:val="000000"/>
                <w:spacing w:val="0"/>
                <w:w w:val="100"/>
                <w:sz w:val="24"/>
                <w:szCs w:val="24"/>
                <w:vertAlign w:val="baseline"/>
              </w:rPr>
            </w:pPr>
            <w:r>
              <w:rPr>
                <w:rFonts w:hint="default" w:ascii="Times New Roman" w:hAnsi="Times New Roman" w:eastAsia="宋体" w:cs="Times New Roman"/>
                <w:b w:val="0"/>
                <w:bCs w:val="0"/>
                <w:i w:val="0"/>
                <w:iCs w:val="0"/>
                <w:color w:val="000000"/>
                <w:spacing w:val="0"/>
                <w:w w:val="100"/>
                <w:sz w:val="24"/>
                <w:szCs w:val="24"/>
                <w:vertAlign w:val="baseline"/>
              </w:rPr>
              <w:t>⑤含油抹布及劳保用品（HW49，900-041-49）：</w:t>
            </w:r>
          </w:p>
          <w:p w14:paraId="01118226">
            <w:pPr>
              <w:spacing w:line="480" w:lineRule="exact"/>
              <w:ind w:firstLine="522"/>
              <w:rPr>
                <w:rFonts w:hint="default" w:ascii="Times New Roman" w:hAnsi="Times New Roman" w:cs="Times New Roman"/>
                <w:sz w:val="24"/>
              </w:rPr>
            </w:pPr>
            <w:r>
              <w:rPr>
                <w:rFonts w:hint="default" w:ascii="Times New Roman" w:hAnsi="Times New Roman" w:cs="Times New Roman"/>
                <w:sz w:val="24"/>
              </w:rPr>
              <w:t>维修作业时会伴随产生含油抹布及劳保用品，产生量约为0.03t/a，收集后送厂区危险废物暂存间暂存，定期交由有资质单位处置。</w:t>
            </w:r>
          </w:p>
          <w:p w14:paraId="1019BC2E">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cs="Times New Roman"/>
              </w:rPr>
            </w:pPr>
            <w:r>
              <w:rPr>
                <w:rFonts w:hint="default" w:ascii="Times New Roman" w:hAnsi="Times New Roman" w:eastAsia="宋体" w:cs="Times New Roman"/>
                <w:b w:val="0"/>
                <w:bCs w:val="0"/>
                <w:i w:val="0"/>
                <w:iCs w:val="0"/>
                <w:color w:val="000000"/>
                <w:spacing w:val="0"/>
                <w:w w:val="100"/>
                <w:sz w:val="24"/>
                <w:szCs w:val="24"/>
                <w:vertAlign w:val="baseline"/>
              </w:rPr>
              <w:t>各类固体废物产生及处置情况见表</w:t>
            </w:r>
            <w:r>
              <w:rPr>
                <w:rFonts w:hint="default" w:ascii="Times New Roman" w:hAnsi="Times New Roman" w:eastAsia="宋体" w:cs="Times New Roman"/>
                <w:b w:val="0"/>
                <w:bCs w:val="0"/>
                <w:i w:val="0"/>
                <w:iCs w:val="0"/>
                <w:color w:val="000000"/>
                <w:spacing w:val="0"/>
                <w:w w:val="100"/>
                <w:sz w:val="24"/>
                <w:szCs w:val="24"/>
                <w:vertAlign w:val="baseline"/>
                <w:lang w:val="en-US" w:eastAsia="zh-CN"/>
              </w:rPr>
              <w:t>4-9</w:t>
            </w:r>
            <w:r>
              <w:rPr>
                <w:rFonts w:hint="default" w:ascii="Times New Roman" w:hAnsi="Times New Roman" w:eastAsia="宋体" w:cs="Times New Roman"/>
                <w:b w:val="0"/>
                <w:bCs w:val="0"/>
                <w:i w:val="0"/>
                <w:iCs w:val="0"/>
                <w:color w:val="000000"/>
                <w:spacing w:val="0"/>
                <w:w w:val="100"/>
                <w:sz w:val="24"/>
                <w:szCs w:val="24"/>
                <w:vertAlign w:val="baseline"/>
              </w:rPr>
              <w:t>。</w:t>
            </w:r>
          </w:p>
          <w:p w14:paraId="064B0741">
            <w:pPr>
              <w:pStyle w:val="67"/>
              <w:numPr>
                <w:ilvl w:val="0"/>
                <w:numId w:val="0"/>
              </w:numPr>
              <w:spacing w:line="480" w:lineRule="exact"/>
              <w:ind w:left="420" w:leftChars="0"/>
              <w:jc w:val="center"/>
              <w:rPr>
                <w:rFonts w:hint="default" w:ascii="Times New Roman" w:hAnsi="Times New Roman" w:eastAsia="黑体" w:cs="Times New Roman"/>
                <w:lang w:val="en-US" w:eastAsia="zh-CN"/>
              </w:rPr>
            </w:pPr>
            <w:r>
              <w:rPr>
                <w:rFonts w:hint="default" w:ascii="Times New Roman" w:hAnsi="Times New Roman" w:eastAsia="黑体" w:cs="Times New Roman"/>
                <w:lang w:val="en-US" w:eastAsia="zh-CN"/>
              </w:rPr>
              <w:t>表4-9  本项目固体废物产生及处置情况</w:t>
            </w:r>
          </w:p>
          <w:tbl>
            <w:tblPr>
              <w:tblStyle w:val="43"/>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538"/>
              <w:gridCol w:w="1625"/>
              <w:gridCol w:w="1419"/>
              <w:gridCol w:w="1769"/>
              <w:gridCol w:w="2280"/>
            </w:tblGrid>
            <w:tr w14:paraId="2491E2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jc w:val="center"/>
              </w:trPr>
              <w:tc>
                <w:tcPr>
                  <w:tcW w:w="53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3D8A3378">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bCs/>
                      <w:i w:val="0"/>
                      <w:iCs w:val="0"/>
                      <w:color w:val="000000"/>
                      <w:spacing w:val="0"/>
                      <w:w w:val="100"/>
                      <w:sz w:val="21"/>
                      <w:szCs w:val="21"/>
                      <w:vertAlign w:val="baseline"/>
                    </w:rPr>
                    <w:t>序号</w:t>
                  </w:r>
                </w:p>
              </w:tc>
              <w:tc>
                <w:tcPr>
                  <w:tcW w:w="162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2CA6EA92">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bCs/>
                      <w:i w:val="0"/>
                      <w:iCs w:val="0"/>
                      <w:color w:val="000000"/>
                      <w:spacing w:val="0"/>
                      <w:w w:val="100"/>
                      <w:sz w:val="21"/>
                      <w:szCs w:val="21"/>
                      <w:vertAlign w:val="baseline"/>
                    </w:rPr>
                    <w:t>名称</w:t>
                  </w:r>
                </w:p>
              </w:tc>
              <w:tc>
                <w:tcPr>
                  <w:tcW w:w="1419"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06E7D4D0">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bCs/>
                      <w:i w:val="0"/>
                      <w:iCs w:val="0"/>
                      <w:color w:val="000000"/>
                      <w:spacing w:val="0"/>
                      <w:w w:val="100"/>
                      <w:sz w:val="21"/>
                      <w:szCs w:val="21"/>
                      <w:vertAlign w:val="baseline"/>
                    </w:rPr>
                    <w:t>类别及代码</w:t>
                  </w:r>
                </w:p>
              </w:tc>
              <w:tc>
                <w:tcPr>
                  <w:tcW w:w="1769"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78A077E8">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bCs/>
                      <w:i w:val="0"/>
                      <w:iCs w:val="0"/>
                      <w:color w:val="000000"/>
                      <w:spacing w:val="0"/>
                      <w:w w:val="100"/>
                      <w:sz w:val="21"/>
                      <w:szCs w:val="21"/>
                      <w:vertAlign w:val="baseline"/>
                    </w:rPr>
                    <w:t>产生量</w:t>
                  </w:r>
                </w:p>
              </w:tc>
              <w:tc>
                <w:tcPr>
                  <w:tcW w:w="2280"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2C246085">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bCs/>
                      <w:i w:val="0"/>
                      <w:iCs w:val="0"/>
                      <w:color w:val="000000"/>
                      <w:spacing w:val="0"/>
                      <w:w w:val="100"/>
                      <w:sz w:val="21"/>
                      <w:szCs w:val="21"/>
                      <w:vertAlign w:val="baseline"/>
                    </w:rPr>
                    <w:t>处置去向</w:t>
                  </w:r>
                </w:p>
              </w:tc>
            </w:tr>
            <w:tr w14:paraId="0AD2E5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jc w:val="center"/>
              </w:trPr>
              <w:tc>
                <w:tcPr>
                  <w:tcW w:w="53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788CFFF2">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1</w:t>
                  </w:r>
                </w:p>
              </w:tc>
              <w:tc>
                <w:tcPr>
                  <w:tcW w:w="162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3905DD88">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生活垃圾</w:t>
                  </w:r>
                </w:p>
              </w:tc>
              <w:tc>
                <w:tcPr>
                  <w:tcW w:w="1419"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7C6014E1">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一般固废</w:t>
                  </w:r>
                </w:p>
              </w:tc>
              <w:tc>
                <w:tcPr>
                  <w:tcW w:w="1769"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56FB634E">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少量</w:t>
                  </w:r>
                </w:p>
              </w:tc>
              <w:tc>
                <w:tcPr>
                  <w:tcW w:w="2280"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top"/>
                </w:tcPr>
                <w:p w14:paraId="0FE0E84E">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eastAsia="宋体" w:cs="Times New Roman"/>
                      <w:b w:val="0"/>
                      <w:bCs w:val="0"/>
                      <w:i w:val="0"/>
                      <w:iCs w:val="0"/>
                      <w:color w:val="000000"/>
                      <w:spacing w:val="0"/>
                      <w:w w:val="100"/>
                      <w:sz w:val="21"/>
                      <w:szCs w:val="21"/>
                      <w:vertAlign w:val="baseline"/>
                    </w:rPr>
                  </w:pPr>
                  <w:r>
                    <w:rPr>
                      <w:rFonts w:hint="default" w:ascii="Times New Roman" w:hAnsi="Times New Roman" w:eastAsia="宋体" w:cs="Times New Roman"/>
                      <w:b w:val="0"/>
                      <w:bCs w:val="0"/>
                      <w:i w:val="0"/>
                      <w:iCs w:val="0"/>
                      <w:color w:val="000000"/>
                      <w:spacing w:val="0"/>
                      <w:w w:val="100"/>
                      <w:sz w:val="21"/>
                      <w:szCs w:val="21"/>
                      <w:vertAlign w:val="baseline"/>
                    </w:rPr>
                    <w:t>集中收集，环卫部门清运至尉犁县生活垃圾填埋场</w:t>
                  </w:r>
                </w:p>
              </w:tc>
            </w:tr>
            <w:tr w14:paraId="323381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jc w:val="center"/>
              </w:trPr>
              <w:tc>
                <w:tcPr>
                  <w:tcW w:w="53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5FC7D0CA">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2</w:t>
                  </w:r>
                </w:p>
              </w:tc>
              <w:tc>
                <w:tcPr>
                  <w:tcW w:w="162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7588EC66">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废旧金具、线缆及包装材料</w:t>
                  </w:r>
                </w:p>
              </w:tc>
              <w:tc>
                <w:tcPr>
                  <w:tcW w:w="1419"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3C132554">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一般固废</w:t>
                  </w:r>
                </w:p>
              </w:tc>
              <w:tc>
                <w:tcPr>
                  <w:tcW w:w="1769"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7A18B4CE">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少量</w:t>
                  </w:r>
                </w:p>
              </w:tc>
              <w:tc>
                <w:tcPr>
                  <w:tcW w:w="2280"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top"/>
                </w:tcPr>
                <w:p w14:paraId="7AFB00AA">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eastAsia="宋体" w:cs="Times New Roman"/>
                      <w:b w:val="0"/>
                      <w:bCs w:val="0"/>
                      <w:i w:val="0"/>
                      <w:iCs w:val="0"/>
                      <w:color w:val="000000"/>
                      <w:spacing w:val="0"/>
                      <w:w w:val="100"/>
                      <w:sz w:val="21"/>
                      <w:szCs w:val="21"/>
                      <w:vertAlign w:val="baseline"/>
                    </w:rPr>
                  </w:pPr>
                  <w:r>
                    <w:rPr>
                      <w:rFonts w:hint="default" w:ascii="Times New Roman" w:hAnsi="Times New Roman" w:eastAsia="宋体" w:cs="Times New Roman"/>
                      <w:b w:val="0"/>
                      <w:bCs w:val="0"/>
                      <w:i w:val="0"/>
                      <w:iCs w:val="0"/>
                      <w:color w:val="000000"/>
                      <w:spacing w:val="0"/>
                      <w:w w:val="100"/>
                      <w:sz w:val="21"/>
                      <w:szCs w:val="21"/>
                      <w:vertAlign w:val="baseline"/>
                    </w:rPr>
                    <w:t>外售物资回收单位综合利用</w:t>
                  </w:r>
                </w:p>
              </w:tc>
            </w:tr>
            <w:tr w14:paraId="6B9407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jc w:val="center"/>
              </w:trPr>
              <w:tc>
                <w:tcPr>
                  <w:tcW w:w="53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4A74325A">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3</w:t>
                  </w:r>
                </w:p>
              </w:tc>
              <w:tc>
                <w:tcPr>
                  <w:tcW w:w="162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700899BA">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废铅蓄电池</w:t>
                  </w:r>
                </w:p>
              </w:tc>
              <w:tc>
                <w:tcPr>
                  <w:tcW w:w="1419"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3ACB0753">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HW31</w:t>
                  </w:r>
                </w:p>
                <w:p w14:paraId="107D075E">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900-052-31</w:t>
                  </w:r>
                </w:p>
              </w:tc>
              <w:tc>
                <w:tcPr>
                  <w:tcW w:w="1769"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2F6207C0">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0.2t/a</w:t>
                  </w:r>
                </w:p>
                <w:p w14:paraId="7EF48C52">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（8年更换一次，单次约1.6t）</w:t>
                  </w:r>
                </w:p>
              </w:tc>
              <w:tc>
                <w:tcPr>
                  <w:tcW w:w="2280"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top"/>
                </w:tcPr>
                <w:p w14:paraId="2E310007">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eastAsia="宋体" w:cs="Times New Roman"/>
                      <w:b w:val="0"/>
                      <w:bCs w:val="0"/>
                      <w:i w:val="0"/>
                      <w:iCs w:val="0"/>
                      <w:color w:val="000000"/>
                      <w:spacing w:val="0"/>
                      <w:w w:val="100"/>
                      <w:sz w:val="21"/>
                      <w:szCs w:val="21"/>
                      <w:vertAlign w:val="baseline"/>
                    </w:rPr>
                  </w:pPr>
                  <w:r>
                    <w:rPr>
                      <w:rFonts w:hint="default" w:ascii="Times New Roman" w:hAnsi="Times New Roman" w:eastAsia="宋体" w:cs="Times New Roman"/>
                      <w:b w:val="0"/>
                      <w:bCs w:val="0"/>
                      <w:i w:val="0"/>
                      <w:iCs w:val="0"/>
                      <w:color w:val="000000"/>
                      <w:spacing w:val="0"/>
                      <w:w w:val="100"/>
                      <w:sz w:val="21"/>
                      <w:szCs w:val="21"/>
                      <w:vertAlign w:val="baseline"/>
                    </w:rPr>
                    <w:t>更换后装入专用容器，送厂区危险废物暂存间暂存，</w:t>
                  </w:r>
                  <w:r>
                    <w:rPr>
                      <w:rFonts w:hint="default" w:ascii="Times New Roman" w:hAnsi="Times New Roman" w:cs="Times New Roman"/>
                      <w:b w:val="0"/>
                      <w:bCs w:val="0"/>
                      <w:i w:val="0"/>
                      <w:iCs w:val="0"/>
                      <w:color w:val="000000"/>
                      <w:spacing w:val="0"/>
                      <w:w w:val="100"/>
                      <w:sz w:val="21"/>
                      <w:szCs w:val="21"/>
                      <w:vertAlign w:val="baseline"/>
                      <w:lang w:eastAsia="zh-CN"/>
                    </w:rPr>
                    <w:t>交由</w:t>
                  </w:r>
                  <w:r>
                    <w:rPr>
                      <w:rFonts w:hint="default" w:ascii="Times New Roman" w:hAnsi="Times New Roman" w:eastAsia="宋体" w:cs="Times New Roman"/>
                      <w:b w:val="0"/>
                      <w:bCs w:val="0"/>
                      <w:i w:val="0"/>
                      <w:iCs w:val="0"/>
                      <w:color w:val="000000"/>
                      <w:spacing w:val="0"/>
                      <w:w w:val="100"/>
                      <w:sz w:val="21"/>
                      <w:szCs w:val="21"/>
                      <w:vertAlign w:val="baseline"/>
                    </w:rPr>
                    <w:t>资质单位清运处置</w:t>
                  </w:r>
                </w:p>
              </w:tc>
            </w:tr>
            <w:tr w14:paraId="2150D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jc w:val="center"/>
              </w:trPr>
              <w:tc>
                <w:tcPr>
                  <w:tcW w:w="53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58F8F7FD">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4</w:t>
                  </w:r>
                </w:p>
              </w:tc>
              <w:tc>
                <w:tcPr>
                  <w:tcW w:w="162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7335B085">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废变压器油</w:t>
                  </w:r>
                </w:p>
              </w:tc>
              <w:tc>
                <w:tcPr>
                  <w:tcW w:w="1419"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0027C82A">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HW08</w:t>
                  </w:r>
                </w:p>
                <w:p w14:paraId="3F5314B6">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900-220-08</w:t>
                  </w:r>
                </w:p>
              </w:tc>
              <w:tc>
                <w:tcPr>
                  <w:tcW w:w="1769"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1E345CE9">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非经常性产生</w:t>
                  </w:r>
                </w:p>
                <w:p w14:paraId="25465BC3">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单次最大约25t</w:t>
                  </w:r>
                </w:p>
                <w:p w14:paraId="2EBEE62D">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（单台主变全油量）</w:t>
                  </w:r>
                </w:p>
              </w:tc>
              <w:tc>
                <w:tcPr>
                  <w:tcW w:w="2280"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top"/>
                </w:tcPr>
                <w:p w14:paraId="09CDF94B">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eastAsia="宋体" w:cs="Times New Roman"/>
                      <w:b w:val="0"/>
                      <w:bCs w:val="0"/>
                      <w:i w:val="0"/>
                      <w:iCs w:val="0"/>
                      <w:color w:val="000000"/>
                      <w:spacing w:val="0"/>
                      <w:w w:val="100"/>
                      <w:sz w:val="21"/>
                      <w:szCs w:val="21"/>
                      <w:vertAlign w:val="baseline"/>
                    </w:rPr>
                  </w:pPr>
                  <w:r>
                    <w:rPr>
                      <w:rFonts w:hint="default" w:ascii="Times New Roman" w:hAnsi="Times New Roman" w:eastAsia="宋体" w:cs="Times New Roman"/>
                      <w:b w:val="0"/>
                      <w:bCs w:val="0"/>
                      <w:i w:val="0"/>
                      <w:iCs w:val="0"/>
                      <w:color w:val="000000"/>
                      <w:spacing w:val="0"/>
                      <w:w w:val="100"/>
                      <w:sz w:val="21"/>
                      <w:szCs w:val="21"/>
                      <w:vertAlign w:val="baseline"/>
                    </w:rPr>
                    <w:t>事故或检修排油经排油槽进入事故油池</w:t>
                  </w:r>
                </w:p>
                <w:p w14:paraId="6A99FF17">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eastAsia="宋体" w:cs="Times New Roman"/>
                      <w:b w:val="0"/>
                      <w:bCs w:val="0"/>
                      <w:i w:val="0"/>
                      <w:iCs w:val="0"/>
                      <w:color w:val="000000"/>
                      <w:spacing w:val="0"/>
                      <w:w w:val="100"/>
                      <w:sz w:val="21"/>
                      <w:szCs w:val="21"/>
                      <w:vertAlign w:val="baseline"/>
                    </w:rPr>
                  </w:pPr>
                  <w:r>
                    <w:rPr>
                      <w:rFonts w:hint="default" w:ascii="Times New Roman" w:hAnsi="Times New Roman" w:eastAsia="宋体" w:cs="Times New Roman"/>
                      <w:b w:val="0"/>
                      <w:bCs w:val="0"/>
                      <w:i w:val="0"/>
                      <w:iCs w:val="0"/>
                      <w:color w:val="000000"/>
                      <w:spacing w:val="0"/>
                      <w:w w:val="100"/>
                      <w:sz w:val="21"/>
                      <w:szCs w:val="21"/>
                      <w:vertAlign w:val="baseline"/>
                    </w:rPr>
                    <w:t>（30m³、油水分离）收集后，抽运至厂区危险废物暂存间暂存，</w:t>
                  </w:r>
                  <w:r>
                    <w:rPr>
                      <w:rFonts w:hint="default" w:ascii="Times New Roman" w:hAnsi="Times New Roman" w:cs="Times New Roman"/>
                      <w:b w:val="0"/>
                      <w:bCs w:val="0"/>
                      <w:i w:val="0"/>
                      <w:iCs w:val="0"/>
                      <w:color w:val="000000"/>
                      <w:spacing w:val="0"/>
                      <w:w w:val="100"/>
                      <w:sz w:val="21"/>
                      <w:szCs w:val="21"/>
                      <w:vertAlign w:val="baseline"/>
                      <w:lang w:eastAsia="zh-CN"/>
                    </w:rPr>
                    <w:t>交由</w:t>
                  </w:r>
                  <w:r>
                    <w:rPr>
                      <w:rFonts w:hint="default" w:ascii="Times New Roman" w:hAnsi="Times New Roman" w:eastAsia="宋体" w:cs="Times New Roman"/>
                      <w:b w:val="0"/>
                      <w:bCs w:val="0"/>
                      <w:i w:val="0"/>
                      <w:iCs w:val="0"/>
                      <w:color w:val="000000"/>
                      <w:spacing w:val="0"/>
                      <w:w w:val="100"/>
                      <w:sz w:val="21"/>
                      <w:szCs w:val="21"/>
                      <w:vertAlign w:val="baseline"/>
                    </w:rPr>
                    <w:t>资质单位处置</w:t>
                  </w:r>
                </w:p>
              </w:tc>
            </w:tr>
            <w:tr w14:paraId="647D58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jc w:val="center"/>
              </w:trPr>
              <w:tc>
                <w:tcPr>
                  <w:tcW w:w="53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2BA36ECF">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5</w:t>
                  </w:r>
                </w:p>
              </w:tc>
              <w:tc>
                <w:tcPr>
                  <w:tcW w:w="162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73A52D68">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废润滑油</w:t>
                  </w:r>
                </w:p>
              </w:tc>
              <w:tc>
                <w:tcPr>
                  <w:tcW w:w="1419"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33F0E8E7">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HW08</w:t>
                  </w:r>
                </w:p>
                <w:p w14:paraId="3F827C84">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900-217-08</w:t>
                  </w:r>
                </w:p>
              </w:tc>
              <w:tc>
                <w:tcPr>
                  <w:tcW w:w="1769"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1D571D61">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0.1t/a</w:t>
                  </w:r>
                </w:p>
              </w:tc>
              <w:tc>
                <w:tcPr>
                  <w:tcW w:w="2280"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top"/>
                </w:tcPr>
                <w:p w14:paraId="4593E448">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eastAsia="宋体" w:cs="Times New Roman"/>
                      <w:b w:val="0"/>
                      <w:bCs w:val="0"/>
                      <w:i w:val="0"/>
                      <w:iCs w:val="0"/>
                      <w:color w:val="000000"/>
                      <w:spacing w:val="0"/>
                      <w:w w:val="100"/>
                      <w:sz w:val="21"/>
                      <w:szCs w:val="21"/>
                      <w:vertAlign w:val="baseline"/>
                    </w:rPr>
                  </w:pPr>
                  <w:r>
                    <w:rPr>
                      <w:rFonts w:hint="default" w:ascii="Times New Roman" w:hAnsi="Times New Roman" w:eastAsia="宋体" w:cs="Times New Roman"/>
                      <w:b w:val="0"/>
                      <w:bCs w:val="0"/>
                      <w:i w:val="0"/>
                      <w:iCs w:val="0"/>
                      <w:color w:val="000000"/>
                      <w:spacing w:val="0"/>
                      <w:w w:val="100"/>
                      <w:sz w:val="21"/>
                      <w:szCs w:val="21"/>
                      <w:vertAlign w:val="baseline"/>
                    </w:rPr>
                    <w:t>专用密闭容器收集，送厂区危险废物暂存间暂存，</w:t>
                  </w:r>
                  <w:r>
                    <w:rPr>
                      <w:rFonts w:hint="default" w:ascii="Times New Roman" w:hAnsi="Times New Roman" w:cs="Times New Roman"/>
                      <w:b w:val="0"/>
                      <w:bCs w:val="0"/>
                      <w:i w:val="0"/>
                      <w:iCs w:val="0"/>
                      <w:color w:val="000000"/>
                      <w:spacing w:val="0"/>
                      <w:w w:val="100"/>
                      <w:sz w:val="21"/>
                      <w:szCs w:val="21"/>
                      <w:vertAlign w:val="baseline"/>
                      <w:lang w:eastAsia="zh-CN"/>
                    </w:rPr>
                    <w:t>交由</w:t>
                  </w:r>
                  <w:r>
                    <w:rPr>
                      <w:rFonts w:hint="default" w:ascii="Times New Roman" w:hAnsi="Times New Roman" w:eastAsia="宋体" w:cs="Times New Roman"/>
                      <w:b w:val="0"/>
                      <w:bCs w:val="0"/>
                      <w:i w:val="0"/>
                      <w:iCs w:val="0"/>
                      <w:color w:val="000000"/>
                      <w:spacing w:val="0"/>
                      <w:w w:val="100"/>
                      <w:sz w:val="21"/>
                      <w:szCs w:val="21"/>
                      <w:vertAlign w:val="baseline"/>
                    </w:rPr>
                    <w:t>资质单位处置</w:t>
                  </w:r>
                </w:p>
              </w:tc>
            </w:tr>
            <w:tr w14:paraId="3A3F76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jc w:val="center"/>
              </w:trPr>
              <w:tc>
                <w:tcPr>
                  <w:tcW w:w="53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63BC5178">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6</w:t>
                  </w:r>
                </w:p>
              </w:tc>
              <w:tc>
                <w:tcPr>
                  <w:tcW w:w="162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46912C41">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废油桶</w:t>
                  </w:r>
                </w:p>
              </w:tc>
              <w:tc>
                <w:tcPr>
                  <w:tcW w:w="1419"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3B39F310">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b w:val="0"/>
                      <w:bCs w:val="0"/>
                      <w:i w:val="0"/>
                      <w:iCs w:val="0"/>
                      <w:color w:val="000000"/>
                      <w:spacing w:val="0"/>
                      <w:w w:val="100"/>
                      <w:sz w:val="21"/>
                      <w:szCs w:val="21"/>
                      <w:vertAlign w:val="baseline"/>
                    </w:rPr>
                    <w:t>HW</w:t>
                  </w:r>
                  <w:r>
                    <w:rPr>
                      <w:rFonts w:hint="eastAsia" w:ascii="Times New Roman" w:hAnsi="Times New Roman" w:cs="Times New Roman"/>
                      <w:b w:val="0"/>
                      <w:bCs w:val="0"/>
                      <w:i w:val="0"/>
                      <w:iCs w:val="0"/>
                      <w:color w:val="000000"/>
                      <w:spacing w:val="0"/>
                      <w:w w:val="100"/>
                      <w:sz w:val="21"/>
                      <w:szCs w:val="21"/>
                      <w:vertAlign w:val="baseline"/>
                      <w:lang w:val="en-US" w:eastAsia="zh-CN"/>
                    </w:rPr>
                    <w:t>08</w:t>
                  </w:r>
                </w:p>
                <w:p w14:paraId="6909EE37">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900-249-08</w:t>
                  </w:r>
                </w:p>
              </w:tc>
              <w:tc>
                <w:tcPr>
                  <w:tcW w:w="1769"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45E1FDFE">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0.02t/a</w:t>
                  </w:r>
                </w:p>
              </w:tc>
              <w:tc>
                <w:tcPr>
                  <w:tcW w:w="2280"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top"/>
                </w:tcPr>
                <w:p w14:paraId="7B1197F6">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eastAsia="宋体" w:cs="Times New Roman"/>
                      <w:b w:val="0"/>
                      <w:bCs w:val="0"/>
                      <w:i w:val="0"/>
                      <w:iCs w:val="0"/>
                      <w:color w:val="000000"/>
                      <w:spacing w:val="0"/>
                      <w:w w:val="100"/>
                      <w:sz w:val="21"/>
                      <w:szCs w:val="21"/>
                      <w:vertAlign w:val="baseline"/>
                    </w:rPr>
                  </w:pPr>
                  <w:r>
                    <w:rPr>
                      <w:rFonts w:hint="default" w:ascii="Times New Roman" w:hAnsi="Times New Roman" w:eastAsia="宋体" w:cs="Times New Roman"/>
                      <w:b w:val="0"/>
                      <w:bCs w:val="0"/>
                      <w:i w:val="0"/>
                      <w:iCs w:val="0"/>
                      <w:color w:val="000000"/>
                      <w:spacing w:val="0"/>
                      <w:w w:val="100"/>
                      <w:sz w:val="21"/>
                      <w:szCs w:val="21"/>
                      <w:vertAlign w:val="baseline"/>
                    </w:rPr>
                    <w:t>送厂区危险废物暂存间暂存，</w:t>
                  </w:r>
                  <w:r>
                    <w:rPr>
                      <w:rFonts w:hint="default" w:ascii="Times New Roman" w:hAnsi="Times New Roman" w:cs="Times New Roman"/>
                      <w:b w:val="0"/>
                      <w:bCs w:val="0"/>
                      <w:i w:val="0"/>
                      <w:iCs w:val="0"/>
                      <w:color w:val="000000"/>
                      <w:spacing w:val="0"/>
                      <w:w w:val="100"/>
                      <w:sz w:val="21"/>
                      <w:szCs w:val="21"/>
                      <w:vertAlign w:val="baseline"/>
                      <w:lang w:eastAsia="zh-CN"/>
                    </w:rPr>
                    <w:t>交由</w:t>
                  </w:r>
                  <w:r>
                    <w:rPr>
                      <w:rFonts w:hint="default" w:ascii="Times New Roman" w:hAnsi="Times New Roman" w:eastAsia="宋体" w:cs="Times New Roman"/>
                      <w:b w:val="0"/>
                      <w:bCs w:val="0"/>
                      <w:i w:val="0"/>
                      <w:iCs w:val="0"/>
                      <w:color w:val="000000"/>
                      <w:spacing w:val="0"/>
                      <w:w w:val="100"/>
                      <w:sz w:val="21"/>
                      <w:szCs w:val="21"/>
                      <w:vertAlign w:val="baseline"/>
                    </w:rPr>
                    <w:t>资质单位处置</w:t>
                  </w:r>
                </w:p>
              </w:tc>
            </w:tr>
            <w:tr w14:paraId="7EF8A1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jc w:val="center"/>
              </w:trPr>
              <w:tc>
                <w:tcPr>
                  <w:tcW w:w="53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3B9297BD">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7</w:t>
                  </w:r>
                </w:p>
              </w:tc>
              <w:tc>
                <w:tcPr>
                  <w:tcW w:w="162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6A11048F">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含油抹布及劳保用品</w:t>
                  </w:r>
                </w:p>
              </w:tc>
              <w:tc>
                <w:tcPr>
                  <w:tcW w:w="1419"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0C978A32">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HW49</w:t>
                  </w:r>
                </w:p>
                <w:p w14:paraId="3C121FE8">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900-041-49</w:t>
                  </w:r>
                </w:p>
              </w:tc>
              <w:tc>
                <w:tcPr>
                  <w:tcW w:w="1769"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1BFF4ADE">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0.03t/a</w:t>
                  </w:r>
                </w:p>
              </w:tc>
              <w:tc>
                <w:tcPr>
                  <w:tcW w:w="2280"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top"/>
                </w:tcPr>
                <w:p w14:paraId="46BB0994">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eastAsia="宋体" w:cs="Times New Roman"/>
                      <w:b w:val="0"/>
                      <w:bCs w:val="0"/>
                      <w:i w:val="0"/>
                      <w:iCs w:val="0"/>
                      <w:color w:val="000000"/>
                      <w:spacing w:val="0"/>
                      <w:w w:val="100"/>
                      <w:sz w:val="21"/>
                      <w:szCs w:val="21"/>
                      <w:vertAlign w:val="baseline"/>
                    </w:rPr>
                  </w:pPr>
                  <w:r>
                    <w:rPr>
                      <w:rFonts w:hint="default" w:ascii="Times New Roman" w:hAnsi="Times New Roman" w:eastAsia="宋体" w:cs="Times New Roman"/>
                      <w:b w:val="0"/>
                      <w:bCs w:val="0"/>
                      <w:i w:val="0"/>
                      <w:iCs w:val="0"/>
                      <w:color w:val="000000"/>
                      <w:spacing w:val="0"/>
                      <w:w w:val="100"/>
                      <w:sz w:val="21"/>
                      <w:szCs w:val="21"/>
                      <w:vertAlign w:val="baseline"/>
                    </w:rPr>
                    <w:t>送厂区危险废物暂存间暂存，</w:t>
                  </w:r>
                  <w:r>
                    <w:rPr>
                      <w:rFonts w:hint="default" w:ascii="Times New Roman" w:hAnsi="Times New Roman" w:cs="Times New Roman"/>
                      <w:b w:val="0"/>
                      <w:bCs w:val="0"/>
                      <w:i w:val="0"/>
                      <w:iCs w:val="0"/>
                      <w:color w:val="000000"/>
                      <w:spacing w:val="0"/>
                      <w:w w:val="100"/>
                      <w:sz w:val="21"/>
                      <w:szCs w:val="21"/>
                      <w:vertAlign w:val="baseline"/>
                      <w:lang w:eastAsia="zh-CN"/>
                    </w:rPr>
                    <w:t>交由</w:t>
                  </w:r>
                  <w:r>
                    <w:rPr>
                      <w:rFonts w:hint="default" w:ascii="Times New Roman" w:hAnsi="Times New Roman" w:eastAsia="宋体" w:cs="Times New Roman"/>
                      <w:b w:val="0"/>
                      <w:bCs w:val="0"/>
                      <w:i w:val="0"/>
                      <w:iCs w:val="0"/>
                      <w:color w:val="000000"/>
                      <w:spacing w:val="0"/>
                      <w:w w:val="100"/>
                      <w:sz w:val="21"/>
                      <w:szCs w:val="21"/>
                      <w:vertAlign w:val="baseline"/>
                    </w:rPr>
                    <w:t>资质单位处置</w:t>
                  </w:r>
                </w:p>
              </w:tc>
            </w:tr>
          </w:tbl>
          <w:p w14:paraId="3F5D3E4C">
            <w:pPr>
              <w:pStyle w:val="18"/>
              <w:keepNext w:val="0"/>
              <w:keepLines w:val="0"/>
              <w:pageBreakBefore w:val="0"/>
              <w:widowControl/>
              <w:numPr>
                <w:ilvl w:val="0"/>
                <w:numId w:val="0"/>
              </w:numPr>
              <w:kinsoku/>
              <w:wordWrap/>
              <w:overflowPunct/>
              <w:topLinePunct w:val="0"/>
              <w:autoSpaceDE/>
              <w:autoSpaceDN/>
              <w:bidi w:val="0"/>
              <w:adjustRightInd/>
              <w:snapToGrid/>
              <w:spacing w:before="0" w:after="0" w:line="480" w:lineRule="exact"/>
              <w:ind w:left="0" w:leftChars="0" w:right="0" w:rightChars="0" w:firstLine="424" w:firstLineChars="200"/>
              <w:textAlignment w:val="auto"/>
              <w:rPr>
                <w:rFonts w:hint="default" w:ascii="Times New Roman" w:hAnsi="Times New Roman" w:eastAsia="黑体" w:cs="Times New Roman"/>
                <w:sz w:val="24"/>
                <w:lang w:val="en-US" w:eastAsia="zh-CN"/>
              </w:rPr>
            </w:pPr>
            <w:r>
              <w:rPr>
                <w:rFonts w:hint="default" w:ascii="Times New Roman" w:hAnsi="Times New Roman" w:eastAsia="黑体" w:cs="Times New Roman"/>
                <w:sz w:val="24"/>
                <w:lang w:val="en-US" w:eastAsia="zh-CN"/>
              </w:rPr>
              <w:t>6.2 固体废物环境管理要求</w:t>
            </w:r>
          </w:p>
          <w:p w14:paraId="29DD7A60">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b w:val="0"/>
                <w:bCs w:val="0"/>
                <w:i w:val="0"/>
                <w:iCs w:val="0"/>
                <w:color w:val="000000"/>
                <w:spacing w:val="0"/>
                <w:w w:val="100"/>
                <w:sz w:val="24"/>
                <w:szCs w:val="24"/>
                <w:vertAlign w:val="baseline"/>
              </w:rPr>
            </w:pPr>
            <w:r>
              <w:rPr>
                <w:rFonts w:hint="default" w:ascii="Times New Roman" w:hAnsi="Times New Roman" w:eastAsia="宋体" w:cs="Times New Roman"/>
                <w:b w:val="0"/>
                <w:bCs w:val="0"/>
                <w:i w:val="0"/>
                <w:iCs w:val="0"/>
                <w:color w:val="000000"/>
                <w:spacing w:val="0"/>
                <w:w w:val="100"/>
                <w:sz w:val="24"/>
                <w:szCs w:val="24"/>
                <w:vertAlign w:val="baseline"/>
              </w:rPr>
              <w:t>①本项目运营期固体废物的产生、收集、贮存、运输、利用和处置全过程，严格遵守《中华人民共和国固体废物污染环境防治法》《新疆维吾尔自治区固体废物污染环境防治条例》以及国家、自治区有关建设项目环境保护管理的规定。</w:t>
            </w:r>
          </w:p>
          <w:p w14:paraId="466BFE1B">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b w:val="0"/>
                <w:bCs w:val="0"/>
                <w:i w:val="0"/>
                <w:iCs w:val="0"/>
                <w:color w:val="000000"/>
                <w:spacing w:val="0"/>
                <w:w w:val="100"/>
                <w:sz w:val="24"/>
                <w:szCs w:val="24"/>
                <w:vertAlign w:val="baseline"/>
              </w:rPr>
            </w:pPr>
            <w:r>
              <w:rPr>
                <w:rFonts w:hint="default" w:ascii="Times New Roman" w:hAnsi="Times New Roman" w:eastAsia="宋体" w:cs="Times New Roman"/>
                <w:b w:val="0"/>
                <w:bCs w:val="0"/>
                <w:i w:val="0"/>
                <w:iCs w:val="0"/>
                <w:color w:val="000000"/>
                <w:spacing w:val="0"/>
                <w:w w:val="100"/>
                <w:sz w:val="24"/>
                <w:szCs w:val="24"/>
                <w:vertAlign w:val="baseline"/>
              </w:rPr>
              <w:t>②运营期产生、收集、贮存、运输、利用、处置固体废物时，采取防扬散、防流失、防渗漏或者其他防止污染环境的措施，不得擅自倾倒、堆放、丢弃、遗撒固体废物。</w:t>
            </w:r>
          </w:p>
          <w:p w14:paraId="38733FA2">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b w:val="0"/>
                <w:bCs w:val="0"/>
                <w:i w:val="0"/>
                <w:iCs w:val="0"/>
                <w:color w:val="000000"/>
                <w:spacing w:val="0"/>
                <w:w w:val="100"/>
                <w:sz w:val="24"/>
                <w:szCs w:val="24"/>
                <w:vertAlign w:val="baseline"/>
              </w:rPr>
            </w:pPr>
            <w:r>
              <w:rPr>
                <w:rFonts w:hint="default" w:ascii="Times New Roman" w:hAnsi="Times New Roman" w:eastAsia="宋体" w:cs="Times New Roman"/>
                <w:b w:val="0"/>
                <w:bCs w:val="0"/>
                <w:i w:val="0"/>
                <w:iCs w:val="0"/>
                <w:color w:val="000000"/>
                <w:spacing w:val="0"/>
                <w:w w:val="100"/>
                <w:sz w:val="24"/>
                <w:szCs w:val="24"/>
                <w:vertAlign w:val="baseline"/>
              </w:rPr>
              <w:t>③建设单位建立健全工业固体废物和危险废物产生、收集、贮存、运输、利用、处置全过程的污染防治责任制度，建立固体废物管理台账，如实记录固体废物的种类、数量、流向、贮存、利用、处置等信息，台账保存期限不少于5年，实现固体废物可追溯、可查询；按规定编制危险废物管理计划并通过国家危险废物信息管理系统备案，危险废物转移执行电子转移联单制度。</w:t>
            </w:r>
          </w:p>
          <w:p w14:paraId="35C330CB">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b w:val="0"/>
                <w:bCs w:val="0"/>
                <w:i w:val="0"/>
                <w:iCs w:val="0"/>
                <w:color w:val="000000"/>
                <w:spacing w:val="0"/>
                <w:w w:val="100"/>
                <w:sz w:val="24"/>
                <w:szCs w:val="24"/>
                <w:vertAlign w:val="baseline"/>
              </w:rPr>
            </w:pPr>
            <w:r>
              <w:rPr>
                <w:rFonts w:hint="default" w:ascii="Times New Roman" w:hAnsi="Times New Roman" w:eastAsia="宋体" w:cs="Times New Roman"/>
                <w:b w:val="0"/>
                <w:bCs w:val="0"/>
                <w:i w:val="0"/>
                <w:iCs w:val="0"/>
                <w:color w:val="000000"/>
                <w:spacing w:val="0"/>
                <w:w w:val="100"/>
                <w:sz w:val="24"/>
                <w:szCs w:val="24"/>
                <w:vertAlign w:val="baseline"/>
              </w:rPr>
              <w:t>④对收集、贮存、运输、处置一般工业固体废物和危险废物的设施、设备和场所，加强管理和维护，保证其正常运行和使用。</w:t>
            </w:r>
          </w:p>
          <w:p w14:paraId="5AC0C6D2">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b w:val="0"/>
                <w:bCs w:val="0"/>
                <w:i w:val="0"/>
                <w:iCs w:val="0"/>
                <w:color w:val="000000"/>
                <w:spacing w:val="0"/>
                <w:w w:val="100"/>
                <w:sz w:val="24"/>
                <w:szCs w:val="24"/>
                <w:vertAlign w:val="baseline"/>
              </w:rPr>
            </w:pPr>
            <w:r>
              <w:rPr>
                <w:rFonts w:hint="default" w:ascii="Times New Roman" w:hAnsi="Times New Roman" w:eastAsia="宋体" w:cs="Times New Roman"/>
                <w:b w:val="0"/>
                <w:bCs w:val="0"/>
                <w:i w:val="0"/>
                <w:iCs w:val="0"/>
                <w:color w:val="000000"/>
                <w:spacing w:val="0"/>
                <w:w w:val="100"/>
                <w:sz w:val="24"/>
                <w:szCs w:val="24"/>
                <w:vertAlign w:val="baseline"/>
              </w:rPr>
              <w:t>⑤严禁将生活垃圾与一般工业固体废物、危险废物混合收集和处置。</w:t>
            </w:r>
          </w:p>
          <w:p w14:paraId="662933BF">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b w:val="0"/>
                <w:bCs w:val="0"/>
                <w:i w:val="0"/>
                <w:iCs w:val="0"/>
                <w:color w:val="000000"/>
                <w:spacing w:val="0"/>
                <w:w w:val="100"/>
                <w:sz w:val="24"/>
                <w:szCs w:val="24"/>
                <w:vertAlign w:val="baseline"/>
              </w:rPr>
            </w:pPr>
            <w:r>
              <w:rPr>
                <w:rFonts w:hint="default" w:ascii="Times New Roman" w:hAnsi="Times New Roman" w:eastAsia="宋体" w:cs="Times New Roman"/>
                <w:b w:val="0"/>
                <w:bCs w:val="0"/>
                <w:i w:val="0"/>
                <w:iCs w:val="0"/>
                <w:color w:val="000000"/>
                <w:spacing w:val="0"/>
                <w:w w:val="100"/>
                <w:sz w:val="24"/>
                <w:szCs w:val="24"/>
                <w:vertAlign w:val="baseline"/>
              </w:rPr>
              <w:t>⑥本项目站内不单独设置危险废物暂存间。运营期产生的危险废物分类收集于符合标准要求的专用密闭容器内，及时送至产业园（一期）厂区危险废物暂存间暂存，由建设单位统一管理、定期委托处置；厂区危险废物暂存间按《危险废物贮存污染控制标准》（GB18597—2023）设置，具备防雨、防渗、防风、防流失条件，不同类别危险废物分区存放并设置识别标志，贮存能力满足产业园各类危险废物的周转需求。</w:t>
            </w:r>
          </w:p>
          <w:p w14:paraId="3F48E426">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b w:val="0"/>
                <w:bCs w:val="0"/>
                <w:i w:val="0"/>
                <w:iCs w:val="0"/>
                <w:color w:val="000000"/>
                <w:spacing w:val="0"/>
                <w:w w:val="100"/>
                <w:sz w:val="24"/>
                <w:szCs w:val="24"/>
                <w:vertAlign w:val="baseline"/>
              </w:rPr>
            </w:pPr>
            <w:r>
              <w:rPr>
                <w:rFonts w:hint="default" w:ascii="Times New Roman" w:hAnsi="Times New Roman" w:eastAsia="宋体" w:cs="Times New Roman"/>
                <w:b w:val="0"/>
                <w:bCs w:val="0"/>
                <w:i w:val="0"/>
                <w:iCs w:val="0"/>
                <w:color w:val="000000"/>
                <w:spacing w:val="0"/>
                <w:w w:val="100"/>
                <w:sz w:val="24"/>
                <w:szCs w:val="24"/>
                <w:vertAlign w:val="baseline"/>
              </w:rPr>
              <w:t>⑦危险废物由建设单位统一委托具有相应类别经营许可证的单位处置，委托前核实其经营许可证核准的废物类别与代码范围；废变压器油事故排油经事故油池收集后及时抽运至厂区危险废物暂存间，油池平时保持空池，严禁池内油水混排或排入雨水系统。</w:t>
            </w:r>
          </w:p>
          <w:p w14:paraId="1FF45243">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b w:val="0"/>
                <w:bCs w:val="0"/>
                <w:i w:val="0"/>
                <w:iCs w:val="0"/>
                <w:color w:val="000000"/>
                <w:spacing w:val="0"/>
                <w:w w:val="100"/>
                <w:sz w:val="24"/>
                <w:szCs w:val="24"/>
                <w:vertAlign w:val="baseline"/>
              </w:rPr>
            </w:pPr>
            <w:r>
              <w:rPr>
                <w:rFonts w:hint="default" w:ascii="Times New Roman" w:hAnsi="Times New Roman" w:eastAsia="宋体" w:cs="Times New Roman"/>
                <w:b w:val="0"/>
                <w:bCs w:val="0"/>
                <w:i w:val="0"/>
                <w:iCs w:val="0"/>
                <w:color w:val="000000"/>
                <w:spacing w:val="0"/>
                <w:w w:val="100"/>
                <w:sz w:val="24"/>
                <w:szCs w:val="24"/>
                <w:vertAlign w:val="baseline"/>
              </w:rPr>
              <w:t>⑧设施退役、拆除或终止运行前，事先对固体废物的贮存、处置设施和场所采取污染防治措施，并对未处置的固体废物作出妥善处置，防止污染环境。</w:t>
            </w:r>
          </w:p>
          <w:p w14:paraId="2A8F8961">
            <w:pPr>
              <w:pStyle w:val="18"/>
              <w:keepNext w:val="0"/>
              <w:keepLines w:val="0"/>
              <w:pageBreakBefore w:val="0"/>
              <w:widowControl/>
              <w:numPr>
                <w:ilvl w:val="0"/>
                <w:numId w:val="0"/>
              </w:numPr>
              <w:kinsoku/>
              <w:wordWrap/>
              <w:overflowPunct/>
              <w:topLinePunct w:val="0"/>
              <w:autoSpaceDE/>
              <w:autoSpaceDN/>
              <w:bidi w:val="0"/>
              <w:adjustRightInd/>
              <w:snapToGrid/>
              <w:spacing w:before="0" w:after="0" w:line="480" w:lineRule="exact"/>
              <w:ind w:left="0" w:leftChars="0" w:right="0" w:rightChars="0" w:firstLine="424" w:firstLineChars="200"/>
              <w:textAlignment w:val="auto"/>
              <w:rPr>
                <w:rFonts w:hint="default" w:ascii="Times New Roman" w:hAnsi="Times New Roman" w:eastAsia="黑体" w:cs="Times New Roman"/>
                <w:sz w:val="24"/>
                <w:lang w:val="en-US" w:eastAsia="zh-CN"/>
              </w:rPr>
            </w:pPr>
            <w:r>
              <w:rPr>
                <w:rFonts w:hint="default" w:ascii="Times New Roman" w:hAnsi="Times New Roman" w:eastAsia="黑体" w:cs="Times New Roman"/>
                <w:sz w:val="24"/>
                <w:lang w:val="en-US" w:eastAsia="zh-CN"/>
              </w:rPr>
              <w:t>6.3 危险废物收集、贮存、转运过程环境管理及应急要求</w:t>
            </w:r>
          </w:p>
          <w:p w14:paraId="574CD3D7">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b w:val="0"/>
                <w:bCs w:val="0"/>
                <w:i w:val="0"/>
                <w:iCs w:val="0"/>
                <w:color w:val="000000"/>
                <w:spacing w:val="0"/>
                <w:w w:val="100"/>
                <w:sz w:val="24"/>
                <w:szCs w:val="24"/>
                <w:vertAlign w:val="baseline"/>
              </w:rPr>
            </w:pPr>
            <w:r>
              <w:rPr>
                <w:rFonts w:hint="default" w:ascii="Times New Roman" w:hAnsi="Times New Roman" w:eastAsia="宋体" w:cs="Times New Roman"/>
                <w:b w:val="0"/>
                <w:bCs w:val="0"/>
                <w:i w:val="0"/>
                <w:iCs w:val="0"/>
                <w:color w:val="000000"/>
                <w:spacing w:val="0"/>
                <w:w w:val="100"/>
                <w:sz w:val="24"/>
                <w:szCs w:val="24"/>
                <w:vertAlign w:val="baseline"/>
              </w:rPr>
              <w:t>本站危险废物产生量小、种类单一，主要为废铅蓄电池、废变压器油、废润滑油、废油桶及含油抹布，站内不单独设置危险废物暂存间，产生的危险废物先行送至产业园（一期）厂区危险废物暂存间暂存，达到一定数量后由建设单位统一委托有资质单位清运处置。厂区危险废物暂存间由产业园（一期）项目统一建设，已纳入该项目环境影响报告书及其批复（巴环评价函〔2026〕190号）管理；本站位于厂区内部，站内至厂区危险废物暂存间的转运沿厂区内部道路完成，运距短、不进入公共道路，转运风险小。收集、贮存、转运过程执行以下要求：</w:t>
            </w:r>
          </w:p>
          <w:p w14:paraId="63F27754">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b w:val="0"/>
                <w:bCs w:val="0"/>
                <w:i w:val="0"/>
                <w:iCs w:val="0"/>
                <w:color w:val="000000"/>
                <w:spacing w:val="0"/>
                <w:w w:val="100"/>
                <w:sz w:val="24"/>
                <w:szCs w:val="24"/>
                <w:vertAlign w:val="baseline"/>
              </w:rPr>
            </w:pPr>
            <w:r>
              <w:rPr>
                <w:rFonts w:hint="default" w:ascii="Times New Roman" w:hAnsi="Times New Roman" w:eastAsia="宋体" w:cs="Times New Roman"/>
                <w:b w:val="0"/>
                <w:bCs w:val="0"/>
                <w:i w:val="0"/>
                <w:iCs w:val="0"/>
                <w:color w:val="000000"/>
                <w:spacing w:val="0"/>
                <w:w w:val="100"/>
                <w:sz w:val="24"/>
                <w:szCs w:val="24"/>
                <w:vertAlign w:val="baseline"/>
              </w:rPr>
              <w:t>①危险废物分类装入符合《危险废物贮存污染控制标准》（GB18597—2023）要求的专用密闭容器，容器材质与所装废物相容、完好无损，容器外粘贴危险废物标签，注明废物名称、类别、代码及产生日期；在厂区危险废物暂存间内按类别分区存放，不相容的危险废物分开收集、分区贮存，贮存时间不超过一年；</w:t>
            </w:r>
          </w:p>
          <w:p w14:paraId="03B5D5C3">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b w:val="0"/>
                <w:bCs w:val="0"/>
                <w:i w:val="0"/>
                <w:iCs w:val="0"/>
                <w:color w:val="000000"/>
                <w:spacing w:val="0"/>
                <w:w w:val="100"/>
                <w:sz w:val="24"/>
                <w:szCs w:val="24"/>
                <w:vertAlign w:val="baseline"/>
              </w:rPr>
            </w:pPr>
            <w:r>
              <w:rPr>
                <w:rFonts w:hint="default" w:ascii="Times New Roman" w:hAnsi="Times New Roman" w:eastAsia="宋体" w:cs="Times New Roman"/>
                <w:b w:val="0"/>
                <w:bCs w:val="0"/>
                <w:i w:val="0"/>
                <w:iCs w:val="0"/>
                <w:color w:val="000000"/>
                <w:spacing w:val="0"/>
                <w:w w:val="100"/>
                <w:sz w:val="24"/>
                <w:szCs w:val="24"/>
                <w:vertAlign w:val="baseline"/>
              </w:rPr>
              <w:t>②装载、搬运轻装轻卸，防止容器破损、倾倒和渗漏；站内至厂区危险废物暂存间的转运使用专用工具、沿厂区内部道路行驶，厂外运输由受托处置单位使用具备防雨、防渗、防遗撒措施的专用车辆，按危险货物运输的有关规定执行；</w:t>
            </w:r>
          </w:p>
          <w:p w14:paraId="5185A810">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b w:val="0"/>
                <w:bCs w:val="0"/>
                <w:i w:val="0"/>
                <w:iCs w:val="0"/>
                <w:color w:val="000000"/>
                <w:spacing w:val="0"/>
                <w:w w:val="100"/>
                <w:sz w:val="24"/>
                <w:szCs w:val="24"/>
                <w:vertAlign w:val="baseline"/>
              </w:rPr>
            </w:pPr>
            <w:r>
              <w:rPr>
                <w:rFonts w:hint="default" w:ascii="Times New Roman" w:hAnsi="Times New Roman" w:eastAsia="宋体" w:cs="Times New Roman"/>
                <w:b w:val="0"/>
                <w:bCs w:val="0"/>
                <w:i w:val="0"/>
                <w:iCs w:val="0"/>
                <w:color w:val="000000"/>
                <w:spacing w:val="0"/>
                <w:w w:val="100"/>
                <w:sz w:val="24"/>
                <w:szCs w:val="24"/>
                <w:vertAlign w:val="baseline"/>
              </w:rPr>
              <w:t>③转运前核实接收单位经营许可证核准范围，转移过程执行电子转移联单，联单与台账留存备查。</w:t>
            </w:r>
          </w:p>
          <w:p w14:paraId="4818D2B7">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b w:val="0"/>
                <w:bCs w:val="0"/>
                <w:i w:val="0"/>
                <w:iCs w:val="0"/>
                <w:color w:val="000000"/>
                <w:spacing w:val="0"/>
                <w:w w:val="100"/>
                <w:sz w:val="24"/>
                <w:szCs w:val="24"/>
                <w:vertAlign w:val="baseline"/>
              </w:rPr>
            </w:pPr>
            <w:r>
              <w:rPr>
                <w:rFonts w:hint="default" w:ascii="Times New Roman" w:hAnsi="Times New Roman" w:eastAsia="宋体" w:cs="Times New Roman"/>
                <w:b w:val="0"/>
                <w:bCs w:val="0"/>
                <w:i w:val="0"/>
                <w:iCs w:val="0"/>
                <w:color w:val="000000"/>
                <w:spacing w:val="0"/>
                <w:w w:val="100"/>
                <w:sz w:val="24"/>
                <w:szCs w:val="24"/>
                <w:vertAlign w:val="baseline"/>
              </w:rPr>
              <w:t>危险废物收集、暂存、转运过程的环境风险主要为废铅蓄电池电解液泄漏、变压器油泄漏、暂存间防渗及围堰失效导致渗漏，以及运输途中事故性遗撒。建设单位将上述风险纳入本单位突发环境事件应急预案统一管理，不单独编制专项预案，并参照《危险废物经营单位编制应急预案指南》的相关要求，在预案中设置危险废物污染事故应急处置专篇，明确应急组织、处置流程和物资保障，每年至少组织1次应急演练。</w:t>
            </w:r>
          </w:p>
          <w:p w14:paraId="2F651613">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b w:val="0"/>
                <w:bCs w:val="0"/>
                <w:i w:val="0"/>
                <w:iCs w:val="0"/>
                <w:color w:val="000000"/>
                <w:spacing w:val="0"/>
                <w:w w:val="100"/>
                <w:sz w:val="24"/>
                <w:szCs w:val="24"/>
                <w:vertAlign w:val="baseline"/>
              </w:rPr>
            </w:pPr>
            <w:r>
              <w:rPr>
                <w:rFonts w:hint="default" w:ascii="Times New Roman" w:hAnsi="Times New Roman" w:eastAsia="宋体" w:cs="Times New Roman"/>
                <w:b w:val="0"/>
                <w:bCs w:val="0"/>
                <w:i w:val="0"/>
                <w:iCs w:val="0"/>
                <w:color w:val="000000"/>
                <w:spacing w:val="0"/>
                <w:w w:val="100"/>
                <w:sz w:val="24"/>
                <w:szCs w:val="24"/>
                <w:vertAlign w:val="baseline"/>
              </w:rPr>
              <w:t>收集、转运过</w:t>
            </w:r>
            <w:r>
              <w:rPr>
                <w:rFonts w:hint="default" w:ascii="Times New Roman" w:hAnsi="Times New Roman" w:cs="Times New Roman"/>
                <w:b w:val="0"/>
                <w:bCs w:val="0"/>
                <w:i w:val="0"/>
                <w:iCs w:val="0"/>
                <w:color w:val="000000"/>
                <w:spacing w:val="0"/>
                <w:w w:val="100"/>
                <w:sz w:val="24"/>
                <w:szCs w:val="24"/>
                <w:vertAlign w:val="baseline"/>
                <w:lang w:eastAsia="zh-CN"/>
              </w:rPr>
              <w:t>程中</w:t>
            </w:r>
            <w:r>
              <w:rPr>
                <w:rFonts w:hint="default" w:ascii="Times New Roman" w:hAnsi="Times New Roman" w:eastAsia="宋体" w:cs="Times New Roman"/>
                <w:b w:val="0"/>
                <w:bCs w:val="0"/>
                <w:i w:val="0"/>
                <w:iCs w:val="0"/>
                <w:color w:val="000000"/>
                <w:spacing w:val="0"/>
                <w:w w:val="100"/>
                <w:sz w:val="24"/>
                <w:szCs w:val="24"/>
                <w:vertAlign w:val="baseline"/>
              </w:rPr>
              <w:t>一旦发生意外事故，立即采取以下措施：①设立事故警戒线，启动应急预案，并按《企业事业单位突发环境事件应急预案备案管理办法（试行）》要求，向巴音郭楞蒙古自治州生态环境局尉犁县分局报告；②对受污染的土壤和水体等进行清理和修复，清理过</w:t>
            </w:r>
            <w:r>
              <w:rPr>
                <w:rFonts w:hint="default" w:ascii="Times New Roman" w:hAnsi="Times New Roman" w:cs="Times New Roman"/>
                <w:b w:val="0"/>
                <w:bCs w:val="0"/>
                <w:i w:val="0"/>
                <w:iCs w:val="0"/>
                <w:color w:val="000000"/>
                <w:spacing w:val="0"/>
                <w:w w:val="100"/>
                <w:sz w:val="24"/>
                <w:szCs w:val="24"/>
                <w:vertAlign w:val="baseline"/>
                <w:lang w:eastAsia="zh-CN"/>
              </w:rPr>
              <w:t>程中</w:t>
            </w:r>
            <w:r>
              <w:rPr>
                <w:rFonts w:hint="default" w:ascii="Times New Roman" w:hAnsi="Times New Roman" w:eastAsia="宋体" w:cs="Times New Roman"/>
                <w:b w:val="0"/>
                <w:bCs w:val="0"/>
                <w:i w:val="0"/>
                <w:iCs w:val="0"/>
                <w:color w:val="000000"/>
                <w:spacing w:val="0"/>
                <w:w w:val="100"/>
                <w:sz w:val="24"/>
                <w:szCs w:val="24"/>
                <w:vertAlign w:val="baseline"/>
              </w:rPr>
              <w:t>产生的所有废物均按危险废物管理和处置；③进入现场清理和包装危险废物的人员应经过专业培训，穿（佩）戴符合要求的防护服和防护用具。</w:t>
            </w:r>
          </w:p>
          <w:p w14:paraId="5D85812F">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b w:val="0"/>
                <w:bCs w:val="0"/>
                <w:i w:val="0"/>
                <w:iCs w:val="0"/>
                <w:color w:val="000000"/>
                <w:spacing w:val="0"/>
                <w:w w:val="100"/>
                <w:sz w:val="24"/>
                <w:szCs w:val="24"/>
                <w:vertAlign w:val="baseline"/>
              </w:rPr>
            </w:pPr>
            <w:r>
              <w:rPr>
                <w:rFonts w:hint="default" w:ascii="Times New Roman" w:hAnsi="Times New Roman" w:eastAsia="宋体" w:cs="Times New Roman"/>
                <w:b w:val="0"/>
                <w:bCs w:val="0"/>
                <w:i w:val="0"/>
                <w:iCs w:val="0"/>
                <w:color w:val="000000"/>
                <w:spacing w:val="0"/>
                <w:w w:val="100"/>
                <w:sz w:val="24"/>
                <w:szCs w:val="24"/>
                <w:vertAlign w:val="baseline"/>
              </w:rPr>
              <w:t>危险废物收集、贮存、转运的设施及操作，满足《危险废物贮存污染控制标准》（GB18597—2023）相关要求。</w:t>
            </w:r>
          </w:p>
          <w:p w14:paraId="113FAD6A">
            <w:pPr>
              <w:pStyle w:val="67"/>
              <w:numPr>
                <w:ilvl w:val="0"/>
                <w:numId w:val="13"/>
              </w:numPr>
              <w:spacing w:line="480" w:lineRule="exact"/>
              <w:ind w:firstLineChars="0"/>
              <w:rPr>
                <w:rFonts w:hint="default" w:ascii="Times New Roman" w:hAnsi="Times New Roman" w:eastAsia="黑体" w:cs="Times New Roman"/>
                <w:sz w:val="25"/>
              </w:rPr>
            </w:pPr>
            <w:r>
              <w:rPr>
                <w:rFonts w:hint="default" w:ascii="Times New Roman" w:hAnsi="Times New Roman" w:eastAsia="黑体" w:cs="Times New Roman"/>
                <w:sz w:val="25"/>
              </w:rPr>
              <w:t>土壤、地下水环境影响分析</w:t>
            </w:r>
          </w:p>
          <w:p w14:paraId="52EC7713">
            <w:pPr>
              <w:spacing w:line="480" w:lineRule="exact"/>
              <w:ind w:firstLine="522"/>
              <w:rPr>
                <w:rFonts w:hint="default" w:ascii="Times New Roman" w:hAnsi="Times New Roman" w:cs="Times New Roman"/>
                <w:sz w:val="24"/>
              </w:rPr>
            </w:pPr>
            <w:r>
              <w:rPr>
                <w:rFonts w:hint="default" w:ascii="Times New Roman" w:hAnsi="Times New Roman" w:cs="Times New Roman"/>
                <w:sz w:val="24"/>
              </w:rPr>
              <w:t>（1）污染源及污染物类型</w:t>
            </w:r>
          </w:p>
          <w:p w14:paraId="54A0FD40">
            <w:pPr>
              <w:spacing w:line="480" w:lineRule="exact"/>
              <w:ind w:firstLine="522"/>
              <w:rPr>
                <w:rFonts w:hint="default" w:ascii="Times New Roman" w:hAnsi="Times New Roman" w:cs="Times New Roman"/>
                <w:sz w:val="24"/>
              </w:rPr>
            </w:pPr>
            <w:r>
              <w:rPr>
                <w:rFonts w:hint="default" w:ascii="Times New Roman" w:hAnsi="Times New Roman" w:cs="Times New Roman"/>
                <w:sz w:val="24"/>
              </w:rPr>
              <w:t>根据项目各类物质的理化性质判断，项目运营期对地下水、土壤的主要污染源为化粪池中的污水、废变压器油、废润滑油及废油桶（主要为含矿物油废物）。废水污染物的类型属于非持久性污染物，废矿物油属于持久性污染物。</w:t>
            </w:r>
          </w:p>
          <w:p w14:paraId="3F2068ED">
            <w:pPr>
              <w:spacing w:line="480" w:lineRule="exact"/>
              <w:ind w:firstLine="522"/>
              <w:rPr>
                <w:rFonts w:hint="default" w:ascii="Times New Roman" w:hAnsi="Times New Roman" w:cs="Times New Roman"/>
                <w:sz w:val="24"/>
              </w:rPr>
            </w:pPr>
            <w:r>
              <w:rPr>
                <w:rFonts w:hint="default" w:ascii="Times New Roman" w:hAnsi="Times New Roman" w:cs="Times New Roman"/>
                <w:sz w:val="24"/>
              </w:rPr>
              <w:t>（2）污染途径</w:t>
            </w:r>
          </w:p>
          <w:p w14:paraId="59661C6B">
            <w:pPr>
              <w:spacing w:line="480" w:lineRule="exact"/>
              <w:ind w:firstLine="522"/>
              <w:rPr>
                <w:rFonts w:hint="default" w:ascii="Times New Roman" w:hAnsi="Times New Roman" w:cs="Times New Roman"/>
                <w:sz w:val="24"/>
              </w:rPr>
            </w:pPr>
            <w:r>
              <w:rPr>
                <w:rFonts w:hint="default" w:ascii="Times New Roman" w:hAnsi="Times New Roman" w:cs="Times New Roman"/>
                <w:sz w:val="24"/>
              </w:rPr>
              <w:t>根据项目污染源的分布情况及项目生产工艺分析，项目运营期对地下水、土壤的污染途径如下：</w:t>
            </w:r>
          </w:p>
          <w:p w14:paraId="3D5D2A49">
            <w:pPr>
              <w:spacing w:line="480" w:lineRule="exact"/>
              <w:ind w:firstLine="522"/>
              <w:rPr>
                <w:rFonts w:hint="default" w:ascii="Times New Roman" w:hAnsi="Times New Roman" w:cs="Times New Roman"/>
                <w:sz w:val="24"/>
              </w:rPr>
            </w:pPr>
            <w:r>
              <w:rPr>
                <w:rFonts w:hint="default" w:ascii="Times New Roman" w:hAnsi="Times New Roman" w:cs="Times New Roman"/>
                <w:sz w:val="24"/>
                <w:lang w:val="en-US" w:eastAsia="zh-CN"/>
              </w:rPr>
              <w:t>①</w:t>
            </w:r>
            <w:r>
              <w:rPr>
                <w:rFonts w:hint="default" w:ascii="Times New Roman" w:hAnsi="Times New Roman" w:cs="Times New Roman"/>
                <w:sz w:val="24"/>
              </w:rPr>
              <w:t>站内化粪池渗漏导致污水直接垂直渗入土壤中，污染土壤环境进而对地下水环境造成污染；</w:t>
            </w:r>
          </w:p>
          <w:p w14:paraId="3A2BFE33">
            <w:pPr>
              <w:spacing w:line="480" w:lineRule="exact"/>
              <w:ind w:firstLine="522"/>
              <w:rPr>
                <w:rFonts w:hint="default" w:ascii="Times New Roman" w:hAnsi="Times New Roman" w:cs="Times New Roman"/>
                <w:sz w:val="24"/>
              </w:rPr>
            </w:pPr>
            <w:r>
              <w:rPr>
                <w:rFonts w:hint="default" w:ascii="Times New Roman" w:hAnsi="Times New Roman" w:cs="Times New Roman"/>
                <w:sz w:val="24"/>
                <w:lang w:val="en-US" w:eastAsia="zh-CN"/>
              </w:rPr>
              <w:t>②</w:t>
            </w:r>
            <w:r>
              <w:rPr>
                <w:rFonts w:hint="default" w:ascii="Times New Roman" w:hAnsi="Times New Roman" w:cs="Times New Roman"/>
                <w:sz w:val="24"/>
              </w:rPr>
              <w:t>变压器维修或事故状态下，废矿物油直接垂直渗入土壤中，污染土壤环境，进而对地下水环境造成污染；</w:t>
            </w:r>
          </w:p>
          <w:p w14:paraId="44C3AF89">
            <w:pPr>
              <w:spacing w:line="480" w:lineRule="exact"/>
              <w:ind w:firstLine="522"/>
              <w:rPr>
                <w:rFonts w:hint="default" w:ascii="Times New Roman" w:hAnsi="Times New Roman" w:cs="Times New Roman"/>
                <w:sz w:val="24"/>
              </w:rPr>
            </w:pPr>
            <w:r>
              <w:rPr>
                <w:rFonts w:hint="default" w:ascii="Times New Roman" w:hAnsi="Times New Roman" w:cs="Times New Roman"/>
                <w:sz w:val="24"/>
                <w:lang w:val="en-US" w:eastAsia="zh-CN"/>
              </w:rPr>
              <w:t>③</w:t>
            </w:r>
            <w:r>
              <w:rPr>
                <w:rFonts w:hint="default" w:ascii="Times New Roman" w:hAnsi="Times New Roman" w:cs="Times New Roman"/>
                <w:sz w:val="24"/>
              </w:rPr>
              <w:t>危险废物转移过程的遗撒、滴落，垂直渗入土壤，污染土壤环境，进而对地下水环境造成污染。</w:t>
            </w:r>
          </w:p>
          <w:p w14:paraId="2231FFC6">
            <w:pPr>
              <w:spacing w:line="480" w:lineRule="exact"/>
              <w:ind w:firstLine="522"/>
              <w:rPr>
                <w:rFonts w:hint="default" w:ascii="Times New Roman" w:hAnsi="Times New Roman" w:cs="Times New Roman"/>
                <w:sz w:val="24"/>
              </w:rPr>
            </w:pPr>
            <w:r>
              <w:rPr>
                <w:rFonts w:hint="default" w:ascii="Times New Roman" w:hAnsi="Times New Roman" w:cs="Times New Roman"/>
                <w:sz w:val="24"/>
              </w:rPr>
              <w:t>（3）防控措施</w:t>
            </w:r>
          </w:p>
          <w:p w14:paraId="732E2312">
            <w:pPr>
              <w:spacing w:line="480" w:lineRule="exact"/>
              <w:ind w:firstLine="522"/>
              <w:rPr>
                <w:rFonts w:hint="default" w:ascii="Times New Roman" w:hAnsi="Times New Roman" w:cs="Times New Roman"/>
                <w:sz w:val="24"/>
              </w:rPr>
            </w:pPr>
            <w:r>
              <w:rPr>
                <w:rFonts w:hint="default" w:ascii="Times New Roman" w:hAnsi="Times New Roman" w:cs="Times New Roman"/>
                <w:sz w:val="24"/>
              </w:rPr>
              <w:t>根据项目污染物类型、污染控制难易程度，本项目拟参考《环境影响评价技术导则地下水环境》（HJ610-2016）进行分区防渗，确保项目运行污染物不会下渗，污染土壤及地下水环境。分区防渗要求详见表4-</w:t>
            </w:r>
            <w:r>
              <w:rPr>
                <w:rFonts w:hint="default" w:ascii="Times New Roman" w:hAnsi="Times New Roman" w:cs="Times New Roman"/>
                <w:sz w:val="24"/>
                <w:lang w:val="en-US" w:eastAsia="zh-CN"/>
              </w:rPr>
              <w:t>10</w:t>
            </w:r>
            <w:r>
              <w:rPr>
                <w:rFonts w:hint="default" w:ascii="Times New Roman" w:hAnsi="Times New Roman" w:cs="Times New Roman"/>
                <w:sz w:val="24"/>
              </w:rPr>
              <w:t>。</w:t>
            </w:r>
          </w:p>
          <w:p w14:paraId="4C046911">
            <w:pPr>
              <w:pStyle w:val="67"/>
              <w:numPr>
                <w:ilvl w:val="0"/>
                <w:numId w:val="0"/>
              </w:numPr>
              <w:spacing w:line="480" w:lineRule="exact"/>
              <w:ind w:left="420" w:leftChars="0"/>
              <w:jc w:val="center"/>
              <w:rPr>
                <w:rFonts w:hint="default" w:ascii="Times New Roman" w:hAnsi="Times New Roman" w:eastAsia="黑体" w:cs="Times New Roman"/>
                <w:lang w:val="en-US" w:eastAsia="zh-CN"/>
              </w:rPr>
            </w:pPr>
            <w:r>
              <w:rPr>
                <w:rFonts w:hint="default" w:ascii="Times New Roman" w:hAnsi="Times New Roman" w:eastAsia="黑体" w:cs="Times New Roman"/>
                <w:lang w:val="en-US" w:eastAsia="zh-CN"/>
              </w:rPr>
              <w:t>表4-10   本项目地下水污染防渗分区一览表</w:t>
            </w:r>
          </w:p>
          <w:tbl>
            <w:tblPr>
              <w:tblStyle w:val="4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0" w:type="dxa"/>
                <w:bottom w:w="57" w:type="dxa"/>
                <w:right w:w="0" w:type="dxa"/>
              </w:tblCellMar>
            </w:tblPr>
            <w:tblGrid>
              <w:gridCol w:w="1210"/>
              <w:gridCol w:w="1713"/>
              <w:gridCol w:w="4698"/>
            </w:tblGrid>
            <w:tr w14:paraId="19E6C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rPr>
                <w:trHeight w:val="397" w:hRule="atLeast"/>
                <w:jc w:val="center"/>
              </w:trPr>
              <w:tc>
                <w:tcPr>
                  <w:tcW w:w="1210" w:type="dxa"/>
                  <w:vAlign w:val="center"/>
                </w:tcPr>
                <w:p w14:paraId="603F9102">
                  <w:pPr>
                    <w:jc w:val="center"/>
                    <w:rPr>
                      <w:rFonts w:hint="default" w:ascii="Times New Roman" w:hAnsi="Times New Roman" w:cs="Times New Roman"/>
                    </w:rPr>
                  </w:pPr>
                  <w:r>
                    <w:rPr>
                      <w:rFonts w:hint="default" w:ascii="Times New Roman" w:hAnsi="Times New Roman" w:cs="Times New Roman"/>
                    </w:rPr>
                    <w:t>防渗分区</w:t>
                  </w:r>
                </w:p>
              </w:tc>
              <w:tc>
                <w:tcPr>
                  <w:tcW w:w="1713" w:type="dxa"/>
                  <w:vAlign w:val="center"/>
                </w:tcPr>
                <w:p w14:paraId="1357BE45">
                  <w:pPr>
                    <w:jc w:val="center"/>
                    <w:rPr>
                      <w:rFonts w:hint="default" w:ascii="Times New Roman" w:hAnsi="Times New Roman" w:cs="Times New Roman"/>
                    </w:rPr>
                  </w:pPr>
                  <w:r>
                    <w:rPr>
                      <w:rFonts w:hint="default" w:ascii="Times New Roman" w:hAnsi="Times New Roman" w:cs="Times New Roman"/>
                    </w:rPr>
                    <w:t>主要构筑物名称</w:t>
                  </w:r>
                </w:p>
              </w:tc>
              <w:tc>
                <w:tcPr>
                  <w:tcW w:w="4698" w:type="dxa"/>
                  <w:vAlign w:val="center"/>
                </w:tcPr>
                <w:p w14:paraId="282B22E7">
                  <w:pPr>
                    <w:jc w:val="center"/>
                    <w:rPr>
                      <w:rFonts w:hint="default" w:ascii="Times New Roman" w:hAnsi="Times New Roman" w:cs="Times New Roman"/>
                    </w:rPr>
                  </w:pPr>
                  <w:r>
                    <w:rPr>
                      <w:rFonts w:hint="default" w:ascii="Times New Roman" w:hAnsi="Times New Roman" w:cs="Times New Roman"/>
                    </w:rPr>
                    <w:t>防渗技术要求</w:t>
                  </w:r>
                </w:p>
              </w:tc>
            </w:tr>
            <w:tr w14:paraId="0F2DB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rPr>
                <w:trHeight w:val="397" w:hRule="atLeast"/>
                <w:jc w:val="center"/>
              </w:trPr>
              <w:tc>
                <w:tcPr>
                  <w:tcW w:w="1210" w:type="dxa"/>
                  <w:vAlign w:val="center"/>
                </w:tcPr>
                <w:p w14:paraId="4665F885">
                  <w:pPr>
                    <w:jc w:val="center"/>
                    <w:rPr>
                      <w:rFonts w:hint="default" w:ascii="Times New Roman" w:hAnsi="Times New Roman" w:cs="Times New Roman"/>
                    </w:rPr>
                  </w:pPr>
                  <w:r>
                    <w:rPr>
                      <w:rFonts w:hint="default" w:ascii="Times New Roman" w:hAnsi="Times New Roman" w:cs="Times New Roman"/>
                    </w:rPr>
                    <w:t>重点防渗区</w:t>
                  </w:r>
                </w:p>
              </w:tc>
              <w:tc>
                <w:tcPr>
                  <w:tcW w:w="1713" w:type="dxa"/>
                  <w:vAlign w:val="center"/>
                </w:tcPr>
                <w:p w14:paraId="50FBE46D">
                  <w:pPr>
                    <w:jc w:val="center"/>
                    <w:rPr>
                      <w:rFonts w:hint="default" w:ascii="Times New Roman" w:hAnsi="Times New Roman" w:cs="Times New Roman"/>
                    </w:rPr>
                  </w:pPr>
                  <w:r>
                    <w:rPr>
                      <w:rFonts w:hint="default" w:ascii="Times New Roman" w:hAnsi="Times New Roman" w:cs="Times New Roman"/>
                    </w:rPr>
                    <w:t>事故油池</w:t>
                  </w:r>
                </w:p>
              </w:tc>
              <w:tc>
                <w:tcPr>
                  <w:tcW w:w="4698" w:type="dxa"/>
                  <w:vAlign w:val="center"/>
                </w:tcPr>
                <w:p w14:paraId="739AA80C">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rPr>
                  </w:pPr>
                  <w:r>
                    <w:rPr>
                      <w:rFonts w:hint="default" w:ascii="Times New Roman" w:hAnsi="Times New Roman" w:cs="Times New Roman"/>
                    </w:rPr>
                    <w:t>按《危险废物贮存污染控制标准》（GB18597-2023）执行，防渗层为至少1m厚黏土层（渗透系数不大于10</w:t>
                  </w:r>
                  <w:r>
                    <w:rPr>
                      <w:rFonts w:hint="default" w:ascii="Times New Roman" w:hAnsi="Times New Roman" w:cs="Times New Roman"/>
                      <w:vertAlign w:val="superscript"/>
                    </w:rPr>
                    <w:t>-7</w:t>
                  </w:r>
                  <w:r>
                    <w:rPr>
                      <w:rFonts w:hint="default" w:ascii="Times New Roman" w:hAnsi="Times New Roman" w:cs="Times New Roman"/>
                    </w:rPr>
                    <w:t>cm/s），或2mm厚高密度聚乙烯膜等人工防渗材料（渗透系数不大于10</w:t>
                  </w:r>
                  <w:r>
                    <w:rPr>
                      <w:rFonts w:hint="default" w:ascii="Times New Roman" w:hAnsi="Times New Roman" w:cs="Times New Roman"/>
                      <w:vertAlign w:val="superscript"/>
                    </w:rPr>
                    <w:t>-10</w:t>
                  </w:r>
                  <w:r>
                    <w:rPr>
                      <w:rFonts w:hint="default" w:ascii="Times New Roman" w:hAnsi="Times New Roman" w:cs="Times New Roman"/>
                    </w:rPr>
                    <w:t>cm/s），或其他防渗性能等效的材料使其等效黏土防渗层Mb≥6m，K≤1×10</w:t>
                  </w:r>
                  <w:r>
                    <w:rPr>
                      <w:rFonts w:hint="default" w:ascii="Times New Roman" w:hAnsi="Times New Roman" w:cs="Times New Roman"/>
                      <w:vertAlign w:val="superscript"/>
                    </w:rPr>
                    <w:t>-7</w:t>
                  </w:r>
                  <w:r>
                    <w:rPr>
                      <w:rFonts w:hint="default" w:ascii="Times New Roman" w:hAnsi="Times New Roman" w:cs="Times New Roman"/>
                    </w:rPr>
                    <w:t>cm/s</w:t>
                  </w:r>
                </w:p>
              </w:tc>
            </w:tr>
            <w:tr w14:paraId="6E8FB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rPr>
                <w:trHeight w:val="397" w:hRule="atLeast"/>
                <w:jc w:val="center"/>
              </w:trPr>
              <w:tc>
                <w:tcPr>
                  <w:tcW w:w="1210" w:type="dxa"/>
                  <w:vAlign w:val="center"/>
                </w:tcPr>
                <w:p w14:paraId="67F65B76">
                  <w:pPr>
                    <w:jc w:val="center"/>
                    <w:rPr>
                      <w:rFonts w:hint="default" w:ascii="Times New Roman" w:hAnsi="Times New Roman" w:cs="Times New Roman"/>
                    </w:rPr>
                  </w:pPr>
                  <w:r>
                    <w:rPr>
                      <w:rFonts w:hint="default" w:ascii="Times New Roman" w:hAnsi="Times New Roman" w:cs="Times New Roman"/>
                    </w:rPr>
                    <w:t>一般防渗区</w:t>
                  </w:r>
                </w:p>
              </w:tc>
              <w:tc>
                <w:tcPr>
                  <w:tcW w:w="1713" w:type="dxa"/>
                  <w:vAlign w:val="center"/>
                </w:tcPr>
                <w:p w14:paraId="711F9F92">
                  <w:pPr>
                    <w:jc w:val="center"/>
                    <w:rPr>
                      <w:rFonts w:hint="default" w:ascii="Times New Roman" w:hAnsi="Times New Roman" w:cs="Times New Roman"/>
                    </w:rPr>
                  </w:pPr>
                  <w:r>
                    <w:rPr>
                      <w:rFonts w:hint="default" w:ascii="Times New Roman" w:hAnsi="Times New Roman" w:cs="Times New Roman"/>
                    </w:rPr>
                    <w:t>辅助用房、化粪池</w:t>
                  </w:r>
                </w:p>
              </w:tc>
              <w:tc>
                <w:tcPr>
                  <w:tcW w:w="4698" w:type="dxa"/>
                  <w:vAlign w:val="center"/>
                </w:tcPr>
                <w:p w14:paraId="65399ED8">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rPr>
                  </w:pPr>
                  <w:r>
                    <w:rPr>
                      <w:rFonts w:hint="default" w:ascii="Times New Roman" w:hAnsi="Times New Roman" w:cs="Times New Roman"/>
                    </w:rPr>
                    <w:t>等效黏土防渗层Mb≥1.5m，K≤1×10</w:t>
                  </w:r>
                  <w:r>
                    <w:rPr>
                      <w:rFonts w:hint="default" w:ascii="Times New Roman" w:hAnsi="Times New Roman" w:cs="Times New Roman"/>
                      <w:vertAlign w:val="superscript"/>
                    </w:rPr>
                    <w:t>-7</w:t>
                  </w:r>
                  <w:r>
                    <w:rPr>
                      <w:rFonts w:hint="default" w:ascii="Times New Roman" w:hAnsi="Times New Roman" w:cs="Times New Roman"/>
                    </w:rPr>
                    <w:t>cm/s</w:t>
                  </w:r>
                </w:p>
              </w:tc>
            </w:tr>
            <w:tr w14:paraId="4EE56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rPr>
                <w:trHeight w:val="397" w:hRule="atLeast"/>
                <w:jc w:val="center"/>
              </w:trPr>
              <w:tc>
                <w:tcPr>
                  <w:tcW w:w="1210" w:type="dxa"/>
                  <w:vAlign w:val="center"/>
                </w:tcPr>
                <w:p w14:paraId="1ACF5F4D">
                  <w:pPr>
                    <w:jc w:val="center"/>
                    <w:rPr>
                      <w:rFonts w:hint="default" w:ascii="Times New Roman" w:hAnsi="Times New Roman" w:cs="Times New Roman"/>
                    </w:rPr>
                  </w:pPr>
                  <w:r>
                    <w:rPr>
                      <w:rFonts w:hint="default" w:ascii="Times New Roman" w:hAnsi="Times New Roman" w:cs="Times New Roman"/>
                    </w:rPr>
                    <w:t>简单防渗区</w:t>
                  </w:r>
                </w:p>
              </w:tc>
              <w:tc>
                <w:tcPr>
                  <w:tcW w:w="1713" w:type="dxa"/>
                  <w:vAlign w:val="center"/>
                </w:tcPr>
                <w:p w14:paraId="2087BC41">
                  <w:pPr>
                    <w:jc w:val="center"/>
                    <w:rPr>
                      <w:rFonts w:hint="default" w:ascii="Times New Roman" w:hAnsi="Times New Roman" w:cs="Times New Roman"/>
                    </w:rPr>
                  </w:pPr>
                  <w:r>
                    <w:rPr>
                      <w:rFonts w:hint="default" w:ascii="Times New Roman" w:hAnsi="Times New Roman" w:cs="Times New Roman"/>
                    </w:rPr>
                    <w:t>办公区</w:t>
                  </w:r>
                </w:p>
              </w:tc>
              <w:tc>
                <w:tcPr>
                  <w:tcW w:w="4698" w:type="dxa"/>
                  <w:vAlign w:val="center"/>
                </w:tcPr>
                <w:p w14:paraId="124DD4B2">
                  <w:pPr>
                    <w:jc w:val="center"/>
                    <w:rPr>
                      <w:rFonts w:hint="default" w:ascii="Times New Roman" w:hAnsi="Times New Roman" w:cs="Times New Roman"/>
                    </w:rPr>
                  </w:pPr>
                  <w:r>
                    <w:rPr>
                      <w:rFonts w:hint="default" w:ascii="Times New Roman" w:hAnsi="Times New Roman" w:cs="Times New Roman"/>
                    </w:rPr>
                    <w:t>一般地面硬化</w:t>
                  </w:r>
                </w:p>
              </w:tc>
            </w:tr>
          </w:tbl>
          <w:p w14:paraId="51454A7E">
            <w:pPr>
              <w:spacing w:line="480" w:lineRule="exact"/>
              <w:ind w:firstLine="522"/>
              <w:rPr>
                <w:rFonts w:hint="default" w:ascii="Times New Roman" w:hAnsi="Times New Roman" w:cs="Times New Roman"/>
                <w:sz w:val="24"/>
              </w:rPr>
            </w:pPr>
            <w:r>
              <w:rPr>
                <w:rFonts w:hint="default" w:ascii="Times New Roman" w:hAnsi="Times New Roman" w:cs="Times New Roman"/>
                <w:sz w:val="24"/>
              </w:rPr>
              <w:t>在严格落实各项防渗措施，并加强巡查检修的前提下，可有效控制污染物通过下渗污染土壤及地下水。因此，项目不会对土壤、地下水环境产生明显不良影响。</w:t>
            </w:r>
          </w:p>
          <w:p w14:paraId="6A4794EB">
            <w:pPr>
              <w:pStyle w:val="67"/>
              <w:keepNext w:val="0"/>
              <w:keepLines w:val="0"/>
              <w:pageBreakBefore w:val="0"/>
              <w:numPr>
                <w:ilvl w:val="0"/>
                <w:numId w:val="0"/>
              </w:numPr>
              <w:kinsoku/>
              <w:wordWrap/>
              <w:overflowPunct/>
              <w:topLinePunct w:val="0"/>
              <w:autoSpaceDE/>
              <w:autoSpaceDN/>
              <w:bidi w:val="0"/>
              <w:adjustRightInd/>
              <w:snapToGrid/>
              <w:spacing w:line="480" w:lineRule="exact"/>
              <w:textAlignment w:val="auto"/>
              <w:rPr>
                <w:rFonts w:hint="default" w:ascii="Times New Roman" w:hAnsi="Times New Roman" w:eastAsia="黑体" w:cs="Times New Roman"/>
                <w:sz w:val="24"/>
                <w:szCs w:val="24"/>
              </w:rPr>
            </w:pPr>
            <w:r>
              <w:rPr>
                <w:rFonts w:hint="default" w:ascii="Times New Roman" w:hAnsi="Times New Roman" w:eastAsia="黑体" w:cs="Times New Roman"/>
                <w:sz w:val="24"/>
                <w:szCs w:val="24"/>
                <w:lang w:val="en-US" w:eastAsia="zh-CN"/>
              </w:rPr>
              <w:t>8.</w:t>
            </w:r>
            <w:r>
              <w:rPr>
                <w:rFonts w:hint="default" w:ascii="Times New Roman" w:hAnsi="Times New Roman" w:eastAsia="黑体" w:cs="Times New Roman"/>
                <w:sz w:val="24"/>
                <w:szCs w:val="24"/>
              </w:rPr>
              <w:t>环境风险分析</w:t>
            </w:r>
          </w:p>
          <w:p w14:paraId="218B839C">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b w:val="0"/>
                <w:bCs w:val="0"/>
                <w:i w:val="0"/>
                <w:iCs w:val="0"/>
                <w:color w:val="000000"/>
                <w:spacing w:val="0"/>
                <w:w w:val="100"/>
                <w:sz w:val="24"/>
                <w:szCs w:val="24"/>
                <w:vertAlign w:val="baseline"/>
              </w:rPr>
            </w:pPr>
            <w:r>
              <w:rPr>
                <w:rFonts w:hint="default" w:ascii="Times New Roman" w:hAnsi="Times New Roman" w:eastAsia="宋体" w:cs="Times New Roman"/>
                <w:b w:val="0"/>
                <w:bCs w:val="0"/>
                <w:i w:val="0"/>
                <w:iCs w:val="0"/>
                <w:color w:val="000000"/>
                <w:spacing w:val="0"/>
                <w:w w:val="100"/>
                <w:sz w:val="24"/>
                <w:szCs w:val="24"/>
                <w:vertAlign w:val="baseline"/>
              </w:rPr>
              <w:t>本次根据《环境影响评价技术导则 输变电》（HJ 24</w:t>
            </w:r>
            <w:r>
              <w:rPr>
                <w:rFonts w:hint="default" w:ascii="Times New Roman" w:hAnsi="Times New Roman" w:eastAsia="宋体" w:cs="Times New Roman"/>
                <w:b w:val="0"/>
                <w:bCs w:val="0"/>
                <w:i w:val="0"/>
                <w:iCs w:val="0"/>
                <w:color w:val="000000"/>
                <w:spacing w:val="0"/>
                <w:w w:val="100"/>
                <w:sz w:val="24"/>
                <w:szCs w:val="24"/>
                <w:vertAlign w:val="baseline"/>
                <w:lang w:val="en-US" w:eastAsia="zh-CN"/>
              </w:rPr>
              <w:t>-</w:t>
            </w:r>
            <w:r>
              <w:rPr>
                <w:rFonts w:hint="default" w:ascii="Times New Roman" w:hAnsi="Times New Roman" w:eastAsia="宋体" w:cs="Times New Roman"/>
                <w:b w:val="0"/>
                <w:bCs w:val="0"/>
                <w:i w:val="0"/>
                <w:iCs w:val="0"/>
                <w:color w:val="000000"/>
                <w:spacing w:val="0"/>
                <w:w w:val="100"/>
                <w:sz w:val="24"/>
                <w:szCs w:val="24"/>
                <w:vertAlign w:val="baseline"/>
              </w:rPr>
              <w:t>2020）要求，参考《建设项目环境风险评价技术导则》（HJ 169</w:t>
            </w:r>
            <w:r>
              <w:rPr>
                <w:rFonts w:hint="default" w:ascii="Times New Roman" w:hAnsi="Times New Roman" w:eastAsia="宋体" w:cs="Times New Roman"/>
                <w:b w:val="0"/>
                <w:bCs w:val="0"/>
                <w:i w:val="0"/>
                <w:iCs w:val="0"/>
                <w:color w:val="000000"/>
                <w:spacing w:val="0"/>
                <w:w w:val="100"/>
                <w:sz w:val="24"/>
                <w:szCs w:val="24"/>
                <w:vertAlign w:val="baseline"/>
                <w:lang w:val="en-US" w:eastAsia="zh-CN"/>
              </w:rPr>
              <w:t>-</w:t>
            </w:r>
            <w:r>
              <w:rPr>
                <w:rFonts w:hint="default" w:ascii="Times New Roman" w:hAnsi="Times New Roman" w:eastAsia="宋体" w:cs="Times New Roman"/>
                <w:b w:val="0"/>
                <w:bCs w:val="0"/>
                <w:i w:val="0"/>
                <w:iCs w:val="0"/>
                <w:color w:val="000000"/>
                <w:spacing w:val="0"/>
                <w:w w:val="100"/>
                <w:sz w:val="24"/>
                <w:szCs w:val="24"/>
                <w:vertAlign w:val="baseline"/>
              </w:rPr>
              <w:t>2018）开展环境风险评价。本项目所涉及的危险物质包括变压器油、废铅蓄电池、废矿物油等：主变压器</w:t>
            </w:r>
            <w:r>
              <w:rPr>
                <w:rFonts w:hint="default" w:ascii="Times New Roman" w:hAnsi="Times New Roman" w:eastAsia="宋体" w:cs="Times New Roman"/>
                <w:b w:val="0"/>
                <w:bCs w:val="0"/>
                <w:i w:val="0"/>
                <w:iCs w:val="0"/>
                <w:color w:val="000000"/>
                <w:spacing w:val="0"/>
                <w:w w:val="100"/>
                <w:sz w:val="24"/>
                <w:szCs w:val="24"/>
                <w:vertAlign w:val="baseline"/>
                <w:lang w:val="en-US" w:eastAsia="zh-CN"/>
              </w:rPr>
              <w:t>2</w:t>
            </w:r>
            <w:r>
              <w:rPr>
                <w:rFonts w:hint="default" w:ascii="Times New Roman" w:hAnsi="Times New Roman" w:eastAsia="宋体" w:cs="Times New Roman"/>
                <w:b w:val="0"/>
                <w:bCs w:val="0"/>
                <w:i w:val="0"/>
                <w:iCs w:val="0"/>
                <w:color w:val="000000"/>
                <w:spacing w:val="0"/>
                <w:w w:val="100"/>
                <w:sz w:val="24"/>
                <w:szCs w:val="24"/>
                <w:vertAlign w:val="baseline"/>
              </w:rPr>
              <w:t>台（SZ-63000/110型，油浸式），单台装油量约25t，全站变压器油最大存在总量约50t，临界量2500t；直流系统配置</w:t>
            </w:r>
            <w:r>
              <w:rPr>
                <w:rFonts w:hint="default" w:ascii="Times New Roman" w:hAnsi="Times New Roman" w:eastAsia="宋体" w:cs="Times New Roman"/>
                <w:b w:val="0"/>
                <w:bCs w:val="0"/>
                <w:i w:val="0"/>
                <w:iCs w:val="0"/>
                <w:color w:val="000000"/>
                <w:spacing w:val="0"/>
                <w:w w:val="100"/>
                <w:sz w:val="24"/>
                <w:szCs w:val="24"/>
                <w:vertAlign w:val="baseline"/>
                <w:lang w:val="en-US" w:eastAsia="zh-CN"/>
              </w:rPr>
              <w:t>1</w:t>
            </w:r>
            <w:r>
              <w:rPr>
                <w:rFonts w:hint="default" w:ascii="Times New Roman" w:hAnsi="Times New Roman" w:eastAsia="宋体" w:cs="Times New Roman"/>
                <w:b w:val="0"/>
                <w:bCs w:val="0"/>
                <w:i w:val="0"/>
                <w:iCs w:val="0"/>
                <w:color w:val="000000"/>
                <w:spacing w:val="0"/>
                <w:w w:val="100"/>
                <w:sz w:val="24"/>
                <w:szCs w:val="24"/>
                <w:vertAlign w:val="baseline"/>
              </w:rPr>
              <w:t>组220V、300Ah 阀控式密封铅酸蓄电池（104只、整组约1.6t），废铅蓄电池按整组最大存在量约1.6t计，临界量3t，折合年产生量约0.2t；废矿物油（废润滑油）年产生量约 0.1t，站内暂存量不超过0.1t，临界量 2500t。根据《建设项目环境风险评价技术导则》（HJ 169</w:t>
            </w:r>
            <w:r>
              <w:rPr>
                <w:rFonts w:hint="default" w:ascii="Times New Roman" w:hAnsi="Times New Roman" w:eastAsia="宋体" w:cs="Times New Roman"/>
                <w:b w:val="0"/>
                <w:bCs w:val="0"/>
                <w:i w:val="0"/>
                <w:iCs w:val="0"/>
                <w:color w:val="000000"/>
                <w:spacing w:val="0"/>
                <w:w w:val="100"/>
                <w:sz w:val="24"/>
                <w:szCs w:val="24"/>
                <w:vertAlign w:val="baseline"/>
                <w:lang w:val="en-US" w:eastAsia="zh-CN"/>
              </w:rPr>
              <w:t>-</w:t>
            </w:r>
            <w:r>
              <w:rPr>
                <w:rFonts w:hint="default" w:ascii="Times New Roman" w:hAnsi="Times New Roman" w:eastAsia="宋体" w:cs="Times New Roman"/>
                <w:b w:val="0"/>
                <w:bCs w:val="0"/>
                <w:i w:val="0"/>
                <w:iCs w:val="0"/>
                <w:color w:val="000000"/>
                <w:spacing w:val="0"/>
                <w:w w:val="100"/>
                <w:sz w:val="24"/>
                <w:szCs w:val="24"/>
                <w:vertAlign w:val="baseline"/>
              </w:rPr>
              <w:t>2018）附录 C，Q＝50/2500＋1.6/3＋0.1/2500≈0.553＜1，故本工程风险潜势为Ⅰ，确定本工程环境风险评价工作级别为简单分析，不设置环境风险评价范围。</w:t>
            </w:r>
          </w:p>
          <w:p w14:paraId="49B8F311">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cs="Times New Roman"/>
                <w:sz w:val="24"/>
                <w:szCs w:val="24"/>
              </w:rPr>
            </w:pPr>
            <w:r>
              <w:rPr>
                <w:rFonts w:hint="default" w:ascii="Times New Roman" w:hAnsi="Times New Roman" w:eastAsia="宋体" w:cs="Times New Roman"/>
                <w:b w:val="0"/>
                <w:bCs w:val="0"/>
                <w:i w:val="0"/>
                <w:iCs w:val="0"/>
                <w:color w:val="000000"/>
                <w:spacing w:val="0"/>
                <w:w w:val="100"/>
                <w:sz w:val="24"/>
                <w:szCs w:val="24"/>
                <w:vertAlign w:val="baseline"/>
              </w:rPr>
              <w:t>变压器为了绝缘和冷却的需要，其外壳内装有变压器油，一般只有发生事故时才会排油。变压器油是天然石油经蒸馏、精制而获得的一种矿物油，是石油中的润滑油馏分经酸碱精制处理得到的纯净稳定、粘度小、绝缘性好、冷却性好的液体天然碳氢化合物混合物，俗称方棚油，浅黄色透明液体，相对密度约 0.895，凝固点＜-45℃，主要由各种烃类组成，主要成分为环烷烃（约占 80%），其余为芳香烃和烷烃；闪点一般不低于 135℃，难溶于水，泄漏后主要附着于土壤表层，不易远距离迁移，但具有石油类污染特征。随着技术的进步和管理的科学化，变压器发生故障的可能性越来越小，在采取严格管理措施的情况下，即使发生事故也能得到及时处理，对环境的影响很小。</w:t>
            </w:r>
          </w:p>
          <w:p w14:paraId="0B634221">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cs="Times New Roman"/>
                <w:sz w:val="24"/>
                <w:szCs w:val="24"/>
              </w:rPr>
            </w:pPr>
            <w:r>
              <w:rPr>
                <w:rFonts w:hint="default" w:ascii="Times New Roman" w:hAnsi="Times New Roman" w:eastAsia="宋体" w:cs="Times New Roman"/>
                <w:b w:val="0"/>
                <w:bCs w:val="0"/>
                <w:i w:val="0"/>
                <w:iCs w:val="0"/>
                <w:color w:val="000000"/>
                <w:spacing w:val="0"/>
                <w:w w:val="100"/>
                <w:sz w:val="24"/>
                <w:szCs w:val="24"/>
                <w:vertAlign w:val="baseline"/>
              </w:rPr>
              <w:t>查阅变压器厂家设计资料，本项目主变压器单台装油量约25t，2台合计约50t；变压器油密度按0.895t/m³计，折算单台油量体积约27.9m³、全站约55.9m³。根据《高压配电装置设计规范》（DL/T 5352—2018）和《火力发电厂与变电站设计防火标准》（GB 50229</w:t>
            </w:r>
            <w:r>
              <w:rPr>
                <w:rFonts w:hint="default" w:ascii="Times New Roman" w:hAnsi="Times New Roman" w:eastAsia="宋体" w:cs="Times New Roman"/>
                <w:b w:val="0"/>
                <w:bCs w:val="0"/>
                <w:i w:val="0"/>
                <w:iCs w:val="0"/>
                <w:color w:val="000000"/>
                <w:spacing w:val="0"/>
                <w:w w:val="100"/>
                <w:sz w:val="24"/>
                <w:szCs w:val="24"/>
                <w:vertAlign w:val="baseline"/>
                <w:lang w:val="en-US" w:eastAsia="zh-CN"/>
              </w:rPr>
              <w:t>-</w:t>
            </w:r>
            <w:r>
              <w:rPr>
                <w:rFonts w:hint="default" w:ascii="Times New Roman" w:hAnsi="Times New Roman" w:eastAsia="宋体" w:cs="Times New Roman"/>
                <w:b w:val="0"/>
                <w:bCs w:val="0"/>
                <w:i w:val="0"/>
                <w:iCs w:val="0"/>
                <w:color w:val="000000"/>
                <w:spacing w:val="0"/>
                <w:w w:val="100"/>
                <w:sz w:val="24"/>
                <w:szCs w:val="24"/>
                <w:vertAlign w:val="baseline"/>
              </w:rPr>
              <w:t>2019）的规定，户外油浸式变压器应设置贮油设施，其容量按最大一台设备油量的100%确定。本站于主变南侧设事故油池1座，平面尺寸 4.85m×3.3m×3.8m，有效容积约30m³，大于单台主变油量体积27.9m³，可满足单台最大容量变压器绝缘油在事故并失控情况下泄漏时100%不外溢至外环境的需要；2台主变下方分设事故油坑，各自经排油管道接入事故油池，两台主变同时发生事故的概率极低。当变压器发生漏油事故时，绝缘油排入事故油池，经油水分离后交由有处理资质的单位处置。</w:t>
            </w:r>
          </w:p>
          <w:p w14:paraId="7B1A3992">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cs="Times New Roman"/>
                <w:sz w:val="24"/>
                <w:szCs w:val="24"/>
              </w:rPr>
            </w:pPr>
            <w:r>
              <w:rPr>
                <w:rFonts w:hint="default" w:ascii="Times New Roman" w:hAnsi="Times New Roman" w:eastAsia="宋体" w:cs="Times New Roman"/>
                <w:b w:val="0"/>
                <w:bCs w:val="0"/>
                <w:i w:val="0"/>
                <w:iCs w:val="0"/>
                <w:color w:val="000000"/>
                <w:spacing w:val="0"/>
                <w:w w:val="100"/>
                <w:sz w:val="24"/>
                <w:szCs w:val="24"/>
                <w:vertAlign w:val="baseline"/>
              </w:rPr>
              <w:t>事故油池采用现浇钢筋混凝土结构，池体混凝土强度等级C40、抗渗等级P10、抗冻等级F250，防水等级一级、防水做法不少于</w:t>
            </w:r>
            <w:r>
              <w:rPr>
                <w:rFonts w:hint="default" w:ascii="Times New Roman" w:hAnsi="Times New Roman" w:eastAsia="宋体" w:cs="Times New Roman"/>
                <w:b w:val="0"/>
                <w:bCs w:val="0"/>
                <w:i w:val="0"/>
                <w:iCs w:val="0"/>
                <w:color w:val="000000"/>
                <w:spacing w:val="0"/>
                <w:w w:val="100"/>
                <w:sz w:val="24"/>
                <w:szCs w:val="24"/>
                <w:vertAlign w:val="baseline"/>
                <w:lang w:val="en-US" w:eastAsia="zh-CN"/>
              </w:rPr>
              <w:t>3</w:t>
            </w:r>
            <w:r>
              <w:rPr>
                <w:rFonts w:hint="default" w:ascii="Times New Roman" w:hAnsi="Times New Roman" w:eastAsia="宋体" w:cs="Times New Roman"/>
                <w:b w:val="0"/>
                <w:bCs w:val="0"/>
                <w:i w:val="0"/>
                <w:iCs w:val="0"/>
                <w:color w:val="000000"/>
                <w:spacing w:val="0"/>
                <w:w w:val="100"/>
                <w:sz w:val="24"/>
                <w:szCs w:val="24"/>
                <w:vertAlign w:val="baseline"/>
              </w:rPr>
              <w:t>道：池体结构自防水（P10抗渗混凝土）、池外壁自粘式高分子防水卷材、池内壁防水砂浆抹面，顶板、内壁及底板表面均用1:2水泥砂浆内掺5%防水粉抹面厚 20mm，垫层为C20聚合物水泥混凝土，渗透系数不大于1×10</w:t>
            </w:r>
            <w:r>
              <w:rPr>
                <w:rFonts w:hint="default" w:ascii="Times New Roman" w:hAnsi="Times New Roman" w:eastAsia="宋体" w:cs="Times New Roman"/>
                <w:b w:val="0"/>
                <w:bCs w:val="0"/>
                <w:i w:val="0"/>
                <w:iCs w:val="0"/>
                <w:color w:val="000000"/>
                <w:spacing w:val="0"/>
                <w:w w:val="100"/>
                <w:sz w:val="24"/>
                <w:szCs w:val="24"/>
                <w:vertAlign w:val="superscript"/>
                <w:lang w:val="en-US" w:eastAsia="zh-CN"/>
              </w:rPr>
              <w:t>-10</w:t>
            </w:r>
            <w:r>
              <w:rPr>
                <w:rFonts w:hint="default" w:ascii="Times New Roman" w:hAnsi="Times New Roman" w:eastAsia="宋体" w:cs="Times New Roman"/>
                <w:b w:val="0"/>
                <w:bCs w:val="0"/>
                <w:i w:val="0"/>
                <w:iCs w:val="0"/>
                <w:color w:val="000000"/>
                <w:spacing w:val="0"/>
                <w:w w:val="100"/>
                <w:sz w:val="24"/>
                <w:szCs w:val="24"/>
                <w:vertAlign w:val="baseline"/>
              </w:rPr>
              <w:t>cm/s；池顶加盖钢筋混凝土盖板并设检修人孔，池内设油水分离设施。站址地基土及地下水对混凝土、钢筋具强腐蚀性，池体外表面另做环氧沥青防腐涂层（干膜厚度不小于500μm）。事故油池、事故油坑的设计详见附图。</w:t>
            </w:r>
          </w:p>
          <w:p w14:paraId="12F795BF">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cs="Times New Roman"/>
                <w:sz w:val="24"/>
                <w:szCs w:val="24"/>
              </w:rPr>
            </w:pPr>
            <w:r>
              <w:rPr>
                <w:rFonts w:hint="default" w:ascii="Times New Roman" w:hAnsi="Times New Roman" w:eastAsia="宋体" w:cs="Times New Roman"/>
                <w:b w:val="0"/>
                <w:bCs w:val="0"/>
                <w:i w:val="0"/>
                <w:iCs w:val="0"/>
                <w:color w:val="000000"/>
                <w:spacing w:val="0"/>
                <w:w w:val="100"/>
                <w:sz w:val="24"/>
                <w:szCs w:val="24"/>
                <w:vertAlign w:val="baseline"/>
              </w:rPr>
              <w:t>本工程主变事故油坑、集油沟和事故油池等构筑物配套设置拦截、防雨、防渗措施，油坑内铺设卵石层、坑壁做防渗处理，一旦发生泄漏，能及时进行拦截和处理，确保油及油水混合物全部收集、不外排，防止出现漏油事故或检修设备时污染环境。事故油池平时保持空池，池内积水定期抽排，严禁油水混排或排入雨水系统；站区雨水采用散排方式、不设对外排水口，事故工况下的含油雨水不会经雨水系统外排。</w:t>
            </w:r>
          </w:p>
          <w:p w14:paraId="1103FE68">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cs="Times New Roman"/>
                <w:sz w:val="24"/>
                <w:szCs w:val="24"/>
              </w:rPr>
            </w:pPr>
            <w:r>
              <w:rPr>
                <w:rFonts w:hint="default" w:ascii="Times New Roman" w:hAnsi="Times New Roman" w:eastAsia="宋体" w:cs="Times New Roman"/>
                <w:b w:val="0"/>
                <w:bCs w:val="0"/>
                <w:i w:val="0"/>
                <w:iCs w:val="0"/>
                <w:color w:val="000000"/>
                <w:spacing w:val="0"/>
                <w:w w:val="100"/>
                <w:sz w:val="24"/>
                <w:szCs w:val="24"/>
                <w:vertAlign w:val="baseline"/>
              </w:rPr>
              <w:t>站内其他环境风险因素为SF6气体泄漏和废铅蓄电池电解液泄漏。110kV配电装置采用户内GIS，SF6气体密闭于气室内、正常运行不泄漏；GIS室按间隔配置SF6泄漏监测传感器并联动机械排风，排风口设于房间下部，防止气体在低洼处积聚造成缺氧。废铅蓄电池、废变压器油等危险废物暂存于厂区危险废物暂存间，专用密闭容器分类存放，暂存间设围堰和防渗地面，贮存时间不超过一年，由有资质单位定期清运，不发生电解液或废油渗漏污染土壤的情形。</w:t>
            </w:r>
          </w:p>
          <w:p w14:paraId="08C7DA35">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cs="Times New Roman"/>
              </w:rPr>
            </w:pPr>
            <w:r>
              <w:rPr>
                <w:rFonts w:hint="default" w:ascii="Times New Roman" w:hAnsi="Times New Roman" w:eastAsia="宋体" w:cs="Times New Roman"/>
                <w:b w:val="0"/>
                <w:bCs w:val="0"/>
                <w:i w:val="0"/>
                <w:iCs w:val="0"/>
                <w:color w:val="000000"/>
                <w:spacing w:val="0"/>
                <w:w w:val="100"/>
                <w:sz w:val="24"/>
                <w:szCs w:val="24"/>
                <w:vertAlign w:val="baseline"/>
              </w:rPr>
              <w:t>为防止风险事件的发生，建设单位应落实消防安全责任制，加强安全教育和安全检查，及时消除事故隐患；编制突发环境事件应急预案并报属地生态环境部门备案，配备吸油毡、沙袋、应急泵等应急物资，定期组织应急演练，提升变电站事故应急救援处置工作水平。在落实上述风险防范和应急措施后，本项目环境风险可防可控，对周边环境的影响可接受。</w:t>
            </w:r>
          </w:p>
        </w:tc>
      </w:tr>
      <w:tr w14:paraId="2016AA7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271" w:type="pct"/>
            <w:vAlign w:val="center"/>
          </w:tcPr>
          <w:p w14:paraId="1BDEF2F3">
            <w:pPr>
              <w:pStyle w:val="40"/>
              <w:adjustRightInd w:val="0"/>
              <w:snapToGrid w:val="0"/>
              <w:spacing w:before="0" w:beforeAutospacing="0" w:after="0" w:afterAutospacing="0"/>
              <w:jc w:val="center"/>
              <w:rPr>
                <w:rFonts w:hint="default" w:ascii="Times New Roman" w:hAnsi="Times New Roman" w:cs="Times New Roman" w:eastAsiaTheme="minorEastAsia"/>
                <w:bCs/>
                <w:kern w:val="2"/>
                <w:sz w:val="21"/>
                <w:szCs w:val="21"/>
              </w:rPr>
            </w:pPr>
            <w:r>
              <w:rPr>
                <w:rFonts w:hint="default" w:ascii="Times New Roman" w:hAnsi="Times New Roman" w:cs="Times New Roman" w:eastAsiaTheme="minorEastAsia"/>
                <w:spacing w:val="-4"/>
                <w:szCs w:val="21"/>
              </w:rPr>
              <w:t>选址选线环境合理性分析</w:t>
            </w:r>
          </w:p>
        </w:tc>
        <w:tc>
          <w:tcPr>
            <w:tcW w:w="4729" w:type="pct"/>
          </w:tcPr>
          <w:p w14:paraId="6294D276">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b w:val="0"/>
                <w:bCs w:val="0"/>
                <w:i w:val="0"/>
                <w:iCs w:val="0"/>
                <w:color w:val="000000"/>
                <w:spacing w:val="0"/>
                <w:w w:val="100"/>
                <w:sz w:val="24"/>
                <w:szCs w:val="24"/>
                <w:vertAlign w:val="baseline"/>
              </w:rPr>
            </w:pPr>
            <w:r>
              <w:rPr>
                <w:rFonts w:hint="default" w:ascii="Times New Roman" w:hAnsi="Times New Roman" w:eastAsia="宋体" w:cs="Times New Roman"/>
                <w:b w:val="0"/>
                <w:bCs w:val="0"/>
                <w:i w:val="0"/>
                <w:iCs w:val="0"/>
                <w:color w:val="000000"/>
                <w:spacing w:val="0"/>
                <w:w w:val="100"/>
                <w:sz w:val="24"/>
                <w:szCs w:val="24"/>
                <w:vertAlign w:val="baseline"/>
              </w:rPr>
              <w:t>本工程变电站选址符合生态保护红线管控要求，避让了自然保护区、饮用水水源保护区等环境敏感区；站址位于尉犁工业园区主园区产业园（一期）厂区规划预留的变电站用地内，选址时按终期规模综合考虑了进出线走廊规划，尽可能远离了以居住、医疗卫生、文化教育、科研、行政办公等为主要功能的区域；站址选择满足《输变电建设项目环境保护技术要求》（HJ 1113</w:t>
            </w:r>
            <w:r>
              <w:rPr>
                <w:rFonts w:hint="default" w:ascii="Times New Roman" w:hAnsi="Times New Roman" w:eastAsia="宋体" w:cs="Times New Roman"/>
                <w:b w:val="0"/>
                <w:bCs w:val="0"/>
                <w:i w:val="0"/>
                <w:iCs w:val="0"/>
                <w:color w:val="000000"/>
                <w:spacing w:val="0"/>
                <w:w w:val="100"/>
                <w:sz w:val="24"/>
                <w:szCs w:val="24"/>
                <w:vertAlign w:val="baseline"/>
                <w:lang w:val="en-US" w:eastAsia="zh-CN"/>
              </w:rPr>
              <w:t>-</w:t>
            </w:r>
            <w:r>
              <w:rPr>
                <w:rFonts w:hint="default" w:ascii="Times New Roman" w:hAnsi="Times New Roman" w:eastAsia="宋体" w:cs="Times New Roman"/>
                <w:b w:val="0"/>
                <w:bCs w:val="0"/>
                <w:i w:val="0"/>
                <w:iCs w:val="0"/>
                <w:color w:val="000000"/>
                <w:spacing w:val="0"/>
                <w:w w:val="100"/>
                <w:sz w:val="24"/>
                <w:szCs w:val="24"/>
                <w:vertAlign w:val="baseline"/>
              </w:rPr>
              <w:t>2020）相关要求。</w:t>
            </w:r>
          </w:p>
          <w:p w14:paraId="2B04E11F">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b w:val="0"/>
                <w:bCs w:val="0"/>
                <w:i w:val="0"/>
                <w:iCs w:val="0"/>
                <w:color w:val="000000"/>
                <w:spacing w:val="0"/>
                <w:w w:val="100"/>
                <w:sz w:val="24"/>
                <w:szCs w:val="24"/>
                <w:vertAlign w:val="baseline"/>
              </w:rPr>
            </w:pPr>
            <w:r>
              <w:rPr>
                <w:rFonts w:hint="default" w:ascii="Times New Roman" w:hAnsi="Times New Roman" w:eastAsia="宋体" w:cs="Times New Roman"/>
                <w:b w:val="0"/>
                <w:bCs w:val="0"/>
                <w:i w:val="0"/>
                <w:iCs w:val="0"/>
                <w:color w:val="000000"/>
                <w:spacing w:val="0"/>
                <w:w w:val="100"/>
                <w:sz w:val="24"/>
                <w:szCs w:val="24"/>
                <w:vertAlign w:val="baseline"/>
              </w:rPr>
              <w:t>与《输变电建设项目环境保护技术要求》相符性分析见表 4-11。</w:t>
            </w:r>
          </w:p>
          <w:p w14:paraId="50303B56">
            <w:pPr>
              <w:pStyle w:val="67"/>
              <w:keepNext w:val="0"/>
              <w:keepLines w:val="0"/>
              <w:pageBreakBefore w:val="0"/>
              <w:widowControl w:val="0"/>
              <w:numPr>
                <w:ilvl w:val="0"/>
                <w:numId w:val="0"/>
              </w:numPr>
              <w:kinsoku/>
              <w:wordWrap/>
              <w:overflowPunct/>
              <w:topLinePunct w:val="0"/>
              <w:autoSpaceDE/>
              <w:autoSpaceDN/>
              <w:bidi w:val="0"/>
              <w:adjustRightInd/>
              <w:snapToGrid/>
              <w:spacing w:line="480" w:lineRule="exact"/>
              <w:ind w:left="0" w:leftChars="0"/>
              <w:jc w:val="center"/>
              <w:textAlignment w:val="auto"/>
              <w:rPr>
                <w:rFonts w:hint="default" w:ascii="Times New Roman" w:hAnsi="Times New Roman" w:cs="Times New Roman"/>
                <w:kern w:val="0"/>
                <w:sz w:val="24"/>
              </w:rPr>
            </w:pPr>
            <w:r>
              <w:rPr>
                <w:rFonts w:hint="default" w:ascii="Times New Roman" w:hAnsi="Times New Roman" w:eastAsia="黑体" w:cs="Times New Roman"/>
                <w:lang w:val="en-US" w:eastAsia="zh-CN"/>
              </w:rPr>
              <w:t>表4-11 本工程与《输变电建设项目环境保护技术要求》相符性分析一览表</w:t>
            </w:r>
          </w:p>
          <w:tbl>
            <w:tblPr>
              <w:tblStyle w:val="43"/>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879"/>
              <w:gridCol w:w="2596"/>
              <w:gridCol w:w="3131"/>
              <w:gridCol w:w="1025"/>
            </w:tblGrid>
            <w:tr w14:paraId="3A0057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jc w:val="center"/>
              </w:trPr>
              <w:tc>
                <w:tcPr>
                  <w:tcW w:w="879"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6D26F7F7">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bCs/>
                      <w:i w:val="0"/>
                      <w:iCs w:val="0"/>
                      <w:color w:val="000000"/>
                      <w:spacing w:val="0"/>
                      <w:w w:val="100"/>
                      <w:sz w:val="21"/>
                      <w:szCs w:val="21"/>
                      <w:vertAlign w:val="baseline"/>
                    </w:rPr>
                    <w:t>阶段</w:t>
                  </w:r>
                </w:p>
              </w:tc>
              <w:tc>
                <w:tcPr>
                  <w:tcW w:w="259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137E0472">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bCs/>
                      <w:i w:val="0"/>
                      <w:iCs w:val="0"/>
                      <w:color w:val="000000"/>
                      <w:spacing w:val="0"/>
                      <w:w w:val="100"/>
                      <w:sz w:val="21"/>
                      <w:szCs w:val="21"/>
                      <w:vertAlign w:val="baseline"/>
                    </w:rPr>
                    <w:t>技术要求</w:t>
                  </w:r>
                </w:p>
              </w:tc>
              <w:tc>
                <w:tcPr>
                  <w:tcW w:w="313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26109ADC">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bCs/>
                      <w:i w:val="0"/>
                      <w:iCs w:val="0"/>
                      <w:color w:val="000000"/>
                      <w:spacing w:val="0"/>
                      <w:w w:val="100"/>
                      <w:sz w:val="21"/>
                      <w:szCs w:val="21"/>
                      <w:vertAlign w:val="baseline"/>
                    </w:rPr>
                    <w:t>本项目情况</w:t>
                  </w:r>
                </w:p>
              </w:tc>
              <w:tc>
                <w:tcPr>
                  <w:tcW w:w="102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2531CE6F">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bCs/>
                      <w:i w:val="0"/>
                      <w:iCs w:val="0"/>
                      <w:color w:val="000000"/>
                      <w:spacing w:val="0"/>
                      <w:w w:val="100"/>
                      <w:sz w:val="21"/>
                      <w:szCs w:val="21"/>
                      <w:vertAlign w:val="baseline"/>
                    </w:rPr>
                    <w:t>符合性</w:t>
                  </w:r>
                </w:p>
              </w:tc>
            </w:tr>
            <w:tr w14:paraId="416395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jc w:val="center"/>
              </w:trPr>
              <w:tc>
                <w:tcPr>
                  <w:tcW w:w="879" w:type="dxa"/>
                  <w:vMerge w:val="restart"/>
                  <w:tcBorders>
                    <w:top w:val="single" w:color="000000" w:sz="4" w:space="0"/>
                    <w:left w:val="single" w:color="000000" w:sz="4" w:space="0"/>
                    <w:right w:val="single" w:color="000000" w:sz="4" w:space="0"/>
                  </w:tcBorders>
                  <w:shd w:val="clear" w:color="auto" w:fill="auto"/>
                  <w:tcMar>
                    <w:top w:w="0" w:type="dxa"/>
                    <w:left w:w="108" w:type="dxa"/>
                    <w:bottom w:w="0" w:type="dxa"/>
                    <w:right w:w="108" w:type="dxa"/>
                  </w:tcMar>
                  <w:vAlign w:val="center"/>
                </w:tcPr>
                <w:p w14:paraId="0033A680">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val="0"/>
                      <w:bCs w:val="0"/>
                      <w:i w:val="0"/>
                      <w:iCs w:val="0"/>
                      <w:color w:val="000000"/>
                      <w:spacing w:val="0"/>
                      <w:w w:val="100"/>
                      <w:sz w:val="21"/>
                      <w:szCs w:val="21"/>
                      <w:vertAlign w:val="baseline"/>
                    </w:rPr>
                  </w:pPr>
                  <w:r>
                    <w:rPr>
                      <w:rFonts w:hint="default" w:ascii="Times New Roman" w:hAnsi="Times New Roman" w:eastAsia="宋体" w:cs="Times New Roman"/>
                      <w:b w:val="0"/>
                      <w:bCs w:val="0"/>
                      <w:i w:val="0"/>
                      <w:iCs w:val="0"/>
                      <w:color w:val="000000"/>
                      <w:spacing w:val="0"/>
                      <w:w w:val="100"/>
                      <w:sz w:val="21"/>
                      <w:szCs w:val="21"/>
                      <w:vertAlign w:val="baseline"/>
                    </w:rPr>
                    <w:t>选址选线</w:t>
                  </w:r>
                </w:p>
                <w:p w14:paraId="53C91ACB">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p>
              </w:tc>
              <w:tc>
                <w:tcPr>
                  <w:tcW w:w="259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2D508975">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工程选址选线应符合规划环境影响评价文件的要求。</w:t>
                  </w:r>
                </w:p>
              </w:tc>
              <w:tc>
                <w:tcPr>
                  <w:tcW w:w="313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0CD84E89">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本工程为产业园（一期）项目配套供电工程，站址用地为产业园（一期）厂区规划预留的变电站用地，产业园（一期）项目环境影响报告书已取得巴音郭楞蒙古自治州生态环境局批复（巴环评价函〔2026〕190号），本工程作为其配套供电设施建设，符合规划及规划环境影响评价要求。</w:t>
                  </w:r>
                </w:p>
              </w:tc>
              <w:tc>
                <w:tcPr>
                  <w:tcW w:w="102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09AF80D2">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符合</w:t>
                  </w:r>
                </w:p>
              </w:tc>
            </w:tr>
            <w:tr w14:paraId="0F2525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jc w:val="center"/>
              </w:trPr>
              <w:tc>
                <w:tcPr>
                  <w:tcW w:w="879" w:type="dxa"/>
                  <w:vMerge w:val="continue"/>
                  <w:tcBorders>
                    <w:left w:val="single" w:color="000000" w:sz="4" w:space="0"/>
                    <w:right w:val="single" w:color="000000" w:sz="4" w:space="0"/>
                  </w:tcBorders>
                  <w:shd w:val="clear" w:color="auto" w:fill="auto"/>
                  <w:tcMar>
                    <w:top w:w="0" w:type="dxa"/>
                    <w:left w:w="108" w:type="dxa"/>
                    <w:bottom w:w="0" w:type="dxa"/>
                    <w:right w:w="108" w:type="dxa"/>
                  </w:tcMar>
                  <w:vAlign w:val="center"/>
                </w:tcPr>
                <w:p w14:paraId="55AD2F8B">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p>
              </w:tc>
              <w:tc>
                <w:tcPr>
                  <w:tcW w:w="259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7AD61927">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输变电建设项目选址选线应符合生态保护红线管控要求，避让自然保护区、</w:t>
                  </w:r>
                  <w:r>
                    <w:rPr>
                      <w:rFonts w:hint="eastAsia" w:ascii="Times New Roman" w:hAnsi="Times New Roman" w:cs="Times New Roman"/>
                      <w:b w:val="0"/>
                      <w:bCs w:val="0"/>
                      <w:i w:val="0"/>
                      <w:iCs w:val="0"/>
                      <w:color w:val="000000"/>
                      <w:spacing w:val="0"/>
                      <w:w w:val="100"/>
                      <w:sz w:val="21"/>
                      <w:szCs w:val="21"/>
                      <w:vertAlign w:val="baseline"/>
                      <w:lang w:eastAsia="zh-CN"/>
                    </w:rPr>
                    <w:t>饮用水水源保护区</w:t>
                  </w:r>
                  <w:r>
                    <w:rPr>
                      <w:rFonts w:hint="default" w:ascii="Times New Roman" w:hAnsi="Times New Roman" w:eastAsia="宋体" w:cs="Times New Roman"/>
                      <w:b w:val="0"/>
                      <w:bCs w:val="0"/>
                      <w:i w:val="0"/>
                      <w:iCs w:val="0"/>
                      <w:color w:val="000000"/>
                      <w:spacing w:val="0"/>
                      <w:w w:val="100"/>
                      <w:sz w:val="21"/>
                      <w:szCs w:val="21"/>
                      <w:vertAlign w:val="baseline"/>
                    </w:rPr>
                    <w:t>等环境敏感区。</w:t>
                  </w:r>
                </w:p>
              </w:tc>
              <w:tc>
                <w:tcPr>
                  <w:tcW w:w="313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31E73B76">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站址不在生态保护红线范围内；站址及周边5km范围内不涉及自然保护区、饮用水水源保护区、风景名胜区、世界文化和自然遗产地、水产种质资源保护区等环境敏感区，不涉及生态保护红线。</w:t>
                  </w:r>
                </w:p>
              </w:tc>
              <w:tc>
                <w:tcPr>
                  <w:tcW w:w="102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2135F795">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符合</w:t>
                  </w:r>
                </w:p>
              </w:tc>
            </w:tr>
            <w:tr w14:paraId="7CBF28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jc w:val="center"/>
              </w:trPr>
              <w:tc>
                <w:tcPr>
                  <w:tcW w:w="879" w:type="dxa"/>
                  <w:vMerge w:val="continue"/>
                  <w:tcBorders>
                    <w:left w:val="single" w:color="000000" w:sz="4" w:space="0"/>
                    <w:right w:val="single" w:color="000000" w:sz="4" w:space="0"/>
                  </w:tcBorders>
                  <w:shd w:val="clear" w:color="auto" w:fill="auto"/>
                  <w:tcMar>
                    <w:top w:w="0" w:type="dxa"/>
                    <w:left w:w="108" w:type="dxa"/>
                    <w:bottom w:w="0" w:type="dxa"/>
                    <w:right w:w="108" w:type="dxa"/>
                  </w:tcMar>
                  <w:vAlign w:val="center"/>
                </w:tcPr>
                <w:p w14:paraId="34EC7BE5">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p>
              </w:tc>
              <w:tc>
                <w:tcPr>
                  <w:tcW w:w="259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7F435589">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变电工程在选址时应按终期规模综合考虑进出线走廊规划，避免进出线进入自然保护区、饮用水水源保护区等环境敏感区。</w:t>
                  </w:r>
                </w:p>
              </w:tc>
              <w:tc>
                <w:tcPr>
                  <w:tcW w:w="313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1D790E30">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站址按终期规模预留进出线走廊：110kV 向北架空出线、10kV 向西电缆出线，进出线走廊内均为工业园区道路及厂区用地，不涉及自然保护区、饮用水水源保护区等环境敏感区；110kV 送出线路不在本评价范围内，需另行环评，线路方案需落实避让敏感区要求。</w:t>
                  </w:r>
                </w:p>
              </w:tc>
              <w:tc>
                <w:tcPr>
                  <w:tcW w:w="102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0941CEF8">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符合</w:t>
                  </w:r>
                </w:p>
              </w:tc>
            </w:tr>
            <w:tr w14:paraId="0A8AEB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jc w:val="center"/>
              </w:trPr>
              <w:tc>
                <w:tcPr>
                  <w:tcW w:w="879" w:type="dxa"/>
                  <w:vMerge w:val="continue"/>
                  <w:tcBorders>
                    <w:left w:val="single" w:color="000000" w:sz="4" w:space="0"/>
                    <w:right w:val="single" w:color="000000" w:sz="4" w:space="0"/>
                  </w:tcBorders>
                  <w:shd w:val="clear" w:color="auto" w:fill="auto"/>
                  <w:tcMar>
                    <w:top w:w="0" w:type="dxa"/>
                    <w:left w:w="108" w:type="dxa"/>
                    <w:bottom w:w="0" w:type="dxa"/>
                    <w:right w:w="108" w:type="dxa"/>
                  </w:tcMar>
                  <w:vAlign w:val="center"/>
                </w:tcPr>
                <w:p w14:paraId="421EB802">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p>
              </w:tc>
              <w:tc>
                <w:tcPr>
                  <w:tcW w:w="259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52EDCCCD">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户外变电站工程及规划架空进出线选址时，应关注以居住、医疗卫生、文化教育、科研、行政办公等为主要功能的区域，采取综合措施，减少电磁和声环境影响。</w:t>
                  </w:r>
                </w:p>
              </w:tc>
              <w:tc>
                <w:tcPr>
                  <w:tcW w:w="313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1399DBE0">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站址位于工业园区内，周边为厂区道路及工业用地，</w:t>
                  </w:r>
                  <w:r>
                    <w:rPr>
                      <w:rFonts w:hint="eastAsia" w:ascii="Times New Roman" w:hAnsi="Times New Roman" w:cs="Times New Roman"/>
                      <w:b w:val="0"/>
                      <w:bCs w:val="0"/>
                      <w:i w:val="0"/>
                      <w:iCs w:val="0"/>
                      <w:color w:val="000000"/>
                      <w:spacing w:val="0"/>
                      <w:w w:val="100"/>
                      <w:sz w:val="21"/>
                      <w:szCs w:val="21"/>
                      <w:vertAlign w:val="baseline"/>
                      <w:lang w:eastAsia="zh-CN"/>
                    </w:rPr>
                    <w:t>变电站站界</w:t>
                  </w:r>
                  <w:r>
                    <w:rPr>
                      <w:rFonts w:hint="default" w:ascii="Times New Roman" w:hAnsi="Times New Roman" w:eastAsia="宋体" w:cs="Times New Roman"/>
                      <w:b w:val="0"/>
                      <w:bCs w:val="0"/>
                      <w:i w:val="0"/>
                      <w:iCs w:val="0"/>
                      <w:color w:val="000000"/>
                      <w:spacing w:val="0"/>
                      <w:w w:val="100"/>
                      <w:sz w:val="21"/>
                      <w:szCs w:val="21"/>
                      <w:vertAlign w:val="baseline"/>
                    </w:rPr>
                    <w:t>外</w:t>
                  </w:r>
                  <w:r>
                    <w:rPr>
                      <w:rFonts w:hint="eastAsia" w:ascii="Times New Roman" w:hAnsi="Times New Roman" w:cs="Times New Roman"/>
                      <w:b w:val="0"/>
                      <w:bCs w:val="0"/>
                      <w:i w:val="0"/>
                      <w:iCs w:val="0"/>
                      <w:color w:val="000000"/>
                      <w:spacing w:val="0"/>
                      <w:w w:val="100"/>
                      <w:sz w:val="21"/>
                      <w:szCs w:val="21"/>
                      <w:vertAlign w:val="baseline"/>
                      <w:lang w:val="en-US" w:eastAsia="zh-CN"/>
                    </w:rPr>
                    <w:t>30</w:t>
                  </w:r>
                  <w:r>
                    <w:rPr>
                      <w:rFonts w:hint="default" w:ascii="Times New Roman" w:hAnsi="Times New Roman" w:eastAsia="宋体" w:cs="Times New Roman"/>
                      <w:b w:val="0"/>
                      <w:bCs w:val="0"/>
                      <w:i w:val="0"/>
                      <w:iCs w:val="0"/>
                      <w:color w:val="000000"/>
                      <w:spacing w:val="0"/>
                      <w:w w:val="100"/>
                      <w:sz w:val="21"/>
                      <w:szCs w:val="21"/>
                      <w:vertAlign w:val="baseline"/>
                    </w:rPr>
                    <w:t>m范围内无声环境、电磁环境敏感目标；最近敏感目标为</w:t>
                  </w:r>
                  <w:r>
                    <w:rPr>
                      <w:rFonts w:hint="eastAsia" w:ascii="Times New Roman" w:hAnsi="Times New Roman" w:cs="Times New Roman"/>
                      <w:b w:val="0"/>
                      <w:bCs w:val="0"/>
                      <w:i w:val="0"/>
                      <w:iCs w:val="0"/>
                      <w:color w:val="000000"/>
                      <w:spacing w:val="0"/>
                      <w:w w:val="100"/>
                      <w:sz w:val="21"/>
                      <w:szCs w:val="21"/>
                      <w:vertAlign w:val="baseline"/>
                      <w:lang w:eastAsia="zh-CN"/>
                    </w:rPr>
                    <w:t>变电站站界</w:t>
                  </w:r>
                  <w:r>
                    <w:rPr>
                      <w:rFonts w:hint="default" w:ascii="Times New Roman" w:hAnsi="Times New Roman" w:eastAsia="宋体" w:cs="Times New Roman"/>
                      <w:b w:val="0"/>
                      <w:bCs w:val="0"/>
                      <w:i w:val="0"/>
                      <w:iCs w:val="0"/>
                      <w:color w:val="000000"/>
                      <w:spacing w:val="0"/>
                      <w:w w:val="100"/>
                      <w:sz w:val="21"/>
                      <w:szCs w:val="21"/>
                      <w:vertAlign w:val="baseline"/>
                    </w:rPr>
                    <w:t>东北侧约214m的农田，距离衰减后影响可忽略；110kV 配电装置采用户内 GIS、10kV 采用户内开关柜，进一步降低电磁和声环境影响。</w:t>
                  </w:r>
                </w:p>
              </w:tc>
              <w:tc>
                <w:tcPr>
                  <w:tcW w:w="102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2BA4C5C5">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符合</w:t>
                  </w:r>
                </w:p>
              </w:tc>
            </w:tr>
            <w:tr w14:paraId="1F1DB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jc w:val="center"/>
              </w:trPr>
              <w:tc>
                <w:tcPr>
                  <w:tcW w:w="879" w:type="dxa"/>
                  <w:vMerge w:val="continue"/>
                  <w:tcBorders>
                    <w:left w:val="single" w:color="000000" w:sz="4" w:space="0"/>
                    <w:right w:val="single" w:color="000000" w:sz="4" w:space="0"/>
                  </w:tcBorders>
                  <w:shd w:val="clear" w:color="auto" w:fill="auto"/>
                  <w:tcMar>
                    <w:top w:w="0" w:type="dxa"/>
                    <w:left w:w="108" w:type="dxa"/>
                    <w:bottom w:w="0" w:type="dxa"/>
                    <w:right w:w="108" w:type="dxa"/>
                  </w:tcMar>
                  <w:vAlign w:val="center"/>
                </w:tcPr>
                <w:p w14:paraId="2AB9CA21">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p>
              </w:tc>
              <w:tc>
                <w:tcPr>
                  <w:tcW w:w="259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2E11BBE6">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同一走廊内的多回输电线路，应采取同塔多回架设、并行架设等形式，减少新开辟走廊，优化线路走廊间距，降低环境影响。</w:t>
                  </w:r>
                </w:p>
              </w:tc>
              <w:tc>
                <w:tcPr>
                  <w:tcW w:w="313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180B4CEF">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本工程不涉及输电线路评价内容，本次仅评价变电站工程；站外 110kV 线路另行履行环评手续。</w:t>
                  </w:r>
                </w:p>
              </w:tc>
              <w:tc>
                <w:tcPr>
                  <w:tcW w:w="102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51644CA7">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符合</w:t>
                  </w:r>
                </w:p>
              </w:tc>
            </w:tr>
            <w:tr w14:paraId="658350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jc w:val="center"/>
              </w:trPr>
              <w:tc>
                <w:tcPr>
                  <w:tcW w:w="879" w:type="dxa"/>
                  <w:vMerge w:val="continue"/>
                  <w:tcBorders>
                    <w:left w:val="single" w:color="000000" w:sz="4" w:space="0"/>
                    <w:right w:val="single" w:color="000000" w:sz="4" w:space="0"/>
                  </w:tcBorders>
                  <w:shd w:val="clear" w:color="auto" w:fill="auto"/>
                  <w:tcMar>
                    <w:top w:w="0" w:type="dxa"/>
                    <w:left w:w="108" w:type="dxa"/>
                    <w:bottom w:w="0" w:type="dxa"/>
                    <w:right w:w="108" w:type="dxa"/>
                  </w:tcMar>
                  <w:vAlign w:val="center"/>
                </w:tcPr>
                <w:p w14:paraId="2F4F1968">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p>
              </w:tc>
              <w:tc>
                <w:tcPr>
                  <w:tcW w:w="259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5C6A440E">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原则上避免在0类声环境功能区建设变电站。</w:t>
                  </w:r>
                </w:p>
              </w:tc>
              <w:tc>
                <w:tcPr>
                  <w:tcW w:w="313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751BB67E">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站址位于尉犁工业园区主园区，所在区域为《声环境质量标准》（GB 3096—2008）规定的3类声环境功能区，不涉及0类声环境功能区。</w:t>
                  </w:r>
                </w:p>
              </w:tc>
              <w:tc>
                <w:tcPr>
                  <w:tcW w:w="102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5E63E8F3">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符合</w:t>
                  </w:r>
                </w:p>
              </w:tc>
            </w:tr>
            <w:tr w14:paraId="25275F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jc w:val="center"/>
              </w:trPr>
              <w:tc>
                <w:tcPr>
                  <w:tcW w:w="879" w:type="dxa"/>
                  <w:vMerge w:val="continue"/>
                  <w:tcBorders>
                    <w:left w:val="single" w:color="000000" w:sz="4" w:space="0"/>
                    <w:right w:val="single" w:color="000000" w:sz="4" w:space="0"/>
                  </w:tcBorders>
                  <w:shd w:val="clear" w:color="auto" w:fill="auto"/>
                  <w:tcMar>
                    <w:top w:w="0" w:type="dxa"/>
                    <w:left w:w="108" w:type="dxa"/>
                    <w:bottom w:w="0" w:type="dxa"/>
                    <w:right w:w="108" w:type="dxa"/>
                  </w:tcMar>
                  <w:vAlign w:val="center"/>
                </w:tcPr>
                <w:p w14:paraId="19C60BFE">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p>
              </w:tc>
              <w:tc>
                <w:tcPr>
                  <w:tcW w:w="259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0019CC22">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输电线路宜避让集中林区，以减少林木砍伐，保护生态环境。</w:t>
                  </w:r>
                </w:p>
              </w:tc>
              <w:tc>
                <w:tcPr>
                  <w:tcW w:w="313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468D1485">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eastAsia" w:ascii="Times New Roman" w:hAnsi="Times New Roman" w:eastAsia="宋体" w:cs="Times New Roman"/>
                      <w:sz w:val="21"/>
                      <w:szCs w:val="21"/>
                      <w:lang w:eastAsia="zh-CN"/>
                    </w:rPr>
                  </w:pPr>
                  <w:r>
                    <w:rPr>
                      <w:rFonts w:hint="default" w:ascii="Times New Roman" w:hAnsi="Times New Roman" w:eastAsia="宋体" w:cs="Times New Roman"/>
                      <w:b w:val="0"/>
                      <w:bCs w:val="0"/>
                      <w:i w:val="0"/>
                      <w:iCs w:val="0"/>
                      <w:color w:val="000000"/>
                      <w:spacing w:val="0"/>
                      <w:w w:val="100"/>
                      <w:sz w:val="21"/>
                      <w:szCs w:val="21"/>
                      <w:vertAlign w:val="baseline"/>
                    </w:rPr>
                    <w:t>本工程不涉及输电线路评价内容；站址为厂区规划预留的建设用地（电力设施用地），占地地类为其他灌木林地，不属于国家特别规定的灌木林地，不涉及林地占用、草地占用及林木采伐</w:t>
                  </w:r>
                  <w:r>
                    <w:rPr>
                      <w:rFonts w:hint="eastAsia" w:ascii="Times New Roman" w:hAnsi="Times New Roman" w:cs="Times New Roman"/>
                      <w:b w:val="0"/>
                      <w:bCs w:val="0"/>
                      <w:i w:val="0"/>
                      <w:iCs w:val="0"/>
                      <w:color w:val="000000"/>
                      <w:spacing w:val="0"/>
                      <w:w w:val="100"/>
                      <w:sz w:val="21"/>
                      <w:szCs w:val="21"/>
                      <w:vertAlign w:val="baseline"/>
                      <w:lang w:eastAsia="zh-CN"/>
                    </w:rPr>
                    <w:t>。</w:t>
                  </w:r>
                </w:p>
              </w:tc>
              <w:tc>
                <w:tcPr>
                  <w:tcW w:w="102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74B8162A">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符合</w:t>
                  </w:r>
                </w:p>
              </w:tc>
            </w:tr>
            <w:tr w14:paraId="0281F2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jc w:val="center"/>
              </w:trPr>
              <w:tc>
                <w:tcPr>
                  <w:tcW w:w="879" w:type="dxa"/>
                  <w:vMerge w:val="continue"/>
                  <w:tcBorders>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5D86C38E">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p>
              </w:tc>
              <w:tc>
                <w:tcPr>
                  <w:tcW w:w="259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5DEA351F">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进入自然保护区的输电线路，应按照HJ 19的要求开展生态现状调查，避让保护对象的集中分布区。</w:t>
                  </w:r>
                </w:p>
              </w:tc>
              <w:tc>
                <w:tcPr>
                  <w:tcW w:w="313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5EB9A094">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本工程不涉及输电线路评价内容，站址及周边不涉及自然保护区。</w:t>
                  </w:r>
                </w:p>
              </w:tc>
              <w:tc>
                <w:tcPr>
                  <w:tcW w:w="102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5E711F7E">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符合</w:t>
                  </w:r>
                </w:p>
              </w:tc>
            </w:tr>
          </w:tbl>
          <w:p w14:paraId="504782F4">
            <w:pPr>
              <w:rPr>
                <w:rFonts w:hint="default" w:ascii="Times New Roman" w:hAnsi="Times New Roman" w:cs="Times New Roman"/>
              </w:rPr>
            </w:pPr>
          </w:p>
          <w:p w14:paraId="072D4A78">
            <w:pPr>
              <w:rPr>
                <w:rFonts w:hint="default" w:ascii="Times New Roman" w:hAnsi="Times New Roman" w:cs="Times New Roman"/>
              </w:rPr>
            </w:pPr>
          </w:p>
          <w:p w14:paraId="7876A19D">
            <w:pPr>
              <w:rPr>
                <w:rFonts w:hint="default" w:ascii="Times New Roman" w:hAnsi="Times New Roman" w:cs="Times New Roman"/>
              </w:rPr>
            </w:pPr>
          </w:p>
          <w:p w14:paraId="250899A1">
            <w:pPr>
              <w:rPr>
                <w:rFonts w:hint="default" w:ascii="Times New Roman" w:hAnsi="Times New Roman" w:cs="Times New Roman"/>
              </w:rPr>
            </w:pPr>
          </w:p>
          <w:p w14:paraId="0B157FBF">
            <w:pPr>
              <w:rPr>
                <w:rFonts w:hint="default" w:ascii="Times New Roman" w:hAnsi="Times New Roman" w:cs="Times New Roman"/>
              </w:rPr>
            </w:pPr>
          </w:p>
          <w:p w14:paraId="1152B4B8">
            <w:pPr>
              <w:rPr>
                <w:rFonts w:hint="default" w:ascii="Times New Roman" w:hAnsi="Times New Roman" w:cs="Times New Roman"/>
              </w:rPr>
            </w:pPr>
          </w:p>
          <w:p w14:paraId="53650198">
            <w:pPr>
              <w:rPr>
                <w:rFonts w:hint="default" w:ascii="Times New Roman" w:hAnsi="Times New Roman" w:cs="Times New Roman"/>
              </w:rPr>
            </w:pPr>
          </w:p>
          <w:p w14:paraId="2779AF1C">
            <w:pPr>
              <w:rPr>
                <w:rFonts w:hint="default" w:ascii="Times New Roman" w:hAnsi="Times New Roman" w:cs="Times New Roman"/>
              </w:rPr>
            </w:pPr>
          </w:p>
          <w:p w14:paraId="48A2E58E">
            <w:pPr>
              <w:rPr>
                <w:rFonts w:hint="default" w:ascii="Times New Roman" w:hAnsi="Times New Roman" w:cs="Times New Roman"/>
              </w:rPr>
            </w:pPr>
          </w:p>
          <w:p w14:paraId="7DAD5ED9">
            <w:pPr>
              <w:rPr>
                <w:rFonts w:hint="default" w:ascii="Times New Roman" w:hAnsi="Times New Roman" w:cs="Times New Roman"/>
              </w:rPr>
            </w:pPr>
          </w:p>
          <w:p w14:paraId="3AA7A28C">
            <w:pPr>
              <w:rPr>
                <w:rFonts w:hint="default" w:ascii="Times New Roman" w:hAnsi="Times New Roman" w:cs="Times New Roman"/>
              </w:rPr>
            </w:pPr>
          </w:p>
          <w:p w14:paraId="23F7173B">
            <w:pPr>
              <w:rPr>
                <w:rFonts w:hint="default" w:ascii="Times New Roman" w:hAnsi="Times New Roman" w:cs="Times New Roman"/>
              </w:rPr>
            </w:pPr>
          </w:p>
          <w:p w14:paraId="014A1DFB">
            <w:pPr>
              <w:rPr>
                <w:rFonts w:hint="default" w:ascii="Times New Roman" w:hAnsi="Times New Roman" w:cs="Times New Roman"/>
              </w:rPr>
            </w:pPr>
          </w:p>
          <w:p w14:paraId="1950D6AE">
            <w:pPr>
              <w:rPr>
                <w:rFonts w:hint="default" w:ascii="Times New Roman" w:hAnsi="Times New Roman" w:cs="Times New Roman"/>
              </w:rPr>
            </w:pPr>
          </w:p>
          <w:p w14:paraId="5B33649C">
            <w:pPr>
              <w:rPr>
                <w:rFonts w:hint="default" w:ascii="Times New Roman" w:hAnsi="Times New Roman" w:cs="Times New Roman"/>
              </w:rPr>
            </w:pPr>
          </w:p>
          <w:p w14:paraId="034D3FBE">
            <w:pPr>
              <w:rPr>
                <w:rFonts w:hint="default" w:ascii="Times New Roman" w:hAnsi="Times New Roman" w:cs="Times New Roman"/>
              </w:rPr>
            </w:pPr>
          </w:p>
          <w:p w14:paraId="2BA1BAE2">
            <w:pPr>
              <w:rPr>
                <w:rFonts w:hint="default" w:ascii="Times New Roman" w:hAnsi="Times New Roman" w:cs="Times New Roman"/>
              </w:rPr>
            </w:pPr>
          </w:p>
          <w:p w14:paraId="2EF04AC2">
            <w:pPr>
              <w:rPr>
                <w:rFonts w:hint="default" w:ascii="Times New Roman" w:hAnsi="Times New Roman" w:cs="Times New Roman"/>
              </w:rPr>
            </w:pPr>
          </w:p>
          <w:p w14:paraId="30CBB39A">
            <w:pPr>
              <w:rPr>
                <w:rFonts w:hint="default" w:ascii="Times New Roman" w:hAnsi="Times New Roman" w:cs="Times New Roman"/>
              </w:rPr>
            </w:pPr>
          </w:p>
          <w:p w14:paraId="47EBD8A8">
            <w:pPr>
              <w:rPr>
                <w:rFonts w:hint="default" w:ascii="Times New Roman" w:hAnsi="Times New Roman" w:cs="Times New Roman"/>
              </w:rPr>
            </w:pPr>
          </w:p>
          <w:p w14:paraId="4CEBEA09">
            <w:pPr>
              <w:rPr>
                <w:rFonts w:hint="default" w:ascii="Times New Roman" w:hAnsi="Times New Roman" w:cs="Times New Roman"/>
              </w:rPr>
            </w:pPr>
          </w:p>
          <w:p w14:paraId="23662F3A">
            <w:pPr>
              <w:rPr>
                <w:rFonts w:hint="default" w:ascii="Times New Roman" w:hAnsi="Times New Roman" w:cs="Times New Roman"/>
              </w:rPr>
            </w:pPr>
          </w:p>
          <w:p w14:paraId="348D0A3F">
            <w:pPr>
              <w:rPr>
                <w:rFonts w:hint="default" w:ascii="Times New Roman" w:hAnsi="Times New Roman" w:cs="Times New Roman"/>
              </w:rPr>
            </w:pPr>
          </w:p>
          <w:p w14:paraId="7CEC9FB1">
            <w:pPr>
              <w:rPr>
                <w:rFonts w:hint="default" w:ascii="Times New Roman" w:hAnsi="Times New Roman" w:cs="Times New Roman"/>
              </w:rPr>
            </w:pPr>
          </w:p>
          <w:p w14:paraId="46DD0C23">
            <w:pPr>
              <w:rPr>
                <w:rFonts w:hint="default" w:ascii="Times New Roman" w:hAnsi="Times New Roman" w:cs="Times New Roman"/>
              </w:rPr>
            </w:pPr>
          </w:p>
          <w:p w14:paraId="78DDABF6">
            <w:pPr>
              <w:rPr>
                <w:rFonts w:hint="default" w:ascii="Times New Roman" w:hAnsi="Times New Roman" w:cs="Times New Roman"/>
              </w:rPr>
            </w:pPr>
          </w:p>
          <w:p w14:paraId="251995E5">
            <w:pPr>
              <w:rPr>
                <w:rFonts w:hint="default" w:ascii="Times New Roman" w:hAnsi="Times New Roman" w:cs="Times New Roman"/>
              </w:rPr>
            </w:pPr>
          </w:p>
          <w:p w14:paraId="30F669A4">
            <w:pPr>
              <w:rPr>
                <w:rFonts w:hint="default" w:ascii="Times New Roman" w:hAnsi="Times New Roman" w:cs="Times New Roman"/>
              </w:rPr>
            </w:pPr>
          </w:p>
          <w:p w14:paraId="14D2FAA8">
            <w:pPr>
              <w:rPr>
                <w:rFonts w:hint="default" w:ascii="Times New Roman" w:hAnsi="Times New Roman" w:cs="Times New Roman"/>
              </w:rPr>
            </w:pPr>
          </w:p>
          <w:p w14:paraId="6AFF8EFF">
            <w:pPr>
              <w:rPr>
                <w:rFonts w:hint="default" w:ascii="Times New Roman" w:hAnsi="Times New Roman" w:cs="Times New Roman"/>
              </w:rPr>
            </w:pPr>
          </w:p>
          <w:p w14:paraId="45FAE609">
            <w:pPr>
              <w:rPr>
                <w:rFonts w:hint="default" w:ascii="Times New Roman" w:hAnsi="Times New Roman" w:cs="Times New Roman"/>
              </w:rPr>
            </w:pPr>
          </w:p>
          <w:p w14:paraId="25D67A4F">
            <w:pPr>
              <w:rPr>
                <w:rFonts w:hint="default" w:ascii="Times New Roman" w:hAnsi="Times New Roman" w:cs="Times New Roman"/>
              </w:rPr>
            </w:pPr>
          </w:p>
          <w:p w14:paraId="0613E06C">
            <w:pPr>
              <w:rPr>
                <w:rFonts w:hint="default" w:ascii="Times New Roman" w:hAnsi="Times New Roman" w:cs="Times New Roman"/>
              </w:rPr>
            </w:pPr>
          </w:p>
          <w:p w14:paraId="68B6F1C4">
            <w:pPr>
              <w:rPr>
                <w:rFonts w:hint="default" w:ascii="Times New Roman" w:hAnsi="Times New Roman" w:cs="Times New Roman"/>
              </w:rPr>
            </w:pPr>
          </w:p>
          <w:p w14:paraId="2D46FD01">
            <w:pPr>
              <w:rPr>
                <w:rFonts w:hint="default" w:ascii="Times New Roman" w:hAnsi="Times New Roman" w:cs="Times New Roman"/>
              </w:rPr>
            </w:pPr>
          </w:p>
          <w:p w14:paraId="49E34482">
            <w:pPr>
              <w:rPr>
                <w:rFonts w:hint="default" w:ascii="Times New Roman" w:hAnsi="Times New Roman" w:cs="Times New Roman"/>
              </w:rPr>
            </w:pPr>
          </w:p>
          <w:p w14:paraId="64AFF179">
            <w:pPr>
              <w:rPr>
                <w:rFonts w:hint="default" w:ascii="Times New Roman" w:hAnsi="Times New Roman" w:cs="Times New Roman"/>
              </w:rPr>
            </w:pPr>
          </w:p>
          <w:p w14:paraId="0D7192A5">
            <w:pPr>
              <w:rPr>
                <w:rFonts w:hint="default" w:ascii="Times New Roman" w:hAnsi="Times New Roman" w:cs="Times New Roman"/>
              </w:rPr>
            </w:pPr>
          </w:p>
          <w:p w14:paraId="041D8534">
            <w:pPr>
              <w:rPr>
                <w:rFonts w:hint="default" w:ascii="Times New Roman" w:hAnsi="Times New Roman" w:cs="Times New Roman"/>
              </w:rPr>
            </w:pPr>
          </w:p>
          <w:p w14:paraId="799A8189">
            <w:pPr>
              <w:rPr>
                <w:rFonts w:hint="default" w:ascii="Times New Roman" w:hAnsi="Times New Roman" w:cs="Times New Roman"/>
              </w:rPr>
            </w:pPr>
          </w:p>
          <w:p w14:paraId="0B618089">
            <w:pPr>
              <w:rPr>
                <w:rFonts w:hint="default" w:ascii="Times New Roman" w:hAnsi="Times New Roman" w:cs="Times New Roman"/>
              </w:rPr>
            </w:pPr>
          </w:p>
          <w:p w14:paraId="47F9E41E">
            <w:pPr>
              <w:rPr>
                <w:rFonts w:hint="default" w:ascii="Times New Roman" w:hAnsi="Times New Roman" w:cs="Times New Roman"/>
              </w:rPr>
            </w:pPr>
          </w:p>
          <w:p w14:paraId="73F9DD7B">
            <w:pPr>
              <w:rPr>
                <w:rFonts w:hint="default" w:ascii="Times New Roman" w:hAnsi="Times New Roman" w:cs="Times New Roman"/>
              </w:rPr>
            </w:pPr>
          </w:p>
          <w:p w14:paraId="65DBC1BE">
            <w:pPr>
              <w:rPr>
                <w:rFonts w:hint="default" w:ascii="Times New Roman" w:hAnsi="Times New Roman" w:cs="Times New Roman"/>
              </w:rPr>
            </w:pPr>
          </w:p>
          <w:p w14:paraId="13CCB8E0">
            <w:pPr>
              <w:rPr>
                <w:rFonts w:hint="default" w:ascii="Times New Roman" w:hAnsi="Times New Roman" w:cs="Times New Roman"/>
              </w:rPr>
            </w:pPr>
          </w:p>
          <w:p w14:paraId="7DF7E195">
            <w:pPr>
              <w:rPr>
                <w:rFonts w:hint="default" w:ascii="Times New Roman" w:hAnsi="Times New Roman" w:cs="Times New Roman"/>
              </w:rPr>
            </w:pPr>
          </w:p>
          <w:p w14:paraId="56283E0A">
            <w:pPr>
              <w:rPr>
                <w:rFonts w:hint="default" w:ascii="Times New Roman" w:hAnsi="Times New Roman" w:cs="Times New Roman"/>
              </w:rPr>
            </w:pPr>
          </w:p>
          <w:p w14:paraId="5F709ABD">
            <w:pPr>
              <w:rPr>
                <w:rFonts w:hint="default" w:ascii="Times New Roman" w:hAnsi="Times New Roman" w:cs="Times New Roman"/>
              </w:rPr>
            </w:pPr>
          </w:p>
          <w:p w14:paraId="267943C7">
            <w:pPr>
              <w:rPr>
                <w:rFonts w:hint="default" w:ascii="Times New Roman" w:hAnsi="Times New Roman" w:cs="Times New Roman"/>
              </w:rPr>
            </w:pPr>
          </w:p>
          <w:p w14:paraId="192C444E">
            <w:pPr>
              <w:rPr>
                <w:rFonts w:hint="default" w:ascii="Times New Roman" w:hAnsi="Times New Roman" w:cs="Times New Roman"/>
              </w:rPr>
            </w:pPr>
          </w:p>
          <w:p w14:paraId="04FAAEF5">
            <w:pPr>
              <w:rPr>
                <w:rFonts w:hint="default" w:ascii="Times New Roman" w:hAnsi="Times New Roman" w:cs="Times New Roman"/>
              </w:rPr>
            </w:pPr>
          </w:p>
        </w:tc>
      </w:tr>
    </w:tbl>
    <w:p w14:paraId="27D99624">
      <w:pPr>
        <w:bidi w:val="0"/>
        <w:rPr>
          <w:rFonts w:hint="default" w:ascii="Times New Roman" w:hAnsi="Times New Roman" w:cs="Times New Roman"/>
        </w:rPr>
        <w:sectPr>
          <w:pgSz w:w="11907" w:h="16840"/>
          <w:pgMar w:top="1440" w:right="1797" w:bottom="1440" w:left="1797" w:header="851" w:footer="1077" w:gutter="0"/>
          <w:pgBorders>
            <w:top w:val="none" w:sz="0" w:space="0"/>
            <w:left w:val="none" w:sz="0" w:space="0"/>
            <w:bottom w:val="none" w:sz="0" w:space="0"/>
            <w:right w:val="none" w:sz="0" w:space="0"/>
          </w:pgBorders>
          <w:pgNumType w:fmt="decimal"/>
          <w:cols w:space="720" w:num="1"/>
          <w:docGrid w:linePitch="312" w:charSpace="0"/>
        </w:sectPr>
      </w:pPr>
    </w:p>
    <w:p w14:paraId="222542E4">
      <w:pPr>
        <w:bidi w:val="0"/>
        <w:rPr>
          <w:rFonts w:hint="default" w:ascii="Times New Roman" w:hAnsi="Times New Roman" w:cs="Times New Roman"/>
        </w:rPr>
      </w:pPr>
    </w:p>
    <w:p w14:paraId="296D5FE8">
      <w:pPr>
        <w:pStyle w:val="3"/>
        <w:numPr>
          <w:ilvl w:val="0"/>
          <w:numId w:val="0"/>
        </w:numPr>
        <w:ind w:leftChars="0"/>
        <w:jc w:val="center"/>
        <w:rPr>
          <w:rFonts w:hint="default" w:ascii="Times New Roman" w:hAnsi="Times New Roman" w:cs="Times New Roman"/>
        </w:rPr>
      </w:pPr>
      <w:bookmarkStart w:id="71" w:name="_Toc18115"/>
      <w:r>
        <w:rPr>
          <w:rFonts w:hint="default" w:ascii="Times New Roman" w:hAnsi="Times New Roman" w:cs="Times New Roman"/>
          <w:lang w:val="en-US" w:eastAsia="zh-CN"/>
        </w:rPr>
        <w:t>五、</w:t>
      </w:r>
      <w:r>
        <w:rPr>
          <w:rFonts w:hint="default" w:ascii="Times New Roman" w:hAnsi="Times New Roman" w:cs="Times New Roman"/>
        </w:rPr>
        <w:t>主要生态环境保护措施</w:t>
      </w:r>
      <w:bookmarkEnd w:id="71"/>
    </w:p>
    <w:tbl>
      <w:tblPr>
        <w:tblStyle w:val="43"/>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691"/>
        <w:gridCol w:w="7758"/>
      </w:tblGrid>
      <w:tr w14:paraId="21285D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409" w:type="pct"/>
            <w:tcMar>
              <w:left w:w="28" w:type="dxa"/>
              <w:right w:w="28" w:type="dxa"/>
            </w:tcMar>
            <w:vAlign w:val="center"/>
          </w:tcPr>
          <w:p w14:paraId="640520F8">
            <w:pPr>
              <w:adjustRightInd w:val="0"/>
              <w:snapToGrid w:val="0"/>
              <w:jc w:val="center"/>
              <w:rPr>
                <w:rFonts w:hint="default" w:ascii="Times New Roman" w:hAnsi="Times New Roman" w:cs="Times New Roman" w:eastAsiaTheme="minorEastAsia"/>
                <w:bCs/>
                <w:szCs w:val="21"/>
              </w:rPr>
            </w:pPr>
            <w:r>
              <w:rPr>
                <w:rFonts w:hint="default" w:ascii="Times New Roman" w:hAnsi="Times New Roman" w:cs="Times New Roman" w:eastAsiaTheme="minorEastAsia"/>
                <w:bCs/>
                <w:szCs w:val="21"/>
              </w:rPr>
              <w:t>施工期生态环境保护措施</w:t>
            </w:r>
          </w:p>
        </w:tc>
        <w:tc>
          <w:tcPr>
            <w:tcW w:w="4591" w:type="pct"/>
          </w:tcPr>
          <w:p w14:paraId="33CEB431">
            <w:pPr>
              <w:pStyle w:val="67"/>
              <w:numPr>
                <w:ilvl w:val="0"/>
                <w:numId w:val="14"/>
              </w:numPr>
              <w:spacing w:line="480" w:lineRule="exact"/>
              <w:ind w:firstLineChars="0"/>
              <w:rPr>
                <w:rFonts w:hint="default" w:ascii="Times New Roman" w:hAnsi="Times New Roman" w:eastAsia="黑体" w:cs="Times New Roman"/>
                <w:sz w:val="25"/>
              </w:rPr>
            </w:pPr>
            <w:bookmarkStart w:id="72" w:name="_Hlk85707545"/>
            <w:bookmarkStart w:id="73" w:name="_Hlk85646494"/>
            <w:r>
              <w:rPr>
                <w:rFonts w:hint="default" w:ascii="Times New Roman" w:hAnsi="Times New Roman" w:eastAsia="黑体" w:cs="Times New Roman"/>
                <w:sz w:val="25"/>
              </w:rPr>
              <w:t>大气环境影响保护措施</w:t>
            </w:r>
          </w:p>
          <w:p w14:paraId="258A5D63">
            <w:pPr>
              <w:spacing w:line="480" w:lineRule="exact"/>
              <w:ind w:firstLine="480" w:firstLineChars="200"/>
              <w:rPr>
                <w:rFonts w:hint="default" w:ascii="Times New Roman" w:hAnsi="Times New Roman" w:cs="Times New Roman"/>
                <w:kern w:val="0"/>
                <w:sz w:val="24"/>
              </w:rPr>
            </w:pPr>
            <w:r>
              <w:rPr>
                <w:rFonts w:hint="default" w:ascii="Times New Roman" w:hAnsi="Times New Roman" w:cs="Times New Roman"/>
                <w:kern w:val="0"/>
                <w:sz w:val="24"/>
              </w:rPr>
              <w:t>施工期的大气污染主要来源于材料运输和堆放、车辆行驶、土石方挖掘等产生的扬尘，以及施工机械和机动车辆排出的尾气。</w:t>
            </w:r>
          </w:p>
          <w:p w14:paraId="482D6D57">
            <w:pPr>
              <w:spacing w:line="480" w:lineRule="exact"/>
              <w:ind w:firstLine="480" w:firstLineChars="200"/>
              <w:rPr>
                <w:rFonts w:hint="default" w:ascii="Times New Roman" w:hAnsi="Times New Roman" w:cs="Times New Roman"/>
                <w:kern w:val="0"/>
                <w:sz w:val="24"/>
              </w:rPr>
            </w:pPr>
            <w:r>
              <w:rPr>
                <w:rFonts w:hint="default" w:ascii="Times New Roman" w:hAnsi="Times New Roman" w:cs="Times New Roman"/>
                <w:kern w:val="0"/>
                <w:sz w:val="24"/>
              </w:rPr>
              <w:t>施工扬尘施工期土方开挖、堆积清运、道路修建及交通运输等均会产生扬尘，同时混凝土灌装过程也会使场地局部环境空气中颗粒物浓度增加，影响下风向空气质量。</w:t>
            </w:r>
          </w:p>
          <w:p w14:paraId="11C87C4C">
            <w:pPr>
              <w:spacing w:line="480" w:lineRule="exact"/>
              <w:ind w:firstLine="480" w:firstLineChars="200"/>
              <w:rPr>
                <w:rFonts w:hint="default" w:ascii="Times New Roman" w:hAnsi="Times New Roman" w:cs="Times New Roman"/>
                <w:kern w:val="0"/>
                <w:sz w:val="24"/>
              </w:rPr>
            </w:pPr>
            <w:r>
              <w:rPr>
                <w:rFonts w:hint="default" w:ascii="Times New Roman" w:hAnsi="Times New Roman" w:cs="Times New Roman"/>
                <w:kern w:val="0"/>
                <w:sz w:val="24"/>
              </w:rPr>
              <w:t xml:space="preserve">项目施工期较短，随着施工期结束，影响也随之结束。为了最大限度减小施工扬尘对环境的影响，根据国务院关于印发《大气污染防治行动计划》的通知对扬尘污染防治的规定，项目施工期采取以下措施： </w:t>
            </w:r>
          </w:p>
          <w:p w14:paraId="53553358">
            <w:pPr>
              <w:spacing w:line="480" w:lineRule="exact"/>
              <w:ind w:firstLine="480" w:firstLineChars="200"/>
              <w:rPr>
                <w:rFonts w:hint="default" w:ascii="Times New Roman" w:hAnsi="Times New Roman" w:cs="Times New Roman"/>
                <w:sz w:val="24"/>
              </w:rPr>
            </w:pPr>
            <w:r>
              <w:rPr>
                <w:rFonts w:hint="default" w:ascii="Times New Roman" w:hAnsi="Times New Roman" w:cs="Times New Roman"/>
                <w:sz w:val="24"/>
              </w:rPr>
              <w:t>（1）施工作业应符合技术操作规程，落实扬尘污染防治措施：施工单位应有专人负责逸散性材料、垃圾、渣土、裸地等密闭、覆盖、洒水作业和车辆清洗作业，并记录扬尘抑制措施的实施情况；</w:t>
            </w:r>
          </w:p>
          <w:p w14:paraId="069F989B">
            <w:pPr>
              <w:spacing w:line="480" w:lineRule="exact"/>
              <w:ind w:firstLine="480" w:firstLineChars="200"/>
              <w:rPr>
                <w:rFonts w:hint="default" w:ascii="Times New Roman" w:hAnsi="Times New Roman" w:cs="Times New Roman"/>
                <w:sz w:val="24"/>
              </w:rPr>
            </w:pPr>
            <w:r>
              <w:rPr>
                <w:rFonts w:hint="default" w:ascii="Times New Roman" w:hAnsi="Times New Roman" w:cs="Times New Roman"/>
                <w:sz w:val="24"/>
              </w:rPr>
              <w:t>（2）施工现场设置稳固整齐的围挡，高度不低于1.8m；</w:t>
            </w:r>
          </w:p>
          <w:p w14:paraId="33AE196C">
            <w:pPr>
              <w:spacing w:line="480" w:lineRule="exact"/>
              <w:ind w:firstLine="480" w:firstLineChars="200"/>
              <w:rPr>
                <w:rFonts w:hint="default" w:ascii="Times New Roman" w:hAnsi="Times New Roman" w:cs="Times New Roman"/>
                <w:sz w:val="24"/>
              </w:rPr>
            </w:pPr>
            <w:r>
              <w:rPr>
                <w:rFonts w:hint="default" w:ascii="Times New Roman" w:hAnsi="Times New Roman" w:cs="Times New Roman"/>
                <w:sz w:val="24"/>
              </w:rPr>
              <w:t>（3）施工现场工程材料、砂土、土方或废弃物等易产生扬尘的物质应当密闭处理，若在工地内堆置，则应采取覆盖防尘布、覆盖防尘网、配合定期喷洒粉尘抑制剂等措施，防止风蚀起尘；</w:t>
            </w:r>
          </w:p>
          <w:p w14:paraId="39121708">
            <w:pPr>
              <w:spacing w:line="480" w:lineRule="exact"/>
              <w:ind w:firstLine="480" w:firstLineChars="200"/>
              <w:rPr>
                <w:rFonts w:hint="default" w:ascii="Times New Roman" w:hAnsi="Times New Roman" w:cs="Times New Roman"/>
                <w:sz w:val="24"/>
              </w:rPr>
            </w:pPr>
            <w:r>
              <w:rPr>
                <w:rFonts w:hint="default" w:ascii="Times New Roman" w:hAnsi="Times New Roman" w:cs="Times New Roman"/>
                <w:sz w:val="24"/>
              </w:rPr>
              <w:t>（4）进出工地的物料、渣土、运输车辆，装载的物料、垃圾、渣土高度不得超过车辆槽帮上沿，车斗用苫布遮盖或者采用密闭车斗。若车斗用苫布遮盖，应到实密闭，苫布边缘至少要遮住槽帮上沿以下15cm，保证物料、渣土、垃圾等不露出，车辆应当按照批准的路线和时间进行物料、渣土、垃圾的运输；</w:t>
            </w:r>
          </w:p>
          <w:p w14:paraId="060A5CBC">
            <w:pPr>
              <w:spacing w:line="480" w:lineRule="exact"/>
              <w:ind w:firstLine="480" w:firstLineChars="200"/>
              <w:rPr>
                <w:rFonts w:hint="default" w:ascii="Times New Roman" w:hAnsi="Times New Roman" w:cs="Times New Roman"/>
                <w:sz w:val="24"/>
              </w:rPr>
            </w:pPr>
            <w:r>
              <w:rPr>
                <w:rFonts w:hint="default" w:ascii="Times New Roman" w:hAnsi="Times New Roman" w:cs="Times New Roman"/>
                <w:sz w:val="24"/>
              </w:rPr>
              <w:t>（5）施工期间工地内建筑上层具有粉尘逸散性的工程材料、渣土或废弃物禁止从高空直接抛撒。工地建筑结构脚手架外侧设置有效抑尘的防尘网或防尘布；</w:t>
            </w:r>
          </w:p>
          <w:p w14:paraId="56944F12">
            <w:pPr>
              <w:spacing w:line="480" w:lineRule="exact"/>
              <w:ind w:firstLine="480" w:firstLineChars="200"/>
              <w:rPr>
                <w:rFonts w:hint="default" w:ascii="Times New Roman" w:hAnsi="Times New Roman" w:cs="Times New Roman"/>
                <w:sz w:val="24"/>
              </w:rPr>
            </w:pPr>
            <w:r>
              <w:rPr>
                <w:rFonts w:hint="default" w:ascii="Times New Roman" w:hAnsi="Times New Roman" w:cs="Times New Roman"/>
                <w:sz w:val="24"/>
              </w:rPr>
              <w:t>（6）施工期间土方、建筑等易产生扬尘应采用洒水湿式施工方式，天气预报4级风以上天气停止产生扬尘的施工作业；</w:t>
            </w:r>
          </w:p>
          <w:p w14:paraId="12AA36EA">
            <w:pPr>
              <w:spacing w:line="480" w:lineRule="exact"/>
              <w:ind w:firstLine="480" w:firstLineChars="200"/>
              <w:rPr>
                <w:rFonts w:hint="default" w:ascii="Times New Roman" w:hAnsi="Times New Roman" w:cs="Times New Roman"/>
                <w:sz w:val="24"/>
              </w:rPr>
            </w:pPr>
            <w:r>
              <w:rPr>
                <w:rFonts w:hint="default" w:ascii="Times New Roman" w:hAnsi="Times New Roman" w:cs="Times New Roman"/>
                <w:sz w:val="24"/>
              </w:rPr>
              <w:t>（7）施工期间，对于工地内裸露地面，应对表压实处理并洒水；</w:t>
            </w:r>
          </w:p>
          <w:p w14:paraId="27096C87">
            <w:pPr>
              <w:spacing w:line="480" w:lineRule="exact"/>
              <w:ind w:firstLine="480" w:firstLineChars="200"/>
              <w:rPr>
                <w:rFonts w:hint="default" w:ascii="Times New Roman" w:hAnsi="Times New Roman" w:cs="Times New Roman"/>
                <w:sz w:val="24"/>
              </w:rPr>
            </w:pPr>
            <w:r>
              <w:rPr>
                <w:rFonts w:hint="default" w:ascii="Times New Roman" w:hAnsi="Times New Roman" w:cs="Times New Roman"/>
                <w:sz w:val="24"/>
              </w:rPr>
              <w:t>（8）施工过程中产生的建筑垃圾在施工期间应当及时清运，并按照当地人民政府市容环境卫生主管部门的规定处置，防止污染环境。</w:t>
            </w:r>
          </w:p>
          <w:p w14:paraId="00005755">
            <w:pPr>
              <w:spacing w:line="480" w:lineRule="exact"/>
              <w:ind w:firstLine="480" w:firstLineChars="200"/>
              <w:rPr>
                <w:rFonts w:hint="default" w:ascii="Times New Roman" w:hAnsi="Times New Roman" w:cs="Times New Roman"/>
                <w:sz w:val="24"/>
              </w:rPr>
            </w:pPr>
            <w:r>
              <w:rPr>
                <w:rFonts w:hint="default" w:ascii="Times New Roman" w:hAnsi="Times New Roman" w:cs="Times New Roman"/>
                <w:sz w:val="24"/>
              </w:rPr>
              <w:t>（9）将分散堆放的表土集中堆放在指定区域，并对表土进行遮盖，防止大风天气产生扬尘。确定的堆场面积范围，严禁在堆场范围外的地方堆放，减少破坏原地貌、植被的面积。</w:t>
            </w:r>
          </w:p>
          <w:p w14:paraId="28231A58">
            <w:pPr>
              <w:pStyle w:val="67"/>
              <w:numPr>
                <w:ilvl w:val="0"/>
                <w:numId w:val="14"/>
              </w:numPr>
              <w:spacing w:line="480" w:lineRule="exact"/>
              <w:ind w:firstLineChars="0"/>
              <w:rPr>
                <w:rFonts w:hint="default" w:ascii="Times New Roman" w:hAnsi="Times New Roman" w:cs="Times New Roman"/>
                <w:b/>
                <w:bCs/>
                <w:sz w:val="24"/>
              </w:rPr>
            </w:pPr>
            <w:r>
              <w:rPr>
                <w:rFonts w:hint="default" w:ascii="Times New Roman" w:hAnsi="Times New Roman" w:eastAsia="黑体" w:cs="Times New Roman"/>
                <w:sz w:val="24"/>
              </w:rPr>
              <w:t>施工期废水污染防治措施</w:t>
            </w:r>
          </w:p>
          <w:p w14:paraId="65B659DD">
            <w:pPr>
              <w:spacing w:line="480" w:lineRule="exact"/>
              <w:ind w:firstLine="522"/>
              <w:rPr>
                <w:rFonts w:hint="default" w:ascii="Times New Roman" w:hAnsi="Times New Roman" w:cs="Times New Roman"/>
                <w:sz w:val="24"/>
              </w:rPr>
            </w:pPr>
            <w:r>
              <w:rPr>
                <w:rFonts w:hint="default" w:ascii="Times New Roman" w:hAnsi="Times New Roman" w:cs="Times New Roman"/>
                <w:sz w:val="24"/>
              </w:rPr>
              <w:t>（1）将车辆清洗废水，经过沉砂处理回用。</w:t>
            </w:r>
          </w:p>
          <w:p w14:paraId="1FA26E3F">
            <w:pPr>
              <w:spacing w:line="480" w:lineRule="exact"/>
              <w:ind w:firstLine="522"/>
              <w:rPr>
                <w:rFonts w:hint="default" w:ascii="Times New Roman" w:hAnsi="Times New Roman" w:cs="Times New Roman"/>
                <w:sz w:val="24"/>
              </w:rPr>
            </w:pPr>
            <w:r>
              <w:rPr>
                <w:rFonts w:hint="default" w:ascii="Times New Roman" w:hAnsi="Times New Roman" w:cs="Times New Roman"/>
                <w:sz w:val="24"/>
              </w:rPr>
              <w:t>（2）禁止在河道内设置冲洗和保养设施；施工期产生的各类固体废物均需妥善处置，不得向水体和河道内倾倒；施工期产生的固体废物每日收集后清运处置，不得在河道内暂存；不得向河道排放污染物，在河道内不得设置排污口。不得从项目区周边地表水体取水。</w:t>
            </w:r>
          </w:p>
          <w:p w14:paraId="356C1D23">
            <w:pPr>
              <w:spacing w:line="480" w:lineRule="exact"/>
              <w:ind w:firstLine="522"/>
              <w:rPr>
                <w:rFonts w:hint="default" w:ascii="Times New Roman" w:hAnsi="Times New Roman" w:cs="Times New Roman"/>
                <w:sz w:val="24"/>
              </w:rPr>
            </w:pPr>
            <w:r>
              <w:rPr>
                <w:rFonts w:hint="default" w:ascii="Times New Roman" w:hAnsi="Times New Roman" w:cs="Times New Roman"/>
                <w:sz w:val="24"/>
              </w:rPr>
              <w:t>（3）各项施工活动均应尽可能远离、避让地表水体。车辆在临近地表水体尤其是在施工道路行驶时，必须减速慢行，限速20km/h，并对施工场地采取洒水降尘、粉状物料遮盖等措施，减少扬尘对地表水体的污染。</w:t>
            </w:r>
          </w:p>
          <w:p w14:paraId="0FA68EAD">
            <w:pPr>
              <w:spacing w:line="480" w:lineRule="exact"/>
              <w:ind w:firstLine="522"/>
              <w:rPr>
                <w:rFonts w:hint="default" w:ascii="Times New Roman" w:hAnsi="Times New Roman" w:cs="Times New Roman"/>
                <w:sz w:val="24"/>
              </w:rPr>
            </w:pPr>
            <w:r>
              <w:rPr>
                <w:rFonts w:hint="default" w:ascii="Times New Roman" w:hAnsi="Times New Roman" w:cs="Times New Roman"/>
                <w:sz w:val="24"/>
              </w:rPr>
              <w:t>（4）严禁在河道内挖沙、取土，非法采用地下水；禁止在河道内设置施工营地。</w:t>
            </w:r>
          </w:p>
          <w:p w14:paraId="03BC36DA">
            <w:pPr>
              <w:spacing w:line="480" w:lineRule="exact"/>
              <w:ind w:firstLine="522"/>
              <w:rPr>
                <w:rFonts w:hint="default" w:ascii="Times New Roman" w:hAnsi="Times New Roman" w:cs="Times New Roman"/>
                <w:sz w:val="24"/>
              </w:rPr>
            </w:pPr>
            <w:r>
              <w:rPr>
                <w:rFonts w:hint="default" w:ascii="Times New Roman" w:hAnsi="Times New Roman" w:cs="Times New Roman"/>
                <w:sz w:val="24"/>
              </w:rPr>
              <w:t>（5）施工期生活污水由</w:t>
            </w:r>
            <w:r>
              <w:rPr>
                <w:rFonts w:hint="default" w:ascii="Times New Roman" w:hAnsi="Times New Roman" w:cs="Times New Roman"/>
                <w:sz w:val="24"/>
                <w:szCs w:val="21"/>
              </w:rPr>
              <w:t>排入防渗化粪池，定期由吸污车拉运至</w:t>
            </w:r>
            <w:r>
              <w:rPr>
                <w:rFonts w:hint="eastAsia" w:cs="Times New Roman"/>
                <w:sz w:val="24"/>
                <w:szCs w:val="21"/>
                <w:lang w:eastAsia="zh-CN"/>
              </w:rPr>
              <w:t>尉犁工业园区工业污水处理厂</w:t>
            </w:r>
            <w:r>
              <w:rPr>
                <w:rFonts w:hint="default" w:ascii="Times New Roman" w:hAnsi="Times New Roman" w:cs="Times New Roman"/>
                <w:sz w:val="24"/>
                <w:szCs w:val="21"/>
              </w:rPr>
              <w:t>处理。</w:t>
            </w:r>
          </w:p>
          <w:p w14:paraId="6690FEEB">
            <w:pPr>
              <w:spacing w:line="480" w:lineRule="exact"/>
              <w:ind w:firstLine="522"/>
              <w:rPr>
                <w:rFonts w:hint="default" w:ascii="Times New Roman" w:hAnsi="Times New Roman" w:cs="Times New Roman"/>
                <w:sz w:val="24"/>
              </w:rPr>
            </w:pPr>
            <w:r>
              <w:rPr>
                <w:rFonts w:hint="default" w:ascii="Times New Roman" w:hAnsi="Times New Roman" w:cs="Times New Roman"/>
                <w:sz w:val="24"/>
              </w:rPr>
              <w:t>（6）建筑材料需集中堆放，并采取一定的防雨淋措施，及时清扫施工运输过程中抛洒的上述建筑材料，以免这些物质随雨水冲刷污染周围环境。</w:t>
            </w:r>
          </w:p>
          <w:p w14:paraId="63906046">
            <w:pPr>
              <w:spacing w:line="480" w:lineRule="exact"/>
              <w:ind w:firstLine="522"/>
              <w:rPr>
                <w:rFonts w:hint="default" w:ascii="Times New Roman" w:hAnsi="Times New Roman" w:cs="Times New Roman"/>
                <w:sz w:val="24"/>
              </w:rPr>
            </w:pPr>
            <w:r>
              <w:rPr>
                <w:rFonts w:hint="default" w:ascii="Times New Roman" w:hAnsi="Times New Roman" w:cs="Times New Roman"/>
                <w:sz w:val="24"/>
              </w:rPr>
              <w:t>（7）严格按照主管部门的要求进行施工，严格控制施工作业带宽度，加强施工管理，减少对周边区域水环境的影响和破坏。</w:t>
            </w:r>
          </w:p>
          <w:p w14:paraId="34CA54A4">
            <w:pPr>
              <w:pStyle w:val="67"/>
              <w:numPr>
                <w:ilvl w:val="0"/>
                <w:numId w:val="14"/>
              </w:numPr>
              <w:spacing w:line="480" w:lineRule="exact"/>
              <w:ind w:firstLineChars="0"/>
              <w:rPr>
                <w:rFonts w:hint="default" w:ascii="Times New Roman" w:hAnsi="Times New Roman" w:eastAsia="黑体" w:cs="Times New Roman"/>
                <w:sz w:val="25"/>
              </w:rPr>
            </w:pPr>
            <w:r>
              <w:rPr>
                <w:rFonts w:hint="default" w:ascii="Times New Roman" w:hAnsi="Times New Roman" w:eastAsia="黑体" w:cs="Times New Roman"/>
                <w:sz w:val="25"/>
              </w:rPr>
              <w:t>施工期噪声防治措施</w:t>
            </w:r>
          </w:p>
          <w:p w14:paraId="511DF10B">
            <w:pPr>
              <w:spacing w:line="480" w:lineRule="exact"/>
              <w:ind w:firstLine="522"/>
              <w:rPr>
                <w:rFonts w:hint="default" w:ascii="Times New Roman" w:hAnsi="Times New Roman" w:cs="Times New Roman"/>
                <w:sz w:val="24"/>
              </w:rPr>
            </w:pPr>
            <w:r>
              <w:rPr>
                <w:rFonts w:hint="default" w:ascii="Times New Roman" w:hAnsi="Times New Roman" w:cs="Times New Roman"/>
                <w:sz w:val="24"/>
                <w:lang w:eastAsia="zh-CN"/>
              </w:rPr>
              <w:t>（</w:t>
            </w:r>
            <w:r>
              <w:rPr>
                <w:rFonts w:hint="default" w:ascii="Times New Roman" w:hAnsi="Times New Roman" w:cs="Times New Roman"/>
                <w:sz w:val="24"/>
                <w:lang w:val="en-US" w:eastAsia="zh-CN"/>
              </w:rPr>
              <w:t>1</w:t>
            </w:r>
            <w:r>
              <w:rPr>
                <w:rFonts w:hint="default" w:ascii="Times New Roman" w:hAnsi="Times New Roman" w:cs="Times New Roman"/>
                <w:sz w:val="24"/>
                <w:lang w:eastAsia="zh-CN"/>
              </w:rPr>
              <w:t>）</w:t>
            </w:r>
            <w:r>
              <w:rPr>
                <w:rFonts w:hint="default" w:ascii="Times New Roman" w:hAnsi="Times New Roman" w:cs="Times New Roman"/>
                <w:sz w:val="24"/>
              </w:rPr>
              <w:t>合理安排施工作业时间</w:t>
            </w:r>
          </w:p>
          <w:p w14:paraId="04B50832">
            <w:pPr>
              <w:spacing w:line="480" w:lineRule="exact"/>
              <w:ind w:firstLine="522"/>
              <w:rPr>
                <w:rFonts w:hint="default" w:ascii="Times New Roman" w:hAnsi="Times New Roman" w:cs="Times New Roman"/>
                <w:sz w:val="24"/>
              </w:rPr>
            </w:pPr>
            <w:r>
              <w:rPr>
                <w:rFonts w:hint="default" w:ascii="Times New Roman" w:hAnsi="Times New Roman" w:cs="Times New Roman"/>
                <w:sz w:val="24"/>
              </w:rPr>
              <w:t>控制作业时间：禁止夜间作业；如因特殊需要必须连续施工作业的，应当取得地方人民政府住房和城乡建设、生态环境主管部门或者地方人民政府指定的部门的证明，并在施工现场显著位置公示或者以其他方式公告附近居民。</w:t>
            </w:r>
          </w:p>
          <w:p w14:paraId="3008076F">
            <w:pPr>
              <w:spacing w:line="480" w:lineRule="exact"/>
              <w:ind w:firstLine="522"/>
              <w:rPr>
                <w:rFonts w:hint="default" w:ascii="Times New Roman" w:hAnsi="Times New Roman" w:cs="Times New Roman"/>
                <w:sz w:val="24"/>
              </w:rPr>
            </w:pPr>
            <w:r>
              <w:rPr>
                <w:rFonts w:hint="default" w:ascii="Times New Roman" w:hAnsi="Times New Roman" w:cs="Times New Roman"/>
                <w:sz w:val="24"/>
                <w:lang w:eastAsia="zh-CN"/>
              </w:rPr>
              <w:t>（</w:t>
            </w:r>
            <w:r>
              <w:rPr>
                <w:rFonts w:hint="default" w:ascii="Times New Roman" w:hAnsi="Times New Roman" w:cs="Times New Roman"/>
                <w:sz w:val="24"/>
                <w:lang w:val="en-US" w:eastAsia="zh-CN"/>
              </w:rPr>
              <w:t>2</w:t>
            </w:r>
            <w:r>
              <w:rPr>
                <w:rFonts w:hint="default" w:ascii="Times New Roman" w:hAnsi="Times New Roman" w:cs="Times New Roman"/>
                <w:sz w:val="24"/>
                <w:lang w:eastAsia="zh-CN"/>
              </w:rPr>
              <w:t>）</w:t>
            </w:r>
            <w:r>
              <w:rPr>
                <w:rFonts w:hint="default" w:ascii="Times New Roman" w:hAnsi="Times New Roman" w:cs="Times New Roman"/>
                <w:sz w:val="24"/>
              </w:rPr>
              <w:t>合理选择施工机械设备</w:t>
            </w:r>
          </w:p>
          <w:p w14:paraId="3F11F9AD">
            <w:pPr>
              <w:spacing w:line="480" w:lineRule="exact"/>
              <w:ind w:firstLine="522"/>
              <w:rPr>
                <w:rFonts w:hint="default" w:ascii="Times New Roman" w:hAnsi="Times New Roman" w:cs="Times New Roman"/>
                <w:sz w:val="24"/>
              </w:rPr>
            </w:pPr>
            <w:r>
              <w:rPr>
                <w:rFonts w:hint="default" w:ascii="Times New Roman" w:hAnsi="Times New Roman" w:cs="Times New Roman"/>
                <w:sz w:val="24"/>
              </w:rPr>
              <w:t>施工单位必须使用符合国家规定噪声排放标准的施工机械和车辆，应尽量选用低噪音、低振动的各类施工机械设备；固定的施工机械安装减振装置；避免多台高噪音的机械设备在同一工场和同一时间使用。</w:t>
            </w:r>
          </w:p>
          <w:p w14:paraId="2FA43F36">
            <w:pPr>
              <w:spacing w:line="480" w:lineRule="exact"/>
              <w:ind w:firstLine="522"/>
              <w:rPr>
                <w:rFonts w:hint="default" w:ascii="Times New Roman" w:hAnsi="Times New Roman" w:cs="Times New Roman"/>
                <w:sz w:val="24"/>
              </w:rPr>
            </w:pPr>
            <w:r>
              <w:rPr>
                <w:rFonts w:hint="default" w:ascii="Times New Roman" w:hAnsi="Times New Roman" w:cs="Times New Roman"/>
                <w:sz w:val="24"/>
                <w:lang w:eastAsia="zh-CN"/>
              </w:rPr>
              <w:t>（</w:t>
            </w:r>
            <w:r>
              <w:rPr>
                <w:rFonts w:hint="default" w:ascii="Times New Roman" w:hAnsi="Times New Roman" w:cs="Times New Roman"/>
                <w:sz w:val="24"/>
                <w:lang w:val="en-US" w:eastAsia="zh-CN"/>
              </w:rPr>
              <w:t>3</w:t>
            </w:r>
            <w:r>
              <w:rPr>
                <w:rFonts w:hint="default" w:ascii="Times New Roman" w:hAnsi="Times New Roman" w:cs="Times New Roman"/>
                <w:sz w:val="24"/>
                <w:lang w:eastAsia="zh-CN"/>
              </w:rPr>
              <w:t>）</w:t>
            </w:r>
            <w:r>
              <w:rPr>
                <w:rFonts w:hint="default" w:ascii="Times New Roman" w:hAnsi="Times New Roman" w:cs="Times New Roman"/>
                <w:sz w:val="24"/>
              </w:rPr>
              <w:t>合理安排施工场地</w:t>
            </w:r>
          </w:p>
          <w:p w14:paraId="4B19BA88">
            <w:pPr>
              <w:spacing w:line="480" w:lineRule="exact"/>
              <w:ind w:firstLine="522"/>
              <w:rPr>
                <w:rFonts w:hint="default" w:ascii="Times New Roman" w:hAnsi="Times New Roman" w:cs="Times New Roman"/>
                <w:sz w:val="24"/>
              </w:rPr>
            </w:pPr>
            <w:r>
              <w:rPr>
                <w:rFonts w:hint="default" w:ascii="Times New Roman" w:hAnsi="Times New Roman" w:cs="Times New Roman"/>
                <w:sz w:val="24"/>
              </w:rPr>
              <w:t>采用距离防护措施，在不影响施工情况下将强噪声设备尽量安排在距敏感点较远处。</w:t>
            </w:r>
          </w:p>
          <w:p w14:paraId="3515CAEC">
            <w:pPr>
              <w:spacing w:line="480" w:lineRule="exact"/>
              <w:ind w:firstLine="522"/>
              <w:rPr>
                <w:rFonts w:hint="default" w:ascii="Times New Roman" w:hAnsi="Times New Roman" w:cs="Times New Roman"/>
                <w:sz w:val="24"/>
              </w:rPr>
            </w:pPr>
            <w:r>
              <w:rPr>
                <w:rFonts w:hint="default" w:ascii="Times New Roman" w:hAnsi="Times New Roman" w:cs="Times New Roman"/>
                <w:sz w:val="24"/>
                <w:lang w:eastAsia="zh-CN"/>
              </w:rPr>
              <w:t>（</w:t>
            </w:r>
            <w:r>
              <w:rPr>
                <w:rFonts w:hint="default" w:ascii="Times New Roman" w:hAnsi="Times New Roman" w:cs="Times New Roman"/>
                <w:sz w:val="24"/>
                <w:lang w:val="en-US" w:eastAsia="zh-CN"/>
              </w:rPr>
              <w:t>4</w:t>
            </w:r>
            <w:r>
              <w:rPr>
                <w:rFonts w:hint="default" w:ascii="Times New Roman" w:hAnsi="Times New Roman" w:cs="Times New Roman"/>
                <w:sz w:val="24"/>
                <w:lang w:eastAsia="zh-CN"/>
              </w:rPr>
              <w:t>）</w:t>
            </w:r>
            <w:r>
              <w:rPr>
                <w:rFonts w:hint="default" w:ascii="Times New Roman" w:hAnsi="Times New Roman" w:cs="Times New Roman"/>
                <w:sz w:val="24"/>
              </w:rPr>
              <w:t>加强噪声控制环境管理</w:t>
            </w:r>
          </w:p>
          <w:p w14:paraId="20169F92">
            <w:pPr>
              <w:spacing w:line="480" w:lineRule="exact"/>
              <w:ind w:firstLine="522"/>
              <w:rPr>
                <w:rFonts w:hint="default" w:ascii="Times New Roman" w:hAnsi="Times New Roman" w:cs="Times New Roman"/>
              </w:rPr>
            </w:pPr>
            <w:r>
              <w:rPr>
                <w:rFonts w:hint="default" w:ascii="Times New Roman" w:hAnsi="Times New Roman" w:cs="Times New Roman"/>
                <w:sz w:val="24"/>
              </w:rPr>
              <w:t>建设单位在进行工程承包时，应将有关施工噪声控制纳入承包内容，并在施工和工程监理过程中设专人负责，以确保控制施工噪声措施的实施。</w:t>
            </w:r>
          </w:p>
          <w:p w14:paraId="1EF463BB">
            <w:pPr>
              <w:spacing w:line="480" w:lineRule="exact"/>
              <w:ind w:firstLine="522"/>
              <w:rPr>
                <w:rFonts w:hint="default" w:ascii="Times New Roman" w:hAnsi="Times New Roman" w:cs="Times New Roman"/>
                <w:sz w:val="24"/>
              </w:rPr>
            </w:pPr>
            <w:r>
              <w:rPr>
                <w:rFonts w:hint="default" w:ascii="Times New Roman" w:hAnsi="Times New Roman" w:cs="Times New Roman"/>
                <w:sz w:val="24"/>
                <w:lang w:eastAsia="zh-CN"/>
              </w:rPr>
              <w:t>（</w:t>
            </w:r>
            <w:r>
              <w:rPr>
                <w:rFonts w:hint="default" w:ascii="Times New Roman" w:hAnsi="Times New Roman" w:cs="Times New Roman"/>
                <w:sz w:val="24"/>
                <w:lang w:val="en-US" w:eastAsia="zh-CN"/>
              </w:rPr>
              <w:t>5</w:t>
            </w:r>
            <w:r>
              <w:rPr>
                <w:rFonts w:hint="default" w:ascii="Times New Roman" w:hAnsi="Times New Roman" w:cs="Times New Roman"/>
                <w:sz w:val="24"/>
                <w:lang w:eastAsia="zh-CN"/>
              </w:rPr>
              <w:t>）</w:t>
            </w:r>
            <w:r>
              <w:rPr>
                <w:rFonts w:hint="default" w:ascii="Times New Roman" w:hAnsi="Times New Roman" w:cs="Times New Roman"/>
                <w:sz w:val="24"/>
              </w:rPr>
              <w:t>噪声污染防治</w:t>
            </w:r>
          </w:p>
          <w:p w14:paraId="20A2BF8C">
            <w:pPr>
              <w:spacing w:line="480" w:lineRule="exact"/>
              <w:ind w:firstLine="522"/>
              <w:rPr>
                <w:rFonts w:hint="default" w:ascii="Times New Roman" w:hAnsi="Times New Roman" w:cs="Times New Roman"/>
                <w:sz w:val="24"/>
              </w:rPr>
            </w:pPr>
            <w:r>
              <w:rPr>
                <w:rFonts w:hint="default" w:ascii="Times New Roman" w:hAnsi="Times New Roman" w:cs="Times New Roman"/>
                <w:sz w:val="24"/>
              </w:rPr>
              <w:t>施工场所的施工车辆选择合适的时间、路线进行运输，出入地点应远离居民区等敏感点，加强施工组织管理。当运输车辆经过村庄居民点附近路段时，限速行驶，并禁鸣高音喇叭。</w:t>
            </w:r>
          </w:p>
          <w:p w14:paraId="1E9B23B2">
            <w:pPr>
              <w:pStyle w:val="67"/>
              <w:numPr>
                <w:ilvl w:val="0"/>
                <w:numId w:val="14"/>
              </w:numPr>
              <w:spacing w:line="480" w:lineRule="exact"/>
              <w:ind w:firstLineChars="0"/>
              <w:rPr>
                <w:rFonts w:hint="default" w:ascii="Times New Roman" w:hAnsi="Times New Roman" w:eastAsia="黑体" w:cs="Times New Roman"/>
                <w:sz w:val="25"/>
              </w:rPr>
            </w:pPr>
            <w:r>
              <w:rPr>
                <w:rFonts w:hint="default" w:ascii="Times New Roman" w:hAnsi="Times New Roman" w:eastAsia="黑体" w:cs="Times New Roman"/>
                <w:sz w:val="25"/>
              </w:rPr>
              <w:t>固体废物污染防治措施</w:t>
            </w:r>
          </w:p>
          <w:p w14:paraId="797FB347">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sz w:val="24"/>
              </w:rPr>
            </w:pPr>
            <w:r>
              <w:rPr>
                <w:rFonts w:hint="default" w:ascii="Times New Roman" w:hAnsi="Times New Roman" w:cs="Times New Roman"/>
                <w:sz w:val="24"/>
              </w:rPr>
              <w:t>（1）针对场地平整、开挖产生的土石方采取相应的措施，施工过程中要求加强对废土石临时堆存的管理，不得随意堆放压占及破坏植被。</w:t>
            </w:r>
          </w:p>
          <w:p w14:paraId="3D3F83C4">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sz w:val="24"/>
              </w:rPr>
            </w:pPr>
            <w:r>
              <w:rPr>
                <w:rFonts w:hint="default" w:ascii="Times New Roman" w:hAnsi="Times New Roman" w:cs="Times New Roman"/>
                <w:sz w:val="24"/>
              </w:rPr>
              <w:t>（2）</w:t>
            </w:r>
            <w:r>
              <w:rPr>
                <w:rFonts w:hint="default" w:ascii="Times New Roman" w:hAnsi="Times New Roman" w:cs="Times New Roman" w:eastAsiaTheme="minorEastAsia"/>
                <w:bCs/>
                <w:sz w:val="24"/>
              </w:rPr>
              <w:t>工程土石方开挖并回填后必须摊平压实，避免水土流失。</w:t>
            </w:r>
          </w:p>
          <w:p w14:paraId="28250896">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sz w:val="24"/>
              </w:rPr>
            </w:pPr>
            <w:r>
              <w:rPr>
                <w:rFonts w:hint="default" w:ascii="Times New Roman" w:hAnsi="Times New Roman" w:cs="Times New Roman"/>
                <w:sz w:val="24"/>
              </w:rPr>
              <w:t>（3）本项目施工人员生活垃圾经场区内收集后，</w:t>
            </w:r>
            <w:r>
              <w:rPr>
                <w:rFonts w:hint="default" w:ascii="Times New Roman" w:hAnsi="Times New Roman" w:cs="Times New Roman"/>
                <w:sz w:val="24"/>
                <w:lang w:val="en-US" w:eastAsia="zh-CN"/>
              </w:rPr>
              <w:t>由环卫部门统一清运至尉犁县生活垃圾填埋场卫生处置</w:t>
            </w:r>
            <w:r>
              <w:rPr>
                <w:rFonts w:hint="default" w:ascii="Times New Roman" w:hAnsi="Times New Roman" w:cs="Times New Roman"/>
                <w:sz w:val="24"/>
              </w:rPr>
              <w:t>。</w:t>
            </w:r>
          </w:p>
          <w:p w14:paraId="633B82B0">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sz w:val="24"/>
              </w:rPr>
            </w:pPr>
            <w:r>
              <w:rPr>
                <w:rFonts w:hint="default" w:ascii="Times New Roman" w:hAnsi="Times New Roman" w:cs="Times New Roman"/>
                <w:sz w:val="24"/>
              </w:rPr>
              <w:t>（4）建筑垃圾优先综合利用，不能利用的部分统一收集后运至</w:t>
            </w:r>
            <w:r>
              <w:rPr>
                <w:rFonts w:hint="default" w:ascii="Times New Roman" w:hAnsi="Times New Roman" w:cs="Times New Roman"/>
                <w:sz w:val="24"/>
                <w:lang w:val="en-US" w:eastAsia="zh-CN"/>
              </w:rPr>
              <w:t>和硕（园区）固废处置中心</w:t>
            </w:r>
            <w:r>
              <w:rPr>
                <w:rFonts w:hint="default" w:ascii="Times New Roman" w:hAnsi="Times New Roman" w:cs="Times New Roman"/>
                <w:sz w:val="24"/>
              </w:rPr>
              <w:t>处理。运输路线为：站区→进站道路→园区道路→乌若高速（或县域道路）→</w:t>
            </w:r>
            <w:r>
              <w:rPr>
                <w:rFonts w:hint="default" w:ascii="Times New Roman" w:hAnsi="Times New Roman" w:cs="Times New Roman"/>
                <w:sz w:val="24"/>
                <w:lang w:val="en-US" w:eastAsia="zh-CN"/>
              </w:rPr>
              <w:t>和硕（园区）固废处置中心</w:t>
            </w:r>
            <w:r>
              <w:rPr>
                <w:rFonts w:hint="default" w:ascii="Times New Roman" w:hAnsi="Times New Roman" w:cs="Times New Roman"/>
                <w:sz w:val="24"/>
              </w:rPr>
              <w:t>；运输车辆采取密闭或苫盖措施，严禁沿途遗撒。尉犁县建筑垃圾消纳场接收工程渣土、废弃混凝土、砖瓦等建筑垃圾类别，处置能力可满足本工程约5t建筑垃圾的消纳需求。</w:t>
            </w:r>
          </w:p>
          <w:p w14:paraId="7BFB1191">
            <w:pPr>
              <w:pStyle w:val="67"/>
              <w:numPr>
                <w:ilvl w:val="0"/>
                <w:numId w:val="14"/>
              </w:numPr>
              <w:spacing w:line="480" w:lineRule="exact"/>
              <w:ind w:firstLineChars="0"/>
              <w:rPr>
                <w:rFonts w:hint="default" w:ascii="Times New Roman" w:hAnsi="Times New Roman" w:eastAsia="黑体" w:cs="Times New Roman"/>
                <w:sz w:val="25"/>
              </w:rPr>
            </w:pPr>
            <w:r>
              <w:rPr>
                <w:rFonts w:hint="default" w:ascii="Times New Roman" w:hAnsi="Times New Roman" w:eastAsia="黑体" w:cs="Times New Roman"/>
                <w:sz w:val="25"/>
              </w:rPr>
              <w:t>生态环境保护措施</w:t>
            </w:r>
          </w:p>
          <w:p w14:paraId="69DDE960">
            <w:pPr>
              <w:spacing w:line="480" w:lineRule="exact"/>
              <w:ind w:firstLine="522"/>
              <w:rPr>
                <w:rFonts w:hint="default" w:ascii="Times New Roman" w:hAnsi="Times New Roman" w:cs="Times New Roman"/>
                <w:sz w:val="24"/>
              </w:rPr>
            </w:pPr>
            <w:bookmarkStart w:id="74" w:name="_Hlk85706319"/>
            <w:r>
              <w:rPr>
                <w:rFonts w:hint="default" w:ascii="Times New Roman" w:hAnsi="Times New Roman" w:cs="Times New Roman"/>
                <w:sz w:val="24"/>
              </w:rPr>
              <w:t>（1）占地保护措施</w:t>
            </w:r>
          </w:p>
          <w:p w14:paraId="014EF1E7">
            <w:pPr>
              <w:spacing w:line="480" w:lineRule="exact"/>
              <w:ind w:firstLine="522"/>
              <w:rPr>
                <w:rFonts w:hint="default" w:ascii="Times New Roman" w:hAnsi="Times New Roman" w:cs="Times New Roman"/>
                <w:sz w:val="24"/>
                <w:lang w:bidi="ar"/>
              </w:rPr>
            </w:pPr>
            <w:r>
              <w:rPr>
                <w:rFonts w:hint="default" w:ascii="Times New Roman" w:hAnsi="Times New Roman" w:cs="Times New Roman"/>
                <w:sz w:val="24"/>
                <w:lang w:val="en-US" w:eastAsia="zh-CN" w:bidi="ar"/>
              </w:rPr>
              <w:t>①</w:t>
            </w:r>
            <w:r>
              <w:rPr>
                <w:rFonts w:hint="default" w:ascii="Times New Roman" w:hAnsi="Times New Roman" w:cs="Times New Roman"/>
                <w:sz w:val="24"/>
                <w:lang w:bidi="ar"/>
              </w:rPr>
              <w:t>监督施工单</w:t>
            </w:r>
            <w:r>
              <w:rPr>
                <w:rFonts w:hint="default" w:ascii="Times New Roman" w:hAnsi="Times New Roman" w:cs="Times New Roman"/>
                <w:sz w:val="24"/>
                <w:lang w:eastAsia="zh-CN" w:bidi="ar"/>
              </w:rPr>
              <w:t>位在</w:t>
            </w:r>
            <w:r>
              <w:rPr>
                <w:rFonts w:hint="default" w:ascii="Times New Roman" w:hAnsi="Times New Roman" w:cs="Times New Roman"/>
                <w:sz w:val="24"/>
                <w:lang w:bidi="ar"/>
              </w:rPr>
              <w:t>施工过程中，必须按照设计要求，严格控制开挖范围及开挖量，采取回填方式妥善处置，尽量减少弃方。施工结束后，及时清理施工场地，并及时进行土地整治和恢复，尽可能恢复原地貌及原有土地利用功能。</w:t>
            </w:r>
          </w:p>
          <w:p w14:paraId="4CA2DF38">
            <w:pPr>
              <w:spacing w:line="480" w:lineRule="exact"/>
              <w:ind w:firstLine="522"/>
              <w:rPr>
                <w:rFonts w:hint="default" w:ascii="Times New Roman" w:hAnsi="Times New Roman" w:cs="Times New Roman"/>
                <w:sz w:val="24"/>
                <w:lang w:bidi="ar"/>
              </w:rPr>
            </w:pPr>
            <w:r>
              <w:rPr>
                <w:rFonts w:hint="default" w:ascii="Times New Roman" w:hAnsi="Times New Roman" w:cs="Times New Roman"/>
                <w:sz w:val="24"/>
                <w:lang w:val="en-US" w:eastAsia="zh-CN" w:bidi="ar"/>
              </w:rPr>
              <w:t>②</w:t>
            </w:r>
            <w:r>
              <w:rPr>
                <w:rFonts w:hint="default" w:ascii="Times New Roman" w:hAnsi="Times New Roman" w:cs="Times New Roman"/>
                <w:sz w:val="24"/>
                <w:lang w:bidi="ar"/>
              </w:rPr>
              <w:t>施工结束后施工单位应及时清理施工场地，对施工临时占地部分，根据原占地类型进行生态恢复。</w:t>
            </w:r>
          </w:p>
          <w:p w14:paraId="1F5A38F2">
            <w:pPr>
              <w:spacing w:line="480" w:lineRule="exact"/>
              <w:ind w:firstLine="522"/>
              <w:rPr>
                <w:rFonts w:hint="default" w:ascii="Times New Roman" w:hAnsi="Times New Roman" w:cs="Times New Roman"/>
                <w:sz w:val="24"/>
                <w:lang w:bidi="ar"/>
              </w:rPr>
            </w:pPr>
            <w:r>
              <w:rPr>
                <w:rFonts w:hint="default" w:ascii="Times New Roman" w:hAnsi="Times New Roman" w:cs="Times New Roman"/>
                <w:sz w:val="24"/>
                <w:lang w:val="en-US" w:eastAsia="zh-CN" w:bidi="ar"/>
              </w:rPr>
              <w:t>③</w:t>
            </w:r>
            <w:r>
              <w:rPr>
                <w:rFonts w:hint="default" w:ascii="Times New Roman" w:hAnsi="Times New Roman" w:cs="Times New Roman"/>
                <w:sz w:val="24"/>
                <w:lang w:bidi="ar"/>
              </w:rPr>
              <w:t>做好表土剥离与临时堆存，施工结束后及时利用剥离表土进行植被恢复。</w:t>
            </w:r>
          </w:p>
          <w:p w14:paraId="6347536F">
            <w:pPr>
              <w:spacing w:line="480" w:lineRule="exact"/>
              <w:ind w:firstLine="522"/>
              <w:rPr>
                <w:rFonts w:hint="default" w:ascii="Times New Roman" w:hAnsi="Times New Roman" w:cs="Times New Roman"/>
                <w:sz w:val="24"/>
              </w:rPr>
            </w:pPr>
            <w:r>
              <w:rPr>
                <w:rFonts w:hint="default" w:ascii="Times New Roman" w:hAnsi="Times New Roman" w:cs="Times New Roman"/>
                <w:sz w:val="24"/>
              </w:rPr>
              <w:t>（2）植被保护措施</w:t>
            </w:r>
          </w:p>
          <w:p w14:paraId="4258BA04">
            <w:pPr>
              <w:spacing w:line="480" w:lineRule="exact"/>
              <w:ind w:firstLine="522"/>
              <w:rPr>
                <w:rFonts w:hint="default" w:ascii="Times New Roman" w:hAnsi="Times New Roman" w:cs="Times New Roman"/>
                <w:sz w:val="24"/>
              </w:rPr>
            </w:pPr>
            <w:r>
              <w:rPr>
                <w:rFonts w:hint="default" w:ascii="Times New Roman" w:hAnsi="Times New Roman" w:cs="Times New Roman"/>
                <w:sz w:val="24"/>
                <w:lang w:val="en-US" w:eastAsia="zh-CN" w:bidi="ar"/>
              </w:rPr>
              <w:t>①</w:t>
            </w:r>
            <w:r>
              <w:rPr>
                <w:rFonts w:hint="default" w:ascii="Times New Roman" w:hAnsi="Times New Roman" w:cs="Times New Roman"/>
                <w:sz w:val="24"/>
              </w:rPr>
              <w:t>表土保存及原生植被保护利用措施</w:t>
            </w:r>
          </w:p>
          <w:p w14:paraId="60E50C7C">
            <w:pPr>
              <w:spacing w:line="480" w:lineRule="exact"/>
              <w:ind w:firstLine="522"/>
              <w:rPr>
                <w:rFonts w:hint="default" w:ascii="Times New Roman" w:hAnsi="Times New Roman" w:cs="Times New Roman"/>
                <w:sz w:val="24"/>
              </w:rPr>
            </w:pPr>
            <w:r>
              <w:rPr>
                <w:rFonts w:hint="default" w:ascii="Times New Roman" w:hAnsi="Times New Roman" w:cs="Times New Roman"/>
                <w:sz w:val="24"/>
              </w:rPr>
              <w:t>在工程施工开挖及堆放弃土前，需注意剥离并妥善保存施工占地区的表土，待工程完工后再用于恢复植被。工程施工过程中应划定施工活动范围，加强监管，严禁踩踏施工区域外地表植被。为保护地表植被，项目施工材料及设备尽量分拆改用小型运输工具运输，以减轻对地表植被的碾压。施工过程中，尽可能不破坏地形、地貌；施工完毕后，尽可能将施工地带地形、地貌恢复至施工</w:t>
            </w:r>
            <w:r>
              <w:rPr>
                <w:rFonts w:hint="default" w:ascii="Times New Roman" w:hAnsi="Times New Roman" w:cs="Times New Roman"/>
                <w:sz w:val="24"/>
                <w:lang w:eastAsia="zh-CN"/>
              </w:rPr>
              <w:t>前</w:t>
            </w:r>
            <w:r>
              <w:rPr>
                <w:rFonts w:hint="default" w:ascii="Times New Roman" w:hAnsi="Times New Roman" w:cs="Times New Roman"/>
                <w:sz w:val="24"/>
              </w:rPr>
              <w:t>的地形地貌。加强环境管理，</w:t>
            </w:r>
            <w:r>
              <w:rPr>
                <w:rFonts w:hint="default" w:ascii="Times New Roman" w:hAnsi="Times New Roman" w:cs="Times New Roman"/>
                <w:sz w:val="24"/>
                <w:lang w:eastAsia="zh-CN"/>
              </w:rPr>
              <w:t>增强</w:t>
            </w:r>
            <w:r>
              <w:rPr>
                <w:rFonts w:hint="default" w:ascii="Times New Roman" w:hAnsi="Times New Roman" w:cs="Times New Roman"/>
                <w:sz w:val="24"/>
              </w:rPr>
              <w:t>施工人员的环保意识。在开挖的工程中，不随意砍伐植物，不准破坏施工场地周围的植被。</w:t>
            </w:r>
          </w:p>
          <w:p w14:paraId="4E1CD381">
            <w:pPr>
              <w:spacing w:line="480" w:lineRule="exact"/>
              <w:ind w:firstLine="522"/>
              <w:rPr>
                <w:rFonts w:hint="default" w:ascii="Times New Roman" w:hAnsi="Times New Roman" w:cs="Times New Roman"/>
                <w:sz w:val="24"/>
              </w:rPr>
            </w:pPr>
            <w:r>
              <w:rPr>
                <w:rFonts w:hint="default" w:ascii="Times New Roman" w:hAnsi="Times New Roman" w:cs="Times New Roman"/>
                <w:sz w:val="24"/>
                <w:lang w:val="en-US" w:eastAsia="zh-CN" w:bidi="ar"/>
              </w:rPr>
              <w:t>②</w:t>
            </w:r>
            <w:r>
              <w:rPr>
                <w:rFonts w:hint="default" w:ascii="Times New Roman" w:hAnsi="Times New Roman" w:cs="Times New Roman"/>
                <w:sz w:val="24"/>
              </w:rPr>
              <w:t>植被恢复措施</w:t>
            </w:r>
          </w:p>
          <w:p w14:paraId="42EAC944">
            <w:pPr>
              <w:spacing w:line="480" w:lineRule="exact"/>
              <w:ind w:firstLine="522"/>
              <w:rPr>
                <w:rFonts w:hint="default" w:ascii="Times New Roman" w:hAnsi="Times New Roman" w:cs="Times New Roman"/>
                <w:sz w:val="24"/>
              </w:rPr>
            </w:pPr>
            <w:r>
              <w:rPr>
                <w:rFonts w:hint="default" w:ascii="Times New Roman" w:hAnsi="Times New Roman" w:cs="Times New Roman"/>
                <w:sz w:val="24"/>
              </w:rPr>
              <w:t>建设单位应委托有资质单位编制生态修复方案，并按照方案开展施工场地植被恢复专项工程建设。植被恢复应以恢复至施工前原貌为远期目标，采用项目区内常见灌、草物种，参照修复区域周边群落结构特征进行植被群落重建。</w:t>
            </w:r>
          </w:p>
          <w:p w14:paraId="44380188">
            <w:pPr>
              <w:spacing w:line="480" w:lineRule="exact"/>
              <w:ind w:left="480"/>
              <w:rPr>
                <w:rFonts w:hint="default" w:ascii="Times New Roman" w:hAnsi="Times New Roman" w:cs="Times New Roman"/>
                <w:bCs/>
                <w:kern w:val="0"/>
                <w:sz w:val="24"/>
              </w:rPr>
            </w:pPr>
            <w:r>
              <w:rPr>
                <w:rFonts w:hint="default" w:ascii="Times New Roman" w:hAnsi="Times New Roman" w:cs="Times New Roman"/>
                <w:bCs/>
                <w:kern w:val="0"/>
                <w:sz w:val="24"/>
              </w:rPr>
              <w:t>（3）陆生动物保护措施</w:t>
            </w:r>
          </w:p>
          <w:p w14:paraId="339F915A">
            <w:pPr>
              <w:spacing w:line="480" w:lineRule="exact"/>
              <w:ind w:firstLine="480" w:firstLineChars="200"/>
              <w:rPr>
                <w:rFonts w:hint="default" w:ascii="Times New Roman" w:hAnsi="Times New Roman" w:cs="Times New Roman"/>
                <w:bCs/>
                <w:sz w:val="24"/>
                <w:szCs w:val="21"/>
              </w:rPr>
            </w:pPr>
            <w:r>
              <w:rPr>
                <w:rFonts w:hint="default" w:ascii="Times New Roman" w:hAnsi="Times New Roman" w:cs="Times New Roman"/>
                <w:bCs/>
                <w:sz w:val="24"/>
                <w:szCs w:val="21"/>
              </w:rPr>
              <w:t>1）避让措施</w:t>
            </w:r>
          </w:p>
          <w:p w14:paraId="0B980676">
            <w:pPr>
              <w:spacing w:line="480" w:lineRule="exact"/>
              <w:ind w:firstLine="480" w:firstLineChars="200"/>
              <w:rPr>
                <w:rFonts w:hint="default" w:ascii="Times New Roman" w:hAnsi="Times New Roman" w:cs="Times New Roman"/>
                <w:sz w:val="24"/>
              </w:rPr>
            </w:pPr>
            <w:r>
              <w:rPr>
                <w:rFonts w:hint="default" w:ascii="Times New Roman" w:hAnsi="Times New Roman" w:cs="Times New Roman"/>
                <w:sz w:val="24"/>
                <w:lang w:val="en-US" w:eastAsia="zh-CN" w:bidi="ar"/>
              </w:rPr>
              <w:t>①</w:t>
            </w:r>
            <w:r>
              <w:rPr>
                <w:rFonts w:hint="default" w:ascii="Times New Roman" w:hAnsi="Times New Roman" w:cs="Times New Roman"/>
                <w:sz w:val="24"/>
              </w:rPr>
              <w:t>加强施工人员的管理，避免生活污水的直接排放，尤其禁止抛弃有毒有害物质，减少水体污染。加强宣传，制定生态环境保护手册，设置生态环境保护警示牌，增强施工人员的环保意识。</w:t>
            </w:r>
          </w:p>
          <w:p w14:paraId="623C8B65">
            <w:pPr>
              <w:spacing w:line="480" w:lineRule="exact"/>
              <w:ind w:firstLine="480" w:firstLineChars="200"/>
              <w:rPr>
                <w:rFonts w:hint="default" w:ascii="Times New Roman" w:hAnsi="Times New Roman" w:cs="Times New Roman"/>
                <w:sz w:val="24"/>
              </w:rPr>
            </w:pPr>
            <w:r>
              <w:rPr>
                <w:rFonts w:hint="default" w:ascii="Times New Roman" w:hAnsi="Times New Roman" w:cs="Times New Roman"/>
                <w:sz w:val="24"/>
                <w:lang w:val="en-US" w:eastAsia="zh-CN" w:bidi="ar"/>
              </w:rPr>
              <w:t>②</w:t>
            </w:r>
            <w:r>
              <w:rPr>
                <w:rFonts w:hint="default" w:ascii="Times New Roman" w:hAnsi="Times New Roman" w:cs="Times New Roman"/>
                <w:sz w:val="24"/>
              </w:rPr>
              <w:t>在工程施工过程中，合理处理固体废物及施工人员生活污水，避免对水体造成污染而影响到陆生傍水的动物的生存。</w:t>
            </w:r>
          </w:p>
          <w:p w14:paraId="47BC9A2D">
            <w:pPr>
              <w:spacing w:line="480" w:lineRule="exact"/>
              <w:ind w:firstLine="480" w:firstLineChars="200"/>
              <w:rPr>
                <w:rFonts w:hint="default" w:ascii="Times New Roman" w:hAnsi="Times New Roman" w:cs="Times New Roman"/>
                <w:sz w:val="24"/>
              </w:rPr>
            </w:pPr>
            <w:r>
              <w:rPr>
                <w:rFonts w:hint="default" w:ascii="Times New Roman" w:hAnsi="Times New Roman" w:cs="Times New Roman"/>
                <w:sz w:val="24"/>
                <w:lang w:val="en-US" w:eastAsia="zh-CN"/>
              </w:rPr>
              <w:t>③</w:t>
            </w:r>
            <w:r>
              <w:rPr>
                <w:rFonts w:hint="default" w:ascii="Times New Roman" w:hAnsi="Times New Roman" w:cs="Times New Roman"/>
                <w:sz w:val="24"/>
              </w:rPr>
              <w:t>做好保护野生动物的宣传工作，</w:t>
            </w:r>
            <w:r>
              <w:rPr>
                <w:rFonts w:hint="default" w:ascii="Times New Roman" w:hAnsi="Times New Roman" w:cs="Times New Roman"/>
                <w:sz w:val="24"/>
                <w:lang w:eastAsia="zh-CN"/>
              </w:rPr>
              <w:t>增强</w:t>
            </w:r>
            <w:r>
              <w:rPr>
                <w:rFonts w:hint="default" w:ascii="Times New Roman" w:hAnsi="Times New Roman" w:cs="Times New Roman"/>
                <w:sz w:val="24"/>
              </w:rPr>
              <w:t>施工人员的保护意识，严格遵守《中华人民共和国野生动物保护法》，严禁在施工期捕猎野生动物，严禁掏鸟蛋，捕杀鸟类。</w:t>
            </w:r>
          </w:p>
          <w:p w14:paraId="29738D2F">
            <w:pPr>
              <w:spacing w:line="480" w:lineRule="exact"/>
              <w:ind w:firstLine="480" w:firstLineChars="200"/>
              <w:rPr>
                <w:rFonts w:hint="default" w:ascii="Times New Roman" w:hAnsi="Times New Roman" w:cs="Times New Roman"/>
                <w:bCs/>
                <w:sz w:val="24"/>
                <w:szCs w:val="21"/>
              </w:rPr>
            </w:pPr>
            <w:r>
              <w:rPr>
                <w:rFonts w:hint="default" w:ascii="Times New Roman" w:hAnsi="Times New Roman" w:cs="Times New Roman"/>
                <w:bCs/>
                <w:sz w:val="24"/>
                <w:szCs w:val="21"/>
              </w:rPr>
              <w:t>2）减缓措施</w:t>
            </w:r>
          </w:p>
          <w:p w14:paraId="50FC1FF0">
            <w:pPr>
              <w:spacing w:line="480" w:lineRule="exact"/>
              <w:ind w:firstLine="480" w:firstLineChars="200"/>
              <w:rPr>
                <w:rFonts w:hint="default" w:ascii="Times New Roman" w:hAnsi="Times New Roman" w:cs="Times New Roman"/>
                <w:bCs/>
                <w:sz w:val="24"/>
              </w:rPr>
            </w:pPr>
            <w:r>
              <w:rPr>
                <w:rFonts w:hint="default" w:ascii="Times New Roman" w:hAnsi="Times New Roman" w:cs="Times New Roman"/>
                <w:sz w:val="24"/>
                <w:lang w:val="en-US" w:eastAsia="zh-CN" w:bidi="ar"/>
              </w:rPr>
              <w:t>①</w:t>
            </w:r>
            <w:r>
              <w:rPr>
                <w:rFonts w:hint="default" w:ascii="Times New Roman" w:hAnsi="Times New Roman" w:cs="Times New Roman"/>
                <w:bCs/>
                <w:sz w:val="24"/>
              </w:rPr>
              <w:t>优选施工时间，在不影响工程进度的前提下，尽量避开野生动物活动的高峰时段。鸟类和兽类大多是早晨、黄昏或夜间外出觅食，正午是鸟类休息时间。为了减少工程施工噪声对野生动物的惊扰，应做好施工方式和时间的计划，晨、昏和正午避免高噪声作业，尽量避免夜间施工。</w:t>
            </w:r>
          </w:p>
          <w:p w14:paraId="7362082F">
            <w:pPr>
              <w:spacing w:line="480" w:lineRule="exact"/>
              <w:ind w:firstLine="480" w:firstLineChars="200"/>
              <w:rPr>
                <w:rFonts w:hint="default" w:ascii="Times New Roman" w:hAnsi="Times New Roman" w:cs="Times New Roman"/>
                <w:bCs/>
                <w:sz w:val="24"/>
              </w:rPr>
            </w:pPr>
            <w:r>
              <w:rPr>
                <w:rFonts w:hint="default" w:ascii="Times New Roman" w:hAnsi="Times New Roman" w:cs="Times New Roman"/>
                <w:sz w:val="24"/>
                <w:lang w:val="en-US" w:eastAsia="zh-CN" w:bidi="ar"/>
              </w:rPr>
              <w:t>②</w:t>
            </w:r>
            <w:r>
              <w:rPr>
                <w:rFonts w:hint="default" w:ascii="Times New Roman" w:hAnsi="Times New Roman" w:cs="Times New Roman"/>
                <w:bCs/>
                <w:sz w:val="24"/>
              </w:rPr>
              <w:t>优化调整施工进度计划，秋季尽量不安排夜间施工作业。</w:t>
            </w:r>
          </w:p>
          <w:p w14:paraId="12E0F6A7">
            <w:pPr>
              <w:spacing w:line="480" w:lineRule="exact"/>
              <w:ind w:firstLine="480" w:firstLineChars="200"/>
              <w:rPr>
                <w:rFonts w:hint="default" w:ascii="Times New Roman" w:hAnsi="Times New Roman" w:cs="Times New Roman"/>
                <w:bCs/>
                <w:sz w:val="24"/>
              </w:rPr>
            </w:pPr>
            <w:r>
              <w:rPr>
                <w:rFonts w:hint="default" w:ascii="Times New Roman" w:hAnsi="Times New Roman" w:cs="Times New Roman"/>
                <w:sz w:val="24"/>
                <w:lang w:val="en-US" w:eastAsia="zh-CN"/>
              </w:rPr>
              <w:t>③</w:t>
            </w:r>
            <w:r>
              <w:rPr>
                <w:rFonts w:hint="default" w:ascii="Times New Roman" w:hAnsi="Times New Roman" w:cs="Times New Roman"/>
                <w:bCs/>
                <w:sz w:val="24"/>
              </w:rPr>
              <w:t>施工期间加强堆料场防护，加强施工人员的各类卫生管理，避免生活垃圾、生活污水的直接排放，减少污染，最大限度保护动物生境。</w:t>
            </w:r>
          </w:p>
          <w:p w14:paraId="5E908D1C">
            <w:pPr>
              <w:spacing w:line="480" w:lineRule="exact"/>
              <w:ind w:firstLine="480" w:firstLineChars="200"/>
              <w:rPr>
                <w:rFonts w:hint="default" w:ascii="Times New Roman" w:hAnsi="Times New Roman" w:cs="Times New Roman"/>
                <w:bCs/>
                <w:sz w:val="24"/>
              </w:rPr>
            </w:pPr>
            <w:r>
              <w:rPr>
                <w:rFonts w:hint="default" w:ascii="Times New Roman" w:hAnsi="Times New Roman" w:cs="Times New Roman"/>
                <w:bCs/>
                <w:sz w:val="24"/>
                <w:szCs w:val="21"/>
              </w:rPr>
              <w:t>4）管理措施</w:t>
            </w:r>
          </w:p>
          <w:p w14:paraId="6A825844">
            <w:pPr>
              <w:spacing w:line="480" w:lineRule="exact"/>
              <w:ind w:firstLine="480" w:firstLineChars="200"/>
              <w:rPr>
                <w:rFonts w:hint="default" w:ascii="Times New Roman" w:hAnsi="Times New Roman" w:cs="Times New Roman"/>
                <w:sz w:val="24"/>
              </w:rPr>
            </w:pPr>
            <w:r>
              <w:rPr>
                <w:rFonts w:hint="default" w:ascii="Times New Roman" w:hAnsi="Times New Roman" w:cs="Times New Roman"/>
                <w:sz w:val="24"/>
                <w:lang w:val="en-US" w:eastAsia="zh-CN" w:bidi="ar"/>
              </w:rPr>
              <w:t>①</w:t>
            </w:r>
            <w:r>
              <w:rPr>
                <w:rFonts w:hint="default" w:ascii="Times New Roman" w:hAnsi="Times New Roman" w:cs="Times New Roman"/>
                <w:sz w:val="24"/>
              </w:rPr>
              <w:t>施工期制定严格的施工纪律和规章制度，规范施工行为。严格控制施工人员数量、设备和施工作业时间。</w:t>
            </w:r>
          </w:p>
          <w:p w14:paraId="25811487">
            <w:pPr>
              <w:spacing w:line="480" w:lineRule="exact"/>
              <w:ind w:firstLine="480" w:firstLineChars="200"/>
              <w:rPr>
                <w:rFonts w:hint="default" w:ascii="Times New Roman" w:hAnsi="Times New Roman" w:cs="Times New Roman"/>
                <w:sz w:val="24"/>
              </w:rPr>
            </w:pPr>
            <w:r>
              <w:rPr>
                <w:rFonts w:hint="default" w:ascii="Times New Roman" w:hAnsi="Times New Roman" w:cs="Times New Roman"/>
                <w:sz w:val="24"/>
                <w:lang w:val="en-US" w:eastAsia="zh-CN" w:bidi="ar"/>
              </w:rPr>
              <w:t>②</w:t>
            </w:r>
            <w:r>
              <w:rPr>
                <w:rFonts w:hint="default" w:ascii="Times New Roman" w:hAnsi="Times New Roman" w:cs="Times New Roman"/>
                <w:sz w:val="24"/>
              </w:rPr>
              <w:t>严格划定施工范围，严禁越界施工，严禁施工人员进入非施工区域或从事与施工活动无关的活动，特别是要杜绝捕杀、伤害、惊吓、袭击动物等行为。</w:t>
            </w:r>
          </w:p>
          <w:p w14:paraId="63FD4121">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sz w:val="24"/>
              </w:rPr>
            </w:pPr>
            <w:r>
              <w:rPr>
                <w:rFonts w:hint="default" w:ascii="Times New Roman" w:hAnsi="Times New Roman" w:cs="Times New Roman"/>
                <w:sz w:val="24"/>
                <w:lang w:val="en-US" w:eastAsia="zh-CN"/>
              </w:rPr>
              <w:t>③</w:t>
            </w:r>
            <w:r>
              <w:rPr>
                <w:rFonts w:hint="default" w:ascii="Times New Roman" w:hAnsi="Times New Roman" w:cs="Times New Roman"/>
                <w:sz w:val="24"/>
              </w:rPr>
              <w:t>施工期和运行期若发现野生动物的幼体或鸟卵等，要及时通知林业部门专门人员进行救护。</w:t>
            </w:r>
          </w:p>
          <w:p w14:paraId="05B870C6">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sz w:val="24"/>
                <w:lang w:val="en-US" w:eastAsia="zh-CN"/>
              </w:rPr>
            </w:pPr>
            <w:r>
              <w:rPr>
                <w:rFonts w:hint="default" w:ascii="Times New Roman" w:hAnsi="Times New Roman" w:eastAsia="宋体" w:cs="Times New Roman"/>
                <w:sz w:val="24"/>
                <w:lang w:val="en-US" w:eastAsia="zh-CN"/>
              </w:rPr>
              <w:t>（4）水土保持措施</w:t>
            </w:r>
          </w:p>
          <w:bookmarkEnd w:id="72"/>
          <w:bookmarkEnd w:id="73"/>
          <w:bookmarkEnd w:id="74"/>
          <w:p w14:paraId="42B99D20">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sz w:val="24"/>
                <w:lang w:bidi="ar"/>
              </w:rPr>
            </w:pPr>
            <w:r>
              <w:rPr>
                <w:rFonts w:hint="default" w:ascii="Times New Roman" w:hAnsi="Times New Roman" w:cs="Times New Roman"/>
                <w:sz w:val="24"/>
                <w:lang w:bidi="ar"/>
              </w:rPr>
              <w:t>本项目水土保持措施包含工程措施、植物措施、临时防护措施及管理措施。工程施工前对站区扰动范围内的表土进行剥离，剥离厚度 0.2～0.3m。站址经产业园统一场平后表层为人工填土（厚 0.6～2.2m）、下伏粉土及粉细砂，剥离时筛除建筑垃圾及杂物后集中堆存，剥离量按扰动面积和剥离厚度估算，全部回用于站区后期绿化覆土和碎石地面基层，不外卖、不外弃。</w:t>
            </w:r>
          </w:p>
          <w:p w14:paraId="220B4818">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sz w:val="24"/>
                <w:lang w:bidi="ar"/>
              </w:rPr>
            </w:pPr>
            <w:r>
              <w:rPr>
                <w:rFonts w:hint="default" w:ascii="Times New Roman" w:hAnsi="Times New Roman" w:cs="Times New Roman"/>
                <w:sz w:val="24"/>
                <w:lang w:bidi="ar"/>
              </w:rPr>
              <w:t>①工程措施</w:t>
            </w:r>
          </w:p>
          <w:p w14:paraId="42AC706C">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sz w:val="24"/>
                <w:lang w:bidi="ar"/>
              </w:rPr>
            </w:pPr>
            <w:r>
              <w:rPr>
                <w:rFonts w:hint="default" w:ascii="Times New Roman" w:hAnsi="Times New Roman" w:cs="Times New Roman"/>
                <w:sz w:val="24"/>
                <w:lang w:bidi="ar"/>
              </w:rPr>
              <w:t>表土剥离后集中堆存，施工结束后回用于站区绿化覆土；场地平整时对地基、路基区域碾压密实；非硬化区域平整后采取碎石覆盖或覆土绿化。根据场地平坡式竖向布置及排水走向，在站区周边设置临时截排水沟，排水经沉淀后排入厂区雨水系统，避免站外来水冲刷施工面；场地平整及基础、电缆沟开挖形成的临时边坡和基坑边坡，采取临时拦挡、坡面覆盖等防护措施，坡脚用装土编织袋压护。站内不设取土场和弃土场，场地填方就地平衡，无外购、外弃土方；施工场地布置于站区围墙范围内，不单独设置施工营地。</w:t>
            </w:r>
          </w:p>
          <w:p w14:paraId="476B6863">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sz w:val="24"/>
                <w:lang w:bidi="ar"/>
              </w:rPr>
            </w:pPr>
            <w:r>
              <w:rPr>
                <w:rFonts w:hint="default" w:ascii="Times New Roman" w:hAnsi="Times New Roman" w:cs="Times New Roman"/>
                <w:sz w:val="24"/>
                <w:lang w:bidi="ar"/>
              </w:rPr>
              <w:t>②临时措施</w:t>
            </w:r>
          </w:p>
          <w:p w14:paraId="4870F769">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sz w:val="24"/>
                <w:lang w:bidi="ar"/>
              </w:rPr>
            </w:pPr>
            <w:r>
              <w:rPr>
                <w:rFonts w:hint="default" w:ascii="Times New Roman" w:hAnsi="Times New Roman" w:cs="Times New Roman"/>
                <w:sz w:val="24"/>
                <w:lang w:bidi="ar"/>
              </w:rPr>
              <w:t>表土剥离后集中堆放在站区不影响施工的空地，堆高和边坡按稳定要求控制，堆体表面用彩条布 / 密目防尘网覆盖，四周用装土编织袋压边并设临时挡水土埂，防止大风扬散和雨水冲刷。进站道路、站内环形消防道路施工产生的临时堆土沿道路一侧集中堆放，坡脚设置装土编织袋挡护、堆体表面苫盖密目网或彩条布，防止堆土散落流失；站内道路、碎石地面与站区场平统筹安排、同步施工，缩短堆土暴露时间。 施工区周边设置围挡，严格控制扰动范围；施工期开展洒水降尘，正常天气洒水频次不少于 2 次 / 日、大风日不少于 4 次 / 日；遇 6 级以上大风停止土方作业，并对裸露面和堆土加强苫盖；土方施工尽量避开 3—5 月大风沙尘高发期，减少风蚀起沙。</w:t>
            </w:r>
          </w:p>
          <w:p w14:paraId="0614BF28">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sz w:val="24"/>
                <w:lang w:bidi="ar"/>
              </w:rPr>
            </w:pPr>
            <w:r>
              <w:rPr>
                <w:rFonts w:hint="default" w:ascii="Times New Roman" w:hAnsi="Times New Roman" w:cs="Times New Roman"/>
                <w:sz w:val="24"/>
                <w:lang w:bidi="ar"/>
              </w:rPr>
              <w:t>③植物措施</w:t>
            </w:r>
          </w:p>
          <w:p w14:paraId="7239612B">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sz w:val="24"/>
                <w:lang w:bidi="ar"/>
              </w:rPr>
            </w:pPr>
            <w:r>
              <w:rPr>
                <w:rFonts w:hint="default" w:ascii="Times New Roman" w:hAnsi="Times New Roman" w:cs="Times New Roman"/>
                <w:sz w:val="24"/>
                <w:lang w:bidi="ar"/>
              </w:rPr>
              <w:t>站区可绿化区域选用本地耐旱、抗风沙的草本和灌木，不引种外来物种，采用节水灌溉方式，不种植高耗水草坪，提高站区林草覆盖率；绿化回填覆土厚度不小于 0.3m，保障苗木成活率。站区未硬化地面采用碎石覆盖、设备区采用绝缘地面，减少地表裸露和风蚀。绿化工程与主体工程同步实施，施工结束后及时完成场地整治。</w:t>
            </w:r>
          </w:p>
          <w:p w14:paraId="137B9858">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sz w:val="24"/>
                <w:lang w:bidi="ar"/>
              </w:rPr>
            </w:pPr>
            <w:r>
              <w:rPr>
                <w:rFonts w:hint="default" w:ascii="Times New Roman" w:hAnsi="Times New Roman" w:cs="Times New Roman"/>
                <w:sz w:val="24"/>
                <w:lang w:bidi="ar"/>
              </w:rPr>
              <w:t>④管理措施</w:t>
            </w:r>
          </w:p>
          <w:p w14:paraId="233A8131">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sz w:val="24"/>
                <w:lang w:bidi="ar"/>
              </w:rPr>
            </w:pPr>
            <w:r>
              <w:rPr>
                <w:rFonts w:hint="default" w:ascii="Times New Roman" w:hAnsi="Times New Roman" w:cs="Times New Roman"/>
                <w:sz w:val="24"/>
                <w:lang w:bidi="ar"/>
              </w:rPr>
              <w:t>在施工合同中明确水土保持相关要求，委托监理单位开展水土保持监理工作；严格按照批复的水土保持方案落实水土保持 “三同时” 制度，工程完工后及时开展水土保持设施自主验收。</w:t>
            </w:r>
          </w:p>
          <w:p w14:paraId="39021D3C">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sz w:val="24"/>
                <w:lang w:bidi="ar"/>
              </w:rPr>
            </w:pPr>
            <w:r>
              <w:rPr>
                <w:rFonts w:hint="default" w:ascii="Times New Roman" w:hAnsi="Times New Roman" w:cs="Times New Roman"/>
                <w:sz w:val="24"/>
                <w:lang w:bidi="ar"/>
              </w:rPr>
              <w:t>通过工程措施、临时防护措施、植物措施联合管控，辅以完善的水土保持管理措施，施工期扰动地表得到及时防护，表土资源得到保护和资源化利用；站区地表硬化、碎石覆盖及绿化实施后，起沙面显著减少，水土流失可控制在可接受范围内，不会造成持续性新增水土流失。</w:t>
            </w:r>
          </w:p>
        </w:tc>
      </w:tr>
      <w:tr w14:paraId="281577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78" w:hRule="atLeast"/>
          <w:jc w:val="center"/>
        </w:trPr>
        <w:tc>
          <w:tcPr>
            <w:tcW w:w="409" w:type="pct"/>
            <w:tcMar>
              <w:left w:w="28" w:type="dxa"/>
              <w:right w:w="28" w:type="dxa"/>
            </w:tcMar>
            <w:vAlign w:val="center"/>
          </w:tcPr>
          <w:p w14:paraId="24862519">
            <w:pPr>
              <w:adjustRightInd w:val="0"/>
              <w:snapToGrid w:val="0"/>
              <w:jc w:val="center"/>
              <w:rPr>
                <w:rFonts w:hint="default" w:ascii="Times New Roman" w:hAnsi="Times New Roman" w:cs="Times New Roman" w:eastAsiaTheme="minorEastAsia"/>
                <w:bCs/>
                <w:szCs w:val="21"/>
              </w:rPr>
            </w:pPr>
            <w:r>
              <w:rPr>
                <w:rFonts w:hint="default" w:ascii="Times New Roman" w:hAnsi="Times New Roman" w:cs="Times New Roman" w:eastAsiaTheme="minorEastAsia"/>
                <w:bCs/>
                <w:szCs w:val="21"/>
              </w:rPr>
              <w:t>运营期生态环境保护措施</w:t>
            </w:r>
          </w:p>
        </w:tc>
        <w:tc>
          <w:tcPr>
            <w:tcW w:w="4591" w:type="pct"/>
          </w:tcPr>
          <w:p w14:paraId="4949E91A">
            <w:pPr>
              <w:pStyle w:val="67"/>
              <w:numPr>
                <w:ilvl w:val="0"/>
                <w:numId w:val="0"/>
              </w:numPr>
              <w:adjustRightInd w:val="0"/>
              <w:snapToGrid w:val="0"/>
              <w:spacing w:line="480" w:lineRule="exact"/>
              <w:ind w:leftChars="0"/>
              <w:rPr>
                <w:rFonts w:hint="default" w:ascii="Times New Roman" w:hAnsi="Times New Roman" w:eastAsia="黑体" w:cs="Times New Roman"/>
                <w:bCs/>
                <w:sz w:val="25"/>
              </w:rPr>
            </w:pPr>
            <w:r>
              <w:rPr>
                <w:rFonts w:hint="default" w:ascii="Times New Roman" w:hAnsi="Times New Roman" w:eastAsia="黑体" w:cs="Times New Roman"/>
                <w:bCs/>
                <w:sz w:val="25"/>
                <w:lang w:val="en-US" w:eastAsia="zh-CN"/>
              </w:rPr>
              <w:t>1.</w:t>
            </w:r>
            <w:r>
              <w:rPr>
                <w:rFonts w:hint="default" w:ascii="Times New Roman" w:hAnsi="Times New Roman" w:eastAsia="黑体" w:cs="Times New Roman"/>
                <w:bCs/>
                <w:sz w:val="25"/>
              </w:rPr>
              <w:t>大气环境保护措施</w:t>
            </w:r>
          </w:p>
          <w:p w14:paraId="2911E26E">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kern w:val="2"/>
                <w:sz w:val="24"/>
                <w:szCs w:val="21"/>
                <w:lang w:val="en-US" w:eastAsia="zh-CN" w:bidi="ar-SA"/>
              </w:rPr>
            </w:pPr>
            <w:r>
              <w:rPr>
                <w:rFonts w:hint="default" w:ascii="Times New Roman" w:hAnsi="Times New Roman" w:eastAsia="宋体" w:cs="Times New Roman"/>
                <w:kern w:val="2"/>
                <w:sz w:val="24"/>
                <w:szCs w:val="21"/>
                <w:lang w:val="en-US" w:eastAsia="zh-CN" w:bidi="ar-SA"/>
              </w:rPr>
              <w:t>本项目为无人值班变电站，站内不设锅炉、食堂和宿舍，采暖采用壁挂式电采暖器辅以空调，不设固定式柴油发电机组，运营期无燃烧废气、工艺废气及油烟排放；110kV GIS的SF6气体密闭于气室内，正常运行不排放，检修时由厂家回收再生；高压设备电晕放电产生的微量臭氧、氮氧化物经室内机械通风稀释后排放。GIS室按间隔配置SF6泄漏监测并与下部机械排风联锁，泄漏时自动报警。站区周围开阔、扩散条件良好，区域环境空气中PM10、PM2.5现状超标主要受沙尘天气等自然背景因素影响，本项目不新增颗粒物排放。站内固体废物分类收集、严禁焚烧。采取以上措施后，运营期对周边大气环境影响很小，防治措施可行。</w:t>
            </w:r>
          </w:p>
          <w:p w14:paraId="60E4670F">
            <w:pPr>
              <w:pStyle w:val="67"/>
              <w:numPr>
                <w:ilvl w:val="0"/>
                <w:numId w:val="0"/>
              </w:numPr>
              <w:adjustRightInd w:val="0"/>
              <w:snapToGrid w:val="0"/>
              <w:spacing w:line="480" w:lineRule="exact"/>
              <w:ind w:leftChars="0"/>
              <w:rPr>
                <w:rFonts w:hint="default" w:ascii="Times New Roman" w:hAnsi="Times New Roman" w:eastAsia="黑体" w:cs="Times New Roman"/>
                <w:bCs/>
                <w:sz w:val="25"/>
                <w:lang w:val="en-US" w:eastAsia="zh-CN"/>
              </w:rPr>
            </w:pPr>
            <w:r>
              <w:rPr>
                <w:rFonts w:hint="default" w:ascii="Times New Roman" w:hAnsi="Times New Roman" w:eastAsia="黑体" w:cs="Times New Roman"/>
                <w:bCs/>
                <w:sz w:val="25"/>
                <w:lang w:val="en-US" w:eastAsia="zh-CN"/>
              </w:rPr>
              <w:t>2.水环境保护措施</w:t>
            </w:r>
          </w:p>
          <w:p w14:paraId="1606AA13">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kern w:val="2"/>
                <w:sz w:val="24"/>
                <w:szCs w:val="21"/>
                <w:lang w:val="en-US" w:eastAsia="zh-CN" w:bidi="ar-SA"/>
              </w:rPr>
            </w:pPr>
            <w:r>
              <w:rPr>
                <w:rFonts w:hint="default" w:ascii="Times New Roman" w:hAnsi="Times New Roman" w:eastAsia="宋体" w:cs="Times New Roman"/>
                <w:kern w:val="2"/>
                <w:sz w:val="24"/>
                <w:szCs w:val="21"/>
                <w:lang w:val="en-US" w:eastAsia="zh-CN" w:bidi="ar-SA"/>
              </w:rPr>
              <w:t>本项目运营期无生产废水：主变压器为自然油循环自冷式，不设循环冷却水系统；110kV采用GIS、10kV采用开关柜，均为无油设备。站区实行雨污分流，雨水经场地散排、自然下渗，站内不设雨水排放口。</w:t>
            </w:r>
          </w:p>
          <w:p w14:paraId="4F71BA12">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kern w:val="2"/>
                <w:sz w:val="24"/>
                <w:szCs w:val="21"/>
                <w:lang w:val="en-US" w:eastAsia="zh-CN" w:bidi="ar-SA"/>
              </w:rPr>
            </w:pPr>
            <w:r>
              <w:rPr>
                <w:rFonts w:hint="default" w:ascii="Times New Roman" w:hAnsi="Times New Roman" w:eastAsia="宋体" w:cs="Times New Roman"/>
                <w:kern w:val="2"/>
                <w:sz w:val="24"/>
                <w:szCs w:val="21"/>
                <w:lang w:val="en-US" w:eastAsia="zh-CN" w:bidi="ar-SA"/>
              </w:rPr>
              <w:t>废水仅为运维人员生活污水：站内无人值班，运维人员产生的污水量约0.22m³/d（约80m³/a），主要污染物为COD、BOD5、SS、氨氮，水质简单。生活污水经站内防渗化粪池预处理后排入厂区污水管网，最终进入尉犁工业园区工业污水处理厂处理，不直接排入外环境；化粪池按规范防渗、定期清掏。</w:t>
            </w:r>
          </w:p>
          <w:p w14:paraId="61A1FB77">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kern w:val="2"/>
                <w:sz w:val="24"/>
                <w:szCs w:val="21"/>
                <w:lang w:val="en-US" w:eastAsia="zh-CN" w:bidi="ar-SA"/>
              </w:rPr>
            </w:pPr>
            <w:r>
              <w:rPr>
                <w:rFonts w:hint="default" w:ascii="Times New Roman" w:hAnsi="Times New Roman" w:eastAsia="宋体" w:cs="Times New Roman"/>
                <w:kern w:val="2"/>
                <w:sz w:val="24"/>
                <w:szCs w:val="21"/>
                <w:lang w:val="en-US" w:eastAsia="zh-CN" w:bidi="ar-SA"/>
              </w:rPr>
              <w:t>事故工况下，主变排油经排油槽、排油管道进入事故油池（有效容积30m³，设油水分离），池体采用P10抗渗混凝土并做防水卷材及防水砂浆，属重点防渗区；收集的含油污水及废油交有资质单位抽运处置，不外排；池内平时保持空池，严禁油水混排或排入雨水系统。站内用水全部引接厂区给水管网，不设水源井、不开采地下水，不得从周边地表水体取水；各类固体废物均妥善处置，不得向水体及饮用水水源保护区倾倒。经采取上述措施，废水不排入外环境，对周围水环境影响较小，治理措施可行。</w:t>
            </w:r>
          </w:p>
          <w:p w14:paraId="1E38FCA5">
            <w:pPr>
              <w:pStyle w:val="67"/>
              <w:numPr>
                <w:ilvl w:val="0"/>
                <w:numId w:val="0"/>
              </w:numPr>
              <w:adjustRightInd w:val="0"/>
              <w:snapToGrid w:val="0"/>
              <w:spacing w:line="480" w:lineRule="exact"/>
              <w:ind w:leftChars="0"/>
              <w:rPr>
                <w:rFonts w:hint="default" w:ascii="Times New Roman" w:hAnsi="Times New Roman" w:eastAsia="黑体" w:cs="Times New Roman"/>
                <w:bCs/>
                <w:sz w:val="25"/>
                <w:lang w:val="en-US" w:eastAsia="zh-CN"/>
              </w:rPr>
            </w:pPr>
            <w:r>
              <w:rPr>
                <w:rFonts w:hint="default" w:ascii="Times New Roman" w:hAnsi="Times New Roman" w:eastAsia="黑体" w:cs="Times New Roman"/>
                <w:bCs/>
                <w:sz w:val="25"/>
                <w:lang w:val="en-US" w:eastAsia="zh-CN"/>
              </w:rPr>
              <w:t>3.噪声污染防治措施</w:t>
            </w:r>
          </w:p>
          <w:p w14:paraId="0B40F573">
            <w:pPr>
              <w:spacing w:line="480" w:lineRule="exact"/>
              <w:ind w:firstLine="522"/>
              <w:rPr>
                <w:rFonts w:hint="default" w:ascii="Times New Roman" w:hAnsi="Times New Roman" w:cs="Times New Roman"/>
                <w:sz w:val="24"/>
              </w:rPr>
            </w:pPr>
            <w:r>
              <w:rPr>
                <w:rFonts w:hint="default" w:ascii="Times New Roman" w:hAnsi="Times New Roman" w:cs="Times New Roman"/>
                <w:sz w:val="24"/>
              </w:rPr>
              <w:t>在项目运行期，要求</w:t>
            </w:r>
            <w:r>
              <w:rPr>
                <w:rFonts w:hint="default" w:ascii="Times New Roman" w:hAnsi="Times New Roman" w:cs="Times New Roman"/>
                <w:sz w:val="24"/>
                <w:lang w:val="en-US" w:eastAsia="zh-CN"/>
              </w:rPr>
              <w:t>变电站</w:t>
            </w:r>
            <w:r>
              <w:rPr>
                <w:rFonts w:hint="default" w:ascii="Times New Roman" w:hAnsi="Times New Roman" w:cs="Times New Roman"/>
                <w:sz w:val="24"/>
              </w:rPr>
              <w:t>运行维护人员对其进行定期巡查及维护，保障</w:t>
            </w:r>
            <w:r>
              <w:rPr>
                <w:rFonts w:hint="default" w:ascii="Times New Roman" w:hAnsi="Times New Roman" w:cs="Times New Roman"/>
                <w:sz w:val="24"/>
                <w:lang w:eastAsia="zh-CN"/>
              </w:rPr>
              <w:t>变电站</w:t>
            </w:r>
            <w:r>
              <w:rPr>
                <w:rFonts w:hint="default" w:ascii="Times New Roman" w:hAnsi="Times New Roman" w:cs="Times New Roman"/>
                <w:sz w:val="24"/>
              </w:rPr>
              <w:t>的正常运行；优选低噪声主变压器，加强设备日常维修保养，防止由于</w:t>
            </w:r>
            <w:r>
              <w:rPr>
                <w:rFonts w:hint="default" w:ascii="Times New Roman" w:hAnsi="Times New Roman" w:cs="Times New Roman"/>
                <w:sz w:val="24"/>
                <w:lang w:val="en-US" w:eastAsia="zh-CN"/>
              </w:rPr>
              <w:t>变电站</w:t>
            </w:r>
            <w:r>
              <w:rPr>
                <w:rFonts w:hint="default" w:ascii="Times New Roman" w:hAnsi="Times New Roman" w:cs="Times New Roman"/>
                <w:sz w:val="24"/>
              </w:rPr>
              <w:t>运行故障</w:t>
            </w:r>
            <w:r>
              <w:rPr>
                <w:rFonts w:hint="eastAsia" w:cs="Times New Roman"/>
                <w:sz w:val="24"/>
                <w:lang w:eastAsia="zh-CN"/>
              </w:rPr>
              <w:t>扩大</w:t>
            </w:r>
            <w:r>
              <w:rPr>
                <w:rFonts w:hint="default" w:ascii="Times New Roman" w:hAnsi="Times New Roman" w:cs="Times New Roman"/>
                <w:sz w:val="24"/>
              </w:rPr>
              <w:t>对周边环境的噪声影响。</w:t>
            </w:r>
          </w:p>
          <w:p w14:paraId="34D9B2B7">
            <w:pPr>
              <w:pStyle w:val="67"/>
              <w:numPr>
                <w:ilvl w:val="0"/>
                <w:numId w:val="0"/>
              </w:numPr>
              <w:adjustRightInd w:val="0"/>
              <w:snapToGrid w:val="0"/>
              <w:spacing w:line="480" w:lineRule="exact"/>
              <w:ind w:leftChars="0"/>
              <w:rPr>
                <w:rFonts w:hint="default" w:ascii="Times New Roman" w:hAnsi="Times New Roman" w:eastAsia="黑体" w:cs="Times New Roman"/>
                <w:bCs/>
                <w:sz w:val="25"/>
                <w:lang w:val="en-US" w:eastAsia="zh-CN"/>
              </w:rPr>
            </w:pPr>
            <w:r>
              <w:rPr>
                <w:rFonts w:hint="default" w:ascii="Times New Roman" w:hAnsi="Times New Roman" w:eastAsia="黑体" w:cs="Times New Roman"/>
                <w:bCs/>
                <w:sz w:val="25"/>
                <w:lang w:val="en-US" w:eastAsia="zh-CN"/>
              </w:rPr>
              <w:t>4.电磁环境保护措施</w:t>
            </w:r>
          </w:p>
          <w:p w14:paraId="54AD3676">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110kV GIS、10kV开关柜均为户内布置，利用建筑墙体屏蔽，主变压器户外布置于站区南侧、距</w:t>
            </w:r>
            <w:r>
              <w:rPr>
                <w:rFonts w:hint="eastAsia" w:ascii="Times New Roman" w:hAnsi="Times New Roman" w:cs="Times New Roman"/>
                <w:kern w:val="2"/>
                <w:sz w:val="24"/>
                <w:szCs w:val="24"/>
                <w:lang w:val="en-US" w:eastAsia="zh-CN" w:bidi="ar-SA"/>
              </w:rPr>
              <w:t>变电站站界</w:t>
            </w:r>
            <w:r>
              <w:rPr>
                <w:rFonts w:hint="default" w:ascii="Times New Roman" w:hAnsi="Times New Roman" w:eastAsia="宋体" w:cs="Times New Roman"/>
                <w:kern w:val="2"/>
                <w:sz w:val="24"/>
                <w:szCs w:val="24"/>
                <w:lang w:val="en-US" w:eastAsia="zh-CN" w:bidi="ar-SA"/>
              </w:rPr>
              <w:t>不小于10m；设备金属外壳、构架及电缆金属护层可靠接地，设铜质主接地网（工频接地电阻计算值0.532Ω），导线及金具表面光洁、110kV选用合成绝缘子，减少尖端放电。工程投运前及竣工验收时按《交流输变电工程电磁环境监测方法》（HJ681-2013）监测</w:t>
            </w:r>
            <w:r>
              <w:rPr>
                <w:rFonts w:hint="eastAsia" w:ascii="Times New Roman" w:hAnsi="Times New Roman" w:cs="Times New Roman"/>
                <w:kern w:val="2"/>
                <w:sz w:val="24"/>
                <w:szCs w:val="24"/>
                <w:lang w:val="en-US" w:eastAsia="zh-CN" w:bidi="ar-SA"/>
              </w:rPr>
              <w:t>变电站站界</w:t>
            </w:r>
            <w:r>
              <w:rPr>
                <w:rFonts w:hint="default" w:ascii="Times New Roman" w:hAnsi="Times New Roman" w:eastAsia="宋体" w:cs="Times New Roman"/>
                <w:kern w:val="2"/>
                <w:sz w:val="24"/>
                <w:szCs w:val="24"/>
                <w:lang w:val="en-US" w:eastAsia="zh-CN" w:bidi="ar-SA"/>
              </w:rPr>
              <w:t>工频电场、工频磁感应强度，满足《电磁环境控制限值》（GB8702-2014）公众曝露控制限值（工频电场4kV/m、工频磁感应强度100μT）；严格落实接地网施工质量，设备金属外壳、构架可靠接地，竣工阶段按照HJ681</w:t>
            </w:r>
            <w:r>
              <w:rPr>
                <w:rFonts w:hint="default" w:ascii="Times New Roman" w:hAnsi="Times New Roman" w:eastAsia="宋体" w:cs="Times New Roman"/>
                <w:kern w:val="2"/>
                <w:sz w:val="24"/>
                <w:szCs w:val="24"/>
                <w:lang w:val="en-US" w:eastAsia="zh-CN" w:bidi="ar-SA"/>
              </w:rPr>
              <w:noBreakHyphen/>
            </w:r>
            <w:r>
              <w:rPr>
                <w:rFonts w:hint="default" w:ascii="Times New Roman" w:hAnsi="Times New Roman" w:eastAsia="宋体" w:cs="Times New Roman"/>
                <w:kern w:val="2"/>
                <w:sz w:val="24"/>
                <w:szCs w:val="24"/>
                <w:lang w:val="en-US" w:eastAsia="zh-CN" w:bidi="ar-SA"/>
              </w:rPr>
              <w:t>2013开展</w:t>
            </w:r>
            <w:r>
              <w:rPr>
                <w:rFonts w:hint="eastAsia" w:ascii="Times New Roman" w:hAnsi="Times New Roman" w:cs="Times New Roman"/>
                <w:kern w:val="2"/>
                <w:sz w:val="24"/>
                <w:szCs w:val="24"/>
                <w:lang w:val="en-US" w:eastAsia="zh-CN" w:bidi="ar-SA"/>
              </w:rPr>
              <w:t>变电站站界</w:t>
            </w:r>
            <w:r>
              <w:rPr>
                <w:rFonts w:hint="default" w:ascii="Times New Roman" w:hAnsi="Times New Roman" w:eastAsia="宋体" w:cs="Times New Roman"/>
                <w:kern w:val="2"/>
                <w:sz w:val="24"/>
                <w:szCs w:val="24"/>
                <w:lang w:val="en-US" w:eastAsia="zh-CN" w:bidi="ar-SA"/>
              </w:rPr>
              <w:t>工频电场、工频磁感应强度监测，满足 GB8702</w:t>
            </w:r>
            <w:r>
              <w:rPr>
                <w:rFonts w:hint="default" w:ascii="Times New Roman" w:hAnsi="Times New Roman" w:eastAsia="宋体" w:cs="Times New Roman"/>
                <w:kern w:val="2"/>
                <w:sz w:val="24"/>
                <w:szCs w:val="24"/>
                <w:lang w:val="en-US" w:eastAsia="zh-CN" w:bidi="ar-SA"/>
              </w:rPr>
              <w:noBreakHyphen/>
            </w:r>
            <w:r>
              <w:rPr>
                <w:rFonts w:hint="default" w:ascii="Times New Roman" w:hAnsi="Times New Roman" w:eastAsia="宋体" w:cs="Times New Roman"/>
                <w:kern w:val="2"/>
                <w:sz w:val="24"/>
                <w:szCs w:val="24"/>
                <w:lang w:val="en-US" w:eastAsia="zh-CN" w:bidi="ar-SA"/>
              </w:rPr>
              <w:t>2014限值要求</w:t>
            </w:r>
            <w:r>
              <w:rPr>
                <w:rFonts w:hint="eastAsia" w:ascii="Times New Roman" w:hAnsi="Times New Roman" w:cs="Times New Roman"/>
                <w:kern w:val="2"/>
                <w:sz w:val="24"/>
                <w:szCs w:val="24"/>
                <w:lang w:val="en-US" w:eastAsia="zh-CN" w:bidi="ar-SA"/>
              </w:rPr>
              <w:t>；变电站站界</w:t>
            </w:r>
            <w:r>
              <w:rPr>
                <w:rFonts w:hint="default" w:ascii="Times New Roman" w:hAnsi="Times New Roman" w:eastAsia="宋体" w:cs="Times New Roman"/>
                <w:kern w:val="2"/>
                <w:sz w:val="24"/>
                <w:szCs w:val="24"/>
                <w:lang w:val="en-US" w:eastAsia="zh-CN" w:bidi="ar-SA"/>
              </w:rPr>
              <w:t>外50m内无居民住宅、学校、医院等敏感目标，电磁环境影响可接受。</w:t>
            </w:r>
          </w:p>
          <w:p w14:paraId="5614F665">
            <w:pPr>
              <w:pStyle w:val="67"/>
              <w:numPr>
                <w:ilvl w:val="0"/>
                <w:numId w:val="0"/>
              </w:numPr>
              <w:adjustRightInd w:val="0"/>
              <w:snapToGrid w:val="0"/>
              <w:spacing w:line="480" w:lineRule="exact"/>
              <w:ind w:leftChars="0"/>
              <w:rPr>
                <w:rFonts w:hint="default" w:ascii="Times New Roman" w:hAnsi="Times New Roman" w:eastAsia="黑体" w:cs="Times New Roman"/>
                <w:bCs/>
                <w:sz w:val="25"/>
                <w:lang w:val="en-US" w:eastAsia="zh-CN"/>
              </w:rPr>
            </w:pPr>
            <w:r>
              <w:rPr>
                <w:rFonts w:hint="default" w:ascii="Times New Roman" w:hAnsi="Times New Roman" w:eastAsia="黑体" w:cs="Times New Roman"/>
                <w:bCs/>
                <w:sz w:val="25"/>
                <w:lang w:val="en-US" w:eastAsia="zh-CN"/>
              </w:rPr>
              <w:t>5.固废处置措施</w:t>
            </w:r>
          </w:p>
          <w:p w14:paraId="2F536979">
            <w:pPr>
              <w:spacing w:line="480" w:lineRule="exact"/>
              <w:ind w:firstLine="522"/>
              <w:rPr>
                <w:rFonts w:hint="default" w:ascii="Times New Roman" w:hAnsi="Times New Roman" w:cs="Times New Roman"/>
                <w:sz w:val="24"/>
              </w:rPr>
            </w:pPr>
            <w:bookmarkStart w:id="75" w:name="_Hlk210831491"/>
            <w:r>
              <w:rPr>
                <w:rFonts w:hint="default" w:ascii="Times New Roman" w:hAnsi="Times New Roman" w:cs="Times New Roman"/>
                <w:bCs/>
                <w:sz w:val="24"/>
              </w:rPr>
              <w:t>运营期固体废弃物主要包括</w:t>
            </w:r>
            <w:r>
              <w:rPr>
                <w:rFonts w:hint="default" w:ascii="Times New Roman" w:hAnsi="Times New Roman" w:cs="Times New Roman"/>
                <w:bCs/>
                <w:sz w:val="24"/>
                <w:lang w:val="en-US" w:eastAsia="zh-CN"/>
              </w:rPr>
              <w:t>一般固废和</w:t>
            </w:r>
            <w:r>
              <w:rPr>
                <w:rFonts w:hint="default" w:ascii="Times New Roman" w:hAnsi="Times New Roman" w:cs="Times New Roman"/>
                <w:bCs/>
                <w:sz w:val="24"/>
              </w:rPr>
              <w:t>危险废物（变压器</w:t>
            </w:r>
            <w:r>
              <w:rPr>
                <w:rFonts w:hint="eastAsia" w:cs="Times New Roman"/>
                <w:bCs/>
                <w:sz w:val="24"/>
                <w:lang w:eastAsia="zh-CN"/>
              </w:rPr>
              <w:t>油</w:t>
            </w:r>
            <w:r>
              <w:rPr>
                <w:rFonts w:hint="default" w:ascii="Times New Roman" w:hAnsi="Times New Roman" w:cs="Times New Roman"/>
                <w:bCs/>
                <w:sz w:val="24"/>
              </w:rPr>
              <w:t>、废铅蓄电池、废矿物油、废油桶，废弃的含油抹布、劳保用品）和员工值守产生的生活垃圾。</w:t>
            </w:r>
          </w:p>
          <w:p w14:paraId="45BFB18A">
            <w:pPr>
              <w:spacing w:line="480" w:lineRule="exact"/>
              <w:ind w:firstLine="522"/>
              <w:rPr>
                <w:rFonts w:hint="default" w:ascii="Times New Roman" w:hAnsi="Times New Roman" w:cs="Times New Roman"/>
                <w:sz w:val="24"/>
              </w:rPr>
            </w:pPr>
            <w:r>
              <w:rPr>
                <w:rFonts w:hint="default" w:ascii="Times New Roman" w:hAnsi="Times New Roman" w:cs="Times New Roman"/>
                <w:sz w:val="24"/>
              </w:rPr>
              <w:t>一般固体废物：设备检修更换的废旧金具、线缆、包装材料等，集中收集后外售综合利用，不在站内长期堆存。生活垃圾：站内无人值班、无食堂，仅检修及巡视期间少量产生，分类收集后由当地环卫部门清运至尉犁县生活垃圾填埋场处置。</w:t>
            </w:r>
          </w:p>
          <w:p w14:paraId="1C57E7B3">
            <w:pPr>
              <w:spacing w:line="480" w:lineRule="exact"/>
              <w:ind w:firstLine="522"/>
              <w:rPr>
                <w:rFonts w:hint="default" w:ascii="Times New Roman" w:hAnsi="Times New Roman" w:cs="Times New Roman"/>
                <w:sz w:val="24"/>
              </w:rPr>
            </w:pPr>
            <w:r>
              <w:rPr>
                <w:rFonts w:hint="default" w:ascii="Times New Roman" w:hAnsi="Times New Roman" w:cs="Times New Roman"/>
                <w:sz w:val="24"/>
              </w:rPr>
              <w:t>危险废物：废铅蓄电池（HW31，900-052-31）年均约0.2t，设计寿命6～10年，更换时整组产生约1.6t；废变压器油（HW08，900-220-08）来自主变事故排油及检修排油，经排油槽进入事故油池收集，单次最大约25t；废润滑油（HW08，900-217-08）约0.1t/a、废油桶（HW</w:t>
            </w:r>
            <w:r>
              <w:rPr>
                <w:rFonts w:hint="eastAsia" w:cs="Times New Roman"/>
                <w:sz w:val="24"/>
                <w:lang w:val="en-US" w:eastAsia="zh-CN"/>
              </w:rPr>
              <w:t>08</w:t>
            </w:r>
            <w:r>
              <w:rPr>
                <w:rFonts w:hint="default" w:ascii="Times New Roman" w:hAnsi="Times New Roman" w:cs="Times New Roman"/>
                <w:sz w:val="24"/>
              </w:rPr>
              <w:t>，900-249-08）约0.02t/a、含油抹布及劳保用品（HW49，900-041-49）约0.03t/a。废变压器油由事故油池收集后抽运，其余各类危险废物分类收集于符合标准要求的专用密闭容器内，一并送产业园（一期）厂区危险废物暂存间暂存，站内不单独设置危险废物暂存间，由建设单位统一委托有相应类别经营许可证的单位处置。厂区危险废物暂存间由产业园（一期）项目统一建设，已纳入该项目环境影响报告书及批复（巴环评价函〔2026〕190号）管理，按《危险废物贮存污染控制标准》（GB18597—2023）设置，具备防雨、防渗、防流失条件，分区存放并设识别标志；站内至厂区暂存间沿厂区内部道路转运，不进入公共道路。危险废物的收集、贮存、运输及转移执行《危险废物收集 贮存 运输技术规范》（HJ2025—2012）、《危险废物贮存污染控制标准》（GB18597—2023）及《危险废物转移管理办法》（生态环境部令 第23号）的要求，转移过程执行电子转移联单，建立管理台账并如实记录种类、数量、流向，台账保存不少于5年。采取上述措施后，固体废物全部妥善处置，对周围环境影响很小。</w:t>
            </w:r>
          </w:p>
          <w:p w14:paraId="5B63F566">
            <w:pPr>
              <w:pStyle w:val="67"/>
              <w:numPr>
                <w:ilvl w:val="0"/>
                <w:numId w:val="0"/>
              </w:numPr>
              <w:adjustRightInd w:val="0"/>
              <w:snapToGrid w:val="0"/>
              <w:spacing w:line="480" w:lineRule="exact"/>
              <w:ind w:leftChars="0"/>
              <w:rPr>
                <w:rFonts w:hint="default" w:ascii="Times New Roman" w:hAnsi="Times New Roman" w:eastAsia="黑体" w:cs="Times New Roman"/>
                <w:bCs/>
                <w:sz w:val="25"/>
                <w:lang w:val="en-US" w:eastAsia="zh-CN"/>
              </w:rPr>
            </w:pPr>
            <w:r>
              <w:rPr>
                <w:rFonts w:hint="default" w:ascii="Times New Roman" w:hAnsi="Times New Roman" w:eastAsia="黑体" w:cs="Times New Roman"/>
                <w:bCs/>
                <w:sz w:val="25"/>
                <w:lang w:val="en-US" w:eastAsia="zh-CN"/>
              </w:rPr>
              <w:t>6.生态环境保护措施</w:t>
            </w:r>
          </w:p>
          <w:p w14:paraId="14A2EA9D">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kern w:val="2"/>
                <w:sz w:val="24"/>
                <w:szCs w:val="24"/>
                <w:lang w:val="en-US" w:eastAsia="zh-CN" w:bidi="ar-SA"/>
              </w:rPr>
            </w:pPr>
            <w:bookmarkStart w:id="76" w:name="_Hlk210830362"/>
            <w:r>
              <w:rPr>
                <w:rFonts w:hint="default" w:ascii="Times New Roman" w:hAnsi="Times New Roman" w:eastAsia="宋体" w:cs="Times New Roman"/>
                <w:kern w:val="2"/>
                <w:sz w:val="24"/>
                <w:szCs w:val="24"/>
                <w:lang w:val="en-US" w:eastAsia="zh-CN" w:bidi="ar-SA"/>
              </w:rPr>
              <w:t>本项目站址位于产业园（一期）厂区规划预留用地内，属存量建设用地，不新增征地、不占用耕地、不涉及生态保护红线及各类自然保护地，运营期无新增占地。站内可绿化区域种植本地耐旱、抗风沙的草本和灌木，不引种外来物种；未硬化地面采用碎石覆盖、设备区采用绝缘地面，减少裸露面和风蚀起尘；施工期剥离的表土全部回用于站区绿化覆土；雨水散排下渗，不改变周边地表径流条件。运营期不设取土场、弃土场，不抽取地下水；运维人员及车辆限定在站区及进站道路范围内活动，严禁越界行驶、碾压站外植被，发现破坏及时恢复；对运维人员开展生态环境保护特别是野生动植物保护知识培训，站区周边设立宣传牌和警示牌。区域属沙化土地敏感区，运营期地表固化后站区起沙面减少，不加剧区域沙化趋势、不产生新的沙化土地。经采取以上措施，对生态环境影响较小。</w:t>
            </w:r>
          </w:p>
          <w:p w14:paraId="1241A2A3">
            <w:pPr>
              <w:pStyle w:val="67"/>
              <w:numPr>
                <w:ilvl w:val="0"/>
                <w:numId w:val="0"/>
              </w:numPr>
              <w:adjustRightInd w:val="0"/>
              <w:snapToGrid w:val="0"/>
              <w:spacing w:line="480" w:lineRule="exact"/>
              <w:ind w:leftChars="0"/>
              <w:rPr>
                <w:rFonts w:hint="default" w:ascii="Times New Roman" w:hAnsi="Times New Roman" w:eastAsia="黑体" w:cs="Times New Roman"/>
                <w:bCs/>
                <w:sz w:val="25"/>
                <w:lang w:val="en-US" w:eastAsia="zh-CN"/>
              </w:rPr>
            </w:pPr>
            <w:r>
              <w:rPr>
                <w:rFonts w:hint="default" w:ascii="Times New Roman" w:hAnsi="Times New Roman" w:eastAsia="黑体" w:cs="Times New Roman"/>
                <w:bCs/>
                <w:sz w:val="25"/>
                <w:lang w:val="en-US" w:eastAsia="zh-CN"/>
              </w:rPr>
              <w:t>7.</w:t>
            </w:r>
            <w:bookmarkEnd w:id="75"/>
            <w:bookmarkEnd w:id="76"/>
            <w:r>
              <w:rPr>
                <w:rFonts w:hint="default" w:ascii="Times New Roman" w:hAnsi="Times New Roman" w:eastAsia="黑体" w:cs="Times New Roman"/>
                <w:bCs/>
                <w:sz w:val="25"/>
                <w:lang w:val="en-US" w:eastAsia="zh-CN"/>
              </w:rPr>
              <w:t>环境风险防范措施</w:t>
            </w:r>
          </w:p>
          <w:p w14:paraId="4CE012E9">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leftChars="0" w:right="0" w:firstLine="480" w:firstLineChars="200"/>
              <w:jc w:val="both"/>
              <w:textAlignment w:val="auto"/>
              <w:rPr>
                <w:rFonts w:hint="default" w:ascii="Times New Roman" w:hAnsi="Times New Roman" w:cs="Times New Roman"/>
                <w:sz w:val="24"/>
              </w:rPr>
            </w:pPr>
            <w:r>
              <w:rPr>
                <w:rFonts w:hint="default" w:ascii="Times New Roman" w:hAnsi="Times New Roman" w:eastAsia="宋体" w:cs="Times New Roman"/>
                <w:kern w:val="2"/>
                <w:sz w:val="24"/>
                <w:szCs w:val="24"/>
                <w:lang w:val="en-US" w:eastAsia="zh-CN" w:bidi="ar-SA"/>
              </w:rPr>
              <w:t>本项目运营期环境风险主要来源于变压器油及废矿物油等危险物质泄漏，可能污染土壤、地下水和地表水，泄漏引发的火灾次生污染物可能影响大气环境。</w:t>
            </w:r>
            <w:r>
              <w:rPr>
                <w:rFonts w:hint="default" w:ascii="Times New Roman" w:hAnsi="Times New Roman" w:cs="Times New Roman"/>
                <w:sz w:val="24"/>
              </w:rPr>
              <w:t>为将环境风险降到最低，建设运营单位应做到以下风险防范措施以及应急措施：</w:t>
            </w:r>
          </w:p>
          <w:p w14:paraId="1753F163">
            <w:pPr>
              <w:keepNext w:val="0"/>
              <w:keepLines w:val="0"/>
              <w:pageBreakBefore w:val="0"/>
              <w:kinsoku/>
              <w:wordWrap/>
              <w:overflowPunct/>
              <w:topLinePunct w:val="0"/>
              <w:autoSpaceDE/>
              <w:autoSpaceDN/>
              <w:bidi w:val="0"/>
              <w:adjustRightInd/>
              <w:snapToGrid/>
              <w:spacing w:line="480" w:lineRule="exact"/>
              <w:ind w:left="0" w:leftChars="0" w:firstLine="480" w:firstLineChars="200"/>
              <w:textAlignment w:val="auto"/>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（1）风险防范措施</w:t>
            </w:r>
          </w:p>
          <w:p w14:paraId="3905AD37">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leftChars="0" w:right="0" w:firstLine="480" w:firstLineChars="200"/>
              <w:jc w:val="both"/>
              <w:textAlignment w:val="auto"/>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①总平面及消防设计执行《火力发电厂与变电站设计防火标准》（GB50229-2019）、《火灾自动报警系统设计规范》（GB50116-2013）。主变压器单台容量63MVA，未达到GB50229-2019第11.5.4条规定的125MVA及以上应设水喷雾或其他固定灭火装置的容量界限，故不设固定灭火系统，按规范在每台主变旁配置推车式干粉灭火器及消防砂，并设室外消火栓（15L/s）作为主要灭火手段；若后续扩建使单台容量达到125MVA及以上，应同步增设排油注氮或其他固定灭火装置。</w:t>
            </w:r>
          </w:p>
          <w:p w14:paraId="6EDF1CDE">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leftChars="0" w:right="0" w:firstLine="480" w:firstLineChars="200"/>
              <w:jc w:val="both"/>
              <w:textAlignment w:val="auto"/>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②站内设4.0m宽环形消防道路、转弯半径9.0m，进站道路自厂区规划道路引接，保证消防车通行。</w:t>
            </w:r>
          </w:p>
          <w:p w14:paraId="46B5F4B1">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leftChars="0" w:right="0" w:firstLine="480" w:firstLineChars="200"/>
              <w:jc w:val="both"/>
              <w:textAlignment w:val="auto"/>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③电缆沟每隔60m设阻火墙，电缆穿越墙体、楼板处用防火堵料封堵，电缆层配置超细干粉灭火装置；站内设火灾自动报警系统及事故照明。</w:t>
            </w:r>
          </w:p>
          <w:p w14:paraId="6FAF0059">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leftChars="0" w:right="0" w:firstLine="480" w:firstLineChars="200"/>
              <w:jc w:val="both"/>
              <w:textAlignment w:val="auto"/>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④设2支30m独立避雷针及建筑物屋顶避雷带，110kV、10kV侧配置氧化锌避雷器；综合配电装置楼为丁类、耐火等级二级，防火分区隔墙采用非燃烧体材料、重要房间设防火门。</w:t>
            </w:r>
          </w:p>
          <w:p w14:paraId="7F8815AB">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leftChars="0" w:right="0" w:firstLine="480" w:firstLineChars="200"/>
              <w:jc w:val="both"/>
              <w:textAlignment w:val="auto"/>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⑤变压器油泄漏防范：正常运行无油外排，事故或检修排油经主变油坑、排油槽进入事故油池；油池1座，有效容积约30m³，按单台最大主变油量（25t，约27.9m³）的100%设计并设油水分离，池体C40 P10抗渗混凝土、内壁防水卷材及防水砂浆、强腐蚀地基段外壁涂环氧沥青，属重点防渗区；池内平时空池，废油及时委托有资质单位抽运。</w:t>
            </w:r>
          </w:p>
          <w:p w14:paraId="65711A7D">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leftChars="0" w:right="0" w:firstLine="480" w:firstLineChars="200"/>
              <w:jc w:val="both"/>
              <w:textAlignment w:val="auto"/>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⑥危险废物送厂区危险废物暂存间暂存，暂存间按GB18597—2023设置、地面防渗并设围堰。</w:t>
            </w:r>
          </w:p>
          <w:p w14:paraId="3B668B32">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leftChars="0" w:right="0" w:firstLine="480" w:firstLineChars="200"/>
              <w:jc w:val="both"/>
              <w:textAlignment w:val="auto"/>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⑦站区严禁吸烟、野外生火和焚烧垃圾，动火作业执行审批制度。</w:t>
            </w:r>
          </w:p>
          <w:p w14:paraId="6EDB995E">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leftChars="0" w:right="0" w:firstLine="480" w:firstLineChars="200"/>
              <w:jc w:val="both"/>
              <w:textAlignment w:val="auto"/>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⑧定期对主变开展油色谱分析、红外测温及接地电流检测，蓄电池组定期核对容量、检查壳体渗漏，及时发现并消除渗漏、过热隐患。</w:t>
            </w:r>
          </w:p>
          <w:p w14:paraId="14E777B8">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leftChars="0" w:right="0" w:firstLine="480" w:firstLineChars="200"/>
              <w:jc w:val="both"/>
              <w:textAlignment w:val="auto"/>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⑨制定突发环境事件应急预案并报生态环境主管部门备案，配备围油栏、吸油毡、沙袋等应急物资，定期组织演练。</w:t>
            </w:r>
          </w:p>
          <w:p w14:paraId="69D9764A">
            <w:pPr>
              <w:keepNext w:val="0"/>
              <w:keepLines w:val="0"/>
              <w:pageBreakBefore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sz w:val="24"/>
              </w:rPr>
            </w:pPr>
            <w:r>
              <w:rPr>
                <w:rFonts w:hint="default" w:ascii="Times New Roman" w:hAnsi="Times New Roman" w:cs="Times New Roman"/>
                <w:sz w:val="24"/>
              </w:rPr>
              <w:t>（2）风险事故的应急措施</w:t>
            </w:r>
          </w:p>
          <w:p w14:paraId="2E0C1901">
            <w:pPr>
              <w:keepNext w:val="0"/>
              <w:keepLines w:val="0"/>
              <w:pageBreakBefore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sz w:val="24"/>
              </w:rPr>
            </w:pPr>
            <w:r>
              <w:rPr>
                <w:rFonts w:hint="default" w:ascii="Times New Roman" w:hAnsi="Times New Roman" w:cs="Times New Roman"/>
                <w:sz w:val="24"/>
              </w:rPr>
              <w:t>根据本项目所储存物料的特性，对发生泄漏事故的应急措施如下：</w:t>
            </w:r>
          </w:p>
          <w:p w14:paraId="1BE636AF">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cs="Times New Roman"/>
              </w:rPr>
            </w:pPr>
            <w:r>
              <w:rPr>
                <w:rFonts w:hint="default" w:ascii="Times New Roman" w:hAnsi="Times New Roman" w:eastAsia="宋体" w:cs="Times New Roman"/>
                <w:b w:val="0"/>
                <w:bCs w:val="0"/>
                <w:i w:val="0"/>
                <w:iCs w:val="0"/>
                <w:color w:val="000000"/>
                <w:spacing w:val="0"/>
                <w:w w:val="100"/>
                <w:sz w:val="24"/>
                <w:szCs w:val="24"/>
                <w:vertAlign w:val="baseline"/>
              </w:rPr>
              <w:t>①发生变压器油泄漏或火灾事故，立即启动应急预案，将污染区人员撤离至安全区并隔离现场、</w:t>
            </w:r>
            <w:r>
              <w:rPr>
                <w:rFonts w:hint="default" w:ascii="Times New Roman" w:hAnsi="Times New Roman" w:cs="Times New Roman"/>
                <w:b w:val="0"/>
                <w:bCs w:val="0"/>
                <w:i w:val="0"/>
                <w:iCs w:val="0"/>
                <w:color w:val="000000"/>
                <w:spacing w:val="0"/>
                <w:w w:val="100"/>
                <w:sz w:val="24"/>
                <w:szCs w:val="24"/>
                <w:vertAlign w:val="baseline"/>
                <w:lang w:eastAsia="zh-CN"/>
              </w:rPr>
              <w:t>设置</w:t>
            </w:r>
            <w:r>
              <w:rPr>
                <w:rFonts w:hint="default" w:ascii="Times New Roman" w:hAnsi="Times New Roman" w:eastAsia="宋体" w:cs="Times New Roman"/>
                <w:b w:val="0"/>
                <w:bCs w:val="0"/>
                <w:i w:val="0"/>
                <w:iCs w:val="0"/>
                <w:color w:val="000000"/>
                <w:spacing w:val="0"/>
                <w:w w:val="100"/>
                <w:sz w:val="24"/>
                <w:szCs w:val="24"/>
                <w:vertAlign w:val="baseline"/>
              </w:rPr>
              <w:t>警告标志，同时按规定向巴音郭楞蒙古自治州生态环境局尉犁县分局报告；②用沙袋围堵、吸油毡吸附泄漏油品，防止流入雨水系统或站外土壤，受污染土壤、吸附材料及清理过程产生的废物全部按危险废物管理并委托处置，现场作业人员经专业培训、穿（佩）戴防护服和防护用具；③建立运行管理制度，加强现场巡视，重点检查主变油位、油温、渗漏情况及事故油池状态。在落实上述风险防范及应急措施后，本项目环境风险处于可防控水平，风险管理措施有效可行。</w:t>
            </w:r>
          </w:p>
        </w:tc>
      </w:tr>
      <w:tr w14:paraId="7F1B065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61" w:hRule="atLeast"/>
          <w:jc w:val="center"/>
        </w:trPr>
        <w:tc>
          <w:tcPr>
            <w:tcW w:w="409" w:type="pct"/>
            <w:vAlign w:val="center"/>
          </w:tcPr>
          <w:p w14:paraId="5A911E40">
            <w:pPr>
              <w:adjustRightInd w:val="0"/>
              <w:snapToGrid w:val="0"/>
              <w:jc w:val="center"/>
              <w:rPr>
                <w:rFonts w:hint="default" w:ascii="Times New Roman" w:hAnsi="Times New Roman" w:cs="Times New Roman" w:eastAsiaTheme="minorEastAsia"/>
                <w:bCs/>
                <w:szCs w:val="21"/>
              </w:rPr>
            </w:pPr>
            <w:r>
              <w:rPr>
                <w:rFonts w:hint="default" w:ascii="Times New Roman" w:hAnsi="Times New Roman" w:cs="Times New Roman" w:eastAsiaTheme="minorEastAsia"/>
                <w:bCs/>
                <w:szCs w:val="21"/>
              </w:rPr>
              <w:t>其他</w:t>
            </w:r>
          </w:p>
        </w:tc>
        <w:tc>
          <w:tcPr>
            <w:tcW w:w="4591" w:type="pct"/>
            <w:vAlign w:val="center"/>
          </w:tcPr>
          <w:p w14:paraId="0C425392">
            <w:pPr>
              <w:pStyle w:val="67"/>
              <w:numPr>
                <w:ilvl w:val="0"/>
                <w:numId w:val="0"/>
              </w:numPr>
              <w:spacing w:line="480" w:lineRule="exact"/>
              <w:ind w:leftChars="0"/>
              <w:rPr>
                <w:rFonts w:hint="default" w:ascii="Times New Roman" w:hAnsi="Times New Roman" w:eastAsia="黑体" w:cs="Times New Roman"/>
                <w:sz w:val="25"/>
              </w:rPr>
            </w:pPr>
            <w:bookmarkStart w:id="77" w:name="_Hlk82596484"/>
            <w:r>
              <w:rPr>
                <w:rFonts w:hint="default" w:ascii="Times New Roman" w:hAnsi="Times New Roman" w:eastAsia="黑体" w:cs="Times New Roman"/>
                <w:sz w:val="25"/>
                <w:lang w:val="en-US" w:eastAsia="zh-CN"/>
              </w:rPr>
              <w:t>1.</w:t>
            </w:r>
            <w:r>
              <w:rPr>
                <w:rFonts w:hint="default" w:ascii="Times New Roman" w:hAnsi="Times New Roman" w:eastAsia="黑体" w:cs="Times New Roman"/>
                <w:sz w:val="25"/>
              </w:rPr>
              <w:t>环境管理</w:t>
            </w:r>
          </w:p>
          <w:bookmarkEnd w:id="77"/>
          <w:p w14:paraId="678CC51B">
            <w:pPr>
              <w:spacing w:line="480" w:lineRule="exact"/>
              <w:ind w:firstLine="522"/>
              <w:rPr>
                <w:rFonts w:hint="default" w:ascii="Times New Roman" w:hAnsi="Times New Roman" w:cs="Times New Roman"/>
                <w:sz w:val="24"/>
              </w:rPr>
            </w:pPr>
            <w:bookmarkStart w:id="78" w:name="_Hlk85982802"/>
            <w:r>
              <w:rPr>
                <w:rFonts w:hint="default" w:ascii="Times New Roman" w:hAnsi="Times New Roman" w:cs="Times New Roman"/>
                <w:sz w:val="24"/>
              </w:rPr>
              <w:t>为落实环保主管部门提出的各项管理要求，加强污染物排放监控，企业应将环境保护纳入企业管理和生产计划，建立行之有效的环境管理机构。制定合理的污染防治措施，使企业环境保护管理符合国家和地方有关排放标准、技术规范要求。本评价建议项目在施工期、运营期设置专职环境管理人员不少于1人，制定相应的环保规章制度，对厂区环境保护进行管理，负责运营期的环境管理与环境监测工作。</w:t>
            </w:r>
          </w:p>
          <w:p w14:paraId="1E727813">
            <w:pPr>
              <w:pStyle w:val="67"/>
              <w:numPr>
                <w:ilvl w:val="0"/>
                <w:numId w:val="15"/>
              </w:numPr>
              <w:spacing w:line="480" w:lineRule="exact"/>
              <w:ind w:left="0" w:firstLine="522" w:firstLineChars="0"/>
              <w:rPr>
                <w:rFonts w:hint="default" w:ascii="Times New Roman" w:hAnsi="Times New Roman" w:cs="Times New Roman"/>
                <w:bCs/>
                <w:sz w:val="24"/>
              </w:rPr>
            </w:pPr>
            <w:r>
              <w:rPr>
                <w:rFonts w:hint="default" w:ascii="Times New Roman" w:hAnsi="Times New Roman" w:cs="Times New Roman"/>
                <w:bCs/>
                <w:sz w:val="24"/>
              </w:rPr>
              <w:t>施工期环境管理措施</w:t>
            </w:r>
          </w:p>
          <w:p w14:paraId="28752D85">
            <w:pPr>
              <w:spacing w:line="480" w:lineRule="exact"/>
              <w:ind w:firstLine="522"/>
              <w:rPr>
                <w:rFonts w:hint="default" w:ascii="Times New Roman" w:hAnsi="Times New Roman" w:cs="Times New Roman"/>
                <w:bCs/>
                <w:sz w:val="24"/>
              </w:rPr>
            </w:pPr>
            <w:r>
              <w:rPr>
                <w:rFonts w:hint="default" w:ascii="Times New Roman" w:hAnsi="Times New Roman" w:cs="Times New Roman"/>
                <w:bCs/>
                <w:sz w:val="24"/>
              </w:rPr>
              <w:t>对施工队伍实行环保职责管理，在工程承包合同中，应包括有关环境保护的条款，对施工机械、施工方法、施工进度提出环境保护要求，以及对施工过程中扬尘、噪声排放强度等的限制和措施。要求施工单位按环保要求施工，并对施工过程环保措施的实施进行检查、监督。</w:t>
            </w:r>
          </w:p>
          <w:p w14:paraId="32601F22">
            <w:pPr>
              <w:pStyle w:val="67"/>
              <w:numPr>
                <w:ilvl w:val="0"/>
                <w:numId w:val="15"/>
              </w:numPr>
              <w:spacing w:line="480" w:lineRule="exact"/>
              <w:ind w:left="0" w:firstLine="522" w:firstLineChars="0"/>
              <w:rPr>
                <w:rFonts w:hint="default" w:ascii="Times New Roman" w:hAnsi="Times New Roman" w:cs="Times New Roman"/>
                <w:sz w:val="24"/>
              </w:rPr>
            </w:pPr>
            <w:r>
              <w:rPr>
                <w:rFonts w:hint="default" w:ascii="Times New Roman" w:hAnsi="Times New Roman" w:cs="Times New Roman"/>
                <w:sz w:val="24"/>
              </w:rPr>
              <w:t>对各环保设施应加强管理、定期监控，确保其正常运行，达到设计的治理效率；对设备进行定期检修、维护，确保各工艺流程正常运转，达到设计的要求，同时严禁在有故障或失效时运行。</w:t>
            </w:r>
          </w:p>
          <w:p w14:paraId="2C9730B2">
            <w:pPr>
              <w:pStyle w:val="67"/>
              <w:numPr>
                <w:ilvl w:val="0"/>
                <w:numId w:val="15"/>
              </w:numPr>
              <w:spacing w:line="480" w:lineRule="exact"/>
              <w:ind w:left="0" w:firstLine="522" w:firstLineChars="0"/>
              <w:rPr>
                <w:rFonts w:hint="default" w:ascii="Times New Roman" w:hAnsi="Times New Roman" w:cs="Times New Roman"/>
                <w:sz w:val="24"/>
              </w:rPr>
            </w:pPr>
            <w:r>
              <w:rPr>
                <w:rFonts w:hint="default" w:ascii="Times New Roman" w:hAnsi="Times New Roman" w:cs="Times New Roman"/>
                <w:sz w:val="24"/>
              </w:rPr>
              <w:t>项目建成运营期要制定严格的管理制度，强化环境管理，</w:t>
            </w:r>
            <w:r>
              <w:rPr>
                <w:rFonts w:hint="default" w:ascii="Times New Roman" w:hAnsi="Times New Roman" w:cs="Times New Roman"/>
                <w:sz w:val="24"/>
                <w:lang w:eastAsia="zh-CN"/>
              </w:rPr>
              <w:t>增强</w:t>
            </w:r>
            <w:r>
              <w:rPr>
                <w:rFonts w:hint="default" w:ascii="Times New Roman" w:hAnsi="Times New Roman" w:cs="Times New Roman"/>
                <w:sz w:val="24"/>
              </w:rPr>
              <w:t>环保意识；</w:t>
            </w:r>
            <w:r>
              <w:rPr>
                <w:rFonts w:hint="eastAsia" w:cs="Times New Roman"/>
                <w:sz w:val="24"/>
                <w:lang w:eastAsia="zh-CN"/>
              </w:rPr>
              <w:t>设立</w:t>
            </w:r>
            <w:r>
              <w:rPr>
                <w:rFonts w:hint="default" w:ascii="Times New Roman" w:hAnsi="Times New Roman" w:cs="Times New Roman"/>
                <w:sz w:val="24"/>
              </w:rPr>
              <w:t>专职环境管理人员，负责该项目内所有环保设施的日常运行管理，保障各环保设施的正常运行，环保设施应定期运行维护，企业应具有环保设备运行维护记录。同时配合当地环保部门，按计划开展环保工作。</w:t>
            </w:r>
          </w:p>
          <w:p w14:paraId="3F33F23C">
            <w:pPr>
              <w:pStyle w:val="67"/>
              <w:numPr>
                <w:ilvl w:val="0"/>
                <w:numId w:val="15"/>
              </w:numPr>
              <w:spacing w:line="480" w:lineRule="exact"/>
              <w:ind w:left="0" w:firstLine="522" w:firstLineChars="0"/>
              <w:rPr>
                <w:rFonts w:hint="default" w:ascii="Times New Roman" w:hAnsi="Times New Roman" w:cs="Times New Roman"/>
                <w:sz w:val="24"/>
              </w:rPr>
            </w:pPr>
            <w:r>
              <w:rPr>
                <w:rFonts w:hint="default" w:ascii="Times New Roman" w:hAnsi="Times New Roman" w:cs="Times New Roman"/>
                <w:sz w:val="24"/>
              </w:rPr>
              <w:t>按照有关规定，做好站场周围绿化工作。</w:t>
            </w:r>
          </w:p>
          <w:p w14:paraId="46E0ABE8">
            <w:pPr>
              <w:pStyle w:val="67"/>
              <w:numPr>
                <w:ilvl w:val="0"/>
                <w:numId w:val="15"/>
              </w:numPr>
              <w:spacing w:line="480" w:lineRule="exact"/>
              <w:ind w:left="0" w:firstLine="522" w:firstLineChars="0"/>
              <w:rPr>
                <w:rFonts w:hint="default" w:ascii="Times New Roman" w:hAnsi="Times New Roman" w:cs="Times New Roman"/>
                <w:sz w:val="24"/>
              </w:rPr>
            </w:pPr>
            <w:r>
              <w:rPr>
                <w:rFonts w:hint="default" w:ascii="Times New Roman" w:hAnsi="Times New Roman" w:cs="Times New Roman"/>
                <w:sz w:val="24"/>
              </w:rPr>
              <w:t>根据国家环保政策、标准、环境监测要求以及本项目实际情况，制定该项目运行期环保管理规章制度、各种污染物排放控制指标。</w:t>
            </w:r>
          </w:p>
          <w:p w14:paraId="342FC164">
            <w:pPr>
              <w:pStyle w:val="67"/>
              <w:numPr>
                <w:ilvl w:val="0"/>
                <w:numId w:val="15"/>
              </w:numPr>
              <w:spacing w:line="480" w:lineRule="exact"/>
              <w:ind w:left="0" w:firstLine="522" w:firstLineChars="0"/>
              <w:rPr>
                <w:rFonts w:hint="default" w:ascii="Times New Roman" w:hAnsi="Times New Roman" w:cs="Times New Roman"/>
                <w:sz w:val="24"/>
              </w:rPr>
            </w:pPr>
            <w:r>
              <w:rPr>
                <w:rFonts w:hint="default" w:ascii="Times New Roman" w:hAnsi="Times New Roman" w:cs="Times New Roman"/>
                <w:sz w:val="24"/>
              </w:rPr>
              <w:t>对职工进行环保宣传和培训工作，强化管理。</w:t>
            </w:r>
          </w:p>
          <w:p w14:paraId="271AF890">
            <w:pPr>
              <w:pStyle w:val="67"/>
              <w:numPr>
                <w:ilvl w:val="0"/>
                <w:numId w:val="15"/>
              </w:numPr>
              <w:spacing w:line="480" w:lineRule="exact"/>
              <w:ind w:left="0" w:firstLine="522" w:firstLineChars="0"/>
              <w:rPr>
                <w:rFonts w:hint="default" w:ascii="Times New Roman" w:hAnsi="Times New Roman" w:cs="Times New Roman"/>
                <w:sz w:val="24"/>
              </w:rPr>
            </w:pPr>
            <w:r>
              <w:rPr>
                <w:rFonts w:hint="default" w:ascii="Times New Roman" w:hAnsi="Times New Roman" w:cs="Times New Roman"/>
                <w:sz w:val="24"/>
              </w:rPr>
              <w:t>建立健全环境档案管理与保密制度，如污染防治设施设计技术改进及运行资料、污染源调查技术档案、环境监测及评价资料等。</w:t>
            </w:r>
          </w:p>
          <w:p w14:paraId="50BE80FB">
            <w:pPr>
              <w:pStyle w:val="67"/>
              <w:numPr>
                <w:ilvl w:val="0"/>
                <w:numId w:val="15"/>
              </w:numPr>
              <w:spacing w:line="480" w:lineRule="exact"/>
              <w:ind w:left="0" w:firstLine="522" w:firstLineChars="0"/>
              <w:rPr>
                <w:rFonts w:hint="default" w:ascii="Times New Roman" w:hAnsi="Times New Roman" w:cs="Times New Roman"/>
                <w:bCs/>
                <w:sz w:val="24"/>
              </w:rPr>
            </w:pPr>
            <w:r>
              <w:rPr>
                <w:rFonts w:hint="default" w:ascii="Times New Roman" w:hAnsi="Times New Roman" w:cs="Times New Roman"/>
                <w:sz w:val="24"/>
              </w:rPr>
              <w:t>规范排污口：在站区废物排放点，设置明显标志，标志的设置应执行《环境保护图形标志--排放口（源）》（GB15562.1-1995）、《环境保护图形标志固体废物贮存（处置）场》（GB15562.2-1995）及修改单、《危险废物识别标志设置技术规范》（HJ1276-2022）中有关规定。</w:t>
            </w:r>
          </w:p>
          <w:p w14:paraId="376700C4">
            <w:pPr>
              <w:pStyle w:val="67"/>
              <w:numPr>
                <w:ilvl w:val="0"/>
                <w:numId w:val="0"/>
              </w:numPr>
              <w:spacing w:line="480" w:lineRule="exact"/>
              <w:ind w:leftChars="0"/>
              <w:rPr>
                <w:rFonts w:hint="default" w:ascii="Times New Roman" w:hAnsi="Times New Roman" w:eastAsia="黑体" w:cs="Times New Roman"/>
                <w:sz w:val="25"/>
                <w:lang w:val="en-US" w:eastAsia="zh-CN"/>
              </w:rPr>
            </w:pPr>
            <w:r>
              <w:rPr>
                <w:rFonts w:hint="default" w:ascii="Times New Roman" w:hAnsi="Times New Roman" w:eastAsia="黑体" w:cs="Times New Roman"/>
                <w:sz w:val="25"/>
                <w:lang w:val="en-US" w:eastAsia="zh-CN"/>
              </w:rPr>
              <w:t>2.监测计划</w:t>
            </w:r>
          </w:p>
          <w:p w14:paraId="0595220B">
            <w:pPr>
              <w:spacing w:line="480" w:lineRule="exact"/>
              <w:ind w:firstLine="522"/>
              <w:rPr>
                <w:rFonts w:hint="default" w:ascii="Times New Roman" w:hAnsi="Times New Roman" w:cs="Times New Roman"/>
                <w:sz w:val="24"/>
              </w:rPr>
            </w:pPr>
            <w:r>
              <w:rPr>
                <w:rFonts w:hint="default" w:ascii="Times New Roman" w:hAnsi="Times New Roman" w:cs="Times New Roman"/>
                <w:sz w:val="24"/>
              </w:rPr>
              <w:t>根据《排污单位自行监测技术指南</w:t>
            </w:r>
            <w:r>
              <w:rPr>
                <w:rFonts w:hint="eastAsia" w:cs="Times New Roman"/>
                <w:sz w:val="24"/>
                <w:lang w:val="en-US" w:eastAsia="zh-CN"/>
              </w:rPr>
              <w:t xml:space="preserve"> </w:t>
            </w:r>
            <w:r>
              <w:rPr>
                <w:rFonts w:hint="default" w:ascii="Times New Roman" w:hAnsi="Times New Roman" w:cs="Times New Roman"/>
                <w:sz w:val="24"/>
              </w:rPr>
              <w:t>总则》（HJ819-2017）中的要求，本项目监测计划见表</w:t>
            </w:r>
            <w:r>
              <w:rPr>
                <w:rFonts w:hint="default" w:ascii="Times New Roman" w:hAnsi="Times New Roman" w:cs="Times New Roman"/>
                <w:sz w:val="24"/>
                <w:lang w:val="en-US" w:eastAsia="zh-CN"/>
              </w:rPr>
              <w:t>5-1</w:t>
            </w:r>
            <w:r>
              <w:rPr>
                <w:rFonts w:hint="default" w:ascii="Times New Roman" w:hAnsi="Times New Roman" w:cs="Times New Roman"/>
                <w:sz w:val="24"/>
              </w:rPr>
              <w:t>。</w:t>
            </w:r>
          </w:p>
          <w:p w14:paraId="4547B45F">
            <w:pPr>
              <w:pStyle w:val="67"/>
              <w:keepNext w:val="0"/>
              <w:keepLines w:val="0"/>
              <w:pageBreakBefore w:val="0"/>
              <w:widowControl w:val="0"/>
              <w:numPr>
                <w:ilvl w:val="0"/>
                <w:numId w:val="0"/>
              </w:numPr>
              <w:kinsoku/>
              <w:wordWrap/>
              <w:overflowPunct/>
              <w:topLinePunct w:val="0"/>
              <w:autoSpaceDE/>
              <w:autoSpaceDN/>
              <w:bidi w:val="0"/>
              <w:adjustRightInd/>
              <w:snapToGrid/>
              <w:spacing w:line="480" w:lineRule="exact"/>
              <w:ind w:left="0" w:leftChars="0"/>
              <w:jc w:val="center"/>
              <w:textAlignment w:val="auto"/>
              <w:rPr>
                <w:rFonts w:hint="default" w:ascii="Times New Roman" w:hAnsi="Times New Roman" w:eastAsia="黑体" w:cs="Times New Roman"/>
                <w:lang w:val="en-US" w:eastAsia="zh-CN"/>
              </w:rPr>
            </w:pPr>
            <w:r>
              <w:rPr>
                <w:rFonts w:hint="default" w:ascii="Times New Roman" w:hAnsi="Times New Roman" w:eastAsia="黑体" w:cs="Times New Roman"/>
                <w:lang w:val="en-US" w:eastAsia="zh-CN"/>
              </w:rPr>
              <w:t>表5-1</w:t>
            </w:r>
            <w:r>
              <w:rPr>
                <w:rFonts w:hint="eastAsia" w:ascii="Times New Roman" w:hAnsi="Times New Roman" w:eastAsia="黑体" w:cs="Times New Roman"/>
                <w:lang w:val="en-US" w:eastAsia="zh-CN"/>
              </w:rPr>
              <w:t xml:space="preserve"> </w:t>
            </w:r>
            <w:r>
              <w:rPr>
                <w:rFonts w:hint="default" w:ascii="Times New Roman" w:hAnsi="Times New Roman" w:eastAsia="黑体" w:cs="Times New Roman"/>
                <w:lang w:val="en-US" w:eastAsia="zh-CN"/>
              </w:rPr>
              <w:t xml:space="preserve"> 监测计划一览表</w:t>
            </w:r>
          </w:p>
          <w:tbl>
            <w:tblPr>
              <w:tblStyle w:val="4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0" w:type="dxa"/>
                <w:bottom w:w="57" w:type="dxa"/>
                <w:right w:w="0" w:type="dxa"/>
              </w:tblCellMar>
            </w:tblPr>
            <w:tblGrid>
              <w:gridCol w:w="447"/>
              <w:gridCol w:w="1164"/>
              <w:gridCol w:w="2639"/>
              <w:gridCol w:w="3282"/>
            </w:tblGrid>
            <w:tr w14:paraId="30D98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rPr>
                <w:trHeight w:val="397" w:hRule="atLeast"/>
                <w:jc w:val="center"/>
              </w:trPr>
              <w:tc>
                <w:tcPr>
                  <w:tcW w:w="297" w:type="pct"/>
                  <w:vAlign w:val="center"/>
                </w:tcPr>
                <w:p w14:paraId="6ADF791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szCs w:val="21"/>
                    </w:rPr>
                  </w:pPr>
                  <w:r>
                    <w:rPr>
                      <w:rFonts w:hint="default" w:ascii="Times New Roman" w:hAnsi="Times New Roman" w:cs="Times New Roman"/>
                      <w:szCs w:val="21"/>
                    </w:rPr>
                    <w:t>序号</w:t>
                  </w:r>
                </w:p>
              </w:tc>
              <w:tc>
                <w:tcPr>
                  <w:tcW w:w="773" w:type="pct"/>
                  <w:vAlign w:val="center"/>
                </w:tcPr>
                <w:p w14:paraId="1A34C29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szCs w:val="21"/>
                    </w:rPr>
                  </w:pPr>
                  <w:r>
                    <w:rPr>
                      <w:rFonts w:hint="default" w:ascii="Times New Roman" w:hAnsi="Times New Roman" w:cs="Times New Roman"/>
                      <w:szCs w:val="21"/>
                    </w:rPr>
                    <w:t>监测内容</w:t>
                  </w:r>
                </w:p>
              </w:tc>
              <w:tc>
                <w:tcPr>
                  <w:tcW w:w="1752" w:type="pct"/>
                  <w:vAlign w:val="center"/>
                </w:tcPr>
                <w:p w14:paraId="75190778">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szCs w:val="21"/>
                    </w:rPr>
                  </w:pPr>
                  <w:r>
                    <w:rPr>
                      <w:rFonts w:hint="default" w:ascii="Times New Roman" w:hAnsi="Times New Roman" w:cs="Times New Roman"/>
                      <w:szCs w:val="21"/>
                    </w:rPr>
                    <w:t>监测因子、频率</w:t>
                  </w:r>
                </w:p>
              </w:tc>
              <w:tc>
                <w:tcPr>
                  <w:tcW w:w="2179" w:type="pct"/>
                  <w:vAlign w:val="center"/>
                </w:tcPr>
                <w:p w14:paraId="5C407BC8">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szCs w:val="21"/>
                    </w:rPr>
                  </w:pPr>
                  <w:r>
                    <w:rPr>
                      <w:rFonts w:hint="default" w:ascii="Times New Roman" w:hAnsi="Times New Roman" w:cs="Times New Roman"/>
                      <w:szCs w:val="21"/>
                    </w:rPr>
                    <w:t>监测位置</w:t>
                  </w:r>
                </w:p>
              </w:tc>
            </w:tr>
            <w:tr w14:paraId="4CD6C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rPr>
                <w:trHeight w:val="397" w:hRule="atLeast"/>
                <w:jc w:val="center"/>
              </w:trPr>
              <w:tc>
                <w:tcPr>
                  <w:tcW w:w="297" w:type="pct"/>
                  <w:vAlign w:val="center"/>
                </w:tcPr>
                <w:p w14:paraId="23C8311F">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szCs w:val="21"/>
                    </w:rPr>
                  </w:pPr>
                  <w:r>
                    <w:rPr>
                      <w:rFonts w:hint="default" w:ascii="Times New Roman" w:hAnsi="Times New Roman" w:cs="Times New Roman"/>
                      <w:szCs w:val="21"/>
                    </w:rPr>
                    <w:t>1</w:t>
                  </w:r>
                </w:p>
              </w:tc>
              <w:tc>
                <w:tcPr>
                  <w:tcW w:w="1142" w:type="dxa"/>
                  <w:vAlign w:val="center"/>
                </w:tcPr>
                <w:p w14:paraId="52112FC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szCs w:val="21"/>
                    </w:rPr>
                  </w:pPr>
                  <w:r>
                    <w:rPr>
                      <w:rFonts w:hint="default" w:ascii="Times New Roman" w:hAnsi="Times New Roman" w:cs="Times New Roman"/>
                      <w:szCs w:val="21"/>
                    </w:rPr>
                    <w:t>噪声监测</w:t>
                  </w:r>
                </w:p>
              </w:tc>
              <w:tc>
                <w:tcPr>
                  <w:tcW w:w="2589" w:type="dxa"/>
                  <w:vAlign w:val="center"/>
                </w:tcPr>
                <w:p w14:paraId="211CC5AC">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cs="Times New Roman"/>
                      <w:szCs w:val="21"/>
                    </w:rPr>
                  </w:pPr>
                  <w:r>
                    <w:rPr>
                      <w:rFonts w:hint="default" w:ascii="Times New Roman" w:hAnsi="Times New Roman" w:cs="Times New Roman"/>
                      <w:szCs w:val="21"/>
                    </w:rPr>
                    <w:t>1.监测项目：</w:t>
                  </w:r>
                  <w:r>
                    <w:rPr>
                      <w:rFonts w:hint="default" w:ascii="Times New Roman" w:hAnsi="Times New Roman" w:cs="Times New Roman"/>
                      <w:szCs w:val="21"/>
                      <w:lang w:eastAsia="zh-CN"/>
                    </w:rPr>
                    <w:t>变电站</w:t>
                  </w:r>
                  <w:r>
                    <w:rPr>
                      <w:rFonts w:hint="default" w:ascii="Times New Roman" w:hAnsi="Times New Roman" w:cs="Times New Roman"/>
                      <w:szCs w:val="21"/>
                    </w:rPr>
                    <w:t>站界噪声</w:t>
                  </w:r>
                </w:p>
                <w:p w14:paraId="79DC6DE2">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cs="Times New Roman"/>
                      <w:szCs w:val="21"/>
                    </w:rPr>
                  </w:pPr>
                  <w:r>
                    <w:rPr>
                      <w:rFonts w:hint="default" w:ascii="Times New Roman" w:hAnsi="Times New Roman" w:cs="Times New Roman"/>
                      <w:szCs w:val="21"/>
                    </w:rPr>
                    <w:t>2.监测频率：1次/季度，每次昼、夜各一次（根据《排污单位自行监测技术指南 总则》（HJ819-2017）确定）；主要声源设备（主变压器）大修前后各监测1次，监测结果对外公示（根据《输变电建设项目环境保护技术要求》（HJ1113-2020）运行期环境保护要求确定）。</w:t>
                  </w:r>
                </w:p>
              </w:tc>
              <w:tc>
                <w:tcPr>
                  <w:tcW w:w="3219" w:type="dxa"/>
                  <w:vAlign w:val="center"/>
                </w:tcPr>
                <w:p w14:paraId="06B79B8A">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cs="Times New Roman"/>
                      <w:szCs w:val="21"/>
                    </w:rPr>
                  </w:pPr>
                  <w:r>
                    <w:rPr>
                      <w:rFonts w:hint="default" w:ascii="Times New Roman" w:hAnsi="Times New Roman" w:cs="Times New Roman"/>
                      <w:szCs w:val="21"/>
                    </w:rPr>
                    <w:t>噪声监测点布设在</w:t>
                  </w:r>
                  <w:r>
                    <w:rPr>
                      <w:rFonts w:hint="default" w:ascii="Times New Roman" w:hAnsi="Times New Roman" w:cs="Times New Roman"/>
                      <w:szCs w:val="21"/>
                      <w:lang w:val="en-US" w:eastAsia="zh-CN"/>
                    </w:rPr>
                    <w:t>变电站</w:t>
                  </w:r>
                  <w:r>
                    <w:rPr>
                      <w:rFonts w:hint="default" w:ascii="Times New Roman" w:hAnsi="Times New Roman" w:cs="Times New Roman"/>
                      <w:szCs w:val="21"/>
                    </w:rPr>
                    <w:t>四周站界外1m、离地高1.2m处均匀布设监测点。如新增声环境保护目标，新增环境保护目标处布点监测。</w:t>
                  </w:r>
                </w:p>
              </w:tc>
            </w:tr>
            <w:tr w14:paraId="28CB5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rPr>
                <w:trHeight w:val="397" w:hRule="atLeast"/>
                <w:jc w:val="center"/>
              </w:trPr>
              <w:tc>
                <w:tcPr>
                  <w:tcW w:w="297" w:type="pct"/>
                  <w:vAlign w:val="center"/>
                </w:tcPr>
                <w:p w14:paraId="66362DF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szCs w:val="21"/>
                    </w:rPr>
                  </w:pPr>
                  <w:r>
                    <w:rPr>
                      <w:rFonts w:hint="default" w:ascii="Times New Roman" w:hAnsi="Times New Roman" w:cs="Times New Roman"/>
                      <w:szCs w:val="21"/>
                    </w:rPr>
                    <w:t>2</w:t>
                  </w:r>
                </w:p>
              </w:tc>
              <w:tc>
                <w:tcPr>
                  <w:tcW w:w="1142" w:type="dxa"/>
                  <w:vAlign w:val="center"/>
                </w:tcPr>
                <w:p w14:paraId="478F0D04">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szCs w:val="21"/>
                    </w:rPr>
                  </w:pPr>
                  <w:r>
                    <w:rPr>
                      <w:rFonts w:hint="default" w:ascii="Times New Roman" w:hAnsi="Times New Roman" w:cs="Times New Roman"/>
                      <w:szCs w:val="21"/>
                    </w:rPr>
                    <w:t>电磁监测</w:t>
                  </w:r>
                </w:p>
              </w:tc>
              <w:tc>
                <w:tcPr>
                  <w:tcW w:w="2589" w:type="dxa"/>
                  <w:vAlign w:val="center"/>
                </w:tcPr>
                <w:p w14:paraId="3E7D9BD2">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cs="Times New Roman"/>
                      <w:szCs w:val="21"/>
                    </w:rPr>
                  </w:pPr>
                  <w:r>
                    <w:rPr>
                      <w:rFonts w:hint="default" w:ascii="Times New Roman" w:hAnsi="Times New Roman" w:cs="Times New Roman"/>
                      <w:szCs w:val="21"/>
                    </w:rPr>
                    <w:t>1.监测项目：电场强度、磁感应强度</w:t>
                  </w:r>
                </w:p>
                <w:p w14:paraId="745A6AF1">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cs="Times New Roman"/>
                      <w:szCs w:val="21"/>
                    </w:rPr>
                  </w:pPr>
                  <w:r>
                    <w:rPr>
                      <w:rFonts w:hint="default" w:ascii="Times New Roman" w:hAnsi="Times New Roman" w:cs="Times New Roman"/>
                      <w:szCs w:val="21"/>
                    </w:rPr>
                    <w:t>2.监测频率：竣工环境保护验收时监测1次，投运后每4年监测1次，出现环保投诉时建设单位组织开展监测（依据《输变电建设项目环境保护技术要求》（HJ1113-2020）运行期环境保护要求确定）。</w:t>
                  </w:r>
                </w:p>
              </w:tc>
              <w:tc>
                <w:tcPr>
                  <w:tcW w:w="3219" w:type="dxa"/>
                  <w:vAlign w:val="center"/>
                </w:tcPr>
                <w:p w14:paraId="081500C6">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cs="Times New Roman"/>
                      <w:szCs w:val="21"/>
                    </w:rPr>
                  </w:pPr>
                  <w:r>
                    <w:rPr>
                      <w:rFonts w:hint="default" w:ascii="Times New Roman" w:hAnsi="Times New Roman" w:cs="Times New Roman"/>
                      <w:szCs w:val="21"/>
                    </w:rPr>
                    <w:t>工频电场和工频磁场在</w:t>
                  </w:r>
                  <w:r>
                    <w:rPr>
                      <w:rFonts w:hint="default" w:ascii="Times New Roman" w:hAnsi="Times New Roman" w:cs="Times New Roman"/>
                      <w:szCs w:val="21"/>
                      <w:lang w:val="en-US" w:eastAsia="zh-CN"/>
                    </w:rPr>
                    <w:t>变电站</w:t>
                  </w:r>
                  <w:r>
                    <w:rPr>
                      <w:rFonts w:hint="default" w:ascii="Times New Roman" w:hAnsi="Times New Roman" w:cs="Times New Roman"/>
                      <w:szCs w:val="21"/>
                    </w:rPr>
                    <w:t>四周站界5m、地面1.5m处均匀布设监测点（监测点离进出线距离不少于20m），同时在</w:t>
                  </w:r>
                  <w:r>
                    <w:rPr>
                      <w:rFonts w:hint="default" w:ascii="Times New Roman" w:hAnsi="Times New Roman" w:cs="Times New Roman"/>
                      <w:szCs w:val="21"/>
                      <w:lang w:val="en-US" w:eastAsia="zh-CN"/>
                    </w:rPr>
                    <w:t>变电站</w:t>
                  </w:r>
                  <w:r>
                    <w:rPr>
                      <w:rFonts w:hint="default" w:ascii="Times New Roman" w:hAnsi="Times New Roman" w:cs="Times New Roman"/>
                      <w:szCs w:val="21"/>
                    </w:rPr>
                    <w:t>围墙外设置监测断面，工频电场和工频磁场监测断面布设在电磁环境点位监测最大值一侧。工频电场、工频磁场以变电站围墙为起点，测点间距为5m，距地面1.5m高度，测至围墙外50m处为止；如新增电磁环境保护目标，新增电磁环境保护目标处布点监测；输电线路断面监测。</w:t>
                  </w:r>
                </w:p>
              </w:tc>
            </w:tr>
            <w:bookmarkEnd w:id="78"/>
          </w:tbl>
          <w:p w14:paraId="205C3D7F">
            <w:pPr>
              <w:pStyle w:val="67"/>
              <w:numPr>
                <w:ilvl w:val="0"/>
                <w:numId w:val="0"/>
              </w:numPr>
              <w:spacing w:line="480" w:lineRule="exact"/>
              <w:ind w:left="522" w:leftChars="0"/>
              <w:rPr>
                <w:rFonts w:hint="default" w:ascii="Times New Roman" w:hAnsi="Times New Roman" w:eastAsia="宋体" w:cs="Times New Roman"/>
                <w:sz w:val="24"/>
                <w:lang w:val="en-US" w:eastAsia="zh-CN"/>
              </w:rPr>
            </w:pPr>
            <w:bookmarkStart w:id="79" w:name="_Hlk85648270"/>
            <w:r>
              <w:rPr>
                <w:rFonts w:hint="eastAsia" w:ascii="Times New Roman" w:hAnsi="Times New Roman" w:eastAsia="宋体" w:cs="Times New Roman"/>
                <w:sz w:val="24"/>
                <w:lang w:val="en-US" w:eastAsia="zh-CN"/>
              </w:rPr>
              <w:t>本工程生态监测计划见表5-2 。</w:t>
            </w:r>
          </w:p>
          <w:p w14:paraId="2D5649D2">
            <w:pPr>
              <w:pStyle w:val="67"/>
              <w:keepNext w:val="0"/>
              <w:keepLines w:val="0"/>
              <w:pageBreakBefore w:val="0"/>
              <w:widowControl w:val="0"/>
              <w:numPr>
                <w:ilvl w:val="0"/>
                <w:numId w:val="0"/>
              </w:numPr>
              <w:kinsoku/>
              <w:wordWrap/>
              <w:overflowPunct/>
              <w:topLinePunct w:val="0"/>
              <w:autoSpaceDE/>
              <w:autoSpaceDN/>
              <w:bidi w:val="0"/>
              <w:adjustRightInd/>
              <w:snapToGrid/>
              <w:spacing w:line="480" w:lineRule="exact"/>
              <w:ind w:left="0" w:leftChars="0"/>
              <w:jc w:val="center"/>
              <w:textAlignment w:val="auto"/>
              <w:rPr>
                <w:rFonts w:hint="default" w:ascii="Times New Roman" w:hAnsi="Times New Roman" w:eastAsia="黑体" w:cs="Times New Roman"/>
                <w:lang w:val="en-US" w:eastAsia="zh-CN"/>
              </w:rPr>
            </w:pPr>
            <w:r>
              <w:rPr>
                <w:rFonts w:hint="default" w:ascii="Times New Roman" w:hAnsi="Times New Roman" w:eastAsia="黑体" w:cs="Times New Roman"/>
                <w:lang w:val="en-US" w:eastAsia="zh-CN"/>
              </w:rPr>
              <w:t>表5-</w:t>
            </w:r>
            <w:r>
              <w:rPr>
                <w:rFonts w:hint="eastAsia" w:ascii="Times New Roman" w:hAnsi="Times New Roman" w:eastAsia="黑体" w:cs="Times New Roman"/>
                <w:lang w:val="en-US" w:eastAsia="zh-CN"/>
              </w:rPr>
              <w:t xml:space="preserve">2 </w:t>
            </w:r>
            <w:r>
              <w:rPr>
                <w:rFonts w:hint="default" w:ascii="Times New Roman" w:hAnsi="Times New Roman" w:eastAsia="黑体" w:cs="Times New Roman"/>
                <w:lang w:val="en-US" w:eastAsia="zh-CN"/>
              </w:rPr>
              <w:t xml:space="preserve"> 监测计划一览表</w:t>
            </w:r>
          </w:p>
          <w:tbl>
            <w:tblPr>
              <w:tblStyle w:val="4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67"/>
              <w:gridCol w:w="1509"/>
              <w:gridCol w:w="1509"/>
              <w:gridCol w:w="1521"/>
              <w:gridCol w:w="1526"/>
            </w:tblGrid>
            <w:tr w14:paraId="59119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28" w:type="dxa"/>
                  <w:vAlign w:val="center"/>
                </w:tcPr>
                <w:p w14:paraId="15575530">
                  <w:pPr>
                    <w:keepNext w:val="0"/>
                    <w:keepLines w:val="0"/>
                    <w:pageBreakBefore w:val="0"/>
                    <w:widowControl/>
                    <w:kinsoku/>
                    <w:wordWrap/>
                    <w:overflowPunct/>
                    <w:topLinePunct w:val="0"/>
                    <w:autoSpaceDE/>
                    <w:autoSpaceDN/>
                    <w:bidi w:val="0"/>
                    <w:adjustRightInd/>
                    <w:snapToGrid/>
                    <w:spacing w:after="0" w:line="240" w:lineRule="auto"/>
                    <w:jc w:val="center"/>
                    <w:textAlignment w:val="auto"/>
                  </w:pPr>
                  <w:r>
                    <w:rPr>
                      <w:rFonts w:ascii="Times New Roman" w:hAnsi="Times New Roman" w:eastAsia="宋体"/>
                      <w:b/>
                      <w:sz w:val="21"/>
                    </w:rPr>
                    <w:t>监测内容</w:t>
                  </w:r>
                </w:p>
              </w:tc>
              <w:tc>
                <w:tcPr>
                  <w:tcW w:w="1728" w:type="dxa"/>
                  <w:vAlign w:val="center"/>
                </w:tcPr>
                <w:p w14:paraId="269FF3BB">
                  <w:pPr>
                    <w:keepNext w:val="0"/>
                    <w:keepLines w:val="0"/>
                    <w:pageBreakBefore w:val="0"/>
                    <w:widowControl/>
                    <w:kinsoku/>
                    <w:wordWrap/>
                    <w:overflowPunct/>
                    <w:topLinePunct w:val="0"/>
                    <w:autoSpaceDE/>
                    <w:autoSpaceDN/>
                    <w:bidi w:val="0"/>
                    <w:adjustRightInd/>
                    <w:snapToGrid/>
                    <w:spacing w:after="0" w:line="240" w:lineRule="auto"/>
                    <w:jc w:val="center"/>
                    <w:textAlignment w:val="auto"/>
                  </w:pPr>
                  <w:r>
                    <w:rPr>
                      <w:rFonts w:ascii="Times New Roman" w:hAnsi="Times New Roman" w:eastAsia="宋体"/>
                      <w:b/>
                      <w:sz w:val="21"/>
                    </w:rPr>
                    <w:t>监测指标</w:t>
                  </w:r>
                </w:p>
              </w:tc>
              <w:tc>
                <w:tcPr>
                  <w:tcW w:w="1728" w:type="dxa"/>
                  <w:vAlign w:val="center"/>
                </w:tcPr>
                <w:p w14:paraId="7D5EB61B">
                  <w:pPr>
                    <w:keepNext w:val="0"/>
                    <w:keepLines w:val="0"/>
                    <w:pageBreakBefore w:val="0"/>
                    <w:widowControl/>
                    <w:kinsoku/>
                    <w:wordWrap/>
                    <w:overflowPunct/>
                    <w:topLinePunct w:val="0"/>
                    <w:autoSpaceDE/>
                    <w:autoSpaceDN/>
                    <w:bidi w:val="0"/>
                    <w:adjustRightInd/>
                    <w:snapToGrid/>
                    <w:spacing w:after="0" w:line="240" w:lineRule="auto"/>
                    <w:jc w:val="center"/>
                    <w:textAlignment w:val="auto"/>
                  </w:pPr>
                  <w:r>
                    <w:rPr>
                      <w:rFonts w:ascii="Times New Roman" w:hAnsi="Times New Roman" w:eastAsia="宋体"/>
                      <w:b/>
                      <w:sz w:val="21"/>
                    </w:rPr>
                    <w:t>监测频次</w:t>
                  </w:r>
                </w:p>
              </w:tc>
              <w:tc>
                <w:tcPr>
                  <w:tcW w:w="1728" w:type="dxa"/>
                  <w:vAlign w:val="center"/>
                </w:tcPr>
                <w:p w14:paraId="6A8FDF7E">
                  <w:pPr>
                    <w:keepNext w:val="0"/>
                    <w:keepLines w:val="0"/>
                    <w:pageBreakBefore w:val="0"/>
                    <w:widowControl/>
                    <w:kinsoku/>
                    <w:wordWrap/>
                    <w:overflowPunct/>
                    <w:topLinePunct w:val="0"/>
                    <w:autoSpaceDE/>
                    <w:autoSpaceDN/>
                    <w:bidi w:val="0"/>
                    <w:adjustRightInd/>
                    <w:snapToGrid/>
                    <w:spacing w:after="0" w:line="240" w:lineRule="auto"/>
                    <w:jc w:val="center"/>
                    <w:textAlignment w:val="auto"/>
                  </w:pPr>
                  <w:r>
                    <w:rPr>
                      <w:rFonts w:ascii="Times New Roman" w:hAnsi="Times New Roman" w:eastAsia="宋体"/>
                      <w:b/>
                      <w:sz w:val="21"/>
                    </w:rPr>
                    <w:t>监测点位</w:t>
                  </w:r>
                </w:p>
              </w:tc>
              <w:tc>
                <w:tcPr>
                  <w:tcW w:w="1728" w:type="dxa"/>
                  <w:vAlign w:val="center"/>
                </w:tcPr>
                <w:p w14:paraId="43060495">
                  <w:pPr>
                    <w:keepNext w:val="0"/>
                    <w:keepLines w:val="0"/>
                    <w:pageBreakBefore w:val="0"/>
                    <w:widowControl/>
                    <w:kinsoku/>
                    <w:wordWrap/>
                    <w:overflowPunct/>
                    <w:topLinePunct w:val="0"/>
                    <w:autoSpaceDE/>
                    <w:autoSpaceDN/>
                    <w:bidi w:val="0"/>
                    <w:adjustRightInd/>
                    <w:snapToGrid/>
                    <w:spacing w:after="0" w:line="240" w:lineRule="auto"/>
                    <w:jc w:val="center"/>
                    <w:textAlignment w:val="auto"/>
                  </w:pPr>
                  <w:r>
                    <w:rPr>
                      <w:rFonts w:ascii="Times New Roman" w:hAnsi="Times New Roman" w:eastAsia="宋体"/>
                      <w:b/>
                      <w:sz w:val="21"/>
                    </w:rPr>
                    <w:t>指标要求</w:t>
                  </w:r>
                </w:p>
              </w:tc>
            </w:tr>
            <w:tr w14:paraId="78B57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28" w:type="dxa"/>
                  <w:vAlign w:val="center"/>
                </w:tcPr>
                <w:p w14:paraId="59341300">
                  <w:pPr>
                    <w:keepNext w:val="0"/>
                    <w:keepLines w:val="0"/>
                    <w:pageBreakBefore w:val="0"/>
                    <w:widowControl/>
                    <w:kinsoku/>
                    <w:wordWrap/>
                    <w:overflowPunct/>
                    <w:topLinePunct w:val="0"/>
                    <w:autoSpaceDE/>
                    <w:autoSpaceDN/>
                    <w:bidi w:val="0"/>
                    <w:adjustRightInd/>
                    <w:snapToGrid/>
                    <w:spacing w:after="0" w:line="240" w:lineRule="auto"/>
                    <w:jc w:val="center"/>
                    <w:textAlignment w:val="auto"/>
                  </w:pPr>
                  <w:r>
                    <w:rPr>
                      <w:rFonts w:ascii="Times New Roman" w:hAnsi="Times New Roman" w:eastAsia="宋体"/>
                      <w:b w:val="0"/>
                      <w:sz w:val="21"/>
                    </w:rPr>
                    <w:t>水土流失</w:t>
                  </w:r>
                </w:p>
              </w:tc>
              <w:tc>
                <w:tcPr>
                  <w:tcW w:w="1728" w:type="dxa"/>
                  <w:vAlign w:val="center"/>
                </w:tcPr>
                <w:p w14:paraId="156EC72B">
                  <w:pPr>
                    <w:keepNext w:val="0"/>
                    <w:keepLines w:val="0"/>
                    <w:pageBreakBefore w:val="0"/>
                    <w:widowControl/>
                    <w:kinsoku/>
                    <w:wordWrap/>
                    <w:overflowPunct/>
                    <w:topLinePunct w:val="0"/>
                    <w:autoSpaceDE/>
                    <w:autoSpaceDN/>
                    <w:bidi w:val="0"/>
                    <w:adjustRightInd/>
                    <w:snapToGrid/>
                    <w:spacing w:after="0" w:line="240" w:lineRule="auto"/>
                    <w:jc w:val="center"/>
                    <w:textAlignment w:val="auto"/>
                  </w:pPr>
                  <w:r>
                    <w:rPr>
                      <w:rFonts w:ascii="Times New Roman" w:hAnsi="Times New Roman" w:eastAsia="宋体"/>
                      <w:b w:val="0"/>
                      <w:sz w:val="21"/>
                    </w:rPr>
                    <w:t>土壤侵蚀量、水土流失治理度</w:t>
                  </w:r>
                </w:p>
              </w:tc>
              <w:tc>
                <w:tcPr>
                  <w:tcW w:w="1728" w:type="dxa"/>
                  <w:vAlign w:val="center"/>
                </w:tcPr>
                <w:p w14:paraId="6302ADDF">
                  <w:pPr>
                    <w:keepNext w:val="0"/>
                    <w:keepLines w:val="0"/>
                    <w:pageBreakBefore w:val="0"/>
                    <w:widowControl/>
                    <w:kinsoku/>
                    <w:wordWrap/>
                    <w:overflowPunct/>
                    <w:topLinePunct w:val="0"/>
                    <w:autoSpaceDE/>
                    <w:autoSpaceDN/>
                    <w:bidi w:val="0"/>
                    <w:adjustRightInd/>
                    <w:snapToGrid/>
                    <w:spacing w:after="0" w:line="240" w:lineRule="auto"/>
                    <w:jc w:val="center"/>
                    <w:textAlignment w:val="auto"/>
                  </w:pPr>
                  <w:r>
                    <w:rPr>
                      <w:rFonts w:ascii="Times New Roman" w:hAnsi="Times New Roman" w:eastAsia="宋体"/>
                      <w:b w:val="0"/>
                      <w:sz w:val="21"/>
                    </w:rPr>
                    <w:t>施工期1次/季度，运行期1次/年</w:t>
                  </w:r>
                </w:p>
              </w:tc>
              <w:tc>
                <w:tcPr>
                  <w:tcW w:w="1728" w:type="dxa"/>
                  <w:vAlign w:val="center"/>
                </w:tcPr>
                <w:p w14:paraId="250A99B7">
                  <w:pPr>
                    <w:keepNext w:val="0"/>
                    <w:keepLines w:val="0"/>
                    <w:pageBreakBefore w:val="0"/>
                    <w:widowControl/>
                    <w:kinsoku/>
                    <w:wordWrap/>
                    <w:overflowPunct/>
                    <w:topLinePunct w:val="0"/>
                    <w:autoSpaceDE/>
                    <w:autoSpaceDN/>
                    <w:bidi w:val="0"/>
                    <w:adjustRightInd/>
                    <w:snapToGrid/>
                    <w:spacing w:after="0" w:line="240" w:lineRule="auto"/>
                    <w:jc w:val="center"/>
                    <w:textAlignment w:val="auto"/>
                  </w:pPr>
                  <w:r>
                    <w:rPr>
                      <w:rFonts w:ascii="Times New Roman" w:hAnsi="Times New Roman" w:eastAsia="宋体"/>
                      <w:b w:val="0"/>
                      <w:sz w:val="21"/>
                    </w:rPr>
                    <w:t>站区及临时堆土区</w:t>
                  </w:r>
                </w:p>
              </w:tc>
              <w:tc>
                <w:tcPr>
                  <w:tcW w:w="1728" w:type="dxa"/>
                  <w:vAlign w:val="center"/>
                </w:tcPr>
                <w:p w14:paraId="75782DF1">
                  <w:pPr>
                    <w:keepNext w:val="0"/>
                    <w:keepLines w:val="0"/>
                    <w:pageBreakBefore w:val="0"/>
                    <w:widowControl/>
                    <w:kinsoku/>
                    <w:wordWrap/>
                    <w:overflowPunct/>
                    <w:topLinePunct w:val="0"/>
                    <w:autoSpaceDE/>
                    <w:autoSpaceDN/>
                    <w:bidi w:val="0"/>
                    <w:adjustRightInd/>
                    <w:snapToGrid/>
                    <w:spacing w:after="0" w:line="240" w:lineRule="auto"/>
                    <w:jc w:val="center"/>
                    <w:textAlignment w:val="auto"/>
                  </w:pPr>
                  <w:r>
                    <w:rPr>
                      <w:rFonts w:ascii="Times New Roman" w:hAnsi="Times New Roman" w:eastAsia="宋体"/>
                      <w:b w:val="0"/>
                      <w:sz w:val="21"/>
                    </w:rPr>
                    <w:t>水土流失治理度≥95%</w:t>
                  </w:r>
                </w:p>
              </w:tc>
            </w:tr>
            <w:tr w14:paraId="41B85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28" w:type="dxa"/>
                  <w:vAlign w:val="center"/>
                </w:tcPr>
                <w:p w14:paraId="5CDC1D4C">
                  <w:pPr>
                    <w:keepNext w:val="0"/>
                    <w:keepLines w:val="0"/>
                    <w:pageBreakBefore w:val="0"/>
                    <w:widowControl/>
                    <w:kinsoku/>
                    <w:wordWrap/>
                    <w:overflowPunct/>
                    <w:topLinePunct w:val="0"/>
                    <w:autoSpaceDE/>
                    <w:autoSpaceDN/>
                    <w:bidi w:val="0"/>
                    <w:adjustRightInd/>
                    <w:snapToGrid/>
                    <w:spacing w:after="0" w:line="240" w:lineRule="auto"/>
                    <w:jc w:val="center"/>
                    <w:textAlignment w:val="auto"/>
                  </w:pPr>
                  <w:r>
                    <w:rPr>
                      <w:rFonts w:ascii="Times New Roman" w:hAnsi="Times New Roman" w:eastAsia="宋体"/>
                      <w:b w:val="0"/>
                      <w:sz w:val="21"/>
                    </w:rPr>
                    <w:t>植被恢复</w:t>
                  </w:r>
                </w:p>
              </w:tc>
              <w:tc>
                <w:tcPr>
                  <w:tcW w:w="1728" w:type="dxa"/>
                  <w:vAlign w:val="center"/>
                </w:tcPr>
                <w:p w14:paraId="676EA9A0">
                  <w:pPr>
                    <w:keepNext w:val="0"/>
                    <w:keepLines w:val="0"/>
                    <w:pageBreakBefore w:val="0"/>
                    <w:widowControl/>
                    <w:kinsoku/>
                    <w:wordWrap/>
                    <w:overflowPunct/>
                    <w:topLinePunct w:val="0"/>
                    <w:autoSpaceDE/>
                    <w:autoSpaceDN/>
                    <w:bidi w:val="0"/>
                    <w:adjustRightInd/>
                    <w:snapToGrid/>
                    <w:spacing w:after="0" w:line="240" w:lineRule="auto"/>
                    <w:jc w:val="center"/>
                    <w:textAlignment w:val="auto"/>
                  </w:pPr>
                  <w:r>
                    <w:rPr>
                      <w:rFonts w:ascii="Times New Roman" w:hAnsi="Times New Roman" w:eastAsia="宋体"/>
                      <w:b w:val="0"/>
                      <w:sz w:val="21"/>
                    </w:rPr>
                    <w:t>植被恢复率（成活率、覆盖度）</w:t>
                  </w:r>
                </w:p>
              </w:tc>
              <w:tc>
                <w:tcPr>
                  <w:tcW w:w="1728" w:type="dxa"/>
                  <w:vAlign w:val="center"/>
                </w:tcPr>
                <w:p w14:paraId="01EA36C3">
                  <w:pPr>
                    <w:keepNext w:val="0"/>
                    <w:keepLines w:val="0"/>
                    <w:pageBreakBefore w:val="0"/>
                    <w:widowControl/>
                    <w:kinsoku/>
                    <w:wordWrap/>
                    <w:overflowPunct/>
                    <w:topLinePunct w:val="0"/>
                    <w:autoSpaceDE/>
                    <w:autoSpaceDN/>
                    <w:bidi w:val="0"/>
                    <w:adjustRightInd/>
                    <w:snapToGrid/>
                    <w:spacing w:after="0" w:line="240" w:lineRule="auto"/>
                    <w:jc w:val="center"/>
                    <w:textAlignment w:val="auto"/>
                  </w:pPr>
                  <w:r>
                    <w:rPr>
                      <w:rFonts w:ascii="Times New Roman" w:hAnsi="Times New Roman" w:eastAsia="宋体"/>
                      <w:b w:val="0"/>
                      <w:sz w:val="21"/>
                    </w:rPr>
                    <w:t>竣工验收时1次，运行期1次/年</w:t>
                  </w:r>
                </w:p>
              </w:tc>
              <w:tc>
                <w:tcPr>
                  <w:tcW w:w="1728" w:type="dxa"/>
                  <w:vAlign w:val="center"/>
                </w:tcPr>
                <w:p w14:paraId="3678BB98">
                  <w:pPr>
                    <w:keepNext w:val="0"/>
                    <w:keepLines w:val="0"/>
                    <w:pageBreakBefore w:val="0"/>
                    <w:widowControl/>
                    <w:kinsoku/>
                    <w:wordWrap/>
                    <w:overflowPunct/>
                    <w:topLinePunct w:val="0"/>
                    <w:autoSpaceDE/>
                    <w:autoSpaceDN/>
                    <w:bidi w:val="0"/>
                    <w:adjustRightInd/>
                    <w:snapToGrid/>
                    <w:spacing w:after="0" w:line="240" w:lineRule="auto"/>
                    <w:jc w:val="center"/>
                    <w:textAlignment w:val="auto"/>
                  </w:pPr>
                  <w:r>
                    <w:rPr>
                      <w:rFonts w:ascii="Times New Roman" w:hAnsi="Times New Roman" w:eastAsia="宋体"/>
                      <w:b w:val="0"/>
                      <w:sz w:val="21"/>
                    </w:rPr>
                    <w:t>站区绿化区</w:t>
                  </w:r>
                </w:p>
              </w:tc>
              <w:tc>
                <w:tcPr>
                  <w:tcW w:w="1728" w:type="dxa"/>
                  <w:vAlign w:val="center"/>
                </w:tcPr>
                <w:p w14:paraId="5FDFF928">
                  <w:pPr>
                    <w:keepNext w:val="0"/>
                    <w:keepLines w:val="0"/>
                    <w:pageBreakBefore w:val="0"/>
                    <w:widowControl/>
                    <w:kinsoku/>
                    <w:wordWrap/>
                    <w:overflowPunct/>
                    <w:topLinePunct w:val="0"/>
                    <w:autoSpaceDE/>
                    <w:autoSpaceDN/>
                    <w:bidi w:val="0"/>
                    <w:adjustRightInd/>
                    <w:snapToGrid/>
                    <w:spacing w:after="0" w:line="240" w:lineRule="auto"/>
                    <w:jc w:val="center"/>
                    <w:textAlignment w:val="auto"/>
                  </w:pPr>
                  <w:r>
                    <w:rPr>
                      <w:rFonts w:ascii="Times New Roman" w:hAnsi="Times New Roman" w:eastAsia="宋体"/>
                      <w:b w:val="0"/>
                      <w:sz w:val="21"/>
                    </w:rPr>
                    <w:t>植被恢复率≥95%（可绿化区域）</w:t>
                  </w:r>
                </w:p>
              </w:tc>
            </w:tr>
            <w:tr w14:paraId="59BC8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28" w:type="dxa"/>
                  <w:vAlign w:val="center"/>
                </w:tcPr>
                <w:p w14:paraId="5BEF33A4">
                  <w:pPr>
                    <w:keepNext w:val="0"/>
                    <w:keepLines w:val="0"/>
                    <w:pageBreakBefore w:val="0"/>
                    <w:widowControl/>
                    <w:kinsoku/>
                    <w:wordWrap/>
                    <w:overflowPunct/>
                    <w:topLinePunct w:val="0"/>
                    <w:autoSpaceDE/>
                    <w:autoSpaceDN/>
                    <w:bidi w:val="0"/>
                    <w:adjustRightInd/>
                    <w:snapToGrid/>
                    <w:spacing w:after="0" w:line="240" w:lineRule="auto"/>
                    <w:jc w:val="center"/>
                    <w:textAlignment w:val="auto"/>
                  </w:pPr>
                  <w:r>
                    <w:rPr>
                      <w:rFonts w:ascii="Times New Roman" w:hAnsi="Times New Roman" w:eastAsia="宋体"/>
                      <w:b w:val="0"/>
                      <w:sz w:val="21"/>
                    </w:rPr>
                    <w:t>动植物</w:t>
                  </w:r>
                </w:p>
              </w:tc>
              <w:tc>
                <w:tcPr>
                  <w:tcW w:w="1728" w:type="dxa"/>
                  <w:vAlign w:val="center"/>
                </w:tcPr>
                <w:p w14:paraId="14DE7612">
                  <w:pPr>
                    <w:keepNext w:val="0"/>
                    <w:keepLines w:val="0"/>
                    <w:pageBreakBefore w:val="0"/>
                    <w:widowControl/>
                    <w:kinsoku/>
                    <w:wordWrap/>
                    <w:overflowPunct/>
                    <w:topLinePunct w:val="0"/>
                    <w:autoSpaceDE/>
                    <w:autoSpaceDN/>
                    <w:bidi w:val="0"/>
                    <w:adjustRightInd/>
                    <w:snapToGrid/>
                    <w:spacing w:after="0" w:line="240" w:lineRule="auto"/>
                    <w:jc w:val="center"/>
                    <w:textAlignment w:val="auto"/>
                  </w:pPr>
                  <w:r>
                    <w:rPr>
                      <w:rFonts w:ascii="Times New Roman" w:hAnsi="Times New Roman" w:eastAsia="宋体"/>
                      <w:b w:val="0"/>
                      <w:sz w:val="21"/>
                    </w:rPr>
                    <w:t>植物种类、动物活动情况</w:t>
                  </w:r>
                </w:p>
              </w:tc>
              <w:tc>
                <w:tcPr>
                  <w:tcW w:w="1728" w:type="dxa"/>
                  <w:vAlign w:val="center"/>
                </w:tcPr>
                <w:p w14:paraId="4348446C">
                  <w:pPr>
                    <w:keepNext w:val="0"/>
                    <w:keepLines w:val="0"/>
                    <w:pageBreakBefore w:val="0"/>
                    <w:widowControl/>
                    <w:kinsoku/>
                    <w:wordWrap/>
                    <w:overflowPunct/>
                    <w:topLinePunct w:val="0"/>
                    <w:autoSpaceDE/>
                    <w:autoSpaceDN/>
                    <w:bidi w:val="0"/>
                    <w:adjustRightInd/>
                    <w:snapToGrid/>
                    <w:spacing w:after="0" w:line="240" w:lineRule="auto"/>
                    <w:jc w:val="center"/>
                    <w:textAlignment w:val="auto"/>
                  </w:pPr>
                  <w:r>
                    <w:rPr>
                      <w:rFonts w:ascii="Times New Roman" w:hAnsi="Times New Roman" w:eastAsia="宋体"/>
                      <w:b w:val="0"/>
                      <w:sz w:val="21"/>
                    </w:rPr>
                    <w:t>运行期1次/年</w:t>
                  </w:r>
                </w:p>
              </w:tc>
              <w:tc>
                <w:tcPr>
                  <w:tcW w:w="1728" w:type="dxa"/>
                  <w:vAlign w:val="center"/>
                </w:tcPr>
                <w:p w14:paraId="744D8827">
                  <w:pPr>
                    <w:keepNext w:val="0"/>
                    <w:keepLines w:val="0"/>
                    <w:pageBreakBefore w:val="0"/>
                    <w:widowControl/>
                    <w:kinsoku/>
                    <w:wordWrap/>
                    <w:overflowPunct/>
                    <w:topLinePunct w:val="0"/>
                    <w:autoSpaceDE/>
                    <w:autoSpaceDN/>
                    <w:bidi w:val="0"/>
                    <w:adjustRightInd/>
                    <w:snapToGrid/>
                    <w:spacing w:after="0" w:line="240" w:lineRule="auto"/>
                    <w:jc w:val="center"/>
                    <w:textAlignment w:val="auto"/>
                  </w:pPr>
                  <w:r>
                    <w:rPr>
                      <w:rFonts w:ascii="Times New Roman" w:hAnsi="Times New Roman" w:eastAsia="宋体"/>
                      <w:b w:val="0"/>
                      <w:sz w:val="21"/>
                    </w:rPr>
                    <w:t>站界外500m范围</w:t>
                  </w:r>
                </w:p>
              </w:tc>
              <w:tc>
                <w:tcPr>
                  <w:tcW w:w="1728" w:type="dxa"/>
                  <w:vAlign w:val="center"/>
                </w:tcPr>
                <w:p w14:paraId="0EFBDFCA">
                  <w:pPr>
                    <w:keepNext w:val="0"/>
                    <w:keepLines w:val="0"/>
                    <w:pageBreakBefore w:val="0"/>
                    <w:widowControl/>
                    <w:kinsoku/>
                    <w:wordWrap/>
                    <w:overflowPunct/>
                    <w:topLinePunct w:val="0"/>
                    <w:autoSpaceDE/>
                    <w:autoSpaceDN/>
                    <w:bidi w:val="0"/>
                    <w:adjustRightInd/>
                    <w:snapToGrid/>
                    <w:spacing w:after="0" w:line="240" w:lineRule="auto"/>
                    <w:jc w:val="center"/>
                    <w:textAlignment w:val="auto"/>
                  </w:pPr>
                  <w:r>
                    <w:rPr>
                      <w:rFonts w:ascii="Times New Roman" w:hAnsi="Times New Roman" w:eastAsia="宋体"/>
                      <w:b w:val="0"/>
                      <w:sz w:val="21"/>
                    </w:rPr>
                    <w:t>无保护植物损失、动物生境无明显改变</w:t>
                  </w:r>
                </w:p>
              </w:tc>
            </w:tr>
            <w:bookmarkEnd w:id="79"/>
          </w:tbl>
          <w:p w14:paraId="233FBE43">
            <w:pPr>
              <w:spacing w:line="480" w:lineRule="exact"/>
              <w:ind w:firstLine="480" w:firstLineChars="200"/>
              <w:rPr>
                <w:rFonts w:hint="default" w:ascii="Times New Roman" w:hAnsi="Times New Roman" w:cs="Times New Roman"/>
                <w:kern w:val="24"/>
                <w:sz w:val="24"/>
              </w:rPr>
            </w:pPr>
          </w:p>
          <w:p w14:paraId="5F20C58B">
            <w:pPr>
              <w:spacing w:line="480" w:lineRule="exact"/>
              <w:ind w:firstLine="480" w:firstLineChars="200"/>
              <w:rPr>
                <w:rFonts w:hint="default" w:ascii="Times New Roman" w:hAnsi="Times New Roman" w:cs="Times New Roman"/>
                <w:kern w:val="24"/>
                <w:sz w:val="24"/>
              </w:rPr>
            </w:pPr>
          </w:p>
          <w:p w14:paraId="54FB3884">
            <w:pPr>
              <w:spacing w:line="480" w:lineRule="exact"/>
              <w:ind w:firstLine="480" w:firstLineChars="200"/>
              <w:rPr>
                <w:rFonts w:hint="default" w:ascii="Times New Roman" w:hAnsi="Times New Roman" w:cs="Times New Roman"/>
                <w:kern w:val="24"/>
                <w:sz w:val="24"/>
              </w:rPr>
            </w:pPr>
          </w:p>
          <w:p w14:paraId="66C166F4">
            <w:pPr>
              <w:spacing w:line="480" w:lineRule="exact"/>
              <w:ind w:firstLine="480" w:firstLineChars="200"/>
              <w:rPr>
                <w:rFonts w:hint="default" w:ascii="Times New Roman" w:hAnsi="Times New Roman" w:cs="Times New Roman"/>
                <w:kern w:val="24"/>
                <w:sz w:val="24"/>
              </w:rPr>
            </w:pPr>
          </w:p>
          <w:p w14:paraId="69116925">
            <w:pPr>
              <w:spacing w:line="480" w:lineRule="exact"/>
              <w:ind w:firstLine="480" w:firstLineChars="200"/>
              <w:rPr>
                <w:rFonts w:hint="default" w:ascii="Times New Roman" w:hAnsi="Times New Roman" w:cs="Times New Roman"/>
                <w:kern w:val="24"/>
                <w:sz w:val="24"/>
              </w:rPr>
            </w:pPr>
          </w:p>
        </w:tc>
      </w:tr>
      <w:tr w14:paraId="633AD40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495" w:hRule="atLeast"/>
          <w:jc w:val="center"/>
        </w:trPr>
        <w:tc>
          <w:tcPr>
            <w:tcW w:w="409" w:type="pct"/>
            <w:vAlign w:val="center"/>
          </w:tcPr>
          <w:p w14:paraId="4AD0287A">
            <w:pPr>
              <w:adjustRightInd w:val="0"/>
              <w:snapToGrid w:val="0"/>
              <w:jc w:val="center"/>
              <w:rPr>
                <w:rFonts w:hint="default" w:ascii="Times New Roman" w:hAnsi="Times New Roman" w:cs="Times New Roman" w:eastAsiaTheme="minorEastAsia"/>
                <w:bCs/>
                <w:szCs w:val="21"/>
              </w:rPr>
            </w:pPr>
            <w:r>
              <w:rPr>
                <w:rFonts w:hint="default" w:ascii="Times New Roman" w:hAnsi="Times New Roman" w:cs="Times New Roman" w:eastAsiaTheme="minorEastAsia"/>
                <w:bCs/>
                <w:szCs w:val="21"/>
              </w:rPr>
              <w:t>环保投资</w:t>
            </w:r>
          </w:p>
        </w:tc>
        <w:tc>
          <w:tcPr>
            <w:tcW w:w="4591" w:type="pct"/>
          </w:tcPr>
          <w:p w14:paraId="2EADB28D">
            <w:pPr>
              <w:spacing w:line="480" w:lineRule="exact"/>
              <w:ind w:firstLine="480" w:firstLineChars="200"/>
              <w:rPr>
                <w:rFonts w:hint="default" w:ascii="Times New Roman" w:hAnsi="Times New Roman" w:cs="Times New Roman"/>
                <w:kern w:val="0"/>
                <w:sz w:val="24"/>
              </w:rPr>
            </w:pPr>
            <w:bookmarkStart w:id="80" w:name="_Hlk85648335"/>
            <w:r>
              <w:rPr>
                <w:rFonts w:hint="default" w:ascii="Times New Roman" w:hAnsi="Times New Roman" w:cs="Times New Roman"/>
                <w:kern w:val="0"/>
                <w:sz w:val="24"/>
              </w:rPr>
              <w:t>项目总投资</w:t>
            </w:r>
            <w:r>
              <w:rPr>
                <w:rFonts w:hint="default" w:ascii="Times New Roman" w:hAnsi="Times New Roman" w:cs="Times New Roman"/>
                <w:kern w:val="0"/>
                <w:sz w:val="24"/>
                <w:lang w:eastAsia="zh-CN"/>
              </w:rPr>
              <w:t>4106</w:t>
            </w:r>
            <w:r>
              <w:rPr>
                <w:rFonts w:hint="default" w:ascii="Times New Roman" w:hAnsi="Times New Roman" w:cs="Times New Roman"/>
                <w:kern w:val="0"/>
                <w:sz w:val="24"/>
              </w:rPr>
              <w:t>万元，环保投资约</w:t>
            </w:r>
            <w:r>
              <w:rPr>
                <w:rFonts w:hint="default" w:ascii="Times New Roman" w:hAnsi="Times New Roman" w:cs="Times New Roman"/>
                <w:kern w:val="0"/>
                <w:sz w:val="24"/>
                <w:lang w:eastAsia="zh-CN"/>
              </w:rPr>
              <w:t>80</w:t>
            </w:r>
            <w:r>
              <w:rPr>
                <w:rFonts w:hint="default" w:ascii="Times New Roman" w:hAnsi="Times New Roman" w:cs="Times New Roman"/>
                <w:kern w:val="0"/>
                <w:sz w:val="24"/>
              </w:rPr>
              <w:t>万元，占总投资</w:t>
            </w:r>
            <w:r>
              <w:rPr>
                <w:rFonts w:hint="default" w:ascii="Times New Roman" w:hAnsi="Times New Roman" w:cs="Times New Roman"/>
                <w:kern w:val="0"/>
                <w:sz w:val="24"/>
              </w:rPr>
              <w:br w:type="textWrapping"/>
            </w:r>
            <w:r>
              <w:rPr>
                <w:rFonts w:hint="default" w:ascii="Times New Roman" w:hAnsi="Times New Roman" w:cs="Times New Roman"/>
                <w:kern w:val="0"/>
                <w:sz w:val="24"/>
                <w:lang w:eastAsia="zh-CN"/>
              </w:rPr>
              <w:t>1.95％</w:t>
            </w:r>
            <w:r>
              <w:rPr>
                <w:rFonts w:hint="default" w:ascii="Times New Roman" w:hAnsi="Times New Roman" w:cs="Times New Roman"/>
                <w:kern w:val="0"/>
                <w:sz w:val="24"/>
              </w:rPr>
              <w:t>，环保设施及投资见表5-</w:t>
            </w:r>
            <w:r>
              <w:rPr>
                <w:rFonts w:hint="eastAsia" w:cs="Times New Roman"/>
                <w:kern w:val="0"/>
                <w:sz w:val="24"/>
                <w:lang w:val="en-US" w:eastAsia="zh-CN"/>
              </w:rPr>
              <w:t>3</w:t>
            </w:r>
            <w:r>
              <w:rPr>
                <w:rFonts w:hint="default" w:ascii="Times New Roman" w:hAnsi="Times New Roman" w:cs="Times New Roman"/>
                <w:kern w:val="0"/>
                <w:sz w:val="24"/>
              </w:rPr>
              <w:t>。</w:t>
            </w:r>
          </w:p>
          <w:p w14:paraId="58A7AA15">
            <w:pPr>
              <w:pStyle w:val="67"/>
              <w:keepNext w:val="0"/>
              <w:keepLines w:val="0"/>
              <w:pageBreakBefore w:val="0"/>
              <w:widowControl w:val="0"/>
              <w:numPr>
                <w:ilvl w:val="0"/>
                <w:numId w:val="0"/>
              </w:numPr>
              <w:kinsoku/>
              <w:wordWrap/>
              <w:overflowPunct/>
              <w:topLinePunct w:val="0"/>
              <w:autoSpaceDE/>
              <w:autoSpaceDN/>
              <w:bidi w:val="0"/>
              <w:adjustRightInd/>
              <w:snapToGrid/>
              <w:spacing w:line="480" w:lineRule="exact"/>
              <w:ind w:left="0" w:leftChars="0"/>
              <w:jc w:val="center"/>
              <w:textAlignment w:val="auto"/>
              <w:rPr>
                <w:rFonts w:hint="default" w:ascii="Times New Roman" w:hAnsi="Times New Roman" w:eastAsia="黑体" w:cs="Times New Roman"/>
                <w:lang w:val="en-US" w:eastAsia="zh-CN"/>
              </w:rPr>
            </w:pPr>
            <w:r>
              <w:rPr>
                <w:rFonts w:hint="default" w:ascii="Times New Roman" w:hAnsi="Times New Roman" w:eastAsia="黑体" w:cs="Times New Roman"/>
                <w:lang w:val="en-US" w:eastAsia="zh-CN"/>
              </w:rPr>
              <w:t>表5-</w:t>
            </w:r>
            <w:r>
              <w:rPr>
                <w:rFonts w:hint="eastAsia" w:eastAsia="黑体" w:cs="Times New Roman"/>
                <w:lang w:val="en-US" w:eastAsia="zh-CN"/>
              </w:rPr>
              <w:t xml:space="preserve">3 </w:t>
            </w:r>
            <w:r>
              <w:rPr>
                <w:rFonts w:hint="default" w:ascii="Times New Roman" w:hAnsi="Times New Roman" w:eastAsia="黑体" w:cs="Times New Roman"/>
                <w:lang w:val="en-US" w:eastAsia="zh-CN"/>
              </w:rPr>
              <w:t>项目环保投资估算表</w:t>
            </w:r>
          </w:p>
          <w:bookmarkEnd w:id="80"/>
          <w:tbl>
            <w:tblPr>
              <w:tblStyle w:val="43"/>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840"/>
              <w:gridCol w:w="927"/>
              <w:gridCol w:w="1325"/>
              <w:gridCol w:w="3250"/>
              <w:gridCol w:w="1057"/>
            </w:tblGrid>
            <w:tr w14:paraId="41CBE9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7" w:hRule="atLeast"/>
                <w:jc w:val="center"/>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0FC90685">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bCs/>
                      <w:i w:val="0"/>
                      <w:iCs w:val="0"/>
                      <w:color w:val="000000"/>
                      <w:spacing w:val="0"/>
                      <w:w w:val="100"/>
                      <w:sz w:val="21"/>
                      <w:szCs w:val="21"/>
                      <w:vertAlign w:val="baseline"/>
                    </w:rPr>
                    <w:t>项目</w:t>
                  </w:r>
                </w:p>
              </w:tc>
              <w:tc>
                <w:tcPr>
                  <w:tcW w:w="92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459CF827">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bCs/>
                      <w:i w:val="0"/>
                      <w:iCs w:val="0"/>
                      <w:color w:val="000000"/>
                      <w:spacing w:val="0"/>
                      <w:w w:val="100"/>
                      <w:sz w:val="21"/>
                      <w:szCs w:val="21"/>
                      <w:vertAlign w:val="baseline"/>
                    </w:rPr>
                    <w:t>类别</w:t>
                  </w:r>
                </w:p>
              </w:tc>
              <w:tc>
                <w:tcPr>
                  <w:tcW w:w="132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167D50EC">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bCs/>
                      <w:i w:val="0"/>
                      <w:iCs w:val="0"/>
                      <w:color w:val="000000"/>
                      <w:spacing w:val="0"/>
                      <w:w w:val="100"/>
                      <w:sz w:val="21"/>
                      <w:szCs w:val="21"/>
                      <w:vertAlign w:val="baseline"/>
                    </w:rPr>
                    <w:t>污染物名称</w:t>
                  </w:r>
                </w:p>
              </w:tc>
              <w:tc>
                <w:tcPr>
                  <w:tcW w:w="3250"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5080DB7C">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bCs/>
                      <w:i w:val="0"/>
                      <w:iCs w:val="0"/>
                      <w:color w:val="000000"/>
                      <w:spacing w:val="0"/>
                      <w:w w:val="100"/>
                      <w:sz w:val="21"/>
                      <w:szCs w:val="21"/>
                      <w:vertAlign w:val="baseline"/>
                    </w:rPr>
                    <w:t>治理措施</w:t>
                  </w:r>
                </w:p>
              </w:tc>
              <w:tc>
                <w:tcPr>
                  <w:tcW w:w="105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2BCE4D2A">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bCs/>
                      <w:i w:val="0"/>
                      <w:iCs w:val="0"/>
                      <w:color w:val="000000"/>
                      <w:spacing w:val="0"/>
                      <w:w w:val="100"/>
                      <w:sz w:val="21"/>
                      <w:szCs w:val="21"/>
                      <w:vertAlign w:val="baseline"/>
                    </w:rPr>
                    <w:t>环保投资</w:t>
                  </w:r>
                </w:p>
                <w:p w14:paraId="38547234">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bCs/>
                      <w:i w:val="0"/>
                      <w:iCs w:val="0"/>
                      <w:color w:val="000000"/>
                      <w:spacing w:val="0"/>
                      <w:w w:val="100"/>
                      <w:sz w:val="21"/>
                      <w:szCs w:val="21"/>
                      <w:vertAlign w:val="baseline"/>
                    </w:rPr>
                    <w:t>（万元）</w:t>
                  </w:r>
                </w:p>
              </w:tc>
            </w:tr>
            <w:tr w14:paraId="684DAA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jc w:val="center"/>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2FA9132D">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施工期</w:t>
                  </w:r>
                </w:p>
              </w:tc>
              <w:tc>
                <w:tcPr>
                  <w:tcW w:w="92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613BC606">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废气</w:t>
                  </w:r>
                </w:p>
              </w:tc>
              <w:tc>
                <w:tcPr>
                  <w:tcW w:w="132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2E393766">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施工扬尘</w:t>
                  </w:r>
                </w:p>
              </w:tc>
              <w:tc>
                <w:tcPr>
                  <w:tcW w:w="3250"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4A63501C">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设置施工围挡，洒水降尘（2次/日、大风日4次），裸露面及临时堆土用防尘网苫盖，车辆冲洗及限速行驶</w:t>
                  </w:r>
                </w:p>
              </w:tc>
              <w:tc>
                <w:tcPr>
                  <w:tcW w:w="105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729E0593">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5.0</w:t>
                  </w:r>
                </w:p>
              </w:tc>
            </w:tr>
            <w:tr w14:paraId="598EDD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jc w:val="center"/>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0AA771E6">
                  <w:pPr>
                    <w:keepNext w:val="0"/>
                    <w:keepLines w:val="0"/>
                    <w:pageBreakBefore w:val="0"/>
                    <w:widowControl/>
                    <w:kinsoku/>
                    <w:wordWrap/>
                    <w:overflowPunct/>
                    <w:topLinePunct w:val="0"/>
                    <w:autoSpaceDE/>
                    <w:autoSpaceDN/>
                    <w:bidi w:val="0"/>
                    <w:adjustRightInd/>
                    <w:snapToGrid/>
                    <w:spacing w:before="0" w:after="0"/>
                    <w:jc w:val="center"/>
                    <w:textAlignment w:val="auto"/>
                    <w:rPr>
                      <w:rFonts w:hint="default" w:ascii="Times New Roman" w:hAnsi="Times New Roman" w:eastAsia="宋体" w:cs="Times New Roman"/>
                      <w:sz w:val="21"/>
                      <w:szCs w:val="21"/>
                    </w:rPr>
                  </w:pPr>
                </w:p>
              </w:tc>
              <w:tc>
                <w:tcPr>
                  <w:tcW w:w="92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0F74B73C">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废水</w:t>
                  </w:r>
                </w:p>
              </w:tc>
              <w:tc>
                <w:tcPr>
                  <w:tcW w:w="132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751EFD05">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施工废水</w:t>
                  </w:r>
                </w:p>
              </w:tc>
              <w:tc>
                <w:tcPr>
                  <w:tcW w:w="3250"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362C3254">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设临时沉淀池，车辆冲洗水及基坑排水沉淀后回用，不外排</w:t>
                  </w:r>
                </w:p>
              </w:tc>
              <w:tc>
                <w:tcPr>
                  <w:tcW w:w="105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12E23951">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2.0</w:t>
                  </w:r>
                </w:p>
              </w:tc>
            </w:tr>
            <w:tr w14:paraId="5936A5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jc w:val="center"/>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232FE7CC">
                  <w:pPr>
                    <w:keepNext w:val="0"/>
                    <w:keepLines w:val="0"/>
                    <w:pageBreakBefore w:val="0"/>
                    <w:widowControl/>
                    <w:kinsoku/>
                    <w:wordWrap/>
                    <w:overflowPunct/>
                    <w:topLinePunct w:val="0"/>
                    <w:autoSpaceDE/>
                    <w:autoSpaceDN/>
                    <w:bidi w:val="0"/>
                    <w:adjustRightInd/>
                    <w:snapToGrid/>
                    <w:spacing w:before="0" w:after="0"/>
                    <w:jc w:val="center"/>
                    <w:textAlignment w:val="auto"/>
                    <w:rPr>
                      <w:rFonts w:hint="default" w:ascii="Times New Roman" w:hAnsi="Times New Roman" w:eastAsia="宋体" w:cs="Times New Roman"/>
                      <w:sz w:val="21"/>
                      <w:szCs w:val="21"/>
                    </w:rPr>
                  </w:pPr>
                </w:p>
              </w:tc>
              <w:tc>
                <w:tcPr>
                  <w:tcW w:w="92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083217EF">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废水</w:t>
                  </w:r>
                </w:p>
              </w:tc>
              <w:tc>
                <w:tcPr>
                  <w:tcW w:w="132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082BF39C">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生活污水</w:t>
                  </w:r>
                </w:p>
              </w:tc>
              <w:tc>
                <w:tcPr>
                  <w:tcW w:w="3250"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638DEC7E">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施工人员生活污水依托厂区既有设施，</w:t>
                  </w:r>
                  <w:r>
                    <w:rPr>
                      <w:rFonts w:hint="default" w:ascii="Times New Roman" w:hAnsi="Times New Roman" w:cs="Times New Roman"/>
                      <w:b w:val="0"/>
                      <w:bCs w:val="0"/>
                      <w:i w:val="0"/>
                      <w:iCs w:val="0"/>
                      <w:color w:val="000000"/>
                      <w:spacing w:val="0"/>
                      <w:w w:val="100"/>
                      <w:sz w:val="21"/>
                      <w:szCs w:val="21"/>
                      <w:vertAlign w:val="baseline"/>
                      <w:lang w:eastAsia="zh-CN"/>
                    </w:rPr>
                    <w:t>设置</w:t>
                  </w:r>
                  <w:r>
                    <w:rPr>
                      <w:rFonts w:hint="default" w:ascii="Times New Roman" w:hAnsi="Times New Roman" w:eastAsia="宋体" w:cs="Times New Roman"/>
                      <w:b w:val="0"/>
                      <w:bCs w:val="0"/>
                      <w:i w:val="0"/>
                      <w:iCs w:val="0"/>
                      <w:color w:val="000000"/>
                      <w:spacing w:val="0"/>
                      <w:w w:val="100"/>
                      <w:sz w:val="21"/>
                      <w:szCs w:val="21"/>
                      <w:vertAlign w:val="baseline"/>
                    </w:rPr>
                    <w:t>临时防渗化粪池，定期清运</w:t>
                  </w:r>
                </w:p>
              </w:tc>
              <w:tc>
                <w:tcPr>
                  <w:tcW w:w="105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4F93B844">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1.5</w:t>
                  </w:r>
                </w:p>
              </w:tc>
            </w:tr>
            <w:tr w14:paraId="77E2F0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jc w:val="center"/>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2D51F4FF">
                  <w:pPr>
                    <w:keepNext w:val="0"/>
                    <w:keepLines w:val="0"/>
                    <w:pageBreakBefore w:val="0"/>
                    <w:widowControl/>
                    <w:kinsoku/>
                    <w:wordWrap/>
                    <w:overflowPunct/>
                    <w:topLinePunct w:val="0"/>
                    <w:autoSpaceDE/>
                    <w:autoSpaceDN/>
                    <w:bidi w:val="0"/>
                    <w:adjustRightInd/>
                    <w:snapToGrid/>
                    <w:spacing w:before="0" w:after="0"/>
                    <w:jc w:val="center"/>
                    <w:textAlignment w:val="auto"/>
                    <w:rPr>
                      <w:rFonts w:hint="default" w:ascii="Times New Roman" w:hAnsi="Times New Roman" w:eastAsia="宋体" w:cs="Times New Roman"/>
                      <w:sz w:val="21"/>
                      <w:szCs w:val="21"/>
                    </w:rPr>
                  </w:pPr>
                </w:p>
              </w:tc>
              <w:tc>
                <w:tcPr>
                  <w:tcW w:w="92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5F957D15">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噪声</w:t>
                  </w:r>
                </w:p>
              </w:tc>
              <w:tc>
                <w:tcPr>
                  <w:tcW w:w="132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5B45E9C4">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施工机械噪声</w:t>
                  </w:r>
                </w:p>
              </w:tc>
              <w:tc>
                <w:tcPr>
                  <w:tcW w:w="3250"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7F7E1FC8">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选用低噪声设备，合理安排作业时间，禁止夜间进行高噪声作业</w:t>
                  </w:r>
                </w:p>
              </w:tc>
              <w:tc>
                <w:tcPr>
                  <w:tcW w:w="105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520C5E6D">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1.0</w:t>
                  </w:r>
                </w:p>
              </w:tc>
            </w:tr>
            <w:tr w14:paraId="12242D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jc w:val="center"/>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1E40C490">
                  <w:pPr>
                    <w:keepNext w:val="0"/>
                    <w:keepLines w:val="0"/>
                    <w:pageBreakBefore w:val="0"/>
                    <w:widowControl/>
                    <w:kinsoku/>
                    <w:wordWrap/>
                    <w:overflowPunct/>
                    <w:topLinePunct w:val="0"/>
                    <w:autoSpaceDE/>
                    <w:autoSpaceDN/>
                    <w:bidi w:val="0"/>
                    <w:adjustRightInd/>
                    <w:snapToGrid/>
                    <w:spacing w:before="0" w:after="0"/>
                    <w:jc w:val="center"/>
                    <w:textAlignment w:val="auto"/>
                    <w:rPr>
                      <w:rFonts w:hint="default" w:ascii="Times New Roman" w:hAnsi="Times New Roman" w:eastAsia="宋体" w:cs="Times New Roman"/>
                      <w:sz w:val="21"/>
                      <w:szCs w:val="21"/>
                    </w:rPr>
                  </w:pPr>
                </w:p>
              </w:tc>
              <w:tc>
                <w:tcPr>
                  <w:tcW w:w="92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50CADCD5">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固废</w:t>
                  </w:r>
                </w:p>
              </w:tc>
              <w:tc>
                <w:tcPr>
                  <w:tcW w:w="132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6C88880A">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建筑垃圾、生活垃圾</w:t>
                  </w:r>
                </w:p>
              </w:tc>
              <w:tc>
                <w:tcPr>
                  <w:tcW w:w="3250"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7760E919">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分类收集、密闭清运，建筑垃圾运至指定消纳场处置</w:t>
                  </w:r>
                </w:p>
              </w:tc>
              <w:tc>
                <w:tcPr>
                  <w:tcW w:w="105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4EAA6E88">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1.5</w:t>
                  </w:r>
                </w:p>
              </w:tc>
            </w:tr>
            <w:tr w14:paraId="6E046D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jc w:val="center"/>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76619907">
                  <w:pPr>
                    <w:keepNext w:val="0"/>
                    <w:keepLines w:val="0"/>
                    <w:pageBreakBefore w:val="0"/>
                    <w:widowControl/>
                    <w:kinsoku/>
                    <w:wordWrap/>
                    <w:overflowPunct/>
                    <w:topLinePunct w:val="0"/>
                    <w:autoSpaceDE/>
                    <w:autoSpaceDN/>
                    <w:bidi w:val="0"/>
                    <w:adjustRightInd/>
                    <w:snapToGrid/>
                    <w:spacing w:before="0" w:after="0"/>
                    <w:jc w:val="center"/>
                    <w:textAlignment w:val="auto"/>
                    <w:rPr>
                      <w:rFonts w:hint="default" w:ascii="Times New Roman" w:hAnsi="Times New Roman" w:eastAsia="宋体" w:cs="Times New Roman"/>
                      <w:sz w:val="21"/>
                      <w:szCs w:val="21"/>
                    </w:rPr>
                  </w:pPr>
                </w:p>
              </w:tc>
              <w:tc>
                <w:tcPr>
                  <w:tcW w:w="92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4515EAE9">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生态</w:t>
                  </w:r>
                </w:p>
              </w:tc>
              <w:tc>
                <w:tcPr>
                  <w:tcW w:w="132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0EB03AB4">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表土剥离、迹地恢复</w:t>
                  </w:r>
                </w:p>
              </w:tc>
              <w:tc>
                <w:tcPr>
                  <w:tcW w:w="3250"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37AEBCBC">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表土剥离后集中堆存并苫盖挡护，施工结束全面整地、</w:t>
                  </w:r>
                  <w:r>
                    <w:rPr>
                      <w:rFonts w:hint="default" w:ascii="Times New Roman" w:hAnsi="Times New Roman" w:cs="Times New Roman"/>
                      <w:b w:val="0"/>
                      <w:bCs w:val="0"/>
                      <w:i w:val="0"/>
                      <w:iCs w:val="0"/>
                      <w:color w:val="000000"/>
                      <w:spacing w:val="0"/>
                      <w:w w:val="100"/>
                      <w:sz w:val="21"/>
                      <w:szCs w:val="21"/>
                      <w:vertAlign w:val="baseline"/>
                      <w:lang w:val="en-US" w:eastAsia="zh-CN"/>
                    </w:rPr>
                    <w:t>恢复</w:t>
                  </w:r>
                  <w:r>
                    <w:rPr>
                      <w:rFonts w:hint="default" w:ascii="Times New Roman" w:hAnsi="Times New Roman" w:eastAsia="宋体" w:cs="Times New Roman"/>
                      <w:b w:val="0"/>
                      <w:bCs w:val="0"/>
                      <w:i w:val="0"/>
                      <w:iCs w:val="0"/>
                      <w:color w:val="000000"/>
                      <w:spacing w:val="0"/>
                      <w:w w:val="100"/>
                      <w:sz w:val="21"/>
                      <w:szCs w:val="21"/>
                      <w:vertAlign w:val="baseline"/>
                    </w:rPr>
                    <w:t>绿化，站外扰动迹地恢复植被</w:t>
                  </w:r>
                </w:p>
              </w:tc>
              <w:tc>
                <w:tcPr>
                  <w:tcW w:w="105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090F0189">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6.0</w:t>
                  </w:r>
                </w:p>
              </w:tc>
            </w:tr>
            <w:tr w14:paraId="4786D1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jc w:val="center"/>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37D6876E">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eastAsia="宋体" w:cs="Times New Roman"/>
                      <w:sz w:val="21"/>
                      <w:szCs w:val="21"/>
                    </w:rPr>
                  </w:pPr>
                  <w:r>
                    <w:rPr>
                      <w:rFonts w:hint="default" w:ascii="Times New Roman" w:hAnsi="Times New Roman" w:eastAsia="宋体" w:cs="Times New Roman"/>
                      <w:b/>
                      <w:bCs/>
                      <w:i w:val="0"/>
                      <w:iCs w:val="0"/>
                      <w:color w:val="000000"/>
                      <w:spacing w:val="0"/>
                      <w:w w:val="100"/>
                      <w:sz w:val="21"/>
                      <w:szCs w:val="21"/>
                      <w:vertAlign w:val="baseline"/>
                    </w:rPr>
                    <w:t>小计</w:t>
                  </w:r>
                </w:p>
              </w:tc>
              <w:tc>
                <w:tcPr>
                  <w:tcW w:w="92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486318ED">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bCs/>
                      <w:i w:val="0"/>
                      <w:iCs w:val="0"/>
                      <w:color w:val="000000"/>
                      <w:spacing w:val="0"/>
                      <w:w w:val="100"/>
                      <w:sz w:val="21"/>
                      <w:szCs w:val="21"/>
                      <w:vertAlign w:val="baseline"/>
                    </w:rPr>
                    <w:t>—</w:t>
                  </w:r>
                </w:p>
              </w:tc>
              <w:tc>
                <w:tcPr>
                  <w:tcW w:w="132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3040378C">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bCs/>
                      <w:i w:val="0"/>
                      <w:iCs w:val="0"/>
                      <w:color w:val="000000"/>
                      <w:spacing w:val="0"/>
                      <w:w w:val="100"/>
                      <w:sz w:val="21"/>
                      <w:szCs w:val="21"/>
                      <w:vertAlign w:val="baseline"/>
                    </w:rPr>
                    <w:t>—</w:t>
                  </w:r>
                </w:p>
              </w:tc>
              <w:tc>
                <w:tcPr>
                  <w:tcW w:w="3250"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1593A8D1">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bCs/>
                      <w:i w:val="0"/>
                      <w:iCs w:val="0"/>
                      <w:color w:val="000000"/>
                      <w:spacing w:val="0"/>
                      <w:w w:val="100"/>
                      <w:sz w:val="21"/>
                      <w:szCs w:val="21"/>
                      <w:vertAlign w:val="baseline"/>
                    </w:rPr>
                    <w:t>—</w:t>
                  </w:r>
                </w:p>
              </w:tc>
              <w:tc>
                <w:tcPr>
                  <w:tcW w:w="105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40E0840E">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bCs/>
                      <w:i w:val="0"/>
                      <w:iCs w:val="0"/>
                      <w:color w:val="000000"/>
                      <w:spacing w:val="0"/>
                      <w:w w:val="100"/>
                      <w:sz w:val="21"/>
                      <w:szCs w:val="21"/>
                      <w:vertAlign w:val="baseline"/>
                    </w:rPr>
                    <w:t>17.0</w:t>
                  </w:r>
                </w:p>
              </w:tc>
            </w:tr>
            <w:tr w14:paraId="49E860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jc w:val="center"/>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6EA93374">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营运期</w:t>
                  </w:r>
                </w:p>
              </w:tc>
              <w:tc>
                <w:tcPr>
                  <w:tcW w:w="92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12004D79">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废气</w:t>
                  </w:r>
                </w:p>
              </w:tc>
              <w:tc>
                <w:tcPr>
                  <w:tcW w:w="132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43D5ED9F">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SF6气体</w:t>
                  </w:r>
                </w:p>
              </w:tc>
              <w:tc>
                <w:tcPr>
                  <w:tcW w:w="3250"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486BF667">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GIS室按间隔配置SF6泄漏监测报警装置，与下部机械排风联锁</w:t>
                  </w:r>
                </w:p>
              </w:tc>
              <w:tc>
                <w:tcPr>
                  <w:tcW w:w="105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05EFDD9C">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8.0</w:t>
                  </w:r>
                </w:p>
              </w:tc>
            </w:tr>
            <w:tr w14:paraId="6D50F2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jc w:val="center"/>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64FA74C1">
                  <w:pPr>
                    <w:keepNext w:val="0"/>
                    <w:keepLines w:val="0"/>
                    <w:pageBreakBefore w:val="0"/>
                    <w:widowControl/>
                    <w:kinsoku/>
                    <w:wordWrap/>
                    <w:overflowPunct/>
                    <w:topLinePunct w:val="0"/>
                    <w:autoSpaceDE/>
                    <w:autoSpaceDN/>
                    <w:bidi w:val="0"/>
                    <w:adjustRightInd/>
                    <w:snapToGrid/>
                    <w:spacing w:before="0" w:after="0"/>
                    <w:jc w:val="center"/>
                    <w:textAlignment w:val="auto"/>
                    <w:rPr>
                      <w:rFonts w:hint="default" w:ascii="Times New Roman" w:hAnsi="Times New Roman" w:eastAsia="宋体" w:cs="Times New Roman"/>
                      <w:sz w:val="21"/>
                      <w:szCs w:val="21"/>
                    </w:rPr>
                  </w:pPr>
                </w:p>
              </w:tc>
              <w:tc>
                <w:tcPr>
                  <w:tcW w:w="92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159BDA12">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噪声</w:t>
                  </w:r>
                </w:p>
              </w:tc>
              <w:tc>
                <w:tcPr>
                  <w:tcW w:w="132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369D6FBB">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主变压器、风机噪声</w:t>
                  </w:r>
                </w:p>
              </w:tc>
              <w:tc>
                <w:tcPr>
                  <w:tcW w:w="3250"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62CDB867">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低噪声设备选型（距源1m处不大于65dB(A)）、基础减振，风机设消声器及软连接，站内绿化降噪</w:t>
                  </w:r>
                </w:p>
              </w:tc>
              <w:tc>
                <w:tcPr>
                  <w:tcW w:w="105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5FB3A31D">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15.0</w:t>
                  </w:r>
                </w:p>
              </w:tc>
            </w:tr>
            <w:tr w14:paraId="0B8738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jc w:val="center"/>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7E969E06">
                  <w:pPr>
                    <w:keepNext w:val="0"/>
                    <w:keepLines w:val="0"/>
                    <w:pageBreakBefore w:val="0"/>
                    <w:widowControl/>
                    <w:kinsoku/>
                    <w:wordWrap/>
                    <w:overflowPunct/>
                    <w:topLinePunct w:val="0"/>
                    <w:autoSpaceDE/>
                    <w:autoSpaceDN/>
                    <w:bidi w:val="0"/>
                    <w:adjustRightInd/>
                    <w:snapToGrid/>
                    <w:spacing w:before="0" w:after="0"/>
                    <w:jc w:val="center"/>
                    <w:textAlignment w:val="auto"/>
                    <w:rPr>
                      <w:rFonts w:hint="default" w:ascii="Times New Roman" w:hAnsi="Times New Roman" w:eastAsia="宋体" w:cs="Times New Roman"/>
                      <w:sz w:val="21"/>
                      <w:szCs w:val="21"/>
                    </w:rPr>
                  </w:pPr>
                </w:p>
              </w:tc>
              <w:tc>
                <w:tcPr>
                  <w:tcW w:w="92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3349FC8C">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废水</w:t>
                  </w:r>
                </w:p>
              </w:tc>
              <w:tc>
                <w:tcPr>
                  <w:tcW w:w="132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19EC906C">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生活污水</w:t>
                  </w:r>
                </w:p>
              </w:tc>
              <w:tc>
                <w:tcPr>
                  <w:tcW w:w="3250"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07D65C88">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防渗化粪池1座，定期清掏；生活污水经化粪池预处理后接入厂区污水管网，送产业园（一期）厂区自建污水处理站集中处理，处理达标后排入园区污水管网，最终进入尉犁工业园区工业污水处理厂深度处理</w:t>
                  </w:r>
                </w:p>
              </w:tc>
              <w:tc>
                <w:tcPr>
                  <w:tcW w:w="105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5945C4AC">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4.0</w:t>
                  </w:r>
                </w:p>
              </w:tc>
            </w:tr>
            <w:tr w14:paraId="595E1D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jc w:val="center"/>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2E33F8A0">
                  <w:pPr>
                    <w:keepNext w:val="0"/>
                    <w:keepLines w:val="0"/>
                    <w:pageBreakBefore w:val="0"/>
                    <w:widowControl/>
                    <w:kinsoku/>
                    <w:wordWrap/>
                    <w:overflowPunct/>
                    <w:topLinePunct w:val="0"/>
                    <w:autoSpaceDE/>
                    <w:autoSpaceDN/>
                    <w:bidi w:val="0"/>
                    <w:adjustRightInd/>
                    <w:snapToGrid/>
                    <w:spacing w:before="0" w:after="0"/>
                    <w:jc w:val="center"/>
                    <w:textAlignment w:val="auto"/>
                    <w:rPr>
                      <w:rFonts w:hint="default" w:ascii="Times New Roman" w:hAnsi="Times New Roman" w:eastAsia="宋体" w:cs="Times New Roman"/>
                      <w:sz w:val="21"/>
                      <w:szCs w:val="21"/>
                    </w:rPr>
                  </w:pPr>
                </w:p>
              </w:tc>
              <w:tc>
                <w:tcPr>
                  <w:tcW w:w="92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6A2B115B">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固废</w:t>
                  </w:r>
                </w:p>
              </w:tc>
              <w:tc>
                <w:tcPr>
                  <w:tcW w:w="132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75F4D5CE">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生活垃圾</w:t>
                  </w:r>
                </w:p>
              </w:tc>
              <w:tc>
                <w:tcPr>
                  <w:tcW w:w="3250"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03EDF014">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设置分类垃圾箱，由环卫部门清运处置</w:t>
                  </w:r>
                </w:p>
              </w:tc>
              <w:tc>
                <w:tcPr>
                  <w:tcW w:w="105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4BF9DE90">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0.5</w:t>
                  </w:r>
                </w:p>
              </w:tc>
            </w:tr>
            <w:tr w14:paraId="04F336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jc w:val="center"/>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14D99DF2">
                  <w:pPr>
                    <w:keepNext w:val="0"/>
                    <w:keepLines w:val="0"/>
                    <w:pageBreakBefore w:val="0"/>
                    <w:widowControl/>
                    <w:kinsoku/>
                    <w:wordWrap/>
                    <w:overflowPunct/>
                    <w:topLinePunct w:val="0"/>
                    <w:autoSpaceDE/>
                    <w:autoSpaceDN/>
                    <w:bidi w:val="0"/>
                    <w:adjustRightInd/>
                    <w:snapToGrid/>
                    <w:spacing w:before="0" w:after="0"/>
                    <w:jc w:val="center"/>
                    <w:textAlignment w:val="auto"/>
                    <w:rPr>
                      <w:rFonts w:hint="default" w:ascii="Times New Roman" w:hAnsi="Times New Roman" w:eastAsia="宋体" w:cs="Times New Roman"/>
                      <w:sz w:val="21"/>
                      <w:szCs w:val="21"/>
                    </w:rPr>
                  </w:pPr>
                </w:p>
              </w:tc>
              <w:tc>
                <w:tcPr>
                  <w:tcW w:w="92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1E12C583">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固废</w:t>
                  </w:r>
                </w:p>
              </w:tc>
              <w:tc>
                <w:tcPr>
                  <w:tcW w:w="132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518D8BF5">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危险废物</w:t>
                  </w:r>
                </w:p>
              </w:tc>
              <w:tc>
                <w:tcPr>
                  <w:tcW w:w="3250"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03AC5AD7">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专用密闭容器、防渗托盘及危险废物标签，送厂区危险废物暂存间暂存</w:t>
                  </w:r>
                </w:p>
              </w:tc>
              <w:tc>
                <w:tcPr>
                  <w:tcW w:w="105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51755BE8">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2.0</w:t>
                  </w:r>
                </w:p>
              </w:tc>
            </w:tr>
            <w:tr w14:paraId="36377B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jc w:val="center"/>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7DF6410A">
                  <w:pPr>
                    <w:keepNext w:val="0"/>
                    <w:keepLines w:val="0"/>
                    <w:pageBreakBefore w:val="0"/>
                    <w:widowControl/>
                    <w:kinsoku/>
                    <w:wordWrap/>
                    <w:overflowPunct/>
                    <w:topLinePunct w:val="0"/>
                    <w:autoSpaceDE/>
                    <w:autoSpaceDN/>
                    <w:bidi w:val="0"/>
                    <w:adjustRightInd/>
                    <w:snapToGrid/>
                    <w:spacing w:before="0" w:after="0"/>
                    <w:jc w:val="center"/>
                    <w:textAlignment w:val="auto"/>
                    <w:rPr>
                      <w:rFonts w:hint="default" w:ascii="Times New Roman" w:hAnsi="Times New Roman" w:eastAsia="宋体" w:cs="Times New Roman"/>
                      <w:sz w:val="21"/>
                      <w:szCs w:val="21"/>
                    </w:rPr>
                  </w:pPr>
                </w:p>
              </w:tc>
              <w:tc>
                <w:tcPr>
                  <w:tcW w:w="92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46309155">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风险</w:t>
                  </w:r>
                </w:p>
              </w:tc>
              <w:tc>
                <w:tcPr>
                  <w:tcW w:w="132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4CF29583">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事故变压器油</w:t>
                  </w:r>
                </w:p>
              </w:tc>
              <w:tc>
                <w:tcPr>
                  <w:tcW w:w="3250"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0DA0077B">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事故油池1座（有效容积30m³，P10抗渗混凝土＋防水卷材＋防水砂浆＋环氧沥青防腐），主变油坑、排油槽、排油管道及油水分离设施</w:t>
                  </w:r>
                </w:p>
              </w:tc>
              <w:tc>
                <w:tcPr>
                  <w:tcW w:w="105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60855A70">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20.0</w:t>
                  </w:r>
                </w:p>
              </w:tc>
            </w:tr>
            <w:tr w14:paraId="79D857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jc w:val="center"/>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66EB3D3A">
                  <w:pPr>
                    <w:keepNext w:val="0"/>
                    <w:keepLines w:val="0"/>
                    <w:pageBreakBefore w:val="0"/>
                    <w:widowControl/>
                    <w:kinsoku/>
                    <w:wordWrap/>
                    <w:overflowPunct/>
                    <w:topLinePunct w:val="0"/>
                    <w:autoSpaceDE/>
                    <w:autoSpaceDN/>
                    <w:bidi w:val="0"/>
                    <w:adjustRightInd/>
                    <w:snapToGrid/>
                    <w:spacing w:before="0" w:after="0"/>
                    <w:jc w:val="center"/>
                    <w:textAlignment w:val="auto"/>
                    <w:rPr>
                      <w:rFonts w:hint="default" w:ascii="Times New Roman" w:hAnsi="Times New Roman" w:eastAsia="宋体" w:cs="Times New Roman"/>
                      <w:sz w:val="21"/>
                      <w:szCs w:val="21"/>
                    </w:rPr>
                  </w:pPr>
                </w:p>
              </w:tc>
              <w:tc>
                <w:tcPr>
                  <w:tcW w:w="92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30951010">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生态</w:t>
                  </w:r>
                </w:p>
              </w:tc>
              <w:tc>
                <w:tcPr>
                  <w:tcW w:w="132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4582447B">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站区绿化</w:t>
                  </w:r>
                </w:p>
              </w:tc>
              <w:tc>
                <w:tcPr>
                  <w:tcW w:w="3250"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7A3D49DB">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可绿化区域绿化，种植本地耐旱抗风沙草灌木；未硬化地面碎石覆盖</w:t>
                  </w:r>
                </w:p>
              </w:tc>
              <w:tc>
                <w:tcPr>
                  <w:tcW w:w="105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447E664F">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3.5</w:t>
                  </w:r>
                </w:p>
              </w:tc>
            </w:tr>
            <w:tr w14:paraId="6B99A2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jc w:val="center"/>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18E502BD">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eastAsia="宋体" w:cs="Times New Roman"/>
                      <w:sz w:val="21"/>
                      <w:szCs w:val="21"/>
                    </w:rPr>
                  </w:pPr>
                  <w:r>
                    <w:rPr>
                      <w:rFonts w:hint="default" w:ascii="Times New Roman" w:hAnsi="Times New Roman" w:eastAsia="宋体" w:cs="Times New Roman"/>
                      <w:b/>
                      <w:bCs/>
                      <w:i w:val="0"/>
                      <w:iCs w:val="0"/>
                      <w:color w:val="000000"/>
                      <w:spacing w:val="0"/>
                      <w:w w:val="100"/>
                      <w:sz w:val="21"/>
                      <w:szCs w:val="21"/>
                      <w:vertAlign w:val="baseline"/>
                    </w:rPr>
                    <w:t>小计</w:t>
                  </w:r>
                </w:p>
              </w:tc>
              <w:tc>
                <w:tcPr>
                  <w:tcW w:w="92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1D128F82">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bCs/>
                      <w:i w:val="0"/>
                      <w:iCs w:val="0"/>
                      <w:color w:val="000000"/>
                      <w:spacing w:val="0"/>
                      <w:w w:val="100"/>
                      <w:sz w:val="21"/>
                      <w:szCs w:val="21"/>
                      <w:vertAlign w:val="baseline"/>
                    </w:rPr>
                    <w:t>—</w:t>
                  </w:r>
                </w:p>
              </w:tc>
              <w:tc>
                <w:tcPr>
                  <w:tcW w:w="132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246876B1">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bCs/>
                      <w:i w:val="0"/>
                      <w:iCs w:val="0"/>
                      <w:color w:val="000000"/>
                      <w:spacing w:val="0"/>
                      <w:w w:val="100"/>
                      <w:sz w:val="21"/>
                      <w:szCs w:val="21"/>
                      <w:vertAlign w:val="baseline"/>
                    </w:rPr>
                    <w:t>—</w:t>
                  </w:r>
                </w:p>
              </w:tc>
              <w:tc>
                <w:tcPr>
                  <w:tcW w:w="3250"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6B05DEF0">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bCs/>
                      <w:i w:val="0"/>
                      <w:iCs w:val="0"/>
                      <w:color w:val="000000"/>
                      <w:spacing w:val="0"/>
                      <w:w w:val="100"/>
                      <w:sz w:val="21"/>
                      <w:szCs w:val="21"/>
                      <w:vertAlign w:val="baseline"/>
                    </w:rPr>
                    <w:t>—</w:t>
                  </w:r>
                </w:p>
              </w:tc>
              <w:tc>
                <w:tcPr>
                  <w:tcW w:w="105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6AE93DED">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bCs/>
                      <w:i w:val="0"/>
                      <w:iCs w:val="0"/>
                      <w:color w:val="000000"/>
                      <w:spacing w:val="0"/>
                      <w:w w:val="100"/>
                      <w:sz w:val="21"/>
                      <w:szCs w:val="21"/>
                      <w:vertAlign w:val="baseline"/>
                    </w:rPr>
                    <w:t>53.0</w:t>
                  </w:r>
                </w:p>
              </w:tc>
            </w:tr>
            <w:tr w14:paraId="0059E8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jc w:val="center"/>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2271EE23">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环境管理</w:t>
                  </w:r>
                </w:p>
                <w:p w14:paraId="33D9ACE0">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及例行监测</w:t>
                  </w:r>
                </w:p>
              </w:tc>
              <w:tc>
                <w:tcPr>
                  <w:tcW w:w="92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41896EBC">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环境管理</w:t>
                  </w:r>
                </w:p>
                <w:p w14:paraId="55C5A2E2">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及例行监测</w:t>
                  </w:r>
                </w:p>
              </w:tc>
              <w:tc>
                <w:tcPr>
                  <w:tcW w:w="132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49C04CE7">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w:t>
                  </w:r>
                </w:p>
              </w:tc>
              <w:tc>
                <w:tcPr>
                  <w:tcW w:w="3250"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0D780905">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施工期环境监理；竣工环境保护验收监测（噪声、工频电场及工频磁感应强度、废水）；运营期例行监测；突发环境事件应急预案编制及备案；环保培训及宣传警示牌</w:t>
                  </w:r>
                </w:p>
              </w:tc>
              <w:tc>
                <w:tcPr>
                  <w:tcW w:w="105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34E76F3F">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10.0</w:t>
                  </w:r>
                </w:p>
              </w:tc>
            </w:tr>
            <w:tr w14:paraId="0BFB90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jc w:val="center"/>
              </w:trPr>
              <w:tc>
                <w:tcPr>
                  <w:tcW w:w="840"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414F3B36">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eastAsia="宋体" w:cs="Times New Roman"/>
                      <w:sz w:val="21"/>
                      <w:szCs w:val="21"/>
                    </w:rPr>
                  </w:pPr>
                  <w:r>
                    <w:rPr>
                      <w:rFonts w:hint="default" w:ascii="Times New Roman" w:hAnsi="Times New Roman" w:eastAsia="宋体" w:cs="Times New Roman"/>
                      <w:b/>
                      <w:bCs/>
                      <w:i w:val="0"/>
                      <w:iCs w:val="0"/>
                      <w:color w:val="000000"/>
                      <w:spacing w:val="0"/>
                      <w:w w:val="100"/>
                      <w:sz w:val="21"/>
                      <w:szCs w:val="21"/>
                      <w:vertAlign w:val="baseline"/>
                    </w:rPr>
                    <w:t>合计</w:t>
                  </w:r>
                </w:p>
              </w:tc>
              <w:tc>
                <w:tcPr>
                  <w:tcW w:w="92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4F34E097">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bCs/>
                      <w:i w:val="0"/>
                      <w:iCs w:val="0"/>
                      <w:color w:val="000000"/>
                      <w:spacing w:val="0"/>
                      <w:w w:val="100"/>
                      <w:sz w:val="21"/>
                      <w:szCs w:val="21"/>
                      <w:vertAlign w:val="baseline"/>
                    </w:rPr>
                  </w:pPr>
                  <w:r>
                    <w:rPr>
                      <w:rFonts w:hint="default" w:ascii="Times New Roman" w:hAnsi="Times New Roman" w:eastAsia="宋体" w:cs="Times New Roman"/>
                      <w:b/>
                      <w:bCs/>
                      <w:i w:val="0"/>
                      <w:iCs w:val="0"/>
                      <w:color w:val="000000"/>
                      <w:spacing w:val="0"/>
                      <w:w w:val="100"/>
                      <w:sz w:val="21"/>
                      <w:szCs w:val="21"/>
                      <w:vertAlign w:val="baseline"/>
                    </w:rPr>
                    <w:t>—</w:t>
                  </w:r>
                </w:p>
              </w:tc>
              <w:tc>
                <w:tcPr>
                  <w:tcW w:w="132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12B290F1">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bCs/>
                      <w:i w:val="0"/>
                      <w:iCs w:val="0"/>
                      <w:color w:val="000000"/>
                      <w:spacing w:val="0"/>
                      <w:w w:val="100"/>
                      <w:sz w:val="21"/>
                      <w:szCs w:val="21"/>
                      <w:vertAlign w:val="baseline"/>
                    </w:rPr>
                  </w:pPr>
                  <w:r>
                    <w:rPr>
                      <w:rFonts w:hint="default" w:ascii="Times New Roman" w:hAnsi="Times New Roman" w:eastAsia="宋体" w:cs="Times New Roman"/>
                      <w:b/>
                      <w:bCs/>
                      <w:i w:val="0"/>
                      <w:iCs w:val="0"/>
                      <w:color w:val="000000"/>
                      <w:spacing w:val="0"/>
                      <w:w w:val="100"/>
                      <w:sz w:val="21"/>
                      <w:szCs w:val="21"/>
                      <w:vertAlign w:val="baseline"/>
                    </w:rPr>
                    <w:t>—</w:t>
                  </w:r>
                </w:p>
              </w:tc>
              <w:tc>
                <w:tcPr>
                  <w:tcW w:w="3250"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513EDF33">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bCs/>
                      <w:i w:val="0"/>
                      <w:iCs w:val="0"/>
                      <w:color w:val="000000"/>
                      <w:spacing w:val="0"/>
                      <w:w w:val="100"/>
                      <w:sz w:val="21"/>
                      <w:szCs w:val="21"/>
                      <w:vertAlign w:val="baseline"/>
                    </w:rPr>
                  </w:pPr>
                  <w:r>
                    <w:rPr>
                      <w:rFonts w:hint="default" w:ascii="Times New Roman" w:hAnsi="Times New Roman" w:eastAsia="宋体" w:cs="Times New Roman"/>
                      <w:b/>
                      <w:bCs/>
                      <w:i w:val="0"/>
                      <w:iCs w:val="0"/>
                      <w:color w:val="000000"/>
                      <w:spacing w:val="0"/>
                      <w:w w:val="100"/>
                      <w:sz w:val="21"/>
                      <w:szCs w:val="21"/>
                      <w:vertAlign w:val="baseline"/>
                    </w:rPr>
                    <w:t>—</w:t>
                  </w:r>
                </w:p>
              </w:tc>
              <w:tc>
                <w:tcPr>
                  <w:tcW w:w="105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1B3219FE">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bCs/>
                      <w:i w:val="0"/>
                      <w:iCs w:val="0"/>
                      <w:color w:val="000000"/>
                      <w:spacing w:val="0"/>
                      <w:w w:val="100"/>
                      <w:sz w:val="21"/>
                      <w:szCs w:val="21"/>
                      <w:vertAlign w:val="baseline"/>
                    </w:rPr>
                    <w:t>80.0</w:t>
                  </w:r>
                </w:p>
              </w:tc>
            </w:tr>
          </w:tbl>
          <w:p w14:paraId="27A44013">
            <w:pPr>
              <w:adjustRightInd w:val="0"/>
              <w:snapToGrid w:val="0"/>
              <w:spacing w:line="480" w:lineRule="exact"/>
              <w:ind w:firstLine="420" w:firstLineChars="200"/>
              <w:rPr>
                <w:rFonts w:hint="default" w:ascii="Times New Roman" w:hAnsi="Times New Roman" w:cs="Times New Roman" w:eastAsiaTheme="minorEastAsia"/>
                <w:bCs/>
                <w:szCs w:val="21"/>
              </w:rPr>
            </w:pPr>
          </w:p>
          <w:p w14:paraId="54686FC2">
            <w:pPr>
              <w:adjustRightInd w:val="0"/>
              <w:snapToGrid w:val="0"/>
              <w:spacing w:line="480" w:lineRule="exact"/>
              <w:ind w:firstLine="420" w:firstLineChars="200"/>
              <w:rPr>
                <w:rFonts w:hint="default" w:ascii="Times New Roman" w:hAnsi="Times New Roman" w:cs="Times New Roman" w:eastAsiaTheme="minorEastAsia"/>
                <w:bCs/>
                <w:szCs w:val="21"/>
              </w:rPr>
            </w:pPr>
          </w:p>
          <w:p w14:paraId="364B7E86">
            <w:pPr>
              <w:adjustRightInd w:val="0"/>
              <w:snapToGrid w:val="0"/>
              <w:spacing w:line="480" w:lineRule="exact"/>
              <w:ind w:firstLine="420" w:firstLineChars="200"/>
              <w:rPr>
                <w:rFonts w:hint="default" w:ascii="Times New Roman" w:hAnsi="Times New Roman" w:cs="Times New Roman" w:eastAsiaTheme="minorEastAsia"/>
                <w:bCs/>
                <w:szCs w:val="21"/>
              </w:rPr>
            </w:pPr>
          </w:p>
          <w:p w14:paraId="20EDCE10">
            <w:pPr>
              <w:adjustRightInd w:val="0"/>
              <w:snapToGrid w:val="0"/>
              <w:spacing w:line="480" w:lineRule="exact"/>
              <w:ind w:firstLine="420" w:firstLineChars="200"/>
              <w:rPr>
                <w:rFonts w:hint="default" w:ascii="Times New Roman" w:hAnsi="Times New Roman" w:cs="Times New Roman" w:eastAsiaTheme="minorEastAsia"/>
                <w:bCs/>
                <w:szCs w:val="21"/>
              </w:rPr>
            </w:pPr>
          </w:p>
          <w:p w14:paraId="4E579160">
            <w:pPr>
              <w:adjustRightInd w:val="0"/>
              <w:snapToGrid w:val="0"/>
              <w:spacing w:line="480" w:lineRule="exact"/>
              <w:ind w:firstLine="420" w:firstLineChars="200"/>
              <w:rPr>
                <w:rFonts w:hint="default" w:ascii="Times New Roman" w:hAnsi="Times New Roman" w:cs="Times New Roman" w:eastAsiaTheme="minorEastAsia"/>
                <w:bCs/>
                <w:szCs w:val="21"/>
              </w:rPr>
            </w:pPr>
          </w:p>
          <w:p w14:paraId="2E8AF85F">
            <w:pPr>
              <w:adjustRightInd w:val="0"/>
              <w:snapToGrid w:val="0"/>
              <w:spacing w:line="480" w:lineRule="exact"/>
              <w:ind w:firstLine="420" w:firstLineChars="200"/>
              <w:rPr>
                <w:rFonts w:hint="default" w:ascii="Times New Roman" w:hAnsi="Times New Roman" w:cs="Times New Roman" w:eastAsiaTheme="minorEastAsia"/>
                <w:bCs/>
                <w:szCs w:val="21"/>
              </w:rPr>
            </w:pPr>
          </w:p>
          <w:p w14:paraId="35D0DAF7">
            <w:pPr>
              <w:adjustRightInd w:val="0"/>
              <w:snapToGrid w:val="0"/>
              <w:spacing w:line="480" w:lineRule="exact"/>
              <w:ind w:firstLine="420" w:firstLineChars="200"/>
              <w:rPr>
                <w:rFonts w:hint="default" w:ascii="Times New Roman" w:hAnsi="Times New Roman" w:cs="Times New Roman" w:eastAsiaTheme="minorEastAsia"/>
                <w:bCs/>
                <w:szCs w:val="21"/>
              </w:rPr>
            </w:pPr>
          </w:p>
          <w:p w14:paraId="7D587AE0">
            <w:pPr>
              <w:adjustRightInd w:val="0"/>
              <w:snapToGrid w:val="0"/>
              <w:spacing w:line="480" w:lineRule="exact"/>
              <w:ind w:firstLine="420" w:firstLineChars="200"/>
              <w:rPr>
                <w:rFonts w:hint="default" w:ascii="Times New Roman" w:hAnsi="Times New Roman" w:cs="Times New Roman" w:eastAsiaTheme="minorEastAsia"/>
                <w:bCs/>
                <w:szCs w:val="21"/>
              </w:rPr>
            </w:pPr>
          </w:p>
          <w:p w14:paraId="65D6A751">
            <w:pPr>
              <w:adjustRightInd w:val="0"/>
              <w:snapToGrid w:val="0"/>
              <w:spacing w:line="480" w:lineRule="exact"/>
              <w:ind w:firstLine="420" w:firstLineChars="200"/>
              <w:rPr>
                <w:rFonts w:hint="default" w:ascii="Times New Roman" w:hAnsi="Times New Roman" w:cs="Times New Roman" w:eastAsiaTheme="minorEastAsia"/>
                <w:bCs/>
                <w:szCs w:val="21"/>
              </w:rPr>
            </w:pPr>
          </w:p>
          <w:p w14:paraId="777EA74E">
            <w:pPr>
              <w:adjustRightInd w:val="0"/>
              <w:snapToGrid w:val="0"/>
              <w:spacing w:line="480" w:lineRule="exact"/>
              <w:ind w:firstLine="420" w:firstLineChars="200"/>
              <w:rPr>
                <w:rFonts w:hint="default" w:ascii="Times New Roman" w:hAnsi="Times New Roman" w:cs="Times New Roman" w:eastAsiaTheme="minorEastAsia"/>
                <w:bCs/>
                <w:szCs w:val="21"/>
              </w:rPr>
            </w:pPr>
          </w:p>
          <w:p w14:paraId="4721669B">
            <w:pPr>
              <w:adjustRightInd w:val="0"/>
              <w:snapToGrid w:val="0"/>
              <w:spacing w:line="480" w:lineRule="exact"/>
              <w:ind w:firstLine="420" w:firstLineChars="200"/>
              <w:rPr>
                <w:rFonts w:hint="default" w:ascii="Times New Roman" w:hAnsi="Times New Roman" w:cs="Times New Roman" w:eastAsiaTheme="minorEastAsia"/>
                <w:bCs/>
                <w:szCs w:val="21"/>
              </w:rPr>
            </w:pPr>
          </w:p>
          <w:p w14:paraId="664324B7">
            <w:pPr>
              <w:adjustRightInd w:val="0"/>
              <w:snapToGrid w:val="0"/>
              <w:spacing w:line="480" w:lineRule="exact"/>
              <w:ind w:firstLine="420" w:firstLineChars="200"/>
              <w:rPr>
                <w:rFonts w:hint="default" w:ascii="Times New Roman" w:hAnsi="Times New Roman" w:cs="Times New Roman" w:eastAsiaTheme="minorEastAsia"/>
                <w:bCs/>
                <w:szCs w:val="21"/>
              </w:rPr>
            </w:pPr>
          </w:p>
          <w:p w14:paraId="6B8F823E">
            <w:pPr>
              <w:adjustRightInd w:val="0"/>
              <w:snapToGrid w:val="0"/>
              <w:spacing w:line="480" w:lineRule="exact"/>
              <w:ind w:firstLine="420" w:firstLineChars="200"/>
              <w:rPr>
                <w:rFonts w:hint="default" w:ascii="Times New Roman" w:hAnsi="Times New Roman" w:cs="Times New Roman" w:eastAsiaTheme="minorEastAsia"/>
                <w:bCs/>
                <w:szCs w:val="21"/>
              </w:rPr>
            </w:pPr>
          </w:p>
          <w:p w14:paraId="24644A33">
            <w:pPr>
              <w:adjustRightInd w:val="0"/>
              <w:snapToGrid w:val="0"/>
              <w:spacing w:line="480" w:lineRule="exact"/>
              <w:ind w:firstLine="420" w:firstLineChars="200"/>
              <w:rPr>
                <w:rFonts w:hint="default" w:ascii="Times New Roman" w:hAnsi="Times New Roman" w:cs="Times New Roman" w:eastAsiaTheme="minorEastAsia"/>
                <w:bCs/>
                <w:szCs w:val="21"/>
              </w:rPr>
            </w:pPr>
          </w:p>
          <w:p w14:paraId="1D44E03A">
            <w:pPr>
              <w:adjustRightInd w:val="0"/>
              <w:snapToGrid w:val="0"/>
              <w:spacing w:line="480" w:lineRule="exact"/>
              <w:ind w:firstLine="420" w:firstLineChars="200"/>
              <w:rPr>
                <w:rFonts w:hint="default" w:ascii="Times New Roman" w:hAnsi="Times New Roman" w:cs="Times New Roman" w:eastAsiaTheme="minorEastAsia"/>
                <w:bCs/>
                <w:szCs w:val="21"/>
              </w:rPr>
            </w:pPr>
          </w:p>
          <w:p w14:paraId="0AEC91E0">
            <w:pPr>
              <w:adjustRightInd w:val="0"/>
              <w:snapToGrid w:val="0"/>
              <w:spacing w:line="480" w:lineRule="exact"/>
              <w:ind w:firstLine="420" w:firstLineChars="200"/>
              <w:rPr>
                <w:rFonts w:hint="default" w:ascii="Times New Roman" w:hAnsi="Times New Roman" w:cs="Times New Roman" w:eastAsiaTheme="minorEastAsia"/>
                <w:bCs/>
                <w:szCs w:val="21"/>
              </w:rPr>
            </w:pPr>
          </w:p>
          <w:p w14:paraId="0BCBBCBD">
            <w:pPr>
              <w:adjustRightInd w:val="0"/>
              <w:snapToGrid w:val="0"/>
              <w:spacing w:line="480" w:lineRule="exact"/>
              <w:ind w:firstLine="420" w:firstLineChars="200"/>
              <w:rPr>
                <w:rFonts w:hint="default" w:ascii="Times New Roman" w:hAnsi="Times New Roman" w:cs="Times New Roman" w:eastAsiaTheme="minorEastAsia"/>
                <w:bCs/>
                <w:szCs w:val="21"/>
              </w:rPr>
            </w:pPr>
          </w:p>
          <w:p w14:paraId="5DF9488A">
            <w:pPr>
              <w:adjustRightInd w:val="0"/>
              <w:snapToGrid w:val="0"/>
              <w:spacing w:line="480" w:lineRule="exact"/>
              <w:ind w:firstLine="420" w:firstLineChars="200"/>
              <w:rPr>
                <w:rFonts w:hint="default" w:ascii="Times New Roman" w:hAnsi="Times New Roman" w:cs="Times New Roman" w:eastAsiaTheme="minorEastAsia"/>
                <w:bCs/>
                <w:szCs w:val="21"/>
              </w:rPr>
            </w:pPr>
          </w:p>
          <w:p w14:paraId="2D39C5C9">
            <w:pPr>
              <w:adjustRightInd w:val="0"/>
              <w:snapToGrid w:val="0"/>
              <w:spacing w:line="480" w:lineRule="exact"/>
              <w:ind w:firstLine="420" w:firstLineChars="200"/>
              <w:rPr>
                <w:rFonts w:hint="default" w:ascii="Times New Roman" w:hAnsi="Times New Roman" w:cs="Times New Roman" w:eastAsiaTheme="minorEastAsia"/>
                <w:bCs/>
                <w:szCs w:val="21"/>
              </w:rPr>
            </w:pPr>
          </w:p>
          <w:p w14:paraId="488266F4">
            <w:pPr>
              <w:adjustRightInd w:val="0"/>
              <w:snapToGrid w:val="0"/>
              <w:spacing w:line="480" w:lineRule="exact"/>
              <w:ind w:firstLine="420" w:firstLineChars="200"/>
              <w:rPr>
                <w:rFonts w:hint="default" w:ascii="Times New Roman" w:hAnsi="Times New Roman" w:cs="Times New Roman" w:eastAsiaTheme="minorEastAsia"/>
                <w:bCs/>
                <w:szCs w:val="21"/>
              </w:rPr>
            </w:pPr>
          </w:p>
          <w:p w14:paraId="3691AF99">
            <w:pPr>
              <w:adjustRightInd w:val="0"/>
              <w:snapToGrid w:val="0"/>
              <w:spacing w:line="480" w:lineRule="exact"/>
              <w:ind w:firstLine="420" w:firstLineChars="200"/>
              <w:rPr>
                <w:rFonts w:hint="default" w:ascii="Times New Roman" w:hAnsi="Times New Roman" w:cs="Times New Roman" w:eastAsiaTheme="minorEastAsia"/>
                <w:bCs/>
                <w:szCs w:val="21"/>
              </w:rPr>
            </w:pPr>
          </w:p>
          <w:p w14:paraId="4AD5A1D1">
            <w:pPr>
              <w:adjustRightInd w:val="0"/>
              <w:snapToGrid w:val="0"/>
              <w:spacing w:line="480" w:lineRule="exact"/>
              <w:rPr>
                <w:rFonts w:hint="default" w:ascii="Times New Roman" w:hAnsi="Times New Roman" w:cs="Times New Roman" w:eastAsiaTheme="minorEastAsia"/>
                <w:bCs/>
                <w:szCs w:val="21"/>
              </w:rPr>
            </w:pPr>
          </w:p>
        </w:tc>
      </w:tr>
    </w:tbl>
    <w:p w14:paraId="62E4A9B8">
      <w:pPr>
        <w:rPr>
          <w:rFonts w:hint="default" w:ascii="Times New Roman" w:hAnsi="Times New Roman" w:cs="Times New Roman" w:eastAsiaTheme="minorEastAsia"/>
        </w:rPr>
        <w:sectPr>
          <w:pgSz w:w="11907" w:h="16840"/>
          <w:pgMar w:top="1440" w:right="1797" w:bottom="1440" w:left="1797" w:header="851" w:footer="1077" w:gutter="0"/>
          <w:pgBorders>
            <w:top w:val="none" w:sz="0" w:space="0"/>
            <w:left w:val="none" w:sz="0" w:space="0"/>
            <w:bottom w:val="none" w:sz="0" w:space="0"/>
            <w:right w:val="none" w:sz="0" w:space="0"/>
          </w:pgBorders>
          <w:pgNumType w:fmt="decimal"/>
          <w:cols w:space="720" w:num="1"/>
          <w:docGrid w:linePitch="312" w:charSpace="0"/>
        </w:sectPr>
      </w:pPr>
    </w:p>
    <w:p w14:paraId="794FD2E1">
      <w:pPr>
        <w:pStyle w:val="3"/>
        <w:numPr>
          <w:ilvl w:val="0"/>
          <w:numId w:val="0"/>
        </w:numPr>
        <w:ind w:leftChars="0"/>
        <w:jc w:val="center"/>
        <w:rPr>
          <w:rFonts w:hint="default" w:ascii="Times New Roman" w:hAnsi="Times New Roman" w:cs="Times New Roman"/>
        </w:rPr>
      </w:pPr>
      <w:bookmarkStart w:id="81" w:name="_Toc31451"/>
      <w:r>
        <w:rPr>
          <w:rFonts w:hint="default" w:ascii="Times New Roman" w:hAnsi="Times New Roman" w:cs="Times New Roman"/>
          <w:lang w:val="en-US" w:eastAsia="zh-CN"/>
        </w:rPr>
        <w:t>六、</w:t>
      </w:r>
      <w:r>
        <w:rPr>
          <w:rFonts w:hint="default" w:ascii="Times New Roman" w:hAnsi="Times New Roman" w:cs="Times New Roman"/>
        </w:rPr>
        <w:t>生态环境保护措施监督检查清单</w:t>
      </w:r>
      <w:bookmarkEnd w:id="81"/>
    </w:p>
    <w:tbl>
      <w:tblPr>
        <w:tblStyle w:val="43"/>
        <w:tblW w:w="499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437"/>
        <w:gridCol w:w="3072"/>
        <w:gridCol w:w="1372"/>
        <w:gridCol w:w="2159"/>
        <w:gridCol w:w="1486"/>
      </w:tblGrid>
      <w:tr w14:paraId="3F3BA8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05" w:hRule="atLeast"/>
          <w:jc w:val="center"/>
        </w:trPr>
        <w:tc>
          <w:tcPr>
            <w:tcW w:w="256" w:type="pct"/>
            <w:vMerge w:val="restar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7846617E">
            <w:pPr>
              <w:pStyle w:val="40"/>
              <w:keepNext w:val="0"/>
              <w:keepLines w:val="0"/>
              <w:widowControl/>
              <w:suppressLineNumbers w:val="0"/>
              <w:spacing w:before="40" w:beforeAutospacing="0" w:after="40" w:afterAutospacing="0"/>
              <w:ind w:left="0" w:right="0"/>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内容/要素</w:t>
            </w:r>
          </w:p>
        </w:tc>
        <w:tc>
          <w:tcPr>
            <w:tcW w:w="2606" w:type="pct"/>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4D764F53">
            <w:pPr>
              <w:pStyle w:val="40"/>
              <w:keepNext w:val="0"/>
              <w:keepLines w:val="0"/>
              <w:widowControl/>
              <w:suppressLineNumbers w:val="0"/>
              <w:spacing w:before="40" w:beforeAutospacing="0" w:after="40" w:afterAutospacing="0"/>
              <w:ind w:left="0" w:right="0"/>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施工期</w:t>
            </w:r>
          </w:p>
        </w:tc>
        <w:tc>
          <w:tcPr>
            <w:tcW w:w="2137" w:type="pct"/>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11F3711B">
            <w:pPr>
              <w:pStyle w:val="40"/>
              <w:keepNext w:val="0"/>
              <w:keepLines w:val="0"/>
              <w:widowControl/>
              <w:suppressLineNumbers w:val="0"/>
              <w:spacing w:before="40" w:beforeAutospacing="0" w:after="40" w:afterAutospacing="0"/>
              <w:ind w:left="0" w:right="0"/>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运营期</w:t>
            </w:r>
          </w:p>
        </w:tc>
      </w:tr>
      <w:tr w14:paraId="0CD5D5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jc w:val="center"/>
        </w:trPr>
        <w:tc>
          <w:tcPr>
            <w:tcW w:w="256" w:type="pct"/>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3EFD60F8">
            <w:pPr>
              <w:rPr>
                <w:rFonts w:hint="default" w:ascii="Times New Roman" w:hAnsi="Times New Roman" w:eastAsia="宋体" w:cs="Times New Roman"/>
                <w:b w:val="0"/>
                <w:bCs w:val="0"/>
                <w:sz w:val="21"/>
                <w:szCs w:val="21"/>
              </w:rPr>
            </w:pPr>
          </w:p>
        </w:tc>
        <w:tc>
          <w:tcPr>
            <w:tcW w:w="1801" w:type="pc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749062E7">
            <w:pPr>
              <w:pStyle w:val="40"/>
              <w:keepNext w:val="0"/>
              <w:keepLines w:val="0"/>
              <w:widowControl/>
              <w:suppressLineNumbers w:val="0"/>
              <w:spacing w:before="40" w:beforeAutospacing="0" w:after="40" w:afterAutospacing="0"/>
              <w:ind w:left="0" w:right="0"/>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环境保护措施</w:t>
            </w:r>
          </w:p>
        </w:tc>
        <w:tc>
          <w:tcPr>
            <w:tcW w:w="804" w:type="pc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2A573687">
            <w:pPr>
              <w:pStyle w:val="40"/>
              <w:keepNext w:val="0"/>
              <w:keepLines w:val="0"/>
              <w:widowControl/>
              <w:suppressLineNumbers w:val="0"/>
              <w:spacing w:before="40" w:beforeAutospacing="0" w:after="40" w:afterAutospacing="0"/>
              <w:ind w:left="0" w:right="0"/>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验收要求</w:t>
            </w:r>
          </w:p>
        </w:tc>
        <w:tc>
          <w:tcPr>
            <w:tcW w:w="1266" w:type="pc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65ABFDDE">
            <w:pPr>
              <w:pStyle w:val="40"/>
              <w:keepNext w:val="0"/>
              <w:keepLines w:val="0"/>
              <w:widowControl/>
              <w:suppressLineNumbers w:val="0"/>
              <w:spacing w:before="40" w:beforeAutospacing="0" w:after="40" w:afterAutospacing="0"/>
              <w:ind w:left="0" w:right="0"/>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环境保护措施</w:t>
            </w:r>
          </w:p>
        </w:tc>
        <w:tc>
          <w:tcPr>
            <w:tcW w:w="871" w:type="pc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178492FD">
            <w:pPr>
              <w:pStyle w:val="40"/>
              <w:keepNext w:val="0"/>
              <w:keepLines w:val="0"/>
              <w:widowControl/>
              <w:suppressLineNumbers w:val="0"/>
              <w:spacing w:before="40" w:beforeAutospacing="0" w:after="40" w:afterAutospacing="0"/>
              <w:ind w:left="0" w:right="0"/>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验收要求</w:t>
            </w:r>
          </w:p>
        </w:tc>
      </w:tr>
      <w:tr w14:paraId="7D6AFF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jc w:val="center"/>
        </w:trPr>
        <w:tc>
          <w:tcPr>
            <w:tcW w:w="256" w:type="pc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6A91E02D">
            <w:pPr>
              <w:pStyle w:val="40"/>
              <w:keepNext w:val="0"/>
              <w:keepLines w:val="0"/>
              <w:widowControl/>
              <w:suppressLineNumbers w:val="0"/>
              <w:spacing w:before="30" w:beforeAutospacing="0" w:after="30" w:afterAutospacing="0"/>
              <w:ind w:left="0" w:right="0"/>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陆生</w:t>
            </w:r>
          </w:p>
          <w:p w14:paraId="349D0CB6">
            <w:pPr>
              <w:pStyle w:val="40"/>
              <w:keepNext w:val="0"/>
              <w:keepLines w:val="0"/>
              <w:widowControl/>
              <w:suppressLineNumbers w:val="0"/>
              <w:spacing w:before="30" w:beforeAutospacing="0" w:after="30" w:afterAutospacing="0"/>
              <w:ind w:left="0" w:right="0"/>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生态</w:t>
            </w:r>
          </w:p>
        </w:tc>
        <w:tc>
          <w:tcPr>
            <w:tcW w:w="1801" w:type="pc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603A0933">
            <w:pPr>
              <w:pStyle w:val="40"/>
              <w:keepNext w:val="0"/>
              <w:keepLines w:val="0"/>
              <w:widowControl/>
              <w:suppressLineNumbers w:val="0"/>
              <w:spacing w:before="30" w:beforeAutospacing="0" w:after="30" w:afterAutospacing="0"/>
              <w:ind w:left="0" w:right="0"/>
              <w:jc w:val="both"/>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①施工活动限定在站区围墙及进站道路范围内，不得越界扰动；②表土剥离后集中堆存、苫盖挡护，后期用于站区绿化覆土；③施工期采取拦挡、苫盖、洒水措施，6级以上大风停止土方作业；④施工结束对非硬化区域平整、覆土或碎石覆盖；⑤严禁捕杀野生动物、砍挖固沙植物。</w:t>
            </w:r>
          </w:p>
        </w:tc>
        <w:tc>
          <w:tcPr>
            <w:tcW w:w="804" w:type="pc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33FEBFE8">
            <w:pPr>
              <w:pStyle w:val="40"/>
              <w:keepNext w:val="0"/>
              <w:keepLines w:val="0"/>
              <w:widowControl/>
              <w:suppressLineNumbers w:val="0"/>
              <w:spacing w:before="30" w:beforeAutospacing="0" w:after="30" w:afterAutospacing="0"/>
              <w:ind w:left="0" w:right="0"/>
              <w:jc w:val="both"/>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无越界扰动；场地平整、覆土或碎石覆盖到位。</w:t>
            </w:r>
          </w:p>
        </w:tc>
        <w:tc>
          <w:tcPr>
            <w:tcW w:w="1266" w:type="pc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0757CE7F">
            <w:pPr>
              <w:pStyle w:val="40"/>
              <w:keepNext w:val="0"/>
              <w:keepLines w:val="0"/>
              <w:widowControl/>
              <w:suppressLineNumbers w:val="0"/>
              <w:spacing w:before="30" w:beforeAutospacing="0" w:after="30" w:afterAutospacing="0"/>
              <w:ind w:left="0" w:right="0"/>
              <w:jc w:val="both"/>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①可绿化区域种植本地耐旱、抗风沙草灌木，不引种外来物种；②设置野生动植物保护宣传牌；③人员车辆限定在站区及进站道路内活动，站外植被破坏及时恢复。</w:t>
            </w:r>
          </w:p>
        </w:tc>
        <w:tc>
          <w:tcPr>
            <w:tcW w:w="871" w:type="pc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556F4D53">
            <w:pPr>
              <w:pStyle w:val="40"/>
              <w:keepNext w:val="0"/>
              <w:keepLines w:val="0"/>
              <w:widowControl/>
              <w:suppressLineNumbers w:val="0"/>
              <w:spacing w:before="30" w:beforeAutospacing="0" w:after="30" w:afterAutospacing="0"/>
              <w:ind w:left="0" w:right="0"/>
              <w:jc w:val="both"/>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植被恢复达到要求，无越界扰动、碾压植被现象。</w:t>
            </w:r>
          </w:p>
        </w:tc>
      </w:tr>
      <w:tr w14:paraId="3A369E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jc w:val="center"/>
        </w:trPr>
        <w:tc>
          <w:tcPr>
            <w:tcW w:w="256" w:type="pc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159907ED">
            <w:pPr>
              <w:pStyle w:val="40"/>
              <w:keepNext w:val="0"/>
              <w:keepLines w:val="0"/>
              <w:widowControl/>
              <w:suppressLineNumbers w:val="0"/>
              <w:spacing w:before="30" w:beforeAutospacing="0" w:after="30" w:afterAutospacing="0"/>
              <w:ind w:left="0" w:right="0"/>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水生</w:t>
            </w:r>
          </w:p>
          <w:p w14:paraId="121C9ACB">
            <w:pPr>
              <w:pStyle w:val="40"/>
              <w:keepNext w:val="0"/>
              <w:keepLines w:val="0"/>
              <w:widowControl/>
              <w:suppressLineNumbers w:val="0"/>
              <w:spacing w:before="30" w:beforeAutospacing="0" w:after="30" w:afterAutospacing="0"/>
              <w:ind w:left="0" w:right="0"/>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生态</w:t>
            </w:r>
          </w:p>
        </w:tc>
        <w:tc>
          <w:tcPr>
            <w:tcW w:w="1801" w:type="pc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65CFF5CF">
            <w:pPr>
              <w:pStyle w:val="40"/>
              <w:keepNext w:val="0"/>
              <w:keepLines w:val="0"/>
              <w:widowControl/>
              <w:suppressLineNumbers w:val="0"/>
              <w:spacing w:before="30" w:beforeAutospacing="0" w:after="30" w:afterAutospacing="0"/>
              <w:ind w:left="0" w:right="0"/>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w:t>
            </w:r>
          </w:p>
        </w:tc>
        <w:tc>
          <w:tcPr>
            <w:tcW w:w="804" w:type="pc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4EC5BCBB">
            <w:pPr>
              <w:pStyle w:val="40"/>
              <w:keepNext w:val="0"/>
              <w:keepLines w:val="0"/>
              <w:widowControl/>
              <w:suppressLineNumbers w:val="0"/>
              <w:spacing w:before="30" w:beforeAutospacing="0" w:after="30" w:afterAutospacing="0"/>
              <w:ind w:left="0" w:right="0"/>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w:t>
            </w:r>
          </w:p>
        </w:tc>
        <w:tc>
          <w:tcPr>
            <w:tcW w:w="1266" w:type="pc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7FAFD7BF">
            <w:pPr>
              <w:pStyle w:val="40"/>
              <w:keepNext w:val="0"/>
              <w:keepLines w:val="0"/>
              <w:widowControl/>
              <w:suppressLineNumbers w:val="0"/>
              <w:spacing w:before="30" w:beforeAutospacing="0" w:after="30" w:afterAutospacing="0"/>
              <w:ind w:left="0" w:right="0"/>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w:t>
            </w:r>
          </w:p>
        </w:tc>
        <w:tc>
          <w:tcPr>
            <w:tcW w:w="871" w:type="pc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1B4F5BAF">
            <w:pPr>
              <w:pStyle w:val="40"/>
              <w:keepNext w:val="0"/>
              <w:keepLines w:val="0"/>
              <w:widowControl/>
              <w:suppressLineNumbers w:val="0"/>
              <w:spacing w:before="30" w:beforeAutospacing="0" w:after="30" w:afterAutospacing="0"/>
              <w:ind w:left="0" w:right="0"/>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w:t>
            </w:r>
          </w:p>
        </w:tc>
      </w:tr>
      <w:tr w14:paraId="116715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jc w:val="center"/>
        </w:trPr>
        <w:tc>
          <w:tcPr>
            <w:tcW w:w="256" w:type="pc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28907D6F">
            <w:pPr>
              <w:pStyle w:val="40"/>
              <w:keepNext w:val="0"/>
              <w:keepLines w:val="0"/>
              <w:widowControl/>
              <w:suppressLineNumbers w:val="0"/>
              <w:spacing w:before="30" w:beforeAutospacing="0" w:after="30" w:afterAutospacing="0"/>
              <w:ind w:left="0" w:right="0"/>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地表水</w:t>
            </w:r>
          </w:p>
          <w:p w14:paraId="33CCAA0C">
            <w:pPr>
              <w:pStyle w:val="40"/>
              <w:keepNext w:val="0"/>
              <w:keepLines w:val="0"/>
              <w:widowControl/>
              <w:suppressLineNumbers w:val="0"/>
              <w:spacing w:before="30" w:beforeAutospacing="0" w:after="30" w:afterAutospacing="0"/>
              <w:ind w:left="0" w:right="0"/>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环境</w:t>
            </w:r>
          </w:p>
        </w:tc>
        <w:tc>
          <w:tcPr>
            <w:tcW w:w="1801" w:type="pc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4760490A">
            <w:pPr>
              <w:pStyle w:val="40"/>
              <w:keepNext w:val="0"/>
              <w:keepLines w:val="0"/>
              <w:widowControl/>
              <w:suppressLineNumbers w:val="0"/>
              <w:spacing w:before="30" w:beforeAutospacing="0" w:after="30" w:afterAutospacing="0"/>
              <w:ind w:left="0" w:right="0"/>
              <w:jc w:val="both"/>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①车辆冲洗废水经沉淀池处理后回用；②施工人员生活污水经临时防渗化粪池收集、定期清运，不外排；③不得从周边地表水体取水。</w:t>
            </w:r>
          </w:p>
        </w:tc>
        <w:tc>
          <w:tcPr>
            <w:tcW w:w="804" w:type="pc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7455B535">
            <w:pPr>
              <w:pStyle w:val="40"/>
              <w:keepNext w:val="0"/>
              <w:keepLines w:val="0"/>
              <w:widowControl/>
              <w:suppressLineNumbers w:val="0"/>
              <w:spacing w:before="30" w:beforeAutospacing="0" w:after="30" w:afterAutospacing="0"/>
              <w:ind w:left="0" w:right="0"/>
              <w:jc w:val="both"/>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施工废水回用、生活污水不外排。</w:t>
            </w:r>
          </w:p>
        </w:tc>
        <w:tc>
          <w:tcPr>
            <w:tcW w:w="1266" w:type="pc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1B78CC04">
            <w:pPr>
              <w:pStyle w:val="40"/>
              <w:keepNext w:val="0"/>
              <w:keepLines w:val="0"/>
              <w:widowControl/>
              <w:suppressLineNumbers w:val="0"/>
              <w:spacing w:before="30" w:beforeAutospacing="0" w:after="30" w:afterAutospacing="0"/>
              <w:ind w:left="0" w:right="0"/>
              <w:jc w:val="both"/>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①站内无生产废水（主变自冷、无循环水，GIS及开关柜均无油）；②</w:t>
            </w:r>
            <w:r>
              <w:rPr>
                <w:rFonts w:hint="default" w:ascii="Times New Roman" w:hAnsi="Times New Roman" w:eastAsia="宋体" w:cs="Times New Roman"/>
                <w:b w:val="0"/>
                <w:bCs w:val="0"/>
                <w:i w:val="0"/>
                <w:iCs w:val="0"/>
                <w:color w:val="000000"/>
                <w:spacing w:val="0"/>
                <w:w w:val="100"/>
                <w:sz w:val="21"/>
                <w:szCs w:val="21"/>
                <w:vertAlign w:val="baseline"/>
                <w:lang w:val="en-US" w:eastAsia="zh-CN"/>
              </w:rPr>
              <w:t>少量生活污水经化粪池预处理后接入厂区污水管网，送产业园（一期）厂区自建污水处理站集中处理，处理达标后排入园区污水管网，最终进入尉犁工业园区工业污水处理厂深度处理</w:t>
            </w:r>
            <w:r>
              <w:rPr>
                <w:rFonts w:hint="default" w:ascii="Times New Roman" w:hAnsi="Times New Roman" w:eastAsia="宋体" w:cs="Times New Roman"/>
                <w:b w:val="0"/>
                <w:bCs w:val="0"/>
                <w:i w:val="0"/>
                <w:iCs w:val="0"/>
                <w:color w:val="000000"/>
                <w:spacing w:val="0"/>
                <w:w w:val="100"/>
                <w:sz w:val="21"/>
                <w:szCs w:val="21"/>
                <w:vertAlign w:val="baseline"/>
              </w:rPr>
              <w:t>，不直接外排；③事故排油经事故油池（30m³、油水分离）收集，含油污水</w:t>
            </w:r>
            <w:r>
              <w:rPr>
                <w:rFonts w:hint="default" w:ascii="Times New Roman" w:hAnsi="Times New Roman" w:cs="Times New Roman"/>
                <w:b w:val="0"/>
                <w:bCs w:val="0"/>
                <w:i w:val="0"/>
                <w:iCs w:val="0"/>
                <w:color w:val="000000"/>
                <w:spacing w:val="0"/>
                <w:w w:val="100"/>
                <w:sz w:val="21"/>
                <w:szCs w:val="21"/>
                <w:vertAlign w:val="baseline"/>
                <w:lang w:eastAsia="zh-CN"/>
              </w:rPr>
              <w:t>交由</w:t>
            </w:r>
            <w:r>
              <w:rPr>
                <w:rFonts w:hint="default" w:ascii="Times New Roman" w:hAnsi="Times New Roman" w:eastAsia="宋体" w:cs="Times New Roman"/>
                <w:b w:val="0"/>
                <w:bCs w:val="0"/>
                <w:i w:val="0"/>
                <w:iCs w:val="0"/>
                <w:color w:val="000000"/>
                <w:spacing w:val="0"/>
                <w:w w:val="100"/>
                <w:sz w:val="21"/>
                <w:szCs w:val="21"/>
                <w:vertAlign w:val="baseline"/>
              </w:rPr>
              <w:t>资质单位处置，池内平时空池；④雨水散排下渗，无雨水排放口。</w:t>
            </w:r>
          </w:p>
        </w:tc>
        <w:tc>
          <w:tcPr>
            <w:tcW w:w="871" w:type="pc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08F523BB">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无废水外排口。</w:t>
            </w:r>
          </w:p>
        </w:tc>
      </w:tr>
      <w:tr w14:paraId="3873B2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jc w:val="center"/>
        </w:trPr>
        <w:tc>
          <w:tcPr>
            <w:tcW w:w="256" w:type="pc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5A11157F">
            <w:pPr>
              <w:pStyle w:val="40"/>
              <w:keepNext w:val="0"/>
              <w:keepLines w:val="0"/>
              <w:widowControl/>
              <w:suppressLineNumbers w:val="0"/>
              <w:spacing w:before="30" w:beforeAutospacing="0" w:after="30" w:afterAutospacing="0"/>
              <w:ind w:left="0" w:right="0"/>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地下水</w:t>
            </w:r>
          </w:p>
          <w:p w14:paraId="1B888D47">
            <w:pPr>
              <w:pStyle w:val="40"/>
              <w:keepNext w:val="0"/>
              <w:keepLines w:val="0"/>
              <w:widowControl/>
              <w:suppressLineNumbers w:val="0"/>
              <w:spacing w:before="30" w:beforeAutospacing="0" w:after="30" w:afterAutospacing="0"/>
              <w:ind w:left="0" w:right="0"/>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及土壤</w:t>
            </w:r>
          </w:p>
        </w:tc>
        <w:tc>
          <w:tcPr>
            <w:tcW w:w="1801" w:type="pc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2CB2DCD6">
            <w:pPr>
              <w:pStyle w:val="40"/>
              <w:keepNext w:val="0"/>
              <w:keepLines w:val="0"/>
              <w:widowControl/>
              <w:suppressLineNumbers w:val="0"/>
              <w:spacing w:before="30" w:beforeAutospacing="0" w:after="30" w:afterAutospacing="0"/>
              <w:ind w:left="0" w:right="0"/>
              <w:jc w:val="both"/>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①油品存放及机械维修点设防渗托盘和围堰，禁止站内冲洗设备；②沉淀池、临时化粪池做防渗处理。</w:t>
            </w:r>
          </w:p>
        </w:tc>
        <w:tc>
          <w:tcPr>
            <w:tcW w:w="804" w:type="pc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0CFE44EF">
            <w:pPr>
              <w:pStyle w:val="40"/>
              <w:keepNext w:val="0"/>
              <w:keepLines w:val="0"/>
              <w:widowControl/>
              <w:suppressLineNumbers w:val="0"/>
              <w:spacing w:before="30" w:beforeAutospacing="0" w:after="30" w:afterAutospacing="0"/>
              <w:ind w:left="0" w:right="0"/>
              <w:jc w:val="both"/>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无油品渗漏、无土壤污染事件。</w:t>
            </w:r>
          </w:p>
        </w:tc>
        <w:tc>
          <w:tcPr>
            <w:tcW w:w="1266" w:type="pc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532DEDD1">
            <w:pPr>
              <w:pStyle w:val="40"/>
              <w:keepNext w:val="0"/>
              <w:keepLines w:val="0"/>
              <w:widowControl/>
              <w:suppressLineNumbers w:val="0"/>
              <w:spacing w:before="30" w:beforeAutospacing="0" w:after="30" w:afterAutospacing="0"/>
              <w:ind w:left="0" w:right="0"/>
              <w:jc w:val="both"/>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①事故油池、化粪池、危废收集容器按重点防渗区设计，采用P10抗渗混凝土加防水卷材及防水砂浆，强腐蚀段外壁涂环氧沥青；②危废装密闭容器送厂区危废暂存间，站内不单独设置；③建立防渗设施检查维护制度。</w:t>
            </w:r>
          </w:p>
        </w:tc>
        <w:tc>
          <w:tcPr>
            <w:tcW w:w="871" w:type="pc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37E4B072">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渗透系数不大于1×10</w:t>
            </w:r>
            <w:r>
              <w:rPr>
                <w:rFonts w:hint="default" w:ascii="Times New Roman" w:hAnsi="Times New Roman" w:eastAsia="宋体" w:cs="Times New Roman"/>
                <w:b w:val="0"/>
                <w:bCs w:val="0"/>
                <w:i w:val="0"/>
                <w:iCs w:val="0"/>
                <w:color w:val="000000"/>
                <w:spacing w:val="0"/>
                <w:w w:val="100"/>
                <w:sz w:val="21"/>
                <w:szCs w:val="21"/>
                <w:vertAlign w:val="superscript"/>
                <w:lang w:val="en-US" w:eastAsia="zh-CN"/>
              </w:rPr>
              <w:t>-10</w:t>
            </w:r>
            <w:r>
              <w:rPr>
                <w:rFonts w:hint="default" w:ascii="Times New Roman" w:hAnsi="Times New Roman" w:eastAsia="宋体" w:cs="Times New Roman"/>
                <w:b w:val="0"/>
                <w:bCs w:val="0"/>
                <w:i w:val="0"/>
                <w:iCs w:val="0"/>
                <w:color w:val="000000"/>
                <w:spacing w:val="0"/>
                <w:w w:val="100"/>
                <w:sz w:val="21"/>
                <w:szCs w:val="21"/>
                <w:vertAlign w:val="baseline"/>
              </w:rPr>
              <w:t>cm/s；隐蔽验收记录、材料合格证齐全。</w:t>
            </w:r>
          </w:p>
        </w:tc>
      </w:tr>
      <w:tr w14:paraId="4DA1B0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jc w:val="center"/>
        </w:trPr>
        <w:tc>
          <w:tcPr>
            <w:tcW w:w="256" w:type="pc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568B41BE">
            <w:pPr>
              <w:pStyle w:val="40"/>
              <w:keepNext w:val="0"/>
              <w:keepLines w:val="0"/>
              <w:widowControl/>
              <w:suppressLineNumbers w:val="0"/>
              <w:spacing w:before="30" w:beforeAutospacing="0" w:after="30" w:afterAutospacing="0"/>
              <w:ind w:left="0" w:right="0"/>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声环境</w:t>
            </w:r>
          </w:p>
        </w:tc>
        <w:tc>
          <w:tcPr>
            <w:tcW w:w="1801" w:type="pc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216D6C1F">
            <w:pPr>
              <w:pStyle w:val="40"/>
              <w:keepNext w:val="0"/>
              <w:keepLines w:val="0"/>
              <w:widowControl/>
              <w:suppressLineNumbers w:val="0"/>
              <w:spacing w:before="30" w:beforeAutospacing="0" w:after="30" w:afterAutospacing="0"/>
              <w:ind w:left="0" w:right="0"/>
              <w:jc w:val="both"/>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①选用符合国家标准的机械并定期保养；②合理安排施工时间，禁止夜间高噪声作业；③现场</w:t>
            </w:r>
            <w:r>
              <w:rPr>
                <w:rFonts w:hint="default" w:ascii="Times New Roman" w:hAnsi="Times New Roman" w:cs="Times New Roman"/>
                <w:b w:val="0"/>
                <w:bCs w:val="0"/>
                <w:i w:val="0"/>
                <w:iCs w:val="0"/>
                <w:color w:val="000000"/>
                <w:spacing w:val="0"/>
                <w:w w:val="100"/>
                <w:sz w:val="21"/>
                <w:szCs w:val="21"/>
                <w:vertAlign w:val="baseline"/>
                <w:lang w:eastAsia="zh-CN"/>
              </w:rPr>
              <w:t>设置</w:t>
            </w:r>
            <w:r>
              <w:rPr>
                <w:rFonts w:hint="default" w:ascii="Times New Roman" w:hAnsi="Times New Roman" w:eastAsia="宋体" w:cs="Times New Roman"/>
                <w:b w:val="0"/>
                <w:bCs w:val="0"/>
                <w:i w:val="0"/>
                <w:iCs w:val="0"/>
                <w:color w:val="000000"/>
                <w:spacing w:val="0"/>
                <w:w w:val="100"/>
                <w:sz w:val="21"/>
                <w:szCs w:val="21"/>
                <w:vertAlign w:val="baseline"/>
              </w:rPr>
              <w:t>围挡，文明施工。</w:t>
            </w:r>
          </w:p>
        </w:tc>
        <w:tc>
          <w:tcPr>
            <w:tcW w:w="804" w:type="pc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494B396E">
            <w:pPr>
              <w:pStyle w:val="40"/>
              <w:keepNext w:val="0"/>
              <w:keepLines w:val="0"/>
              <w:widowControl/>
              <w:suppressLineNumbers w:val="0"/>
              <w:spacing w:before="30" w:beforeAutospacing="0" w:after="30" w:afterAutospacing="0"/>
              <w:ind w:left="0" w:right="0"/>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《建筑施工噪声排放标准》（GB12523</w:t>
            </w:r>
            <w:r>
              <w:rPr>
                <w:rFonts w:hint="default" w:ascii="Times New Roman" w:hAnsi="Times New Roman" w:eastAsia="宋体" w:cs="Times New Roman"/>
                <w:b w:val="0"/>
                <w:bCs w:val="0"/>
                <w:i w:val="0"/>
                <w:iCs w:val="0"/>
                <w:color w:val="000000"/>
                <w:spacing w:val="0"/>
                <w:w w:val="100"/>
                <w:sz w:val="21"/>
                <w:szCs w:val="21"/>
                <w:vertAlign w:val="baseline"/>
                <w:lang w:val="en-US" w:eastAsia="zh-CN"/>
              </w:rPr>
              <w:t>-</w:t>
            </w:r>
            <w:r>
              <w:rPr>
                <w:rFonts w:hint="default" w:ascii="Times New Roman" w:hAnsi="Times New Roman" w:eastAsia="宋体" w:cs="Times New Roman"/>
                <w:b w:val="0"/>
                <w:bCs w:val="0"/>
                <w:i w:val="0"/>
                <w:iCs w:val="0"/>
                <w:color w:val="000000"/>
                <w:spacing w:val="0"/>
                <w:w w:val="100"/>
                <w:sz w:val="21"/>
                <w:szCs w:val="21"/>
                <w:vertAlign w:val="baseline"/>
              </w:rPr>
              <w:t>2025）。</w:t>
            </w:r>
          </w:p>
        </w:tc>
        <w:tc>
          <w:tcPr>
            <w:tcW w:w="1266" w:type="pc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16CFDF17">
            <w:pPr>
              <w:pStyle w:val="40"/>
              <w:keepNext w:val="0"/>
              <w:keepLines w:val="0"/>
              <w:widowControl/>
              <w:suppressLineNumbers w:val="0"/>
              <w:spacing w:before="30" w:beforeAutospacing="0" w:after="30" w:afterAutospacing="0"/>
              <w:ind w:left="0" w:right="0"/>
              <w:jc w:val="both"/>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①主变采购声压级不大于65dB(A)（距源1m），风机选低噪声机型、风口设消声弯头并软连接减振；②GIS、开关柜、电容器及站用变户内布置，主变距</w:t>
            </w:r>
            <w:r>
              <w:rPr>
                <w:rFonts w:hint="eastAsia" w:ascii="Times New Roman" w:hAnsi="Times New Roman" w:cs="Times New Roman"/>
                <w:b w:val="0"/>
                <w:bCs w:val="0"/>
                <w:i w:val="0"/>
                <w:iCs w:val="0"/>
                <w:color w:val="000000"/>
                <w:spacing w:val="0"/>
                <w:w w:val="100"/>
                <w:sz w:val="21"/>
                <w:szCs w:val="21"/>
                <w:vertAlign w:val="baseline"/>
                <w:lang w:eastAsia="zh-CN"/>
              </w:rPr>
              <w:t>变电站站界</w:t>
            </w:r>
            <w:r>
              <w:rPr>
                <w:rFonts w:hint="default" w:ascii="Times New Roman" w:hAnsi="Times New Roman" w:eastAsia="宋体" w:cs="Times New Roman"/>
                <w:b w:val="0"/>
                <w:bCs w:val="0"/>
                <w:i w:val="0"/>
                <w:iCs w:val="0"/>
                <w:color w:val="000000"/>
                <w:spacing w:val="0"/>
                <w:w w:val="100"/>
                <w:sz w:val="21"/>
                <w:szCs w:val="21"/>
                <w:vertAlign w:val="baseline"/>
              </w:rPr>
              <w:t>不小于10m，站区设2.5m高围墙、空地绿化降噪；③加强维护，防止故障噪声。</w:t>
            </w:r>
          </w:p>
        </w:tc>
        <w:tc>
          <w:tcPr>
            <w:tcW w:w="871" w:type="pc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1E4D1A6A">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GB12348</w:t>
            </w:r>
            <w:r>
              <w:rPr>
                <w:rFonts w:hint="default" w:ascii="Times New Roman" w:hAnsi="Times New Roman" w:eastAsia="宋体" w:cs="Times New Roman"/>
                <w:b w:val="0"/>
                <w:bCs w:val="0"/>
                <w:i w:val="0"/>
                <w:iCs w:val="0"/>
                <w:color w:val="000000"/>
                <w:spacing w:val="0"/>
                <w:w w:val="100"/>
                <w:sz w:val="21"/>
                <w:szCs w:val="21"/>
                <w:vertAlign w:val="baseline"/>
                <w:lang w:val="en-US" w:eastAsia="zh-CN"/>
              </w:rPr>
              <w:t>-</w:t>
            </w:r>
            <w:r>
              <w:rPr>
                <w:rFonts w:hint="default" w:ascii="Times New Roman" w:hAnsi="Times New Roman" w:eastAsia="宋体" w:cs="Times New Roman"/>
                <w:b w:val="0"/>
                <w:bCs w:val="0"/>
                <w:i w:val="0"/>
                <w:iCs w:val="0"/>
                <w:color w:val="000000"/>
                <w:spacing w:val="0"/>
                <w:w w:val="100"/>
                <w:sz w:val="21"/>
                <w:szCs w:val="21"/>
                <w:vertAlign w:val="baseline"/>
              </w:rPr>
              <w:t>2008 3类标准（昼65、夜55dB(A)）。</w:t>
            </w:r>
          </w:p>
        </w:tc>
      </w:tr>
      <w:tr w14:paraId="1D9CA9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jc w:val="center"/>
        </w:trPr>
        <w:tc>
          <w:tcPr>
            <w:tcW w:w="256" w:type="pc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25B7A9E3">
            <w:pPr>
              <w:pStyle w:val="40"/>
              <w:keepNext w:val="0"/>
              <w:keepLines w:val="0"/>
              <w:widowControl/>
              <w:suppressLineNumbers w:val="0"/>
              <w:spacing w:before="30" w:beforeAutospacing="0" w:after="30" w:afterAutospacing="0"/>
              <w:ind w:left="0" w:right="0"/>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振动</w:t>
            </w:r>
          </w:p>
        </w:tc>
        <w:tc>
          <w:tcPr>
            <w:tcW w:w="1801" w:type="pc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094F8E96">
            <w:pPr>
              <w:pStyle w:val="40"/>
              <w:keepNext w:val="0"/>
              <w:keepLines w:val="0"/>
              <w:widowControl/>
              <w:suppressLineNumbers w:val="0"/>
              <w:spacing w:before="30" w:beforeAutospacing="0" w:after="30" w:afterAutospacing="0"/>
              <w:ind w:left="0" w:right="0"/>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w:t>
            </w:r>
          </w:p>
        </w:tc>
        <w:tc>
          <w:tcPr>
            <w:tcW w:w="804" w:type="pc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5E8B6370">
            <w:pPr>
              <w:pStyle w:val="40"/>
              <w:keepNext w:val="0"/>
              <w:keepLines w:val="0"/>
              <w:widowControl/>
              <w:suppressLineNumbers w:val="0"/>
              <w:spacing w:before="30" w:beforeAutospacing="0" w:after="30" w:afterAutospacing="0"/>
              <w:ind w:left="0" w:right="0"/>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w:t>
            </w:r>
          </w:p>
        </w:tc>
        <w:tc>
          <w:tcPr>
            <w:tcW w:w="1266" w:type="pc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2A4DEEC5">
            <w:pPr>
              <w:pStyle w:val="40"/>
              <w:keepNext w:val="0"/>
              <w:keepLines w:val="0"/>
              <w:widowControl/>
              <w:suppressLineNumbers w:val="0"/>
              <w:spacing w:before="30" w:beforeAutospacing="0" w:after="30" w:afterAutospacing="0"/>
              <w:ind w:left="0" w:right="0"/>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w:t>
            </w:r>
          </w:p>
        </w:tc>
        <w:tc>
          <w:tcPr>
            <w:tcW w:w="871" w:type="pc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38D8849B">
            <w:pPr>
              <w:pStyle w:val="40"/>
              <w:keepNext w:val="0"/>
              <w:keepLines w:val="0"/>
              <w:widowControl/>
              <w:suppressLineNumbers w:val="0"/>
              <w:spacing w:before="30" w:beforeAutospacing="0" w:after="30" w:afterAutospacing="0"/>
              <w:ind w:left="0" w:right="0"/>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w:t>
            </w:r>
          </w:p>
        </w:tc>
      </w:tr>
      <w:tr w14:paraId="567D27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jc w:val="center"/>
        </w:trPr>
        <w:tc>
          <w:tcPr>
            <w:tcW w:w="256" w:type="pc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78E40AA1">
            <w:pPr>
              <w:pStyle w:val="40"/>
              <w:keepNext w:val="0"/>
              <w:keepLines w:val="0"/>
              <w:widowControl/>
              <w:suppressLineNumbers w:val="0"/>
              <w:spacing w:before="30" w:beforeAutospacing="0" w:after="30" w:afterAutospacing="0"/>
              <w:ind w:left="0" w:right="0"/>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大气</w:t>
            </w:r>
          </w:p>
          <w:p w14:paraId="278F984F">
            <w:pPr>
              <w:pStyle w:val="40"/>
              <w:keepNext w:val="0"/>
              <w:keepLines w:val="0"/>
              <w:widowControl/>
              <w:suppressLineNumbers w:val="0"/>
              <w:spacing w:before="30" w:beforeAutospacing="0" w:after="30" w:afterAutospacing="0"/>
              <w:ind w:left="0" w:right="0"/>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环境</w:t>
            </w:r>
          </w:p>
        </w:tc>
        <w:tc>
          <w:tcPr>
            <w:tcW w:w="1801" w:type="pc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5B743E50">
            <w:pPr>
              <w:pStyle w:val="40"/>
              <w:keepNext w:val="0"/>
              <w:keepLines w:val="0"/>
              <w:widowControl/>
              <w:suppressLineNumbers w:val="0"/>
              <w:spacing w:before="30" w:beforeAutospacing="0" w:after="30" w:afterAutospacing="0"/>
              <w:ind w:left="0" w:right="0"/>
              <w:jc w:val="both"/>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土方堆放遮盖、设围挡并定期洒水；裸露地面覆盖防尘网；运输车辆密闭；机械车辆使用标准柴油；焊接使用环保焊条。</w:t>
            </w:r>
          </w:p>
        </w:tc>
        <w:tc>
          <w:tcPr>
            <w:tcW w:w="804" w:type="pc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74AE0E6F">
            <w:pPr>
              <w:pStyle w:val="40"/>
              <w:keepNext w:val="0"/>
              <w:keepLines w:val="0"/>
              <w:widowControl/>
              <w:suppressLineNumbers w:val="0"/>
              <w:spacing w:before="30" w:beforeAutospacing="0" w:after="30" w:afterAutospacing="0"/>
              <w:ind w:left="0" w:right="0"/>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GB16297</w:t>
            </w:r>
            <w:r>
              <w:rPr>
                <w:rFonts w:hint="default" w:ascii="Times New Roman" w:hAnsi="Times New Roman" w:eastAsia="宋体" w:cs="Times New Roman"/>
                <w:b w:val="0"/>
                <w:bCs w:val="0"/>
                <w:i w:val="0"/>
                <w:iCs w:val="0"/>
                <w:color w:val="000000"/>
                <w:spacing w:val="0"/>
                <w:w w:val="100"/>
                <w:sz w:val="21"/>
                <w:szCs w:val="21"/>
                <w:vertAlign w:val="baseline"/>
                <w:lang w:val="en-US" w:eastAsia="zh-CN"/>
              </w:rPr>
              <w:t>-</w:t>
            </w:r>
            <w:r>
              <w:rPr>
                <w:rFonts w:hint="default" w:ascii="Times New Roman" w:hAnsi="Times New Roman" w:eastAsia="宋体" w:cs="Times New Roman"/>
                <w:b w:val="0"/>
                <w:bCs w:val="0"/>
                <w:i w:val="0"/>
                <w:iCs w:val="0"/>
                <w:color w:val="000000"/>
                <w:spacing w:val="0"/>
                <w:w w:val="100"/>
                <w:sz w:val="21"/>
                <w:szCs w:val="21"/>
                <w:vertAlign w:val="baseline"/>
              </w:rPr>
              <w:t>1996无组织排放监控浓度限值。</w:t>
            </w:r>
          </w:p>
        </w:tc>
        <w:tc>
          <w:tcPr>
            <w:tcW w:w="1266" w:type="pc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18FC4364">
            <w:pPr>
              <w:pStyle w:val="40"/>
              <w:keepNext w:val="0"/>
              <w:keepLines w:val="0"/>
              <w:widowControl/>
              <w:suppressLineNumbers w:val="0"/>
              <w:spacing w:before="30" w:beforeAutospacing="0" w:after="30" w:afterAutospacing="0"/>
              <w:ind w:left="0" w:right="0"/>
              <w:jc w:val="both"/>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无人值班，不设锅炉、食堂、宿舍和固定式柴油发电机组，采暖用电，无燃烧废气、工艺废气及油烟；GIS的SF6密闭于气室，检修时厂家回收；GIS室设SF6泄漏监测并与机械排风联锁。</w:t>
            </w:r>
          </w:p>
        </w:tc>
        <w:tc>
          <w:tcPr>
            <w:tcW w:w="871" w:type="pc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27200639">
            <w:pPr>
              <w:pStyle w:val="40"/>
              <w:keepNext w:val="0"/>
              <w:keepLines w:val="0"/>
              <w:widowControl/>
              <w:suppressLineNumbers w:val="0"/>
              <w:spacing w:before="30" w:beforeAutospacing="0" w:after="30" w:afterAutospacing="0"/>
              <w:ind w:left="0" w:right="0"/>
              <w:jc w:val="both"/>
              <w:rPr>
                <w:rFonts w:hint="default" w:ascii="Times New Roman" w:hAnsi="Times New Roman" w:eastAsia="宋体" w:cs="Times New Roman"/>
                <w:b w:val="0"/>
                <w:bCs w:val="0"/>
                <w:sz w:val="21"/>
                <w:szCs w:val="21"/>
              </w:rPr>
            </w:pPr>
            <w:r>
              <w:rPr>
                <w:rFonts w:hint="eastAsia" w:ascii="Times New Roman" w:hAnsi="Times New Roman" w:cs="Times New Roman"/>
                <w:b w:val="0"/>
                <w:bCs w:val="0"/>
                <w:i w:val="0"/>
                <w:iCs w:val="0"/>
                <w:color w:val="000000"/>
                <w:spacing w:val="0"/>
                <w:w w:val="100"/>
                <w:sz w:val="21"/>
                <w:szCs w:val="21"/>
                <w:vertAlign w:val="baseline"/>
                <w:lang w:eastAsia="zh-CN"/>
              </w:rPr>
              <w:t>变电站站界</w:t>
            </w:r>
            <w:r>
              <w:rPr>
                <w:rFonts w:hint="default" w:ascii="Times New Roman" w:hAnsi="Times New Roman" w:eastAsia="宋体" w:cs="Times New Roman"/>
                <w:b w:val="0"/>
                <w:bCs w:val="0"/>
                <w:i w:val="0"/>
                <w:iCs w:val="0"/>
                <w:color w:val="000000"/>
                <w:spacing w:val="0"/>
                <w:w w:val="100"/>
                <w:sz w:val="21"/>
                <w:szCs w:val="21"/>
                <w:vertAlign w:val="baseline"/>
              </w:rPr>
              <w:t>无组织排放满足GB16297</w:t>
            </w:r>
            <w:r>
              <w:rPr>
                <w:rFonts w:hint="default" w:ascii="Times New Roman" w:hAnsi="Times New Roman" w:eastAsia="宋体" w:cs="Times New Roman"/>
                <w:b w:val="0"/>
                <w:bCs w:val="0"/>
                <w:i w:val="0"/>
                <w:iCs w:val="0"/>
                <w:color w:val="000000"/>
                <w:spacing w:val="0"/>
                <w:w w:val="100"/>
                <w:sz w:val="21"/>
                <w:szCs w:val="21"/>
                <w:vertAlign w:val="baseline"/>
                <w:lang w:val="en-US" w:eastAsia="zh-CN"/>
              </w:rPr>
              <w:t>-</w:t>
            </w:r>
            <w:r>
              <w:rPr>
                <w:rFonts w:hint="default" w:ascii="Times New Roman" w:hAnsi="Times New Roman" w:eastAsia="宋体" w:cs="Times New Roman"/>
                <w:b w:val="0"/>
                <w:bCs w:val="0"/>
                <w:i w:val="0"/>
                <w:iCs w:val="0"/>
                <w:color w:val="000000"/>
                <w:spacing w:val="0"/>
                <w:w w:val="100"/>
                <w:sz w:val="21"/>
                <w:szCs w:val="21"/>
                <w:vertAlign w:val="baseline"/>
              </w:rPr>
              <w:t>1996限值；SF6无直接外排。</w:t>
            </w:r>
          </w:p>
        </w:tc>
      </w:tr>
      <w:tr w14:paraId="4485B6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jc w:val="center"/>
        </w:trPr>
        <w:tc>
          <w:tcPr>
            <w:tcW w:w="256" w:type="pc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1DA0C2F1">
            <w:pPr>
              <w:pStyle w:val="40"/>
              <w:keepNext w:val="0"/>
              <w:keepLines w:val="0"/>
              <w:widowControl/>
              <w:suppressLineNumbers w:val="0"/>
              <w:spacing w:before="30" w:beforeAutospacing="0" w:after="30" w:afterAutospacing="0"/>
              <w:ind w:left="0" w:right="0"/>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固体</w:t>
            </w:r>
          </w:p>
          <w:p w14:paraId="2D97C7DB">
            <w:pPr>
              <w:pStyle w:val="40"/>
              <w:keepNext w:val="0"/>
              <w:keepLines w:val="0"/>
              <w:widowControl/>
              <w:suppressLineNumbers w:val="0"/>
              <w:spacing w:before="30" w:beforeAutospacing="0" w:after="30" w:afterAutospacing="0"/>
              <w:ind w:left="0" w:right="0"/>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废物</w:t>
            </w:r>
          </w:p>
        </w:tc>
        <w:tc>
          <w:tcPr>
            <w:tcW w:w="1801" w:type="pc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27CF7267">
            <w:pPr>
              <w:pStyle w:val="40"/>
              <w:keepNext w:val="0"/>
              <w:keepLines w:val="0"/>
              <w:widowControl/>
              <w:suppressLineNumbers w:val="0"/>
              <w:spacing w:before="30" w:beforeAutospacing="0" w:after="30" w:afterAutospacing="0"/>
              <w:ind w:left="0" w:right="0"/>
              <w:jc w:val="both"/>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①土方开挖洒水降尘，临时堆土遮挡；②挖方及时回填，减少水土流失；③建筑垃圾优先综合利用，其余清运至</w:t>
            </w:r>
            <w:r>
              <w:rPr>
                <w:rFonts w:hint="eastAsia" w:ascii="Times New Roman" w:hAnsi="Times New Roman" w:cs="Times New Roman"/>
                <w:b w:val="0"/>
                <w:bCs w:val="0"/>
                <w:i w:val="0"/>
                <w:iCs w:val="0"/>
                <w:color w:val="000000"/>
                <w:spacing w:val="0"/>
                <w:w w:val="100"/>
                <w:sz w:val="21"/>
                <w:szCs w:val="21"/>
                <w:vertAlign w:val="baseline"/>
                <w:lang w:eastAsia="zh-CN"/>
              </w:rPr>
              <w:t>和硕（园区）固废处置中心处置</w:t>
            </w:r>
            <w:r>
              <w:rPr>
                <w:rFonts w:hint="default" w:ascii="Times New Roman" w:hAnsi="Times New Roman" w:eastAsia="宋体" w:cs="Times New Roman"/>
                <w:b w:val="0"/>
                <w:bCs w:val="0"/>
                <w:i w:val="0"/>
                <w:iCs w:val="0"/>
                <w:color w:val="000000"/>
                <w:spacing w:val="0"/>
                <w:w w:val="100"/>
                <w:sz w:val="21"/>
                <w:szCs w:val="21"/>
                <w:vertAlign w:val="baseline"/>
              </w:rPr>
              <w:t>；④生活垃圾收集后清运至尉犁县生活垃圾填埋场。</w:t>
            </w:r>
          </w:p>
        </w:tc>
        <w:tc>
          <w:tcPr>
            <w:tcW w:w="804" w:type="pc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22724298">
            <w:pPr>
              <w:pStyle w:val="40"/>
              <w:keepNext w:val="0"/>
              <w:keepLines w:val="0"/>
              <w:widowControl/>
              <w:suppressLineNumbers w:val="0"/>
              <w:spacing w:before="30" w:beforeAutospacing="0" w:after="30" w:afterAutospacing="0"/>
              <w:ind w:left="0" w:right="0"/>
              <w:jc w:val="both"/>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分类收集、妥善处置，无随意倾倒遗撒。</w:t>
            </w:r>
          </w:p>
        </w:tc>
        <w:tc>
          <w:tcPr>
            <w:tcW w:w="1266" w:type="pc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2872C089">
            <w:pPr>
              <w:pStyle w:val="40"/>
              <w:keepNext w:val="0"/>
              <w:keepLines w:val="0"/>
              <w:widowControl/>
              <w:suppressLineNumbers w:val="0"/>
              <w:spacing w:before="30" w:beforeAutospacing="0" w:after="30" w:afterAutospacing="0"/>
              <w:ind w:left="0" w:right="0"/>
              <w:jc w:val="both"/>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①事故及检修排油经事故油池收集后交有资质单位抽运；②废铅蓄电池（HW31）、废润滑油（HW08）、废油桶及含油抹布（HW49）分类装密闭容器，送厂区危废暂存间暂存，由建设单位统一委托处置；③站内不单独设危废暂存间，无污水处理设施、无污泥；④生活垃圾由环卫</w:t>
            </w:r>
            <w:r>
              <w:rPr>
                <w:rFonts w:hint="default" w:ascii="Times New Roman" w:hAnsi="Times New Roman" w:eastAsia="宋体" w:cs="Times New Roman"/>
                <w:b w:val="0"/>
                <w:bCs w:val="0"/>
                <w:i w:val="0"/>
                <w:iCs w:val="0"/>
                <w:color w:val="000000"/>
                <w:spacing w:val="0"/>
                <w:w w:val="100"/>
                <w:sz w:val="21"/>
                <w:szCs w:val="21"/>
                <w:vertAlign w:val="baseline"/>
                <w:lang w:val="en-US" w:eastAsia="zh-CN"/>
              </w:rPr>
              <w:t>定期</w:t>
            </w:r>
            <w:r>
              <w:rPr>
                <w:rFonts w:hint="default" w:ascii="Times New Roman" w:hAnsi="Times New Roman" w:eastAsia="宋体" w:cs="Times New Roman"/>
                <w:b w:val="0"/>
                <w:bCs w:val="0"/>
                <w:i w:val="0"/>
                <w:iCs w:val="0"/>
                <w:color w:val="000000"/>
                <w:spacing w:val="0"/>
                <w:w w:val="100"/>
                <w:sz w:val="21"/>
                <w:szCs w:val="21"/>
                <w:vertAlign w:val="baseline"/>
              </w:rPr>
              <w:t>清运。</w:t>
            </w:r>
          </w:p>
        </w:tc>
        <w:tc>
          <w:tcPr>
            <w:tcW w:w="871" w:type="pc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714BF89E">
            <w:pPr>
              <w:pStyle w:val="40"/>
              <w:keepNext w:val="0"/>
              <w:keepLines w:val="0"/>
              <w:widowControl/>
              <w:suppressLineNumbers w:val="0"/>
              <w:spacing w:before="30" w:beforeAutospacing="0" w:after="30" w:afterAutospacing="0"/>
              <w:ind w:left="0" w:right="0"/>
              <w:jc w:val="both"/>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GB18599</w:t>
            </w:r>
            <w:r>
              <w:rPr>
                <w:rFonts w:hint="default" w:ascii="Times New Roman" w:hAnsi="Times New Roman" w:eastAsia="宋体" w:cs="Times New Roman"/>
                <w:b w:val="0"/>
                <w:bCs w:val="0"/>
                <w:i w:val="0"/>
                <w:iCs w:val="0"/>
                <w:color w:val="000000"/>
                <w:spacing w:val="0"/>
                <w:w w:val="100"/>
                <w:sz w:val="21"/>
                <w:szCs w:val="21"/>
                <w:vertAlign w:val="baseline"/>
                <w:lang w:val="en-US" w:eastAsia="zh-CN"/>
              </w:rPr>
              <w:t>-</w:t>
            </w:r>
            <w:r>
              <w:rPr>
                <w:rFonts w:hint="default" w:ascii="Times New Roman" w:hAnsi="Times New Roman" w:eastAsia="宋体" w:cs="Times New Roman"/>
                <w:b w:val="0"/>
                <w:bCs w:val="0"/>
                <w:i w:val="0"/>
                <w:iCs w:val="0"/>
                <w:color w:val="000000"/>
                <w:spacing w:val="0"/>
                <w:w w:val="100"/>
                <w:sz w:val="21"/>
                <w:szCs w:val="21"/>
                <w:vertAlign w:val="baseline"/>
              </w:rPr>
              <w:t>2020、GB18597</w:t>
            </w:r>
            <w:r>
              <w:rPr>
                <w:rFonts w:hint="default" w:ascii="Times New Roman" w:hAnsi="Times New Roman" w:eastAsia="宋体" w:cs="Times New Roman"/>
                <w:b w:val="0"/>
                <w:bCs w:val="0"/>
                <w:i w:val="0"/>
                <w:iCs w:val="0"/>
                <w:color w:val="000000"/>
                <w:spacing w:val="0"/>
                <w:w w:val="100"/>
                <w:sz w:val="21"/>
                <w:szCs w:val="21"/>
                <w:vertAlign w:val="baseline"/>
                <w:lang w:val="en-US" w:eastAsia="zh-CN"/>
              </w:rPr>
              <w:t>-</w:t>
            </w:r>
            <w:r>
              <w:rPr>
                <w:rFonts w:hint="default" w:ascii="Times New Roman" w:hAnsi="Times New Roman" w:eastAsia="宋体" w:cs="Times New Roman"/>
                <w:b w:val="0"/>
                <w:bCs w:val="0"/>
                <w:i w:val="0"/>
                <w:iCs w:val="0"/>
                <w:color w:val="000000"/>
                <w:spacing w:val="0"/>
                <w:w w:val="100"/>
                <w:sz w:val="21"/>
                <w:szCs w:val="21"/>
                <w:vertAlign w:val="baseline"/>
              </w:rPr>
              <w:t>2023；转移联单及台账齐全。</w:t>
            </w:r>
          </w:p>
        </w:tc>
      </w:tr>
      <w:tr w14:paraId="42BF8B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jc w:val="center"/>
        </w:trPr>
        <w:tc>
          <w:tcPr>
            <w:tcW w:w="256" w:type="pc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4190B691">
            <w:pPr>
              <w:pStyle w:val="40"/>
              <w:keepNext w:val="0"/>
              <w:keepLines w:val="0"/>
              <w:widowControl/>
              <w:suppressLineNumbers w:val="0"/>
              <w:spacing w:before="30" w:beforeAutospacing="0" w:after="30" w:afterAutospacing="0"/>
              <w:ind w:left="0" w:right="0"/>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电磁</w:t>
            </w:r>
          </w:p>
          <w:p w14:paraId="13A772F1">
            <w:pPr>
              <w:pStyle w:val="40"/>
              <w:keepNext w:val="0"/>
              <w:keepLines w:val="0"/>
              <w:widowControl/>
              <w:suppressLineNumbers w:val="0"/>
              <w:spacing w:before="30" w:beforeAutospacing="0" w:after="30" w:afterAutospacing="0"/>
              <w:ind w:left="0" w:right="0"/>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环境</w:t>
            </w:r>
          </w:p>
        </w:tc>
        <w:tc>
          <w:tcPr>
            <w:tcW w:w="1801" w:type="pc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4AEF49B0">
            <w:pPr>
              <w:pStyle w:val="40"/>
              <w:keepNext w:val="0"/>
              <w:keepLines w:val="0"/>
              <w:widowControl/>
              <w:suppressLineNumbers w:val="0"/>
              <w:spacing w:before="30" w:beforeAutospacing="0" w:after="30" w:afterAutospacing="0"/>
              <w:ind w:left="0" w:right="0"/>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w:t>
            </w:r>
          </w:p>
        </w:tc>
        <w:tc>
          <w:tcPr>
            <w:tcW w:w="804" w:type="pc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1FAC74DD">
            <w:pPr>
              <w:pStyle w:val="40"/>
              <w:keepNext w:val="0"/>
              <w:keepLines w:val="0"/>
              <w:widowControl/>
              <w:suppressLineNumbers w:val="0"/>
              <w:spacing w:before="30" w:beforeAutospacing="0" w:after="30" w:afterAutospacing="0"/>
              <w:ind w:left="0" w:right="0"/>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w:t>
            </w:r>
          </w:p>
        </w:tc>
        <w:tc>
          <w:tcPr>
            <w:tcW w:w="1266" w:type="pc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39E9BC7C">
            <w:pPr>
              <w:pStyle w:val="40"/>
              <w:keepNext w:val="0"/>
              <w:keepLines w:val="0"/>
              <w:widowControl/>
              <w:suppressLineNumbers w:val="0"/>
              <w:spacing w:before="30" w:beforeAutospacing="0" w:after="30" w:afterAutospacing="0"/>
              <w:ind w:left="0" w:right="0"/>
              <w:jc w:val="both"/>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①GIS、开关柜户内布置，主变距</w:t>
            </w:r>
            <w:r>
              <w:rPr>
                <w:rFonts w:hint="eastAsia" w:ascii="Times New Roman" w:hAnsi="Times New Roman" w:cs="Times New Roman"/>
                <w:b w:val="0"/>
                <w:bCs w:val="0"/>
                <w:i w:val="0"/>
                <w:iCs w:val="0"/>
                <w:color w:val="000000"/>
                <w:spacing w:val="0"/>
                <w:w w:val="100"/>
                <w:sz w:val="21"/>
                <w:szCs w:val="21"/>
                <w:vertAlign w:val="baseline"/>
                <w:lang w:eastAsia="zh-CN"/>
              </w:rPr>
              <w:t>变电站站界</w:t>
            </w:r>
            <w:r>
              <w:rPr>
                <w:rFonts w:hint="default" w:ascii="Times New Roman" w:hAnsi="Times New Roman" w:eastAsia="宋体" w:cs="Times New Roman"/>
                <w:b w:val="0"/>
                <w:bCs w:val="0"/>
                <w:i w:val="0"/>
                <w:iCs w:val="0"/>
                <w:color w:val="000000"/>
                <w:spacing w:val="0"/>
                <w:w w:val="100"/>
                <w:sz w:val="21"/>
                <w:szCs w:val="21"/>
                <w:vertAlign w:val="baseline"/>
              </w:rPr>
              <w:t>不小于10m；②设备外壳、构架及电缆护层可靠接地，设铜质主接地网（工频接地电阻0.532Ω）；③导线金具光洁，110kV选用合成绝缘子，减少尖端放电。</w:t>
            </w:r>
          </w:p>
        </w:tc>
        <w:tc>
          <w:tcPr>
            <w:tcW w:w="871" w:type="pc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536E8B55">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接地网施工、接地电阻检测符合设计要求；</w:t>
            </w:r>
            <w:r>
              <w:rPr>
                <w:rFonts w:hint="eastAsia" w:ascii="Times New Roman" w:hAnsi="Times New Roman" w:cs="Times New Roman"/>
                <w:b w:val="0"/>
                <w:bCs w:val="0"/>
                <w:sz w:val="21"/>
                <w:szCs w:val="21"/>
                <w:lang w:eastAsia="zh-CN"/>
              </w:rPr>
              <w:t>变电站站界</w:t>
            </w:r>
            <w:r>
              <w:rPr>
                <w:rFonts w:hint="default" w:ascii="Times New Roman" w:hAnsi="Times New Roman" w:eastAsia="宋体" w:cs="Times New Roman"/>
                <w:b w:val="0"/>
                <w:bCs w:val="0"/>
                <w:sz w:val="21"/>
                <w:szCs w:val="21"/>
              </w:rPr>
              <w:t>工频电场、工频磁感应强度满足 GB8702</w:t>
            </w:r>
            <w:r>
              <w:rPr>
                <w:rFonts w:hint="default" w:ascii="Times New Roman" w:hAnsi="Times New Roman" w:eastAsia="宋体" w:cs="Times New Roman"/>
                <w:b w:val="0"/>
                <w:bCs w:val="0"/>
                <w:sz w:val="21"/>
                <w:szCs w:val="21"/>
              </w:rPr>
              <w:noBreakHyphen/>
            </w:r>
            <w:r>
              <w:rPr>
                <w:rFonts w:hint="default" w:ascii="Times New Roman" w:hAnsi="Times New Roman" w:eastAsia="宋体" w:cs="Times New Roman"/>
                <w:b w:val="0"/>
                <w:bCs w:val="0"/>
                <w:sz w:val="21"/>
                <w:szCs w:val="21"/>
              </w:rPr>
              <w:t>2014（工频电场 4000V/m、磁感应强度 100μT）；竣工按照 HJ681</w:t>
            </w:r>
            <w:r>
              <w:rPr>
                <w:rFonts w:hint="default" w:ascii="Times New Roman" w:hAnsi="Times New Roman" w:eastAsia="宋体" w:cs="Times New Roman"/>
                <w:b w:val="0"/>
                <w:bCs w:val="0"/>
                <w:sz w:val="21"/>
                <w:szCs w:val="21"/>
              </w:rPr>
              <w:noBreakHyphen/>
            </w:r>
            <w:r>
              <w:rPr>
                <w:rFonts w:hint="default" w:ascii="Times New Roman" w:hAnsi="Times New Roman" w:eastAsia="宋体" w:cs="Times New Roman"/>
                <w:b w:val="0"/>
                <w:bCs w:val="0"/>
                <w:sz w:val="21"/>
                <w:szCs w:val="21"/>
              </w:rPr>
              <w:t>2013 开展</w:t>
            </w:r>
            <w:r>
              <w:rPr>
                <w:rFonts w:hint="eastAsia" w:ascii="Times New Roman" w:hAnsi="Times New Roman" w:cs="Times New Roman"/>
                <w:b w:val="0"/>
                <w:bCs w:val="0"/>
                <w:sz w:val="21"/>
                <w:szCs w:val="21"/>
                <w:lang w:eastAsia="zh-CN"/>
              </w:rPr>
              <w:t>变电站站界</w:t>
            </w:r>
            <w:r>
              <w:rPr>
                <w:rFonts w:hint="default" w:ascii="Times New Roman" w:hAnsi="Times New Roman" w:eastAsia="宋体" w:cs="Times New Roman"/>
                <w:b w:val="0"/>
                <w:bCs w:val="0"/>
                <w:sz w:val="21"/>
                <w:szCs w:val="21"/>
              </w:rPr>
              <w:t>四周电磁环境监测。</w:t>
            </w:r>
          </w:p>
        </w:tc>
      </w:tr>
      <w:tr w14:paraId="7E4680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jc w:val="center"/>
        </w:trPr>
        <w:tc>
          <w:tcPr>
            <w:tcW w:w="256" w:type="pc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4722FF40">
            <w:pPr>
              <w:pStyle w:val="40"/>
              <w:keepNext w:val="0"/>
              <w:keepLines w:val="0"/>
              <w:widowControl/>
              <w:suppressLineNumbers w:val="0"/>
              <w:spacing w:before="30" w:beforeAutospacing="0" w:after="30" w:afterAutospacing="0"/>
              <w:ind w:left="0" w:right="0"/>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环境</w:t>
            </w:r>
          </w:p>
          <w:p w14:paraId="6D0C179B">
            <w:pPr>
              <w:pStyle w:val="40"/>
              <w:keepNext w:val="0"/>
              <w:keepLines w:val="0"/>
              <w:widowControl/>
              <w:suppressLineNumbers w:val="0"/>
              <w:spacing w:before="30" w:beforeAutospacing="0" w:after="30" w:afterAutospacing="0"/>
              <w:ind w:left="0" w:right="0"/>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风险</w:t>
            </w:r>
          </w:p>
        </w:tc>
        <w:tc>
          <w:tcPr>
            <w:tcW w:w="1801" w:type="pc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7E7AC613">
            <w:pPr>
              <w:pStyle w:val="40"/>
              <w:keepNext w:val="0"/>
              <w:keepLines w:val="0"/>
              <w:widowControl/>
              <w:suppressLineNumbers w:val="0"/>
              <w:spacing w:before="30" w:beforeAutospacing="0" w:after="30" w:afterAutospacing="0"/>
              <w:ind w:left="0" w:right="0"/>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w:t>
            </w:r>
          </w:p>
        </w:tc>
        <w:tc>
          <w:tcPr>
            <w:tcW w:w="804" w:type="pc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01C964EC">
            <w:pPr>
              <w:pStyle w:val="40"/>
              <w:keepNext w:val="0"/>
              <w:keepLines w:val="0"/>
              <w:widowControl/>
              <w:suppressLineNumbers w:val="0"/>
              <w:spacing w:before="30" w:beforeAutospacing="0" w:after="30" w:afterAutospacing="0"/>
              <w:ind w:left="0" w:right="0"/>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w:t>
            </w:r>
          </w:p>
        </w:tc>
        <w:tc>
          <w:tcPr>
            <w:tcW w:w="1266" w:type="pc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1BB71774">
            <w:pPr>
              <w:pStyle w:val="40"/>
              <w:keepNext w:val="0"/>
              <w:keepLines w:val="0"/>
              <w:widowControl/>
              <w:suppressLineNumbers w:val="0"/>
              <w:spacing w:before="30" w:beforeAutospacing="0" w:after="30" w:afterAutospacing="0"/>
              <w:ind w:left="0" w:right="0"/>
              <w:jc w:val="both"/>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①事故油池1座（有效容积30m</w:t>
            </w:r>
            <w:r>
              <w:rPr>
                <w:rFonts w:hint="default" w:ascii="Times New Roman" w:hAnsi="Times New Roman" w:eastAsia="宋体" w:cs="Times New Roman"/>
                <w:b w:val="0"/>
                <w:bCs w:val="0"/>
                <w:i w:val="0"/>
                <w:iCs w:val="0"/>
                <w:color w:val="000000"/>
                <w:spacing w:val="0"/>
                <w:w w:val="100"/>
                <w:sz w:val="21"/>
                <w:szCs w:val="21"/>
                <w:vertAlign w:val="superscript"/>
                <w:lang w:val="en-US" w:eastAsia="zh-CN"/>
              </w:rPr>
              <w:t>3</w:t>
            </w:r>
            <w:r>
              <w:rPr>
                <w:rFonts w:hint="default" w:ascii="Times New Roman" w:hAnsi="Times New Roman" w:eastAsia="宋体" w:cs="Times New Roman"/>
                <w:b w:val="0"/>
                <w:bCs w:val="0"/>
                <w:i w:val="0"/>
                <w:iCs w:val="0"/>
                <w:color w:val="000000"/>
                <w:spacing w:val="0"/>
                <w:w w:val="100"/>
                <w:sz w:val="21"/>
                <w:szCs w:val="21"/>
                <w:vertAlign w:val="baseline"/>
              </w:rPr>
              <w:t>，按单台主变油量27.9m</w:t>
            </w:r>
            <w:r>
              <w:rPr>
                <w:rFonts w:hint="default" w:ascii="Times New Roman" w:hAnsi="Times New Roman" w:eastAsia="宋体" w:cs="Times New Roman"/>
                <w:b w:val="0"/>
                <w:bCs w:val="0"/>
                <w:i w:val="0"/>
                <w:iCs w:val="0"/>
                <w:color w:val="000000"/>
                <w:spacing w:val="0"/>
                <w:w w:val="100"/>
                <w:sz w:val="21"/>
                <w:szCs w:val="21"/>
                <w:vertAlign w:val="superscript"/>
                <w:lang w:val="en-US" w:eastAsia="zh-CN"/>
              </w:rPr>
              <w:t>3</w:t>
            </w:r>
            <w:r>
              <w:rPr>
                <w:rFonts w:hint="default" w:ascii="Times New Roman" w:hAnsi="Times New Roman" w:eastAsia="宋体" w:cs="Times New Roman"/>
                <w:b w:val="0"/>
                <w:bCs w:val="0"/>
                <w:i w:val="0"/>
                <w:iCs w:val="0"/>
                <w:color w:val="000000"/>
                <w:spacing w:val="0"/>
                <w:w w:val="100"/>
                <w:sz w:val="21"/>
                <w:szCs w:val="21"/>
                <w:vertAlign w:val="baseline"/>
              </w:rPr>
              <w:t>的100%设计，设油水分离），C40 P10抗渗混凝土加防水卷材、防水砂浆及环氧沥青防腐；②主变旁配推车式干粉灭火器及消防砂，设室外消火栓，电缆沟每60m设阻火墙；③编制突发环境事件应急预案并备案，配备围油栏、吸油毡等物资并演练。</w:t>
            </w:r>
          </w:p>
        </w:tc>
        <w:tc>
          <w:tcPr>
            <w:tcW w:w="871" w:type="pc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660837F2">
            <w:pPr>
              <w:pStyle w:val="40"/>
              <w:keepNext w:val="0"/>
              <w:keepLines w:val="0"/>
              <w:widowControl/>
              <w:suppressLineNumbers w:val="0"/>
              <w:spacing w:before="30" w:beforeAutospacing="0" w:after="30" w:afterAutospacing="0"/>
              <w:ind w:left="0" w:right="0"/>
              <w:jc w:val="both"/>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油池全面防腐防渗，渗透系数小于1×10</w:t>
            </w:r>
            <w:r>
              <w:rPr>
                <w:rFonts w:hint="default" w:ascii="Times New Roman" w:hAnsi="Times New Roman" w:eastAsia="宋体" w:cs="Times New Roman"/>
                <w:b w:val="0"/>
                <w:bCs w:val="0"/>
                <w:i w:val="0"/>
                <w:iCs w:val="0"/>
                <w:color w:val="000000"/>
                <w:spacing w:val="0"/>
                <w:w w:val="100"/>
                <w:sz w:val="21"/>
                <w:szCs w:val="21"/>
                <w:vertAlign w:val="superscript"/>
                <w:lang w:val="en-US" w:eastAsia="zh-CN"/>
              </w:rPr>
              <w:t>-10</w:t>
            </w:r>
            <w:r>
              <w:rPr>
                <w:rFonts w:hint="default" w:ascii="Times New Roman" w:hAnsi="Times New Roman" w:eastAsia="宋体" w:cs="Times New Roman"/>
                <w:b w:val="0"/>
                <w:bCs w:val="0"/>
                <w:i w:val="0"/>
                <w:iCs w:val="0"/>
                <w:color w:val="000000"/>
                <w:spacing w:val="0"/>
                <w:w w:val="100"/>
                <w:sz w:val="21"/>
                <w:szCs w:val="21"/>
                <w:vertAlign w:val="baseline"/>
              </w:rPr>
              <w:t>cm/s；应急预案完成备案。</w:t>
            </w:r>
          </w:p>
        </w:tc>
      </w:tr>
      <w:tr w14:paraId="14F20C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jc w:val="center"/>
        </w:trPr>
        <w:tc>
          <w:tcPr>
            <w:tcW w:w="256" w:type="pc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7A395540">
            <w:pPr>
              <w:pStyle w:val="40"/>
              <w:keepNext w:val="0"/>
              <w:keepLines w:val="0"/>
              <w:widowControl/>
              <w:suppressLineNumbers w:val="0"/>
              <w:spacing w:before="30" w:beforeAutospacing="0" w:after="30" w:afterAutospacing="0"/>
              <w:ind w:left="0" w:right="0"/>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环境</w:t>
            </w:r>
          </w:p>
          <w:p w14:paraId="2A09725D">
            <w:pPr>
              <w:pStyle w:val="40"/>
              <w:keepNext w:val="0"/>
              <w:keepLines w:val="0"/>
              <w:widowControl/>
              <w:suppressLineNumbers w:val="0"/>
              <w:spacing w:before="30" w:beforeAutospacing="0" w:after="30" w:afterAutospacing="0"/>
              <w:ind w:left="0" w:right="0"/>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监测</w:t>
            </w:r>
          </w:p>
        </w:tc>
        <w:tc>
          <w:tcPr>
            <w:tcW w:w="1801" w:type="pc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1BEA832B">
            <w:pPr>
              <w:pStyle w:val="40"/>
              <w:keepNext w:val="0"/>
              <w:keepLines w:val="0"/>
              <w:widowControl/>
              <w:suppressLineNumbers w:val="0"/>
              <w:spacing w:before="30" w:beforeAutospacing="0" w:after="30" w:afterAutospacing="0"/>
              <w:ind w:left="0" w:right="0"/>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w:t>
            </w:r>
          </w:p>
        </w:tc>
        <w:tc>
          <w:tcPr>
            <w:tcW w:w="804" w:type="pc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47263EBA">
            <w:pPr>
              <w:pStyle w:val="40"/>
              <w:keepNext w:val="0"/>
              <w:keepLines w:val="0"/>
              <w:widowControl/>
              <w:suppressLineNumbers w:val="0"/>
              <w:spacing w:before="30" w:beforeAutospacing="0" w:after="30" w:afterAutospacing="0"/>
              <w:ind w:left="0" w:right="0"/>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w:t>
            </w:r>
          </w:p>
        </w:tc>
        <w:tc>
          <w:tcPr>
            <w:tcW w:w="1266" w:type="pc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6675FB31">
            <w:pPr>
              <w:pStyle w:val="40"/>
              <w:keepNext w:val="0"/>
              <w:keepLines w:val="0"/>
              <w:widowControl/>
              <w:suppressLineNumbers w:val="0"/>
              <w:spacing w:before="30" w:beforeAutospacing="0" w:after="30" w:afterAutospacing="0"/>
              <w:ind w:left="0" w:right="0"/>
              <w:jc w:val="both"/>
              <w:rPr>
                <w:rFonts w:hint="default" w:ascii="Times New Roman" w:hAnsi="Times New Roman" w:eastAsia="宋体" w:cs="Times New Roman"/>
                <w:b w:val="0"/>
                <w:bCs w:val="0"/>
                <w:sz w:val="21"/>
                <w:szCs w:val="21"/>
              </w:rPr>
            </w:pPr>
            <w:r>
              <w:rPr>
                <w:rFonts w:hint="eastAsia" w:ascii="Times New Roman" w:hAnsi="Times New Roman" w:cs="Times New Roman"/>
                <w:b w:val="0"/>
                <w:bCs w:val="0"/>
                <w:i w:val="0"/>
                <w:iCs w:val="0"/>
                <w:color w:val="000000"/>
                <w:spacing w:val="0"/>
                <w:w w:val="100"/>
                <w:sz w:val="21"/>
                <w:szCs w:val="21"/>
                <w:vertAlign w:val="baseline"/>
                <w:lang w:eastAsia="zh-CN"/>
              </w:rPr>
              <w:t>变电站站界</w:t>
            </w:r>
            <w:r>
              <w:rPr>
                <w:rFonts w:hint="default" w:ascii="Times New Roman" w:hAnsi="Times New Roman" w:eastAsia="宋体" w:cs="Times New Roman"/>
                <w:b w:val="0"/>
                <w:bCs w:val="0"/>
                <w:i w:val="0"/>
                <w:iCs w:val="0"/>
                <w:color w:val="000000"/>
                <w:spacing w:val="0"/>
                <w:w w:val="100"/>
                <w:sz w:val="21"/>
                <w:szCs w:val="21"/>
                <w:vertAlign w:val="baseline"/>
              </w:rPr>
              <w:t>噪声每季度1次；工频电场、工频磁感应强度竣工验收时监测，运行期按当地要求开展。</w:t>
            </w:r>
          </w:p>
        </w:tc>
        <w:tc>
          <w:tcPr>
            <w:tcW w:w="871" w:type="pc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3B0CA29A">
            <w:pPr>
              <w:pStyle w:val="40"/>
              <w:keepNext w:val="0"/>
              <w:keepLines w:val="0"/>
              <w:widowControl/>
              <w:suppressLineNumbers w:val="0"/>
              <w:spacing w:before="30" w:beforeAutospacing="0" w:after="30" w:afterAutospacing="0"/>
              <w:ind w:left="0" w:right="0"/>
              <w:jc w:val="both"/>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项目、点位、频次符合监测计划，结果达标。</w:t>
            </w:r>
          </w:p>
        </w:tc>
      </w:tr>
      <w:tr w14:paraId="554851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jc w:val="center"/>
        </w:trPr>
        <w:tc>
          <w:tcPr>
            <w:tcW w:w="256" w:type="pc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5CD4991F">
            <w:pPr>
              <w:pStyle w:val="40"/>
              <w:keepNext w:val="0"/>
              <w:keepLines w:val="0"/>
              <w:widowControl/>
              <w:suppressLineNumbers w:val="0"/>
              <w:spacing w:before="30" w:beforeAutospacing="0" w:after="30" w:afterAutospacing="0"/>
              <w:ind w:left="0" w:right="0"/>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其他</w:t>
            </w:r>
          </w:p>
        </w:tc>
        <w:tc>
          <w:tcPr>
            <w:tcW w:w="1801" w:type="pc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198A4D7E">
            <w:pPr>
              <w:pStyle w:val="40"/>
              <w:keepNext w:val="0"/>
              <w:keepLines w:val="0"/>
              <w:widowControl/>
              <w:suppressLineNumbers w:val="0"/>
              <w:spacing w:before="30" w:beforeAutospacing="0" w:after="30" w:afterAutospacing="0"/>
              <w:ind w:left="0" w:right="0"/>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w:t>
            </w:r>
          </w:p>
        </w:tc>
        <w:tc>
          <w:tcPr>
            <w:tcW w:w="804" w:type="pc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1D925461">
            <w:pPr>
              <w:pStyle w:val="40"/>
              <w:keepNext w:val="0"/>
              <w:keepLines w:val="0"/>
              <w:widowControl/>
              <w:suppressLineNumbers w:val="0"/>
              <w:spacing w:before="30" w:beforeAutospacing="0" w:after="30" w:afterAutospacing="0"/>
              <w:ind w:left="0" w:right="0"/>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w:t>
            </w:r>
          </w:p>
        </w:tc>
        <w:tc>
          <w:tcPr>
            <w:tcW w:w="1266" w:type="pc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63835D6E">
            <w:pPr>
              <w:pStyle w:val="40"/>
              <w:keepNext w:val="0"/>
              <w:keepLines w:val="0"/>
              <w:widowControl/>
              <w:suppressLineNumbers w:val="0"/>
              <w:spacing w:before="30" w:beforeAutospacing="0" w:after="30" w:afterAutospacing="0"/>
              <w:ind w:left="0" w:right="0"/>
              <w:jc w:val="both"/>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建立环保管理制度及设施运行维护台账；危废台账、转移联单保存不少于5年；开展环保培训。</w:t>
            </w:r>
          </w:p>
        </w:tc>
        <w:tc>
          <w:tcPr>
            <w:tcW w:w="871" w:type="pc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711E635F">
            <w:pPr>
              <w:pStyle w:val="40"/>
              <w:keepNext w:val="0"/>
              <w:keepLines w:val="0"/>
              <w:widowControl/>
              <w:suppressLineNumbers w:val="0"/>
              <w:spacing w:before="30" w:beforeAutospacing="0" w:after="30" w:afterAutospacing="0"/>
              <w:ind w:left="0" w:right="0"/>
              <w:jc w:val="both"/>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设施完好正常运行，档案资料齐全。</w:t>
            </w:r>
          </w:p>
        </w:tc>
      </w:tr>
      <w:tr w14:paraId="10F6FD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5" w:hRule="atLeast"/>
          <w:jc w:val="center"/>
        </w:trPr>
        <w:tc>
          <w:tcPr>
            <w:tcW w:w="256" w:type="pc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52071AB4">
            <w:pPr>
              <w:pStyle w:val="40"/>
              <w:keepNext w:val="0"/>
              <w:keepLines w:val="0"/>
              <w:widowControl/>
              <w:suppressLineNumbers w:val="0"/>
              <w:spacing w:before="30" w:beforeAutospacing="0" w:after="30" w:afterAutospacing="0"/>
              <w:ind w:left="0" w:right="0"/>
              <w:jc w:val="center"/>
              <w:rPr>
                <w:rFonts w:hint="eastAsia" w:ascii="Times New Roman" w:hAnsi="Times New Roman" w:eastAsia="宋体" w:cs="Times New Roman"/>
                <w:b w:val="0"/>
                <w:bCs w:val="0"/>
                <w:i w:val="0"/>
                <w:iCs w:val="0"/>
                <w:color w:val="000000"/>
                <w:spacing w:val="0"/>
                <w:w w:val="100"/>
                <w:sz w:val="21"/>
                <w:szCs w:val="21"/>
                <w:vertAlign w:val="baseline"/>
                <w:lang w:val="en-US" w:eastAsia="zh-CN"/>
              </w:rPr>
            </w:pPr>
            <w:r>
              <w:rPr>
                <w:rFonts w:hint="eastAsia" w:ascii="Times New Roman" w:hAnsi="Times New Roman" w:cs="Times New Roman"/>
                <w:b w:val="0"/>
                <w:bCs w:val="0"/>
                <w:i w:val="0"/>
                <w:iCs w:val="0"/>
                <w:color w:val="000000"/>
                <w:spacing w:val="0"/>
                <w:w w:val="100"/>
                <w:sz w:val="21"/>
                <w:szCs w:val="21"/>
                <w:vertAlign w:val="baseline"/>
                <w:lang w:val="en-US" w:eastAsia="zh-CN"/>
              </w:rPr>
              <w:t>备注</w:t>
            </w:r>
          </w:p>
        </w:tc>
        <w:tc>
          <w:tcPr>
            <w:tcW w:w="4743" w:type="pct"/>
            <w:gridSpan w:val="4"/>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08335EF3">
            <w:pPr>
              <w:pStyle w:val="40"/>
              <w:keepNext w:val="0"/>
              <w:keepLines w:val="0"/>
              <w:widowControl/>
              <w:suppressLineNumbers w:val="0"/>
              <w:spacing w:before="30" w:beforeAutospacing="0" w:after="30" w:afterAutospacing="0"/>
              <w:ind w:left="0" w:right="0"/>
              <w:jc w:val="both"/>
              <w:rPr>
                <w:rFonts w:hint="default" w:ascii="Times New Roman" w:hAnsi="Times New Roman" w:eastAsia="宋体" w:cs="Times New Roman"/>
                <w:b w:val="0"/>
                <w:bCs w:val="0"/>
                <w:i w:val="0"/>
                <w:iCs w:val="0"/>
                <w:color w:val="000000"/>
                <w:spacing w:val="0"/>
                <w:w w:val="100"/>
                <w:sz w:val="21"/>
                <w:szCs w:val="21"/>
                <w:vertAlign w:val="baseline"/>
              </w:rPr>
            </w:pPr>
          </w:p>
          <w:p w14:paraId="38C0EAEA">
            <w:pPr>
              <w:pStyle w:val="40"/>
              <w:keepNext w:val="0"/>
              <w:keepLines w:val="0"/>
              <w:widowControl/>
              <w:suppressLineNumbers w:val="0"/>
              <w:spacing w:before="30" w:beforeAutospacing="0" w:after="30" w:afterAutospacing="0"/>
              <w:ind w:left="0" w:right="0"/>
              <w:jc w:val="both"/>
              <w:rPr>
                <w:rFonts w:hint="default" w:ascii="Times New Roman" w:hAnsi="Times New Roman" w:eastAsia="宋体" w:cs="Times New Roman"/>
                <w:b w:val="0"/>
                <w:bCs w:val="0"/>
                <w:i w:val="0"/>
                <w:iCs w:val="0"/>
                <w:color w:val="000000"/>
                <w:spacing w:val="0"/>
                <w:w w:val="100"/>
                <w:sz w:val="21"/>
                <w:szCs w:val="21"/>
                <w:vertAlign w:val="baseline"/>
              </w:rPr>
            </w:pPr>
          </w:p>
          <w:p w14:paraId="6BF47357">
            <w:pPr>
              <w:pStyle w:val="40"/>
              <w:keepNext w:val="0"/>
              <w:keepLines w:val="0"/>
              <w:widowControl/>
              <w:suppressLineNumbers w:val="0"/>
              <w:spacing w:before="30" w:beforeAutospacing="0" w:after="30" w:afterAutospacing="0"/>
              <w:ind w:left="0" w:right="0"/>
              <w:jc w:val="both"/>
              <w:rPr>
                <w:rFonts w:hint="default" w:ascii="Times New Roman" w:hAnsi="Times New Roman" w:eastAsia="宋体" w:cs="Times New Roman"/>
                <w:b w:val="0"/>
                <w:bCs w:val="0"/>
                <w:i w:val="0"/>
                <w:iCs w:val="0"/>
                <w:color w:val="000000"/>
                <w:spacing w:val="0"/>
                <w:w w:val="100"/>
                <w:sz w:val="21"/>
                <w:szCs w:val="21"/>
                <w:vertAlign w:val="baseline"/>
              </w:rPr>
            </w:pPr>
          </w:p>
          <w:p w14:paraId="1D8B369A">
            <w:pPr>
              <w:pStyle w:val="40"/>
              <w:keepNext w:val="0"/>
              <w:keepLines w:val="0"/>
              <w:widowControl/>
              <w:suppressLineNumbers w:val="0"/>
              <w:spacing w:before="30" w:beforeAutospacing="0" w:after="30" w:afterAutospacing="0"/>
              <w:ind w:left="0" w:right="0"/>
              <w:jc w:val="both"/>
              <w:rPr>
                <w:rFonts w:hint="default" w:ascii="Times New Roman" w:hAnsi="Times New Roman" w:eastAsia="宋体" w:cs="Times New Roman"/>
                <w:b w:val="0"/>
                <w:bCs w:val="0"/>
                <w:i w:val="0"/>
                <w:iCs w:val="0"/>
                <w:color w:val="000000"/>
                <w:spacing w:val="0"/>
                <w:w w:val="100"/>
                <w:sz w:val="21"/>
                <w:szCs w:val="21"/>
                <w:vertAlign w:val="baseline"/>
              </w:rPr>
            </w:pPr>
          </w:p>
          <w:p w14:paraId="1EEBA84E">
            <w:pPr>
              <w:pStyle w:val="40"/>
              <w:keepNext w:val="0"/>
              <w:keepLines w:val="0"/>
              <w:widowControl/>
              <w:suppressLineNumbers w:val="0"/>
              <w:spacing w:before="30" w:beforeAutospacing="0" w:after="30" w:afterAutospacing="0"/>
              <w:ind w:left="0" w:right="0"/>
              <w:jc w:val="both"/>
              <w:rPr>
                <w:rFonts w:hint="default" w:ascii="Times New Roman" w:hAnsi="Times New Roman" w:eastAsia="宋体" w:cs="Times New Roman"/>
                <w:b w:val="0"/>
                <w:bCs w:val="0"/>
                <w:i w:val="0"/>
                <w:iCs w:val="0"/>
                <w:color w:val="000000"/>
                <w:spacing w:val="0"/>
                <w:w w:val="100"/>
                <w:sz w:val="21"/>
                <w:szCs w:val="21"/>
                <w:vertAlign w:val="baseline"/>
              </w:rPr>
            </w:pPr>
          </w:p>
          <w:p w14:paraId="0E19BE4C">
            <w:pPr>
              <w:pStyle w:val="40"/>
              <w:keepNext w:val="0"/>
              <w:keepLines w:val="0"/>
              <w:widowControl/>
              <w:suppressLineNumbers w:val="0"/>
              <w:spacing w:before="30" w:beforeAutospacing="0" w:after="30" w:afterAutospacing="0"/>
              <w:ind w:left="0" w:right="0"/>
              <w:jc w:val="both"/>
              <w:rPr>
                <w:rFonts w:hint="default" w:ascii="Times New Roman" w:hAnsi="Times New Roman" w:eastAsia="宋体" w:cs="Times New Roman"/>
                <w:b w:val="0"/>
                <w:bCs w:val="0"/>
                <w:i w:val="0"/>
                <w:iCs w:val="0"/>
                <w:color w:val="000000"/>
                <w:spacing w:val="0"/>
                <w:w w:val="100"/>
                <w:sz w:val="21"/>
                <w:szCs w:val="21"/>
                <w:vertAlign w:val="baseline"/>
              </w:rPr>
            </w:pPr>
            <w:r>
              <w:rPr>
                <w:rFonts w:hint="default" w:ascii="Times New Roman" w:hAnsi="Times New Roman" w:eastAsia="宋体" w:cs="Times New Roman"/>
                <w:b w:val="0"/>
                <w:bCs w:val="0"/>
                <w:i w:val="0"/>
                <w:iCs w:val="0"/>
                <w:color w:val="000000"/>
                <w:spacing w:val="0"/>
                <w:w w:val="100"/>
                <w:sz w:val="21"/>
                <w:szCs w:val="21"/>
                <w:vertAlign w:val="baseline"/>
              </w:rPr>
              <w:t>水生生态、振动本项目不涉及。本项目竣工环境保护验收范围仅为变电站站区（含进站道路）；110kV 送出线路、厂区 10kV 配电线路不在本次评价、不在本项目验收范围内，需另行环评、单独验收。</w:t>
            </w:r>
          </w:p>
          <w:p w14:paraId="47A88CC0">
            <w:pPr>
              <w:pStyle w:val="40"/>
              <w:keepNext w:val="0"/>
              <w:keepLines w:val="0"/>
              <w:widowControl/>
              <w:suppressLineNumbers w:val="0"/>
              <w:spacing w:before="30" w:beforeAutospacing="0" w:after="30" w:afterAutospacing="0"/>
              <w:ind w:left="0" w:right="0"/>
              <w:jc w:val="both"/>
              <w:rPr>
                <w:rFonts w:hint="default" w:ascii="Times New Roman" w:hAnsi="Times New Roman" w:eastAsia="宋体" w:cs="Times New Roman"/>
                <w:b w:val="0"/>
                <w:bCs w:val="0"/>
                <w:i w:val="0"/>
                <w:iCs w:val="0"/>
                <w:color w:val="000000"/>
                <w:spacing w:val="0"/>
                <w:w w:val="100"/>
                <w:sz w:val="21"/>
                <w:szCs w:val="21"/>
                <w:vertAlign w:val="baseline"/>
              </w:rPr>
            </w:pPr>
          </w:p>
          <w:p w14:paraId="1F83988C">
            <w:pPr>
              <w:pStyle w:val="40"/>
              <w:keepNext w:val="0"/>
              <w:keepLines w:val="0"/>
              <w:widowControl/>
              <w:suppressLineNumbers w:val="0"/>
              <w:spacing w:before="30" w:beforeAutospacing="0" w:after="30" w:afterAutospacing="0"/>
              <w:ind w:left="0" w:right="0"/>
              <w:jc w:val="both"/>
              <w:rPr>
                <w:rFonts w:hint="default" w:ascii="Times New Roman" w:hAnsi="Times New Roman" w:eastAsia="宋体" w:cs="Times New Roman"/>
                <w:b w:val="0"/>
                <w:bCs w:val="0"/>
                <w:i w:val="0"/>
                <w:iCs w:val="0"/>
                <w:color w:val="000000"/>
                <w:spacing w:val="0"/>
                <w:w w:val="100"/>
                <w:sz w:val="21"/>
                <w:szCs w:val="21"/>
                <w:vertAlign w:val="baseline"/>
              </w:rPr>
            </w:pPr>
          </w:p>
          <w:p w14:paraId="714A4180">
            <w:pPr>
              <w:pStyle w:val="40"/>
              <w:keepNext w:val="0"/>
              <w:keepLines w:val="0"/>
              <w:widowControl/>
              <w:suppressLineNumbers w:val="0"/>
              <w:spacing w:before="30" w:beforeAutospacing="0" w:after="30" w:afterAutospacing="0"/>
              <w:ind w:left="0" w:right="0"/>
              <w:jc w:val="both"/>
              <w:rPr>
                <w:rFonts w:hint="default" w:ascii="Times New Roman" w:hAnsi="Times New Roman" w:eastAsia="宋体" w:cs="Times New Roman"/>
                <w:b w:val="0"/>
                <w:bCs w:val="0"/>
                <w:i w:val="0"/>
                <w:iCs w:val="0"/>
                <w:color w:val="000000"/>
                <w:spacing w:val="0"/>
                <w:w w:val="100"/>
                <w:sz w:val="21"/>
                <w:szCs w:val="21"/>
                <w:vertAlign w:val="baseline"/>
              </w:rPr>
            </w:pPr>
          </w:p>
          <w:p w14:paraId="0C1EF12F">
            <w:pPr>
              <w:pStyle w:val="40"/>
              <w:keepNext w:val="0"/>
              <w:keepLines w:val="0"/>
              <w:widowControl/>
              <w:suppressLineNumbers w:val="0"/>
              <w:spacing w:before="30" w:beforeAutospacing="0" w:after="30" w:afterAutospacing="0"/>
              <w:ind w:left="0" w:right="0"/>
              <w:jc w:val="both"/>
              <w:rPr>
                <w:rFonts w:hint="default" w:ascii="Times New Roman" w:hAnsi="Times New Roman" w:eastAsia="宋体" w:cs="Times New Roman"/>
                <w:b w:val="0"/>
                <w:bCs w:val="0"/>
                <w:i w:val="0"/>
                <w:iCs w:val="0"/>
                <w:color w:val="000000"/>
                <w:spacing w:val="0"/>
                <w:w w:val="100"/>
                <w:sz w:val="21"/>
                <w:szCs w:val="21"/>
                <w:vertAlign w:val="baseline"/>
              </w:rPr>
            </w:pPr>
          </w:p>
          <w:p w14:paraId="3B3A668E">
            <w:pPr>
              <w:pStyle w:val="40"/>
              <w:keepNext w:val="0"/>
              <w:keepLines w:val="0"/>
              <w:widowControl/>
              <w:suppressLineNumbers w:val="0"/>
              <w:spacing w:before="30" w:beforeAutospacing="0" w:after="30" w:afterAutospacing="0"/>
              <w:ind w:left="0" w:right="0"/>
              <w:jc w:val="both"/>
              <w:rPr>
                <w:rFonts w:hint="default" w:ascii="Times New Roman" w:hAnsi="Times New Roman" w:eastAsia="宋体" w:cs="Times New Roman"/>
                <w:b w:val="0"/>
                <w:bCs w:val="0"/>
                <w:i w:val="0"/>
                <w:iCs w:val="0"/>
                <w:color w:val="000000"/>
                <w:spacing w:val="0"/>
                <w:w w:val="100"/>
                <w:sz w:val="21"/>
                <w:szCs w:val="21"/>
                <w:vertAlign w:val="baseline"/>
              </w:rPr>
            </w:pPr>
          </w:p>
          <w:p w14:paraId="6885F8FB">
            <w:pPr>
              <w:pStyle w:val="40"/>
              <w:keepNext w:val="0"/>
              <w:keepLines w:val="0"/>
              <w:widowControl/>
              <w:suppressLineNumbers w:val="0"/>
              <w:spacing w:before="30" w:beforeAutospacing="0" w:after="30" w:afterAutospacing="0"/>
              <w:ind w:left="0" w:right="0"/>
              <w:jc w:val="both"/>
              <w:rPr>
                <w:rFonts w:hint="default" w:ascii="Times New Roman" w:hAnsi="Times New Roman" w:eastAsia="宋体" w:cs="Times New Roman"/>
                <w:b w:val="0"/>
                <w:bCs w:val="0"/>
                <w:i w:val="0"/>
                <w:iCs w:val="0"/>
                <w:color w:val="000000"/>
                <w:spacing w:val="0"/>
                <w:w w:val="100"/>
                <w:sz w:val="21"/>
                <w:szCs w:val="21"/>
                <w:vertAlign w:val="baseline"/>
              </w:rPr>
            </w:pPr>
          </w:p>
        </w:tc>
      </w:tr>
    </w:tbl>
    <w:p w14:paraId="5EEC53A2">
      <w:pPr>
        <w:pStyle w:val="3"/>
        <w:numPr>
          <w:ilvl w:val="0"/>
          <w:numId w:val="0"/>
        </w:numPr>
        <w:ind w:leftChars="0"/>
        <w:jc w:val="center"/>
        <w:rPr>
          <w:rFonts w:hint="default" w:ascii="Times New Roman" w:hAnsi="Times New Roman" w:cs="Times New Roman"/>
        </w:rPr>
      </w:pPr>
      <w:r>
        <w:rPr>
          <w:rFonts w:hint="default" w:ascii="Times New Roman" w:hAnsi="Times New Roman" w:cs="Times New Roman"/>
        </w:rPr>
        <w:br w:type="page"/>
      </w:r>
      <w:bookmarkStart w:id="82" w:name="_Toc1243"/>
      <w:r>
        <w:rPr>
          <w:rFonts w:hint="default" w:ascii="Times New Roman" w:hAnsi="Times New Roman" w:cs="Times New Roman"/>
          <w:lang w:val="en-US" w:eastAsia="zh-CN"/>
        </w:rPr>
        <w:t>七、</w:t>
      </w:r>
      <w:r>
        <w:rPr>
          <w:rFonts w:hint="default" w:ascii="Times New Roman" w:hAnsi="Times New Roman" w:cs="Times New Roman"/>
        </w:rPr>
        <w:t>结论</w:t>
      </w:r>
      <w:bookmarkEnd w:id="82"/>
    </w:p>
    <w:tbl>
      <w:tblPr>
        <w:tblStyle w:val="43"/>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8528"/>
      </w:tblGrid>
      <w:tr w14:paraId="6B12421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625" w:hRule="atLeast"/>
          <w:jc w:val="center"/>
        </w:trPr>
        <w:tc>
          <w:tcPr>
            <w:tcW w:w="5000" w:type="pct"/>
          </w:tcPr>
          <w:p w14:paraId="79A55CE7">
            <w:pPr>
              <w:pStyle w:val="17"/>
              <w:snapToGrid/>
              <w:spacing w:before="0" w:after="0" w:line="480" w:lineRule="exact"/>
              <w:ind w:right="0" w:firstLine="522"/>
              <w:rPr>
                <w:rFonts w:hint="default" w:ascii="Times New Roman" w:hAnsi="Times New Roman" w:eastAsia="宋体" w:cs="Times New Roman"/>
                <w:kern w:val="24"/>
                <w:sz w:val="24"/>
                <w:szCs w:val="24"/>
                <w:lang w:val="en-US" w:eastAsia="zh-CN" w:bidi="ar-SA"/>
              </w:rPr>
            </w:pPr>
            <w:r>
              <w:rPr>
                <w:rFonts w:hint="default" w:ascii="Times New Roman" w:hAnsi="Times New Roman" w:eastAsia="宋体" w:cs="Times New Roman"/>
                <w:kern w:val="24"/>
                <w:sz w:val="24"/>
                <w:szCs w:val="24"/>
                <w:lang w:val="en-US" w:eastAsia="zh-CN" w:bidi="ar-SA"/>
              </w:rPr>
              <w:t>本工程属于输变电工程，属于国家鼓励类产业项目，符合国家产业政策，符合尉犁县国土空间总体规划及相关生态环境管控要求。本工程配套的废气、废水、噪声、固体废物、电磁环境及生态保护、环境风险防范等各项环境保护措施技术可行、经济合理。在工程设计、施工及运营全过程严格落实本报告表及电磁环境影响专题评价提出的全部污染防治、生态保护与风险防控措施，落实环境管理及监测计划，开展规范自主竣工环境保护验收前提下，工程建设带来的各类环境影响可得到有效控制，对周边区域环境影响可接受。</w:t>
            </w:r>
          </w:p>
          <w:p w14:paraId="1A8107DA">
            <w:pPr>
              <w:pStyle w:val="17"/>
              <w:snapToGrid/>
              <w:spacing w:before="0" w:after="0" w:line="480" w:lineRule="exact"/>
              <w:ind w:right="0" w:firstLine="522"/>
              <w:rPr>
                <w:rFonts w:hint="default" w:ascii="Times New Roman" w:hAnsi="Times New Roman" w:eastAsia="宋体" w:cs="Times New Roman"/>
                <w:kern w:val="24"/>
                <w:sz w:val="24"/>
                <w:szCs w:val="24"/>
                <w:lang w:val="en-US" w:eastAsia="zh-CN" w:bidi="ar-SA"/>
              </w:rPr>
            </w:pPr>
            <w:r>
              <w:rPr>
                <w:rFonts w:hint="default" w:ascii="Times New Roman" w:hAnsi="Times New Roman" w:eastAsia="宋体" w:cs="Times New Roman"/>
                <w:kern w:val="24"/>
                <w:sz w:val="24"/>
                <w:szCs w:val="24"/>
                <w:lang w:val="en-US" w:eastAsia="zh-CN" w:bidi="ar-SA"/>
              </w:rPr>
              <w:t>本评价范围仅包含110kV变电站站区（含进站道路），110kV送出线路及厂区10kV配电线路不属于本次评价范畴，建设单位须按照《建设项目环境影响评价分类管理名录》另行履行环评审批手续，并单独开展竣工环境保护验收，不得与本变电站项目混淆。</w:t>
            </w:r>
          </w:p>
          <w:p w14:paraId="2B515AB9">
            <w:pPr>
              <w:pStyle w:val="17"/>
              <w:snapToGrid/>
              <w:spacing w:before="0" w:after="0" w:line="480" w:lineRule="exact"/>
              <w:ind w:right="0" w:firstLine="522"/>
              <w:rPr>
                <w:rFonts w:hint="default" w:ascii="Times New Roman" w:hAnsi="Times New Roman" w:cs="Times New Roman"/>
                <w:lang w:bidi="ar"/>
              </w:rPr>
            </w:pPr>
            <w:r>
              <w:rPr>
                <w:rFonts w:hint="default" w:ascii="Times New Roman" w:hAnsi="Times New Roman" w:eastAsia="宋体" w:cs="Times New Roman"/>
                <w:kern w:val="24"/>
                <w:sz w:val="24"/>
                <w:szCs w:val="24"/>
                <w:lang w:val="en-US" w:eastAsia="zh-CN" w:bidi="ar-SA"/>
              </w:rPr>
              <w:t>综上，从生态环境保护角度分析，本项目建设可行。</w:t>
            </w:r>
          </w:p>
        </w:tc>
      </w:tr>
    </w:tbl>
    <w:p w14:paraId="367F9413">
      <w:pPr>
        <w:pStyle w:val="62"/>
        <w:ind w:firstLine="464"/>
        <w:rPr>
          <w:rFonts w:hint="default" w:ascii="Times New Roman" w:hAnsi="Times New Roman" w:eastAsia="宋体" w:cs="Times New Roman"/>
          <w:color w:val="auto"/>
        </w:rPr>
        <w:sectPr>
          <w:pgSz w:w="11906" w:h="16838"/>
          <w:pgMar w:top="1440" w:right="1797" w:bottom="1440" w:left="1797" w:header="851" w:footer="992" w:gutter="0"/>
          <w:pgBorders>
            <w:top w:val="none" w:sz="0" w:space="0"/>
            <w:left w:val="none" w:sz="0" w:space="0"/>
            <w:bottom w:val="none" w:sz="0" w:space="0"/>
            <w:right w:val="none" w:sz="0" w:space="0"/>
          </w:pgBorders>
          <w:pgNumType w:fmt="decimal"/>
          <w:cols w:space="720" w:num="1"/>
          <w:docGrid w:linePitch="312" w:charSpace="0"/>
        </w:sectPr>
      </w:pPr>
    </w:p>
    <w:p w14:paraId="57607DA2">
      <w:pPr>
        <w:rPr>
          <w:rFonts w:hint="default" w:ascii="Times New Roman" w:hAnsi="Times New Roman" w:cs="Times New Roman"/>
        </w:rPr>
      </w:pPr>
    </w:p>
    <w:p w14:paraId="2BC09CCD">
      <w:pPr>
        <w:spacing w:line="360" w:lineRule="auto"/>
        <w:jc w:val="center"/>
        <w:rPr>
          <w:rFonts w:hint="default" w:ascii="Times New Roman" w:hAnsi="Times New Roman" w:eastAsia="黑体" w:cs="Times New Roman"/>
          <w:sz w:val="36"/>
          <w:szCs w:val="36"/>
        </w:rPr>
      </w:pPr>
    </w:p>
    <w:p w14:paraId="174C1BFF">
      <w:pPr>
        <w:pStyle w:val="19"/>
        <w:ind w:firstLine="720"/>
        <w:rPr>
          <w:rFonts w:hint="default" w:ascii="Times New Roman" w:hAnsi="Times New Roman" w:eastAsia="黑体" w:cs="Times New Roman"/>
          <w:sz w:val="36"/>
          <w:szCs w:val="36"/>
        </w:rPr>
      </w:pPr>
    </w:p>
    <w:p w14:paraId="5DDACFF7">
      <w:pPr>
        <w:rPr>
          <w:rFonts w:hint="default" w:ascii="Times New Roman" w:hAnsi="Times New Roman" w:eastAsia="黑体" w:cs="Times New Roman"/>
          <w:sz w:val="36"/>
          <w:szCs w:val="36"/>
        </w:rPr>
      </w:pPr>
    </w:p>
    <w:p w14:paraId="2E6917C4">
      <w:pPr>
        <w:pStyle w:val="19"/>
        <w:rPr>
          <w:rFonts w:hint="default" w:ascii="Times New Roman" w:hAnsi="Times New Roman" w:cs="Times New Roman"/>
        </w:rPr>
      </w:pPr>
    </w:p>
    <w:p w14:paraId="68E40F02">
      <w:pPr>
        <w:pStyle w:val="3"/>
        <w:keepNext/>
        <w:keepLines w:val="0"/>
        <w:pageBreakBefore w:val="0"/>
        <w:widowControl w:val="0"/>
        <w:numPr>
          <w:ilvl w:val="0"/>
          <w:numId w:val="0"/>
        </w:numPr>
        <w:kinsoku/>
        <w:wordWrap/>
        <w:overflowPunct w:val="0"/>
        <w:topLinePunct w:val="0"/>
        <w:autoSpaceDE w:val="0"/>
        <w:autoSpaceDN w:val="0"/>
        <w:bidi w:val="0"/>
        <w:adjustRightInd w:val="0"/>
        <w:snapToGrid w:val="0"/>
        <w:spacing w:line="360" w:lineRule="auto"/>
        <w:ind w:left="0"/>
        <w:textAlignment w:val="auto"/>
        <w:rPr>
          <w:rFonts w:hint="default" w:ascii="Times New Roman" w:hAnsi="Times New Roman" w:eastAsia="宋体" w:cs="Times New Roman"/>
          <w:b/>
          <w:bCs/>
          <w:sz w:val="60"/>
        </w:rPr>
      </w:pPr>
      <w:bookmarkStart w:id="83" w:name="_Toc9740"/>
      <w:bookmarkStart w:id="84" w:name="_Toc13689"/>
      <w:bookmarkStart w:id="85" w:name="_Toc26045"/>
      <w:bookmarkStart w:id="86" w:name="_Toc3822"/>
      <w:bookmarkStart w:id="87" w:name="_Toc3227"/>
      <w:r>
        <w:rPr>
          <w:rFonts w:hint="default" w:ascii="Times New Roman" w:hAnsi="Times New Roman" w:cs="Times New Roman"/>
          <w:lang w:eastAsia="zh-CN"/>
        </w:rPr>
        <w:t>新疆鸿泰鼎新材料科技有限公司鸿泰鼎绿色新材料纺织产业园（一期）建设项目110kV变电站工程</w:t>
      </w:r>
      <w:r>
        <w:rPr>
          <w:rFonts w:hint="default" w:ascii="Times New Roman" w:hAnsi="Times New Roman" w:cs="Times New Roman"/>
        </w:rPr>
        <w:t>电磁环境影响专题评价</w:t>
      </w:r>
      <w:bookmarkEnd w:id="83"/>
      <w:bookmarkEnd w:id="84"/>
      <w:bookmarkEnd w:id="85"/>
      <w:bookmarkEnd w:id="86"/>
      <w:bookmarkEnd w:id="87"/>
    </w:p>
    <w:p w14:paraId="1020B1EC">
      <w:pPr>
        <w:rPr>
          <w:rFonts w:hint="default" w:ascii="Times New Roman" w:hAnsi="Times New Roman" w:eastAsia="黑体" w:cs="Times New Roman"/>
          <w:sz w:val="30"/>
          <w:szCs w:val="30"/>
        </w:rPr>
      </w:pPr>
    </w:p>
    <w:p w14:paraId="51565751">
      <w:pPr>
        <w:jc w:val="left"/>
        <w:rPr>
          <w:rFonts w:hint="default" w:ascii="Times New Roman" w:hAnsi="Times New Roman" w:eastAsia="黑体" w:cs="Times New Roman"/>
          <w:sz w:val="30"/>
          <w:szCs w:val="30"/>
        </w:rPr>
      </w:pPr>
    </w:p>
    <w:p w14:paraId="78609B2F">
      <w:pPr>
        <w:jc w:val="left"/>
        <w:rPr>
          <w:rFonts w:hint="default" w:ascii="Times New Roman" w:hAnsi="Times New Roman" w:eastAsia="黑体" w:cs="Times New Roman"/>
          <w:sz w:val="30"/>
          <w:szCs w:val="30"/>
        </w:rPr>
      </w:pPr>
    </w:p>
    <w:p w14:paraId="2D2E5555">
      <w:pPr>
        <w:jc w:val="left"/>
        <w:rPr>
          <w:rFonts w:hint="default" w:ascii="Times New Roman" w:hAnsi="Times New Roman" w:eastAsia="黑体" w:cs="Times New Roman"/>
          <w:sz w:val="30"/>
          <w:szCs w:val="30"/>
        </w:rPr>
      </w:pPr>
    </w:p>
    <w:p w14:paraId="658C7013">
      <w:pPr>
        <w:jc w:val="left"/>
        <w:rPr>
          <w:rFonts w:hint="default" w:ascii="Times New Roman" w:hAnsi="Times New Roman" w:eastAsia="黑体" w:cs="Times New Roman"/>
          <w:sz w:val="30"/>
          <w:szCs w:val="30"/>
        </w:rPr>
      </w:pPr>
    </w:p>
    <w:p w14:paraId="57B46CB5">
      <w:pPr>
        <w:jc w:val="left"/>
        <w:rPr>
          <w:rFonts w:hint="default" w:ascii="Times New Roman" w:hAnsi="Times New Roman" w:eastAsia="黑体" w:cs="Times New Roman"/>
          <w:sz w:val="30"/>
          <w:szCs w:val="30"/>
        </w:rPr>
      </w:pPr>
    </w:p>
    <w:p w14:paraId="3FBB337F">
      <w:pPr>
        <w:pStyle w:val="19"/>
        <w:spacing w:after="0"/>
        <w:ind w:left="0" w:leftChars="0" w:firstLine="600"/>
        <w:jc w:val="left"/>
        <w:rPr>
          <w:rFonts w:hint="default" w:ascii="Times New Roman" w:hAnsi="Times New Roman" w:eastAsia="黑体" w:cs="Times New Roman"/>
          <w:sz w:val="30"/>
          <w:szCs w:val="30"/>
        </w:rPr>
      </w:pPr>
    </w:p>
    <w:p w14:paraId="0BB35D84">
      <w:pPr>
        <w:jc w:val="left"/>
        <w:rPr>
          <w:rFonts w:hint="default" w:ascii="Times New Roman" w:hAnsi="Times New Roman" w:eastAsia="黑体" w:cs="Times New Roman"/>
          <w:sz w:val="30"/>
          <w:szCs w:val="30"/>
        </w:rPr>
      </w:pPr>
    </w:p>
    <w:p w14:paraId="7B174447">
      <w:pPr>
        <w:pStyle w:val="19"/>
        <w:spacing w:after="0"/>
        <w:ind w:left="0" w:leftChars="0" w:firstLine="600"/>
        <w:jc w:val="left"/>
        <w:rPr>
          <w:rFonts w:hint="default" w:ascii="Times New Roman" w:hAnsi="Times New Roman" w:eastAsia="黑体" w:cs="Times New Roman"/>
          <w:sz w:val="30"/>
          <w:szCs w:val="30"/>
        </w:rPr>
      </w:pPr>
    </w:p>
    <w:p w14:paraId="46A341E4">
      <w:pPr>
        <w:pStyle w:val="19"/>
        <w:spacing w:after="0"/>
        <w:ind w:left="0" w:leftChars="0" w:firstLine="600"/>
        <w:jc w:val="left"/>
        <w:rPr>
          <w:rFonts w:hint="default" w:ascii="Times New Roman" w:hAnsi="Times New Roman" w:eastAsia="黑体" w:cs="Times New Roman"/>
          <w:sz w:val="30"/>
          <w:szCs w:val="30"/>
        </w:rPr>
      </w:pPr>
    </w:p>
    <w:p w14:paraId="0CFEAA8F">
      <w:pPr>
        <w:jc w:val="left"/>
        <w:rPr>
          <w:rFonts w:hint="default" w:ascii="Times New Roman" w:hAnsi="Times New Roman" w:eastAsia="黑体" w:cs="Times New Roman"/>
          <w:sz w:val="30"/>
          <w:szCs w:val="30"/>
        </w:rPr>
      </w:pPr>
    </w:p>
    <w:p w14:paraId="20E1F7A8">
      <w:pPr>
        <w:jc w:val="left"/>
        <w:rPr>
          <w:rFonts w:hint="default" w:ascii="Times New Roman" w:hAnsi="Times New Roman" w:eastAsia="黑体" w:cs="Times New Roman"/>
          <w:sz w:val="30"/>
          <w:szCs w:val="30"/>
        </w:rPr>
      </w:pPr>
    </w:p>
    <w:tbl>
      <w:tblPr>
        <w:tblStyle w:val="43"/>
        <w:tblW w:w="0" w:type="auto"/>
        <w:jc w:val="center"/>
        <w:tblLayout w:type="fixed"/>
        <w:tblCellMar>
          <w:top w:w="0" w:type="dxa"/>
          <w:left w:w="0" w:type="dxa"/>
          <w:bottom w:w="0" w:type="dxa"/>
          <w:right w:w="0" w:type="dxa"/>
        </w:tblCellMar>
      </w:tblPr>
      <w:tblGrid>
        <w:gridCol w:w="1527"/>
        <w:gridCol w:w="5978"/>
      </w:tblGrid>
      <w:tr w14:paraId="7D976B79">
        <w:tblPrEx>
          <w:tblCellMar>
            <w:top w:w="0" w:type="dxa"/>
            <w:left w:w="0" w:type="dxa"/>
            <w:bottom w:w="0" w:type="dxa"/>
            <w:right w:w="0" w:type="dxa"/>
          </w:tblCellMar>
        </w:tblPrEx>
        <w:trPr>
          <w:trHeight w:val="510" w:hRule="atLeast"/>
          <w:jc w:val="center"/>
        </w:trPr>
        <w:tc>
          <w:tcPr>
            <w:tcW w:w="1527" w:type="dxa"/>
            <w:vAlign w:val="center"/>
          </w:tcPr>
          <w:p w14:paraId="17E6BB5B">
            <w:pPr>
              <w:spacing w:line="360" w:lineRule="auto"/>
              <w:rPr>
                <w:rFonts w:hint="default" w:ascii="Times New Roman" w:hAnsi="Times New Roman" w:cs="Times New Roman"/>
                <w:b/>
                <w:bCs/>
                <w:sz w:val="32"/>
                <w:szCs w:val="32"/>
              </w:rPr>
            </w:pPr>
            <w:r>
              <w:rPr>
                <w:rFonts w:hint="default" w:ascii="Times New Roman" w:hAnsi="Times New Roman" w:cs="Times New Roman"/>
                <w:b/>
                <w:bCs/>
                <w:sz w:val="32"/>
                <w:szCs w:val="32"/>
              </w:rPr>
              <w:t>建设单位：</w:t>
            </w:r>
          </w:p>
        </w:tc>
        <w:tc>
          <w:tcPr>
            <w:tcW w:w="5978" w:type="dxa"/>
            <w:vAlign w:val="center"/>
          </w:tcPr>
          <w:p w14:paraId="09AE44F0">
            <w:pPr>
              <w:spacing w:before="24" w:beforeLines="10" w:line="360" w:lineRule="auto"/>
              <w:jc w:val="left"/>
              <w:rPr>
                <w:rFonts w:hint="default" w:ascii="Times New Roman" w:hAnsi="Times New Roman" w:cs="Times New Roman"/>
                <w:b/>
                <w:bCs/>
                <w:spacing w:val="-10"/>
                <w:sz w:val="32"/>
                <w:szCs w:val="32"/>
              </w:rPr>
            </w:pPr>
            <w:r>
              <w:rPr>
                <w:rFonts w:hint="default" w:ascii="Times New Roman" w:hAnsi="Times New Roman" w:eastAsia="宋体" w:cs="Times New Roman"/>
                <w:b/>
                <w:bCs/>
                <w:kern w:val="0"/>
                <w:sz w:val="32"/>
                <w:szCs w:val="32"/>
                <w:lang w:eastAsia="zh-CN"/>
              </w:rPr>
              <w:t>新疆鸿泰鼎新材料科技有限公司</w:t>
            </w:r>
          </w:p>
        </w:tc>
      </w:tr>
      <w:tr w14:paraId="3E315777">
        <w:tblPrEx>
          <w:tblCellMar>
            <w:top w:w="0" w:type="dxa"/>
            <w:left w:w="0" w:type="dxa"/>
            <w:bottom w:w="0" w:type="dxa"/>
            <w:right w:w="0" w:type="dxa"/>
          </w:tblCellMar>
        </w:tblPrEx>
        <w:trPr>
          <w:trHeight w:val="510" w:hRule="atLeast"/>
          <w:jc w:val="center"/>
        </w:trPr>
        <w:tc>
          <w:tcPr>
            <w:tcW w:w="1527" w:type="dxa"/>
            <w:vAlign w:val="center"/>
          </w:tcPr>
          <w:p w14:paraId="3502FB51">
            <w:pPr>
              <w:spacing w:before="24" w:beforeLines="10" w:line="360" w:lineRule="auto"/>
              <w:rPr>
                <w:rFonts w:hint="default" w:ascii="Times New Roman" w:hAnsi="Times New Roman" w:cs="Times New Roman"/>
                <w:b/>
                <w:bCs/>
                <w:sz w:val="32"/>
                <w:szCs w:val="32"/>
              </w:rPr>
            </w:pPr>
            <w:r>
              <w:rPr>
                <w:rFonts w:hint="default" w:ascii="Times New Roman" w:hAnsi="Times New Roman" w:cs="Times New Roman"/>
                <w:b/>
                <w:bCs/>
                <w:sz w:val="32"/>
                <w:szCs w:val="32"/>
              </w:rPr>
              <w:t>编制单位：</w:t>
            </w:r>
          </w:p>
        </w:tc>
        <w:tc>
          <w:tcPr>
            <w:tcW w:w="5978" w:type="dxa"/>
            <w:vAlign w:val="center"/>
          </w:tcPr>
          <w:p w14:paraId="4E701DBA">
            <w:pPr>
              <w:spacing w:before="24" w:beforeLines="10" w:line="360" w:lineRule="auto"/>
              <w:jc w:val="left"/>
              <w:rPr>
                <w:rFonts w:hint="default" w:ascii="Times New Roman" w:hAnsi="Times New Roman" w:cs="Times New Roman"/>
                <w:b/>
                <w:bCs/>
                <w:spacing w:val="-12"/>
                <w:sz w:val="32"/>
                <w:szCs w:val="32"/>
              </w:rPr>
            </w:pPr>
            <w:r>
              <w:rPr>
                <w:rFonts w:hint="default" w:ascii="Times New Roman" w:hAnsi="Times New Roman" w:cs="Times New Roman"/>
                <w:b/>
                <w:bCs/>
                <w:kern w:val="0"/>
                <w:sz w:val="32"/>
                <w:szCs w:val="32"/>
              </w:rPr>
              <w:t>新疆天合环境技术咨询有限公司</w:t>
            </w:r>
          </w:p>
        </w:tc>
      </w:tr>
      <w:tr w14:paraId="2D2A7198">
        <w:tblPrEx>
          <w:tblCellMar>
            <w:top w:w="0" w:type="dxa"/>
            <w:left w:w="0" w:type="dxa"/>
            <w:bottom w:w="0" w:type="dxa"/>
            <w:right w:w="0" w:type="dxa"/>
          </w:tblCellMar>
        </w:tblPrEx>
        <w:trPr>
          <w:trHeight w:val="510" w:hRule="atLeast"/>
          <w:jc w:val="center"/>
        </w:trPr>
        <w:tc>
          <w:tcPr>
            <w:tcW w:w="7505" w:type="dxa"/>
            <w:gridSpan w:val="2"/>
            <w:vAlign w:val="center"/>
          </w:tcPr>
          <w:p w14:paraId="05F5437B">
            <w:pPr>
              <w:jc w:val="center"/>
              <w:rPr>
                <w:rFonts w:hint="default" w:ascii="Times New Roman" w:hAnsi="Times New Roman" w:cs="Times New Roman"/>
                <w:b/>
                <w:bCs/>
                <w:sz w:val="30"/>
                <w:szCs w:val="30"/>
              </w:rPr>
            </w:pPr>
            <w:r>
              <w:rPr>
                <w:rFonts w:hint="default" w:ascii="Times New Roman" w:hAnsi="Times New Roman" w:cs="Times New Roman"/>
                <w:b/>
                <w:bCs/>
                <w:kern w:val="0"/>
                <w:sz w:val="32"/>
                <w:szCs w:val="32"/>
              </w:rPr>
              <w:t>2026年</w:t>
            </w:r>
            <w:r>
              <w:rPr>
                <w:rFonts w:hint="default" w:ascii="Times New Roman" w:hAnsi="Times New Roman" w:cs="Times New Roman"/>
                <w:b/>
                <w:bCs/>
                <w:kern w:val="0"/>
                <w:sz w:val="32"/>
                <w:szCs w:val="32"/>
                <w:lang w:val="en-US" w:eastAsia="zh-CN"/>
              </w:rPr>
              <w:t>10</w:t>
            </w:r>
            <w:r>
              <w:rPr>
                <w:rFonts w:hint="default" w:ascii="Times New Roman" w:hAnsi="Times New Roman" w:cs="Times New Roman"/>
                <w:b/>
                <w:bCs/>
                <w:kern w:val="0"/>
                <w:sz w:val="32"/>
                <w:szCs w:val="32"/>
              </w:rPr>
              <w:t>月</w:t>
            </w:r>
          </w:p>
        </w:tc>
      </w:tr>
    </w:tbl>
    <w:p w14:paraId="505498A1">
      <w:pPr>
        <w:pStyle w:val="62"/>
        <w:ind w:firstLine="464"/>
        <w:rPr>
          <w:rFonts w:hint="default" w:ascii="Times New Roman" w:hAnsi="Times New Roman" w:eastAsia="宋体" w:cs="Times New Roman"/>
          <w:color w:val="auto"/>
        </w:rPr>
        <w:sectPr>
          <w:footerReference r:id="rId5" w:type="default"/>
          <w:pgSz w:w="11906" w:h="16838"/>
          <w:pgMar w:top="1440" w:right="1797" w:bottom="1440" w:left="1797" w:header="851" w:footer="992" w:gutter="0"/>
          <w:pgBorders>
            <w:top w:val="none" w:sz="0" w:space="0"/>
            <w:left w:val="none" w:sz="0" w:space="0"/>
            <w:bottom w:val="none" w:sz="0" w:space="0"/>
            <w:right w:val="none" w:sz="0" w:space="0"/>
          </w:pgBorders>
          <w:pgNumType w:fmt="decimal"/>
          <w:cols w:space="720" w:num="1"/>
          <w:docGrid w:linePitch="312" w:charSpace="0"/>
        </w:sectPr>
      </w:pPr>
    </w:p>
    <w:p w14:paraId="58702C1B">
      <w:pPr>
        <w:pStyle w:val="3"/>
        <w:numPr>
          <w:ilvl w:val="0"/>
          <w:numId w:val="0"/>
        </w:numPr>
        <w:rPr>
          <w:rFonts w:hint="default" w:ascii="Times New Roman" w:hAnsi="Times New Roman" w:cs="Times New Roman"/>
        </w:rPr>
      </w:pPr>
      <w:bookmarkStart w:id="88" w:name="_Toc26544"/>
      <w:bookmarkStart w:id="89" w:name="_Toc24780"/>
      <w:bookmarkStart w:id="90" w:name="_Toc9988"/>
      <w:r>
        <w:rPr>
          <w:rFonts w:hint="default" w:ascii="Times New Roman" w:hAnsi="Times New Roman" w:cs="Times New Roman"/>
        </w:rPr>
        <w:t>1.总则</w:t>
      </w:r>
      <w:bookmarkEnd w:id="88"/>
      <w:bookmarkEnd w:id="89"/>
      <w:bookmarkEnd w:id="90"/>
    </w:p>
    <w:p w14:paraId="6258FCEB">
      <w:pPr>
        <w:numPr>
          <w:ilvl w:val="1"/>
          <w:numId w:val="16"/>
        </w:numPr>
        <w:autoSpaceDE w:val="0"/>
        <w:autoSpaceDN w:val="0"/>
        <w:adjustRightInd w:val="0"/>
        <w:spacing w:before="120" w:after="120" w:line="480" w:lineRule="exact"/>
        <w:ind w:left="0" w:firstLine="0"/>
        <w:outlineLvl w:val="1"/>
        <w:rPr>
          <w:rFonts w:hint="default" w:ascii="Times New Roman" w:hAnsi="Times New Roman" w:eastAsia="黑体" w:cs="Times New Roman"/>
          <w:sz w:val="28"/>
          <w:szCs w:val="21"/>
          <w14:ligatures w14:val="standardContextual"/>
        </w:rPr>
      </w:pPr>
      <w:bookmarkStart w:id="91" w:name="_Toc22624"/>
      <w:bookmarkStart w:id="92" w:name="_Toc15803"/>
      <w:r>
        <w:rPr>
          <w:rFonts w:hint="default" w:ascii="Times New Roman" w:hAnsi="Times New Roman" w:eastAsia="黑体" w:cs="Times New Roman"/>
          <w:sz w:val="28"/>
          <w:szCs w:val="21"/>
          <w14:ligatures w14:val="standardContextual"/>
        </w:rPr>
        <w:t>项目规模</w:t>
      </w:r>
      <w:bookmarkEnd w:id="91"/>
      <w:bookmarkEnd w:id="92"/>
    </w:p>
    <w:p w14:paraId="67144EE0">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cs="Times New Roman"/>
        </w:rPr>
      </w:pPr>
      <w:bookmarkStart w:id="93" w:name="_Toc20519"/>
      <w:bookmarkStart w:id="94" w:name="_Toc25005"/>
      <w:r>
        <w:rPr>
          <w:rFonts w:hint="default" w:ascii="Times New Roman" w:hAnsi="Times New Roman" w:eastAsia="宋体" w:cs="Times New Roman"/>
          <w:b w:val="0"/>
          <w:bCs w:val="0"/>
          <w:i w:val="0"/>
          <w:iCs w:val="0"/>
          <w:color w:val="000000"/>
          <w:spacing w:val="0"/>
          <w:w w:val="100"/>
          <w:sz w:val="24"/>
          <w:szCs w:val="24"/>
          <w:vertAlign w:val="baseline"/>
        </w:rPr>
        <w:t>本工程新建110kV变电站一座，为鸿泰鼎绿色新材料纺织产业园项目（一期）的配套用户变电站。</w:t>
      </w:r>
    </w:p>
    <w:p w14:paraId="6781AFDC">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cs="Times New Roman"/>
        </w:rPr>
      </w:pPr>
      <w:r>
        <w:rPr>
          <w:rFonts w:hint="default" w:ascii="Times New Roman" w:hAnsi="Times New Roman" w:eastAsia="宋体" w:cs="Times New Roman"/>
          <w:b w:val="0"/>
          <w:bCs w:val="0"/>
          <w:i w:val="0"/>
          <w:iCs w:val="0"/>
          <w:color w:val="000000"/>
          <w:spacing w:val="0"/>
          <w:w w:val="100"/>
          <w:sz w:val="24"/>
          <w:szCs w:val="24"/>
          <w:vertAlign w:val="baseline"/>
        </w:rPr>
        <w:t>变电站工程内容包括：新建110kV变电站一座，主变容量2×63MVA（SZ□-63000/110型），主变采用户外布置，110kV配电装置采用户内GIS布置，10kV配电装置采用户内金属铠装移开式开关柜布置，无功补偿装置（4×5Mvar）、接地变及小电阻接地成套装置（2套）、站用变（2×200kVA）等均采用户内布置，110kV出线2回，破口接入110kV尉针二线，分别至尉犁220kV变、针织园110kV变，线路长约4.2km，本期不包含输电线路的评价内容。</w:t>
      </w:r>
    </w:p>
    <w:p w14:paraId="32208B89">
      <w:pPr>
        <w:numPr>
          <w:ilvl w:val="1"/>
          <w:numId w:val="16"/>
        </w:numPr>
        <w:autoSpaceDE w:val="0"/>
        <w:autoSpaceDN w:val="0"/>
        <w:adjustRightInd w:val="0"/>
        <w:spacing w:before="120" w:after="120" w:line="480" w:lineRule="exact"/>
        <w:ind w:left="0" w:firstLine="0"/>
        <w:outlineLvl w:val="1"/>
        <w:rPr>
          <w:rFonts w:hint="default" w:ascii="Times New Roman" w:hAnsi="Times New Roman" w:eastAsia="黑体" w:cs="Times New Roman"/>
          <w:sz w:val="28"/>
          <w:szCs w:val="21"/>
          <w14:ligatures w14:val="standardContextual"/>
        </w:rPr>
      </w:pPr>
      <w:r>
        <w:rPr>
          <w:rFonts w:hint="default" w:ascii="Times New Roman" w:hAnsi="Times New Roman" w:eastAsia="黑体" w:cs="Times New Roman"/>
          <w:sz w:val="28"/>
          <w:szCs w:val="21"/>
          <w14:ligatures w14:val="standardContextual"/>
        </w:rPr>
        <w:t>评价目的</w:t>
      </w:r>
      <w:bookmarkEnd w:id="93"/>
      <w:bookmarkEnd w:id="94"/>
    </w:p>
    <w:p w14:paraId="2595E5A1">
      <w:pPr>
        <w:spacing w:line="480" w:lineRule="exact"/>
        <w:ind w:firstLine="480" w:firstLineChars="200"/>
        <w:rPr>
          <w:rFonts w:hint="default" w:ascii="Times New Roman" w:hAnsi="Times New Roman" w:cs="Times New Roman"/>
          <w:kern w:val="0"/>
          <w:sz w:val="24"/>
        </w:rPr>
      </w:pPr>
      <w:r>
        <w:rPr>
          <w:rFonts w:hint="eastAsia" w:cs="Times New Roman"/>
          <w:sz w:val="24"/>
          <w:lang w:eastAsia="zh-CN"/>
        </w:rPr>
        <w:t>根据</w:t>
      </w:r>
      <w:r>
        <w:rPr>
          <w:rFonts w:hint="default" w:ascii="Times New Roman" w:hAnsi="Times New Roman" w:cs="Times New Roman"/>
          <w:sz w:val="24"/>
        </w:rPr>
        <w:t>《中华人民共和国生态环境法典</w:t>
      </w:r>
      <w:r>
        <w:rPr>
          <w:rFonts w:hint="eastAsia" w:cs="Times New Roman"/>
          <w:sz w:val="24"/>
          <w:lang w:eastAsia="zh-CN"/>
        </w:rPr>
        <w:t>》《</w:t>
      </w:r>
      <w:r>
        <w:rPr>
          <w:rFonts w:hint="default" w:ascii="Times New Roman" w:hAnsi="Times New Roman" w:cs="Times New Roman"/>
          <w:sz w:val="24"/>
        </w:rPr>
        <w:t>建设项目环境保护管理条例》等有关法律法规，为切实做好项目的环境保护工作，使输变电事业与环境保护协调发展，控制电磁环境污染、避害扬利、保障公众健康</w:t>
      </w:r>
      <w:r>
        <w:rPr>
          <w:rFonts w:hint="default" w:ascii="Times New Roman" w:hAnsi="Times New Roman" w:cs="Times New Roman"/>
          <w:kern w:val="0"/>
          <w:sz w:val="24"/>
        </w:rPr>
        <w:t>，新疆鸿泰鼎新材料科技有限公司委托我单</w:t>
      </w:r>
      <w:r>
        <w:rPr>
          <w:rFonts w:hint="default" w:ascii="Times New Roman" w:hAnsi="Times New Roman" w:cs="Times New Roman"/>
          <w:sz w:val="24"/>
        </w:rPr>
        <w:t>位</w:t>
      </w:r>
      <w:r>
        <w:rPr>
          <w:rFonts w:hint="default" w:ascii="Times New Roman" w:hAnsi="Times New Roman" w:cs="Times New Roman"/>
          <w:kern w:val="0"/>
          <w:sz w:val="24"/>
        </w:rPr>
        <w:t>承担本项目</w:t>
      </w:r>
      <w:r>
        <w:rPr>
          <w:rFonts w:hint="default" w:ascii="Times New Roman" w:hAnsi="Times New Roman" w:cs="Times New Roman"/>
          <w:kern w:val="0"/>
          <w:sz w:val="24"/>
          <w:lang w:val="en-US" w:eastAsia="zh-CN"/>
        </w:rPr>
        <w:t>变电站</w:t>
      </w:r>
      <w:r>
        <w:rPr>
          <w:rFonts w:hint="default" w:ascii="Times New Roman" w:hAnsi="Times New Roman" w:cs="Times New Roman"/>
          <w:kern w:val="0"/>
          <w:sz w:val="24"/>
        </w:rPr>
        <w:t>的电磁环境影响评价工作，分析说明本项目</w:t>
      </w:r>
      <w:r>
        <w:rPr>
          <w:rFonts w:hint="default" w:ascii="Times New Roman" w:hAnsi="Times New Roman" w:cs="Times New Roman"/>
          <w:kern w:val="0"/>
          <w:sz w:val="24"/>
          <w:lang w:eastAsia="zh-CN"/>
        </w:rPr>
        <w:t>变电站</w:t>
      </w:r>
      <w:r>
        <w:rPr>
          <w:rFonts w:hint="default" w:ascii="Times New Roman" w:hAnsi="Times New Roman" w:cs="Times New Roman"/>
          <w:kern w:val="0"/>
          <w:sz w:val="24"/>
        </w:rPr>
        <w:t>建设运行后电磁环境影响的情况。</w:t>
      </w:r>
    </w:p>
    <w:p w14:paraId="029729AF">
      <w:pPr>
        <w:numPr>
          <w:ilvl w:val="1"/>
          <w:numId w:val="16"/>
        </w:numPr>
        <w:autoSpaceDE w:val="0"/>
        <w:autoSpaceDN w:val="0"/>
        <w:adjustRightInd w:val="0"/>
        <w:spacing w:before="120" w:after="120" w:line="480" w:lineRule="exact"/>
        <w:ind w:left="0" w:firstLine="0"/>
        <w:outlineLvl w:val="1"/>
        <w:rPr>
          <w:rFonts w:hint="default" w:ascii="Times New Roman" w:hAnsi="Times New Roman" w:eastAsia="黑体" w:cs="Times New Roman"/>
          <w:sz w:val="28"/>
          <w:szCs w:val="21"/>
          <w14:ligatures w14:val="standardContextual"/>
        </w:rPr>
      </w:pPr>
      <w:bookmarkStart w:id="95" w:name="_Toc32519"/>
      <w:bookmarkStart w:id="96" w:name="_Toc9586"/>
      <w:r>
        <w:rPr>
          <w:rFonts w:hint="default" w:ascii="Times New Roman" w:hAnsi="Times New Roman" w:eastAsia="黑体" w:cs="Times New Roman"/>
          <w:sz w:val="28"/>
          <w:szCs w:val="21"/>
          <w14:ligatures w14:val="standardContextual"/>
        </w:rPr>
        <w:t>评价依据</w:t>
      </w:r>
      <w:bookmarkEnd w:id="95"/>
      <w:bookmarkEnd w:id="96"/>
    </w:p>
    <w:p w14:paraId="7C26CA07">
      <w:pPr>
        <w:spacing w:line="480" w:lineRule="exact"/>
        <w:ind w:firstLine="522"/>
        <w:rPr>
          <w:rFonts w:hint="default" w:ascii="Times New Roman" w:hAnsi="Times New Roman" w:eastAsia="黑体" w:cs="Times New Roman"/>
          <w:bCs/>
          <w:sz w:val="24"/>
          <w:szCs w:val="21"/>
        </w:rPr>
      </w:pPr>
      <w:bookmarkStart w:id="97" w:name="_Toc513746282"/>
      <w:bookmarkStart w:id="98" w:name="_Toc28936"/>
      <w:bookmarkStart w:id="99" w:name="_Toc3868"/>
      <w:bookmarkStart w:id="100" w:name="_Toc15204"/>
      <w:r>
        <w:rPr>
          <w:rFonts w:hint="default" w:ascii="Times New Roman" w:hAnsi="Times New Roman" w:eastAsia="黑体" w:cs="Times New Roman"/>
          <w:bCs/>
          <w:sz w:val="24"/>
          <w:szCs w:val="21"/>
        </w:rPr>
        <w:t>1.3.1国家法律、法规及相关规范</w:t>
      </w:r>
      <w:bookmarkEnd w:id="97"/>
      <w:bookmarkEnd w:id="98"/>
      <w:bookmarkEnd w:id="99"/>
      <w:bookmarkEnd w:id="100"/>
    </w:p>
    <w:p w14:paraId="5AA7E6C8">
      <w:pPr>
        <w:spacing w:line="480" w:lineRule="exact"/>
        <w:ind w:firstLine="480" w:firstLineChars="200"/>
        <w:rPr>
          <w:rFonts w:hint="default" w:ascii="Times New Roman" w:hAnsi="Times New Roman" w:cs="Times New Roman"/>
          <w:sz w:val="24"/>
        </w:rPr>
      </w:pPr>
      <w:bookmarkStart w:id="101" w:name="_Toc513746283"/>
      <w:r>
        <w:rPr>
          <w:rFonts w:hint="default" w:ascii="Times New Roman" w:hAnsi="Times New Roman" w:cs="Times New Roman"/>
          <w:sz w:val="24"/>
        </w:rPr>
        <w:t>（1）《中华人民共和国生态环境法典》（2026年3月12日通过，2026年8月15日施行）；</w:t>
      </w:r>
    </w:p>
    <w:p w14:paraId="764D7087">
      <w:pPr>
        <w:spacing w:line="480" w:lineRule="exact"/>
        <w:ind w:firstLine="480" w:firstLineChars="200"/>
        <w:rPr>
          <w:rFonts w:hint="default" w:ascii="Times New Roman" w:hAnsi="Times New Roman" w:cs="Times New Roman"/>
          <w:sz w:val="24"/>
        </w:rPr>
      </w:pPr>
      <w:r>
        <w:rPr>
          <w:rFonts w:hint="default" w:ascii="Times New Roman" w:hAnsi="Times New Roman" w:cs="Times New Roman"/>
          <w:sz w:val="24"/>
        </w:rPr>
        <w:t>（</w:t>
      </w:r>
      <w:r>
        <w:rPr>
          <w:rFonts w:hint="default" w:ascii="Times New Roman" w:hAnsi="Times New Roman" w:cs="Times New Roman"/>
          <w:sz w:val="24"/>
          <w:lang w:val="en-US" w:eastAsia="zh-CN"/>
        </w:rPr>
        <w:t>2</w:t>
      </w:r>
      <w:r>
        <w:rPr>
          <w:rFonts w:hint="default" w:ascii="Times New Roman" w:hAnsi="Times New Roman" w:cs="Times New Roman"/>
          <w:sz w:val="24"/>
        </w:rPr>
        <w:t>）</w:t>
      </w:r>
      <w:r>
        <w:rPr>
          <w:rFonts w:hint="default" w:ascii="Times New Roman" w:hAnsi="Times New Roman" w:cs="Times New Roman"/>
          <w:snapToGrid w:val="0"/>
          <w:sz w:val="24"/>
        </w:rPr>
        <w:t>《中华人民共和国电力法》（2018年12月29日修订并实施）</w:t>
      </w:r>
      <w:r>
        <w:rPr>
          <w:rFonts w:hint="default" w:ascii="Times New Roman" w:hAnsi="Times New Roman" w:cs="Times New Roman"/>
          <w:sz w:val="24"/>
        </w:rPr>
        <w:t>；</w:t>
      </w:r>
    </w:p>
    <w:p w14:paraId="13E2DE23">
      <w:pPr>
        <w:spacing w:line="480" w:lineRule="exact"/>
        <w:ind w:firstLine="480" w:firstLineChars="200"/>
        <w:rPr>
          <w:rFonts w:hint="default" w:ascii="Times New Roman" w:hAnsi="Times New Roman" w:cs="Times New Roman"/>
          <w:sz w:val="24"/>
        </w:rPr>
      </w:pPr>
      <w:r>
        <w:rPr>
          <w:rFonts w:hint="default" w:ascii="Times New Roman" w:hAnsi="Times New Roman" w:cs="Times New Roman"/>
          <w:sz w:val="24"/>
        </w:rPr>
        <w:t>（</w:t>
      </w:r>
      <w:r>
        <w:rPr>
          <w:rFonts w:hint="default" w:ascii="Times New Roman" w:hAnsi="Times New Roman" w:cs="Times New Roman"/>
          <w:sz w:val="24"/>
          <w:lang w:val="en-US" w:eastAsia="zh-CN"/>
        </w:rPr>
        <w:t>3</w:t>
      </w:r>
      <w:r>
        <w:rPr>
          <w:rFonts w:hint="default" w:ascii="Times New Roman" w:hAnsi="Times New Roman" w:cs="Times New Roman"/>
          <w:sz w:val="24"/>
        </w:rPr>
        <w:t>）</w:t>
      </w:r>
      <w:r>
        <w:rPr>
          <w:rFonts w:hint="default" w:ascii="Times New Roman" w:hAnsi="Times New Roman" w:cs="Times New Roman"/>
          <w:snapToGrid w:val="0"/>
          <w:sz w:val="24"/>
        </w:rPr>
        <w:t>《建设项目环境保护管理条例》（国务院令（2017）第682号，2017年6月21日修订，2017年10月1日起施行）；</w:t>
      </w:r>
    </w:p>
    <w:p w14:paraId="01709832">
      <w:pPr>
        <w:spacing w:line="480" w:lineRule="exact"/>
        <w:ind w:firstLine="480" w:firstLineChars="200"/>
        <w:rPr>
          <w:rFonts w:hint="default" w:ascii="Times New Roman" w:hAnsi="Times New Roman" w:cs="Times New Roman"/>
          <w:sz w:val="24"/>
        </w:rPr>
      </w:pPr>
      <w:r>
        <w:rPr>
          <w:rFonts w:hint="default" w:ascii="Times New Roman" w:hAnsi="Times New Roman" w:cs="Times New Roman"/>
          <w:sz w:val="24"/>
        </w:rPr>
        <w:t>（</w:t>
      </w:r>
      <w:r>
        <w:rPr>
          <w:rFonts w:hint="default" w:ascii="Times New Roman" w:hAnsi="Times New Roman" w:cs="Times New Roman"/>
          <w:sz w:val="24"/>
          <w:lang w:val="en-US" w:eastAsia="zh-CN"/>
        </w:rPr>
        <w:t>4</w:t>
      </w:r>
      <w:r>
        <w:rPr>
          <w:rFonts w:hint="default" w:ascii="Times New Roman" w:hAnsi="Times New Roman" w:cs="Times New Roman"/>
          <w:sz w:val="24"/>
        </w:rPr>
        <w:t>）《建设项目环境影响评价分类管理名录（2021年版）》（生态环境部令〔2020〕第16号，2021年1月1日）；</w:t>
      </w:r>
    </w:p>
    <w:p w14:paraId="578B6179">
      <w:pPr>
        <w:spacing w:line="480" w:lineRule="exact"/>
        <w:ind w:firstLine="480" w:firstLineChars="200"/>
        <w:rPr>
          <w:rFonts w:hint="default" w:ascii="Times New Roman" w:hAnsi="Times New Roman" w:cs="Times New Roman"/>
          <w:sz w:val="24"/>
        </w:rPr>
      </w:pPr>
      <w:r>
        <w:rPr>
          <w:rFonts w:hint="default" w:ascii="Times New Roman" w:hAnsi="Times New Roman" w:cs="Times New Roman"/>
          <w:sz w:val="24"/>
        </w:rPr>
        <w:t>（</w:t>
      </w:r>
      <w:r>
        <w:rPr>
          <w:rFonts w:hint="default" w:ascii="Times New Roman" w:hAnsi="Times New Roman" w:cs="Times New Roman"/>
          <w:sz w:val="24"/>
          <w:lang w:val="en-US" w:eastAsia="zh-CN"/>
        </w:rPr>
        <w:t>5</w:t>
      </w:r>
      <w:r>
        <w:rPr>
          <w:rFonts w:hint="default" w:ascii="Times New Roman" w:hAnsi="Times New Roman" w:cs="Times New Roman"/>
          <w:sz w:val="24"/>
        </w:rPr>
        <w:t>）《中华人民共和国电力设施保护条例》（国务院第239号令，2011年1月8日起第二次修订，2011年1月8日起施行）；</w:t>
      </w:r>
    </w:p>
    <w:p w14:paraId="1927385A">
      <w:pPr>
        <w:spacing w:line="480" w:lineRule="exact"/>
        <w:ind w:firstLine="480" w:firstLineChars="200"/>
        <w:rPr>
          <w:rFonts w:hint="default" w:ascii="Times New Roman" w:hAnsi="Times New Roman" w:cs="Times New Roman"/>
          <w:sz w:val="24"/>
        </w:rPr>
      </w:pPr>
      <w:r>
        <w:rPr>
          <w:rFonts w:hint="default" w:ascii="Times New Roman" w:hAnsi="Times New Roman" w:cs="Times New Roman"/>
          <w:sz w:val="24"/>
        </w:rPr>
        <w:t>（</w:t>
      </w:r>
      <w:r>
        <w:rPr>
          <w:rFonts w:hint="default" w:ascii="Times New Roman" w:hAnsi="Times New Roman" w:cs="Times New Roman"/>
          <w:sz w:val="24"/>
          <w:lang w:val="en-US" w:eastAsia="zh-CN"/>
        </w:rPr>
        <w:t>6</w:t>
      </w:r>
      <w:r>
        <w:rPr>
          <w:rFonts w:hint="default" w:ascii="Times New Roman" w:hAnsi="Times New Roman" w:cs="Times New Roman"/>
          <w:sz w:val="24"/>
        </w:rPr>
        <w:t>）《电力设施保护条例实施细则（修订本）》（2011年6月30日起施行）；</w:t>
      </w:r>
    </w:p>
    <w:p w14:paraId="10A98806">
      <w:pPr>
        <w:spacing w:line="480" w:lineRule="exact"/>
        <w:ind w:firstLine="480" w:firstLineChars="200"/>
        <w:rPr>
          <w:rFonts w:hint="default" w:ascii="Times New Roman" w:hAnsi="Times New Roman" w:cs="Times New Roman"/>
          <w:sz w:val="24"/>
        </w:rPr>
      </w:pPr>
      <w:r>
        <w:rPr>
          <w:rFonts w:hint="default" w:ascii="Times New Roman" w:hAnsi="Times New Roman" w:cs="Times New Roman"/>
          <w:sz w:val="24"/>
        </w:rPr>
        <w:t>（</w:t>
      </w:r>
      <w:r>
        <w:rPr>
          <w:rFonts w:hint="default" w:ascii="Times New Roman" w:hAnsi="Times New Roman" w:cs="Times New Roman"/>
          <w:sz w:val="24"/>
          <w:lang w:val="en-US" w:eastAsia="zh-CN"/>
        </w:rPr>
        <w:t>7</w:t>
      </w:r>
      <w:r>
        <w:rPr>
          <w:rFonts w:hint="default" w:ascii="Times New Roman" w:hAnsi="Times New Roman" w:cs="Times New Roman"/>
          <w:sz w:val="24"/>
        </w:rPr>
        <w:t>）《关于进一步加强环境影响评价管理防范环境风险的通知》（环发〔2012〕77号，2012年7月3日起施行）；</w:t>
      </w:r>
    </w:p>
    <w:p w14:paraId="52D411EA">
      <w:pPr>
        <w:spacing w:line="480" w:lineRule="exact"/>
        <w:ind w:firstLine="480" w:firstLineChars="200"/>
        <w:rPr>
          <w:rFonts w:hint="default" w:ascii="Times New Roman" w:hAnsi="Times New Roman" w:cs="Times New Roman"/>
          <w:sz w:val="24"/>
        </w:rPr>
      </w:pPr>
      <w:r>
        <w:rPr>
          <w:rFonts w:hint="default" w:ascii="Times New Roman" w:hAnsi="Times New Roman" w:cs="Times New Roman"/>
          <w:sz w:val="24"/>
        </w:rPr>
        <w:t>（</w:t>
      </w:r>
      <w:r>
        <w:rPr>
          <w:rFonts w:hint="default" w:ascii="Times New Roman" w:hAnsi="Times New Roman" w:cs="Times New Roman"/>
          <w:sz w:val="24"/>
          <w:lang w:val="en-US" w:eastAsia="zh-CN"/>
        </w:rPr>
        <w:t>8</w:t>
      </w:r>
      <w:r>
        <w:rPr>
          <w:rFonts w:hint="default" w:ascii="Times New Roman" w:hAnsi="Times New Roman" w:cs="Times New Roman"/>
          <w:sz w:val="24"/>
        </w:rPr>
        <w:t>）《产业结构调整指导目录（2024年本）》（中华人民共和国国家发展和改革委员会，2024年2月1日起施行）</w:t>
      </w:r>
      <w:r>
        <w:rPr>
          <w:rFonts w:hint="default" w:ascii="Times New Roman" w:hAnsi="Times New Roman" w:cs="Times New Roman"/>
          <w:snapToGrid w:val="0"/>
          <w:sz w:val="24"/>
        </w:rPr>
        <w:t>；</w:t>
      </w:r>
    </w:p>
    <w:p w14:paraId="2CC01FA4">
      <w:pPr>
        <w:spacing w:line="480" w:lineRule="exact"/>
        <w:ind w:firstLine="480" w:firstLineChars="200"/>
        <w:rPr>
          <w:rFonts w:hint="default" w:ascii="Times New Roman" w:hAnsi="Times New Roman" w:cs="Times New Roman"/>
          <w:sz w:val="24"/>
        </w:rPr>
      </w:pPr>
      <w:r>
        <w:rPr>
          <w:rFonts w:hint="default" w:ascii="Times New Roman" w:hAnsi="Times New Roman" w:cs="Times New Roman"/>
          <w:sz w:val="24"/>
        </w:rPr>
        <w:t>（</w:t>
      </w:r>
      <w:r>
        <w:rPr>
          <w:rFonts w:hint="default" w:ascii="Times New Roman" w:hAnsi="Times New Roman" w:cs="Times New Roman"/>
          <w:sz w:val="24"/>
          <w:lang w:val="en-US" w:eastAsia="zh-CN"/>
        </w:rPr>
        <w:t>9</w:t>
      </w:r>
      <w:r>
        <w:rPr>
          <w:rFonts w:hint="default" w:ascii="Times New Roman" w:hAnsi="Times New Roman" w:cs="Times New Roman"/>
          <w:sz w:val="24"/>
        </w:rPr>
        <w:t>）《关于进一步加强输变电类建设项目环境保护监管工作的通知》（环办〔2012〕131号，2012年10月26日起施行）；</w:t>
      </w:r>
    </w:p>
    <w:p w14:paraId="1EC47FE2">
      <w:pPr>
        <w:spacing w:line="480" w:lineRule="exact"/>
        <w:ind w:firstLine="480" w:firstLineChars="200"/>
        <w:rPr>
          <w:rFonts w:hint="default" w:ascii="Times New Roman" w:hAnsi="Times New Roman" w:cs="Times New Roman"/>
          <w:sz w:val="24"/>
        </w:rPr>
      </w:pPr>
      <w:r>
        <w:rPr>
          <w:rFonts w:hint="default" w:ascii="Times New Roman" w:hAnsi="Times New Roman" w:cs="Times New Roman"/>
          <w:sz w:val="24"/>
        </w:rPr>
        <w:t>（</w:t>
      </w:r>
      <w:r>
        <w:rPr>
          <w:rFonts w:hint="default" w:ascii="Times New Roman" w:hAnsi="Times New Roman" w:cs="Times New Roman"/>
          <w:sz w:val="24"/>
          <w:lang w:val="en-US" w:eastAsia="zh-CN"/>
        </w:rPr>
        <w:t>10</w:t>
      </w:r>
      <w:r>
        <w:rPr>
          <w:rFonts w:hint="default" w:ascii="Times New Roman" w:hAnsi="Times New Roman" w:cs="Times New Roman"/>
          <w:sz w:val="24"/>
        </w:rPr>
        <w:t>）</w:t>
      </w:r>
      <w:r>
        <w:rPr>
          <w:rFonts w:hint="default" w:ascii="Times New Roman" w:hAnsi="Times New Roman" w:cs="Times New Roman"/>
          <w:snapToGrid w:val="0"/>
          <w:sz w:val="24"/>
        </w:rPr>
        <w:t>《新疆维吾尔自治区环境保护条例》（2018年9月21日实施）</w:t>
      </w:r>
      <w:r>
        <w:rPr>
          <w:rFonts w:hint="default" w:ascii="Times New Roman" w:hAnsi="Times New Roman" w:cs="Times New Roman"/>
          <w:sz w:val="24"/>
        </w:rPr>
        <w:t>。</w:t>
      </w:r>
    </w:p>
    <w:p w14:paraId="736ACFEC">
      <w:pPr>
        <w:spacing w:line="480" w:lineRule="exact"/>
        <w:ind w:firstLine="522"/>
        <w:rPr>
          <w:rFonts w:hint="default" w:ascii="Times New Roman" w:hAnsi="Times New Roman" w:eastAsia="黑体" w:cs="Times New Roman"/>
          <w:bCs/>
          <w:sz w:val="24"/>
          <w:szCs w:val="21"/>
        </w:rPr>
      </w:pPr>
      <w:bookmarkStart w:id="102" w:name="_Toc14638"/>
      <w:bookmarkStart w:id="103" w:name="_Toc13141"/>
      <w:r>
        <w:rPr>
          <w:rFonts w:hint="default" w:ascii="Times New Roman" w:hAnsi="Times New Roman" w:eastAsia="黑体" w:cs="Times New Roman"/>
          <w:bCs/>
          <w:sz w:val="24"/>
          <w:szCs w:val="21"/>
        </w:rPr>
        <w:t>1.3.2相关技术规范、导则</w:t>
      </w:r>
      <w:bookmarkEnd w:id="101"/>
      <w:bookmarkEnd w:id="102"/>
      <w:bookmarkEnd w:id="103"/>
    </w:p>
    <w:p w14:paraId="63B7943B">
      <w:pPr>
        <w:spacing w:line="480" w:lineRule="exact"/>
        <w:ind w:firstLine="480" w:firstLineChars="200"/>
        <w:rPr>
          <w:rFonts w:hint="default" w:ascii="Times New Roman" w:hAnsi="Times New Roman" w:cs="Times New Roman"/>
          <w:sz w:val="24"/>
        </w:rPr>
      </w:pPr>
      <w:r>
        <w:rPr>
          <w:rFonts w:hint="default" w:ascii="Times New Roman" w:hAnsi="Times New Roman" w:cs="Times New Roman"/>
          <w:sz w:val="24"/>
        </w:rPr>
        <w:t>（1）《建设项目环境影响评价技术导则总纲》（HJ2.1-2016）；</w:t>
      </w:r>
    </w:p>
    <w:p w14:paraId="14BE933F">
      <w:pPr>
        <w:spacing w:line="480" w:lineRule="exact"/>
        <w:ind w:firstLine="480" w:firstLineChars="200"/>
        <w:rPr>
          <w:rFonts w:hint="default" w:ascii="Times New Roman" w:hAnsi="Times New Roman" w:cs="Times New Roman"/>
          <w:sz w:val="24"/>
        </w:rPr>
      </w:pPr>
      <w:r>
        <w:rPr>
          <w:rFonts w:hint="default" w:ascii="Times New Roman" w:hAnsi="Times New Roman" w:cs="Times New Roman"/>
          <w:sz w:val="24"/>
        </w:rPr>
        <w:t>（2）《环境影响评价技术导则</w:t>
      </w:r>
      <w:r>
        <w:rPr>
          <w:rFonts w:hint="default" w:ascii="Times New Roman" w:hAnsi="Times New Roman" w:cs="Times New Roman"/>
          <w:sz w:val="24"/>
          <w:lang w:val="en-US" w:eastAsia="zh-CN"/>
        </w:rPr>
        <w:t xml:space="preserve"> </w:t>
      </w:r>
      <w:r>
        <w:rPr>
          <w:rFonts w:hint="default" w:ascii="Times New Roman" w:hAnsi="Times New Roman" w:cs="Times New Roman"/>
          <w:sz w:val="24"/>
        </w:rPr>
        <w:t>输变电》（HJ24-2020）；</w:t>
      </w:r>
    </w:p>
    <w:p w14:paraId="6E239C5E">
      <w:pPr>
        <w:spacing w:line="480" w:lineRule="exact"/>
        <w:ind w:firstLine="480" w:firstLineChars="200"/>
        <w:rPr>
          <w:rFonts w:hint="default" w:ascii="Times New Roman" w:hAnsi="Times New Roman" w:cs="Times New Roman"/>
          <w:sz w:val="24"/>
        </w:rPr>
      </w:pPr>
      <w:r>
        <w:rPr>
          <w:rFonts w:hint="default" w:ascii="Times New Roman" w:hAnsi="Times New Roman" w:cs="Times New Roman"/>
          <w:sz w:val="24"/>
        </w:rPr>
        <w:t>（3）《电磁环境控制限值》（GB8702-2014）；</w:t>
      </w:r>
    </w:p>
    <w:p w14:paraId="6732C319">
      <w:pPr>
        <w:spacing w:line="480" w:lineRule="exact"/>
        <w:ind w:firstLine="480" w:firstLineChars="200"/>
        <w:rPr>
          <w:rFonts w:hint="default" w:ascii="Times New Roman" w:hAnsi="Times New Roman" w:cs="Times New Roman"/>
          <w:sz w:val="24"/>
        </w:rPr>
      </w:pPr>
      <w:r>
        <w:rPr>
          <w:rFonts w:hint="default" w:ascii="Times New Roman" w:hAnsi="Times New Roman" w:cs="Times New Roman"/>
          <w:sz w:val="24"/>
        </w:rPr>
        <w:t>（4）《交流输变电工程电磁环境监测方法（试行）》（HJ681-2013）；</w:t>
      </w:r>
    </w:p>
    <w:p w14:paraId="21738727">
      <w:pPr>
        <w:spacing w:line="480" w:lineRule="exact"/>
        <w:ind w:firstLine="480" w:firstLineChars="200"/>
        <w:rPr>
          <w:rFonts w:hint="default" w:ascii="Times New Roman" w:hAnsi="Times New Roman" w:cs="Times New Roman"/>
          <w:sz w:val="24"/>
        </w:rPr>
      </w:pPr>
      <w:r>
        <w:rPr>
          <w:rFonts w:hint="default" w:ascii="Times New Roman" w:hAnsi="Times New Roman" w:cs="Times New Roman"/>
          <w:sz w:val="24"/>
        </w:rPr>
        <w:t>（5）《输变电建设项目环境保护技术要求》（HJ1113-2020）。</w:t>
      </w:r>
    </w:p>
    <w:p w14:paraId="68149A50">
      <w:pPr>
        <w:spacing w:line="480" w:lineRule="exact"/>
        <w:ind w:firstLine="522"/>
        <w:rPr>
          <w:rFonts w:hint="default" w:ascii="Times New Roman" w:hAnsi="Times New Roman" w:eastAsia="黑体" w:cs="Times New Roman"/>
          <w:bCs/>
          <w:sz w:val="24"/>
          <w:szCs w:val="21"/>
        </w:rPr>
      </w:pPr>
      <w:bookmarkStart w:id="104" w:name="_Toc513746284"/>
      <w:bookmarkStart w:id="105" w:name="_Toc27346"/>
      <w:bookmarkStart w:id="106" w:name="_Toc28859"/>
      <w:bookmarkStart w:id="107" w:name="_Toc19571"/>
      <w:r>
        <w:rPr>
          <w:rFonts w:hint="default" w:ascii="Times New Roman" w:hAnsi="Times New Roman" w:eastAsia="黑体" w:cs="Times New Roman"/>
          <w:bCs/>
          <w:sz w:val="24"/>
          <w:szCs w:val="21"/>
        </w:rPr>
        <w:t>1.3.3技术文件和技术资料</w:t>
      </w:r>
      <w:bookmarkEnd w:id="104"/>
      <w:bookmarkEnd w:id="105"/>
      <w:bookmarkEnd w:id="106"/>
      <w:bookmarkEnd w:id="107"/>
    </w:p>
    <w:p w14:paraId="7970E346">
      <w:pPr>
        <w:spacing w:line="480" w:lineRule="exact"/>
        <w:ind w:firstLine="480" w:firstLineChars="200"/>
        <w:rPr>
          <w:rFonts w:hint="default" w:ascii="Times New Roman" w:hAnsi="Times New Roman" w:eastAsia="宋体" w:cs="Times New Roman"/>
          <w:sz w:val="24"/>
          <w:lang w:eastAsia="zh-CN"/>
        </w:rPr>
      </w:pPr>
      <w:bookmarkStart w:id="108" w:name="_Toc31634"/>
      <w:r>
        <w:rPr>
          <w:rFonts w:hint="default" w:ascii="Times New Roman" w:hAnsi="Times New Roman" w:cs="Times New Roman"/>
          <w:sz w:val="24"/>
        </w:rPr>
        <w:t>《新疆鸿泰鼎绿色新材料纺织产业园项目（一期）新建110kV变电站工程初步设计说明书》（新疆天成鲁源电气工程有限公司，202</w:t>
      </w:r>
      <w:r>
        <w:rPr>
          <w:rFonts w:hint="default" w:ascii="Times New Roman" w:hAnsi="Times New Roman" w:cs="Times New Roman"/>
          <w:sz w:val="24"/>
          <w:lang w:val="en-US" w:eastAsia="zh-CN"/>
        </w:rPr>
        <w:t>6</w:t>
      </w:r>
      <w:r>
        <w:rPr>
          <w:rFonts w:hint="default" w:ascii="Times New Roman" w:hAnsi="Times New Roman" w:cs="Times New Roman"/>
          <w:sz w:val="24"/>
        </w:rPr>
        <w:t>年</w:t>
      </w:r>
      <w:r>
        <w:rPr>
          <w:rFonts w:hint="default" w:ascii="Times New Roman" w:hAnsi="Times New Roman" w:cs="Times New Roman"/>
          <w:sz w:val="24"/>
          <w:lang w:val="en-US" w:eastAsia="zh-CN"/>
        </w:rPr>
        <w:t>9</w:t>
      </w:r>
      <w:r>
        <w:rPr>
          <w:rFonts w:hint="default" w:ascii="Times New Roman" w:hAnsi="Times New Roman" w:cs="Times New Roman"/>
          <w:sz w:val="24"/>
        </w:rPr>
        <w:t>月）</w:t>
      </w:r>
      <w:r>
        <w:rPr>
          <w:rFonts w:hint="default" w:ascii="Times New Roman" w:hAnsi="Times New Roman" w:cs="Times New Roman"/>
          <w:sz w:val="24"/>
          <w:lang w:eastAsia="zh-CN"/>
        </w:rPr>
        <w:t>。</w:t>
      </w:r>
    </w:p>
    <w:p w14:paraId="7BDF6EE8">
      <w:pPr>
        <w:numPr>
          <w:ilvl w:val="1"/>
          <w:numId w:val="16"/>
        </w:numPr>
        <w:autoSpaceDE w:val="0"/>
        <w:autoSpaceDN w:val="0"/>
        <w:adjustRightInd w:val="0"/>
        <w:spacing w:before="120" w:after="120" w:line="480" w:lineRule="exact"/>
        <w:ind w:left="0" w:firstLine="0"/>
        <w:outlineLvl w:val="1"/>
        <w:rPr>
          <w:rFonts w:hint="default" w:ascii="Times New Roman" w:hAnsi="Times New Roman" w:eastAsia="黑体" w:cs="Times New Roman"/>
          <w:sz w:val="28"/>
          <w:szCs w:val="21"/>
          <w14:ligatures w14:val="standardContextual"/>
        </w:rPr>
      </w:pPr>
      <w:bookmarkStart w:id="109" w:name="_Toc7958"/>
      <w:r>
        <w:rPr>
          <w:rFonts w:hint="default" w:ascii="Times New Roman" w:hAnsi="Times New Roman" w:eastAsia="黑体" w:cs="Times New Roman"/>
          <w:sz w:val="28"/>
          <w:szCs w:val="21"/>
          <w14:ligatures w14:val="standardContextual"/>
        </w:rPr>
        <w:t>评价因子、评价等级、评价范围</w:t>
      </w:r>
      <w:bookmarkEnd w:id="108"/>
      <w:bookmarkEnd w:id="109"/>
    </w:p>
    <w:p w14:paraId="45AEA74D">
      <w:pPr>
        <w:spacing w:line="480" w:lineRule="exact"/>
        <w:ind w:firstLine="480" w:firstLineChars="200"/>
        <w:rPr>
          <w:rFonts w:hint="default" w:ascii="Times New Roman" w:hAnsi="Times New Roman" w:cs="Times New Roman"/>
          <w:sz w:val="24"/>
        </w:rPr>
      </w:pPr>
      <w:r>
        <w:rPr>
          <w:rFonts w:hint="default" w:ascii="Times New Roman" w:hAnsi="Times New Roman" w:cs="Times New Roman"/>
          <w:sz w:val="24"/>
        </w:rPr>
        <w:t>（1）评价因子</w:t>
      </w:r>
    </w:p>
    <w:p w14:paraId="585519E6">
      <w:pPr>
        <w:spacing w:line="480" w:lineRule="exact"/>
        <w:ind w:firstLine="480" w:firstLineChars="200"/>
        <w:rPr>
          <w:rFonts w:hint="default" w:ascii="Times New Roman" w:hAnsi="Times New Roman" w:cs="Times New Roman"/>
          <w:sz w:val="24"/>
        </w:rPr>
      </w:pPr>
      <w:r>
        <w:rPr>
          <w:rFonts w:hint="default" w:ascii="Times New Roman" w:hAnsi="Times New Roman" w:cs="Times New Roman"/>
          <w:sz w:val="24"/>
        </w:rPr>
        <w:t>本项目</w:t>
      </w:r>
      <w:r>
        <w:rPr>
          <w:rFonts w:hint="default" w:ascii="Times New Roman" w:hAnsi="Times New Roman" w:cs="Times New Roman"/>
          <w:sz w:val="24"/>
          <w:lang w:val="en-US" w:eastAsia="zh-CN"/>
        </w:rPr>
        <w:t>变电站</w:t>
      </w:r>
      <w:r>
        <w:rPr>
          <w:rFonts w:hint="default" w:ascii="Times New Roman" w:hAnsi="Times New Roman" w:cs="Times New Roman"/>
          <w:sz w:val="24"/>
        </w:rPr>
        <w:t>为电压等级</w:t>
      </w:r>
      <w:r>
        <w:rPr>
          <w:rFonts w:hint="default" w:ascii="Times New Roman" w:hAnsi="Times New Roman" w:cs="Times New Roman"/>
          <w:sz w:val="24"/>
          <w:lang w:val="en-US" w:eastAsia="zh-CN"/>
        </w:rPr>
        <w:t>110</w:t>
      </w:r>
      <w:r>
        <w:rPr>
          <w:rFonts w:hint="default" w:ascii="Times New Roman" w:hAnsi="Times New Roman" w:cs="Times New Roman"/>
          <w:sz w:val="24"/>
        </w:rPr>
        <w:t>kV的输变电类项目，运行过程中会对周围电磁环境产生影响，其主要污染因子为工频电场和工频磁场，因此，选择工频电场和工频磁场作为本专题评价因子。</w:t>
      </w:r>
    </w:p>
    <w:p w14:paraId="53CF8018">
      <w:pPr>
        <w:spacing w:line="480" w:lineRule="exact"/>
        <w:ind w:firstLine="480" w:firstLineChars="200"/>
        <w:rPr>
          <w:rFonts w:hint="default" w:ascii="Times New Roman" w:hAnsi="Times New Roman" w:cs="Times New Roman"/>
          <w:sz w:val="24"/>
        </w:rPr>
      </w:pPr>
      <w:r>
        <w:rPr>
          <w:rFonts w:hint="default" w:ascii="Times New Roman" w:hAnsi="Times New Roman" w:cs="Times New Roman"/>
          <w:sz w:val="24"/>
        </w:rPr>
        <w:t>（2）评价等级</w:t>
      </w:r>
    </w:p>
    <w:p w14:paraId="5A71F601">
      <w:pPr>
        <w:spacing w:line="480" w:lineRule="exact"/>
        <w:ind w:firstLine="480" w:firstLineChars="200"/>
        <w:rPr>
          <w:rFonts w:hint="default" w:ascii="Times New Roman" w:hAnsi="Times New Roman" w:cs="Times New Roman"/>
          <w:sz w:val="24"/>
        </w:rPr>
      </w:pPr>
      <w:r>
        <w:rPr>
          <w:rFonts w:hint="default" w:ascii="Times New Roman" w:hAnsi="Times New Roman" w:cs="Times New Roman"/>
          <w:sz w:val="24"/>
        </w:rPr>
        <w:t>本项目</w:t>
      </w:r>
      <w:r>
        <w:rPr>
          <w:rFonts w:hint="default" w:ascii="Times New Roman" w:hAnsi="Times New Roman" w:cs="Times New Roman"/>
          <w:kern w:val="0"/>
          <w:sz w:val="24"/>
          <w:lang w:val="en-US" w:eastAsia="zh-CN"/>
        </w:rPr>
        <w:t>变电站</w:t>
      </w:r>
      <w:r>
        <w:rPr>
          <w:rFonts w:hint="default" w:ascii="Times New Roman" w:hAnsi="Times New Roman" w:cs="Times New Roman"/>
          <w:sz w:val="24"/>
        </w:rPr>
        <w:t>为</w:t>
      </w:r>
      <w:r>
        <w:rPr>
          <w:rFonts w:hint="default" w:ascii="Times New Roman" w:hAnsi="Times New Roman" w:cs="Times New Roman"/>
          <w:sz w:val="24"/>
          <w:lang w:val="en-US" w:eastAsia="zh-CN"/>
        </w:rPr>
        <w:t>110</w:t>
      </w:r>
      <w:r>
        <w:rPr>
          <w:rFonts w:hint="default" w:ascii="Times New Roman" w:hAnsi="Times New Roman" w:cs="Times New Roman"/>
          <w:sz w:val="24"/>
        </w:rPr>
        <w:t>kV电压等级的输变电类项目，根据《环境影响评价技术导则</w:t>
      </w:r>
      <w:r>
        <w:rPr>
          <w:rFonts w:hint="default" w:ascii="Times New Roman" w:hAnsi="Times New Roman" w:cs="Times New Roman"/>
          <w:sz w:val="24"/>
          <w:lang w:val="en-US" w:eastAsia="zh-CN"/>
        </w:rPr>
        <w:t xml:space="preserve"> </w:t>
      </w:r>
      <w:r>
        <w:rPr>
          <w:rFonts w:hint="default" w:ascii="Times New Roman" w:hAnsi="Times New Roman" w:cs="Times New Roman"/>
          <w:sz w:val="24"/>
        </w:rPr>
        <w:t>输变电》（HJ24-2020）评价工作等级划分原则，确定本项目工作等级，见对照表1</w:t>
      </w:r>
      <w:r>
        <w:rPr>
          <w:rFonts w:hint="default" w:ascii="Times New Roman" w:hAnsi="Times New Roman" w:cs="Times New Roman"/>
          <w:sz w:val="24"/>
          <w:lang w:val="en-US" w:eastAsia="zh-CN"/>
        </w:rPr>
        <w:t>.4</w:t>
      </w:r>
      <w:r>
        <w:rPr>
          <w:rFonts w:hint="default" w:ascii="Times New Roman" w:hAnsi="Times New Roman" w:cs="Times New Roman"/>
          <w:sz w:val="24"/>
        </w:rPr>
        <w:t>-1，确定本项目变电站的电磁环境影响评价等级为二级。</w:t>
      </w:r>
    </w:p>
    <w:p w14:paraId="60F763AC">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黑体" w:cs="Times New Roman"/>
          <w:color w:val="000000"/>
          <w:highlight w:val="none"/>
        </w:rPr>
      </w:pPr>
      <w:r>
        <w:rPr>
          <w:rFonts w:hint="default" w:ascii="Times New Roman" w:hAnsi="Times New Roman" w:eastAsia="黑体" w:cs="Times New Roman"/>
          <w:color w:val="000000"/>
          <w:highlight w:val="none"/>
          <w:lang w:val="en-US" w:eastAsia="zh-CN"/>
        </w:rPr>
        <w:t xml:space="preserve">表1.4-1 </w:t>
      </w:r>
      <w:r>
        <w:rPr>
          <w:rFonts w:hint="default" w:ascii="Times New Roman" w:hAnsi="Times New Roman" w:eastAsia="黑体" w:cs="Times New Roman"/>
          <w:color w:val="000000"/>
          <w:highlight w:val="none"/>
        </w:rPr>
        <w:t>电磁环境影响评价工作等级划分原则</w:t>
      </w:r>
    </w:p>
    <w:tbl>
      <w:tblPr>
        <w:tblStyle w:val="4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0" w:type="dxa"/>
          <w:bottom w:w="57" w:type="dxa"/>
          <w:right w:w="0" w:type="dxa"/>
        </w:tblCellMar>
      </w:tblPr>
      <w:tblGrid>
        <w:gridCol w:w="587"/>
        <w:gridCol w:w="950"/>
        <w:gridCol w:w="764"/>
        <w:gridCol w:w="2490"/>
        <w:gridCol w:w="746"/>
        <w:gridCol w:w="2054"/>
        <w:gridCol w:w="731"/>
      </w:tblGrid>
      <w:tr w14:paraId="5C43B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rPr>
          <w:jc w:val="center"/>
        </w:trPr>
        <w:tc>
          <w:tcPr>
            <w:tcW w:w="353" w:type="pct"/>
            <w:vMerge w:val="restart"/>
            <w:vAlign w:val="center"/>
          </w:tcPr>
          <w:p w14:paraId="0DB79920">
            <w:pPr>
              <w:jc w:val="center"/>
              <w:rPr>
                <w:rFonts w:hint="default" w:ascii="Times New Roman" w:hAnsi="Times New Roman" w:cs="Times New Roman"/>
                <w:szCs w:val="21"/>
              </w:rPr>
            </w:pPr>
            <w:r>
              <w:rPr>
                <w:rFonts w:hint="default" w:ascii="Times New Roman" w:hAnsi="Times New Roman" w:cs="Times New Roman"/>
                <w:szCs w:val="21"/>
              </w:rPr>
              <w:t>分</w:t>
            </w:r>
          </w:p>
          <w:p w14:paraId="577A19B8">
            <w:pPr>
              <w:jc w:val="center"/>
              <w:rPr>
                <w:rFonts w:hint="default" w:ascii="Times New Roman" w:hAnsi="Times New Roman" w:cs="Times New Roman"/>
                <w:szCs w:val="21"/>
              </w:rPr>
            </w:pPr>
            <w:r>
              <w:rPr>
                <w:rFonts w:hint="default" w:ascii="Times New Roman" w:hAnsi="Times New Roman" w:cs="Times New Roman"/>
                <w:szCs w:val="21"/>
              </w:rPr>
              <w:t>类</w:t>
            </w:r>
          </w:p>
        </w:tc>
        <w:tc>
          <w:tcPr>
            <w:tcW w:w="571" w:type="pct"/>
            <w:vMerge w:val="restart"/>
            <w:vAlign w:val="center"/>
          </w:tcPr>
          <w:p w14:paraId="0239916C">
            <w:pPr>
              <w:jc w:val="center"/>
              <w:rPr>
                <w:rFonts w:hint="default" w:ascii="Times New Roman" w:hAnsi="Times New Roman" w:cs="Times New Roman"/>
                <w:szCs w:val="21"/>
              </w:rPr>
            </w:pPr>
            <w:r>
              <w:rPr>
                <w:rFonts w:hint="default" w:ascii="Times New Roman" w:hAnsi="Times New Roman" w:cs="Times New Roman"/>
                <w:szCs w:val="21"/>
              </w:rPr>
              <w:t>电压</w:t>
            </w:r>
          </w:p>
          <w:p w14:paraId="758C8D16">
            <w:pPr>
              <w:jc w:val="center"/>
              <w:rPr>
                <w:rFonts w:hint="default" w:ascii="Times New Roman" w:hAnsi="Times New Roman" w:cs="Times New Roman"/>
                <w:szCs w:val="21"/>
              </w:rPr>
            </w:pPr>
            <w:r>
              <w:rPr>
                <w:rFonts w:hint="default" w:ascii="Times New Roman" w:hAnsi="Times New Roman" w:cs="Times New Roman"/>
                <w:szCs w:val="21"/>
              </w:rPr>
              <w:t>等级</w:t>
            </w:r>
          </w:p>
        </w:tc>
        <w:tc>
          <w:tcPr>
            <w:tcW w:w="459" w:type="pct"/>
            <w:vMerge w:val="restart"/>
            <w:vAlign w:val="center"/>
          </w:tcPr>
          <w:p w14:paraId="2C0D6F52">
            <w:pPr>
              <w:jc w:val="center"/>
              <w:rPr>
                <w:rFonts w:hint="default" w:ascii="Times New Roman" w:hAnsi="Times New Roman" w:cs="Times New Roman"/>
                <w:szCs w:val="21"/>
              </w:rPr>
            </w:pPr>
            <w:r>
              <w:rPr>
                <w:rFonts w:hint="default" w:ascii="Times New Roman" w:hAnsi="Times New Roman" w:cs="Times New Roman"/>
                <w:szCs w:val="21"/>
              </w:rPr>
              <w:t>工程</w:t>
            </w:r>
          </w:p>
        </w:tc>
        <w:tc>
          <w:tcPr>
            <w:tcW w:w="1496" w:type="pct"/>
            <w:vMerge w:val="restart"/>
            <w:vAlign w:val="center"/>
          </w:tcPr>
          <w:p w14:paraId="1A745D9B">
            <w:pPr>
              <w:jc w:val="center"/>
              <w:rPr>
                <w:rFonts w:hint="default" w:ascii="Times New Roman" w:hAnsi="Times New Roman" w:cs="Times New Roman"/>
                <w:szCs w:val="21"/>
              </w:rPr>
            </w:pPr>
            <w:r>
              <w:rPr>
                <w:rFonts w:hint="default" w:ascii="Times New Roman" w:hAnsi="Times New Roman" w:cs="Times New Roman"/>
                <w:szCs w:val="21"/>
              </w:rPr>
              <w:t>条件</w:t>
            </w:r>
          </w:p>
        </w:tc>
        <w:tc>
          <w:tcPr>
            <w:tcW w:w="448" w:type="pct"/>
            <w:vMerge w:val="restart"/>
            <w:vAlign w:val="center"/>
          </w:tcPr>
          <w:p w14:paraId="7D37BB5A">
            <w:pPr>
              <w:jc w:val="center"/>
              <w:rPr>
                <w:rFonts w:hint="default" w:ascii="Times New Roman" w:hAnsi="Times New Roman" w:cs="Times New Roman"/>
                <w:szCs w:val="21"/>
              </w:rPr>
            </w:pPr>
            <w:r>
              <w:rPr>
                <w:rFonts w:hint="default" w:ascii="Times New Roman" w:hAnsi="Times New Roman" w:cs="Times New Roman"/>
                <w:szCs w:val="21"/>
              </w:rPr>
              <w:t>评价工作等级</w:t>
            </w:r>
          </w:p>
        </w:tc>
        <w:tc>
          <w:tcPr>
            <w:tcW w:w="1673" w:type="pct"/>
            <w:gridSpan w:val="2"/>
            <w:vAlign w:val="center"/>
          </w:tcPr>
          <w:p w14:paraId="5E1B66CD">
            <w:pPr>
              <w:jc w:val="center"/>
              <w:rPr>
                <w:rFonts w:hint="default" w:ascii="Times New Roman" w:hAnsi="Times New Roman" w:cs="Times New Roman"/>
                <w:szCs w:val="21"/>
              </w:rPr>
            </w:pPr>
            <w:r>
              <w:rPr>
                <w:rFonts w:hint="default" w:ascii="Times New Roman" w:hAnsi="Times New Roman" w:cs="Times New Roman"/>
                <w:szCs w:val="21"/>
              </w:rPr>
              <w:t>本项目</w:t>
            </w:r>
          </w:p>
        </w:tc>
      </w:tr>
      <w:tr w14:paraId="32160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rPr>
          <w:jc w:val="center"/>
        </w:trPr>
        <w:tc>
          <w:tcPr>
            <w:tcW w:w="353" w:type="pct"/>
            <w:vMerge w:val="continue"/>
            <w:vAlign w:val="center"/>
          </w:tcPr>
          <w:p w14:paraId="2BEDD1C4">
            <w:pPr>
              <w:jc w:val="center"/>
              <w:rPr>
                <w:rFonts w:hint="default" w:ascii="Times New Roman" w:hAnsi="Times New Roman" w:cs="Times New Roman"/>
                <w:szCs w:val="21"/>
              </w:rPr>
            </w:pPr>
          </w:p>
        </w:tc>
        <w:tc>
          <w:tcPr>
            <w:tcW w:w="571" w:type="pct"/>
            <w:vMerge w:val="continue"/>
            <w:vAlign w:val="center"/>
          </w:tcPr>
          <w:p w14:paraId="5D952332">
            <w:pPr>
              <w:jc w:val="center"/>
              <w:rPr>
                <w:rFonts w:hint="default" w:ascii="Times New Roman" w:hAnsi="Times New Roman" w:cs="Times New Roman"/>
                <w:szCs w:val="21"/>
              </w:rPr>
            </w:pPr>
          </w:p>
        </w:tc>
        <w:tc>
          <w:tcPr>
            <w:tcW w:w="459" w:type="pct"/>
            <w:vMerge w:val="continue"/>
            <w:vAlign w:val="center"/>
          </w:tcPr>
          <w:p w14:paraId="3D740A95">
            <w:pPr>
              <w:jc w:val="center"/>
              <w:rPr>
                <w:rFonts w:hint="default" w:ascii="Times New Roman" w:hAnsi="Times New Roman" w:cs="Times New Roman"/>
                <w:szCs w:val="21"/>
              </w:rPr>
            </w:pPr>
          </w:p>
        </w:tc>
        <w:tc>
          <w:tcPr>
            <w:tcW w:w="1496" w:type="pct"/>
            <w:vMerge w:val="continue"/>
            <w:vAlign w:val="center"/>
          </w:tcPr>
          <w:p w14:paraId="27C6D2AB">
            <w:pPr>
              <w:jc w:val="center"/>
              <w:rPr>
                <w:rFonts w:hint="default" w:ascii="Times New Roman" w:hAnsi="Times New Roman" w:cs="Times New Roman"/>
                <w:szCs w:val="21"/>
              </w:rPr>
            </w:pPr>
          </w:p>
        </w:tc>
        <w:tc>
          <w:tcPr>
            <w:tcW w:w="448" w:type="pct"/>
            <w:vMerge w:val="continue"/>
            <w:vAlign w:val="center"/>
          </w:tcPr>
          <w:p w14:paraId="118CAA1D">
            <w:pPr>
              <w:jc w:val="center"/>
              <w:rPr>
                <w:rFonts w:hint="default" w:ascii="Times New Roman" w:hAnsi="Times New Roman" w:cs="Times New Roman"/>
                <w:szCs w:val="21"/>
              </w:rPr>
            </w:pPr>
          </w:p>
        </w:tc>
        <w:tc>
          <w:tcPr>
            <w:tcW w:w="1234" w:type="pct"/>
            <w:vAlign w:val="center"/>
          </w:tcPr>
          <w:p w14:paraId="5C66D2A8">
            <w:pPr>
              <w:jc w:val="center"/>
              <w:rPr>
                <w:rFonts w:hint="default" w:ascii="Times New Roman" w:hAnsi="Times New Roman" w:cs="Times New Roman"/>
                <w:szCs w:val="21"/>
              </w:rPr>
            </w:pPr>
            <w:r>
              <w:rPr>
                <w:rFonts w:hint="default" w:ascii="Times New Roman" w:hAnsi="Times New Roman" w:cs="Times New Roman"/>
                <w:szCs w:val="21"/>
              </w:rPr>
              <w:t>条件</w:t>
            </w:r>
          </w:p>
        </w:tc>
        <w:tc>
          <w:tcPr>
            <w:tcW w:w="439" w:type="pct"/>
            <w:vAlign w:val="center"/>
          </w:tcPr>
          <w:p w14:paraId="6FAC52BE">
            <w:pPr>
              <w:jc w:val="center"/>
              <w:rPr>
                <w:rFonts w:hint="default" w:ascii="Times New Roman" w:hAnsi="Times New Roman" w:cs="Times New Roman"/>
                <w:szCs w:val="21"/>
              </w:rPr>
            </w:pPr>
            <w:r>
              <w:rPr>
                <w:rFonts w:hint="default" w:ascii="Times New Roman" w:hAnsi="Times New Roman" w:cs="Times New Roman"/>
                <w:szCs w:val="21"/>
              </w:rPr>
              <w:t>工作</w:t>
            </w:r>
          </w:p>
          <w:p w14:paraId="40EF2973">
            <w:pPr>
              <w:jc w:val="center"/>
              <w:rPr>
                <w:rFonts w:hint="default" w:ascii="Times New Roman" w:hAnsi="Times New Roman" w:cs="Times New Roman"/>
                <w:szCs w:val="21"/>
              </w:rPr>
            </w:pPr>
            <w:r>
              <w:rPr>
                <w:rFonts w:hint="default" w:ascii="Times New Roman" w:hAnsi="Times New Roman" w:cs="Times New Roman"/>
                <w:szCs w:val="21"/>
              </w:rPr>
              <w:t>等级</w:t>
            </w:r>
          </w:p>
        </w:tc>
      </w:tr>
      <w:tr w14:paraId="182EC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rPr>
          <w:jc w:val="center"/>
        </w:trPr>
        <w:tc>
          <w:tcPr>
            <w:tcW w:w="353" w:type="pct"/>
            <w:vMerge w:val="restart"/>
            <w:vAlign w:val="center"/>
          </w:tcPr>
          <w:p w14:paraId="11FCBCE6">
            <w:pPr>
              <w:jc w:val="center"/>
              <w:rPr>
                <w:rFonts w:hint="default" w:ascii="Times New Roman" w:hAnsi="Times New Roman" w:cs="Times New Roman"/>
                <w:szCs w:val="21"/>
              </w:rPr>
            </w:pPr>
            <w:r>
              <w:rPr>
                <w:rFonts w:hint="default" w:ascii="Times New Roman" w:hAnsi="Times New Roman" w:cs="Times New Roman"/>
                <w:szCs w:val="21"/>
              </w:rPr>
              <w:t>交流</w:t>
            </w:r>
          </w:p>
        </w:tc>
        <w:tc>
          <w:tcPr>
            <w:tcW w:w="571" w:type="pct"/>
            <w:vMerge w:val="restart"/>
            <w:vAlign w:val="center"/>
          </w:tcPr>
          <w:p w14:paraId="27E77FE0">
            <w:pPr>
              <w:jc w:val="center"/>
              <w:rPr>
                <w:rFonts w:hint="default" w:ascii="Times New Roman" w:hAnsi="Times New Roman" w:cs="Times New Roman"/>
                <w:szCs w:val="21"/>
              </w:rPr>
            </w:pPr>
            <w:r>
              <w:rPr>
                <w:rFonts w:hint="default" w:ascii="Times New Roman" w:hAnsi="Times New Roman" w:cs="Times New Roman"/>
                <w:szCs w:val="21"/>
                <w:lang w:val="en-US" w:eastAsia="zh-CN"/>
              </w:rPr>
              <w:t>110</w:t>
            </w:r>
            <w:r>
              <w:rPr>
                <w:rFonts w:hint="default" w:ascii="Times New Roman" w:hAnsi="Times New Roman" w:cs="Times New Roman"/>
                <w:szCs w:val="21"/>
              </w:rPr>
              <w:t>kV</w:t>
            </w:r>
          </w:p>
        </w:tc>
        <w:tc>
          <w:tcPr>
            <w:tcW w:w="459" w:type="pct"/>
            <w:vMerge w:val="restart"/>
            <w:vAlign w:val="center"/>
          </w:tcPr>
          <w:p w14:paraId="77217051">
            <w:pPr>
              <w:jc w:val="center"/>
              <w:rPr>
                <w:rFonts w:hint="default" w:ascii="Times New Roman" w:hAnsi="Times New Roman" w:cs="Times New Roman"/>
                <w:szCs w:val="21"/>
              </w:rPr>
            </w:pPr>
            <w:r>
              <w:rPr>
                <w:rFonts w:hint="default" w:ascii="Times New Roman" w:hAnsi="Times New Roman" w:cs="Times New Roman"/>
                <w:szCs w:val="21"/>
                <w:lang w:val="en-US" w:eastAsia="zh-CN"/>
              </w:rPr>
              <w:t>变电</w:t>
            </w:r>
            <w:r>
              <w:rPr>
                <w:rFonts w:hint="default" w:ascii="Times New Roman" w:hAnsi="Times New Roman" w:cs="Times New Roman"/>
                <w:szCs w:val="21"/>
              </w:rPr>
              <w:t>站</w:t>
            </w:r>
          </w:p>
        </w:tc>
        <w:tc>
          <w:tcPr>
            <w:tcW w:w="1496" w:type="pct"/>
            <w:vAlign w:val="center"/>
          </w:tcPr>
          <w:p w14:paraId="58DEB941">
            <w:pPr>
              <w:jc w:val="center"/>
              <w:rPr>
                <w:rFonts w:hint="default" w:ascii="Times New Roman" w:hAnsi="Times New Roman" w:cs="Times New Roman"/>
                <w:szCs w:val="21"/>
              </w:rPr>
            </w:pPr>
            <w:r>
              <w:rPr>
                <w:rFonts w:hint="default" w:ascii="Times New Roman" w:hAnsi="Times New Roman" w:cs="Times New Roman"/>
                <w:szCs w:val="21"/>
              </w:rPr>
              <w:t>户内式、地下式</w:t>
            </w:r>
          </w:p>
        </w:tc>
        <w:tc>
          <w:tcPr>
            <w:tcW w:w="448" w:type="pct"/>
            <w:vAlign w:val="center"/>
          </w:tcPr>
          <w:p w14:paraId="7375C6C1">
            <w:pPr>
              <w:jc w:val="center"/>
              <w:rPr>
                <w:rFonts w:hint="default" w:ascii="Times New Roman" w:hAnsi="Times New Roman" w:cs="Times New Roman"/>
                <w:szCs w:val="21"/>
              </w:rPr>
            </w:pPr>
            <w:r>
              <w:rPr>
                <w:rFonts w:hint="default" w:ascii="Times New Roman" w:hAnsi="Times New Roman" w:cs="Times New Roman"/>
                <w:szCs w:val="21"/>
              </w:rPr>
              <w:t>三级</w:t>
            </w:r>
          </w:p>
        </w:tc>
        <w:tc>
          <w:tcPr>
            <w:tcW w:w="1234" w:type="pct"/>
            <w:vAlign w:val="center"/>
          </w:tcPr>
          <w:p w14:paraId="0856D9A5">
            <w:pPr>
              <w:jc w:val="center"/>
              <w:rPr>
                <w:rFonts w:hint="default" w:ascii="Times New Roman" w:hAnsi="Times New Roman" w:cs="Times New Roman"/>
                <w:szCs w:val="21"/>
              </w:rPr>
            </w:pPr>
            <w:r>
              <w:rPr>
                <w:rFonts w:hint="default" w:ascii="Times New Roman" w:hAnsi="Times New Roman" w:cs="Times New Roman"/>
                <w:szCs w:val="21"/>
              </w:rPr>
              <w:t>/</w:t>
            </w:r>
          </w:p>
        </w:tc>
        <w:tc>
          <w:tcPr>
            <w:tcW w:w="439" w:type="pct"/>
            <w:vAlign w:val="center"/>
          </w:tcPr>
          <w:p w14:paraId="06E8486A">
            <w:pPr>
              <w:jc w:val="center"/>
              <w:rPr>
                <w:rFonts w:hint="default" w:ascii="Times New Roman" w:hAnsi="Times New Roman" w:cs="Times New Roman"/>
                <w:szCs w:val="21"/>
              </w:rPr>
            </w:pPr>
            <w:r>
              <w:rPr>
                <w:rFonts w:hint="default" w:ascii="Times New Roman" w:hAnsi="Times New Roman" w:cs="Times New Roman"/>
                <w:szCs w:val="21"/>
              </w:rPr>
              <w:t>/</w:t>
            </w:r>
          </w:p>
        </w:tc>
      </w:tr>
      <w:tr w14:paraId="277F3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rPr>
          <w:jc w:val="center"/>
        </w:trPr>
        <w:tc>
          <w:tcPr>
            <w:tcW w:w="353" w:type="pct"/>
            <w:vMerge w:val="continue"/>
            <w:vAlign w:val="center"/>
          </w:tcPr>
          <w:p w14:paraId="560FC923">
            <w:pPr>
              <w:jc w:val="center"/>
              <w:rPr>
                <w:rFonts w:hint="default" w:ascii="Times New Roman" w:hAnsi="Times New Roman" w:cs="Times New Roman"/>
                <w:szCs w:val="21"/>
              </w:rPr>
            </w:pPr>
          </w:p>
        </w:tc>
        <w:tc>
          <w:tcPr>
            <w:tcW w:w="571" w:type="pct"/>
            <w:vMerge w:val="continue"/>
            <w:vAlign w:val="center"/>
          </w:tcPr>
          <w:p w14:paraId="36A42FEA">
            <w:pPr>
              <w:jc w:val="center"/>
              <w:rPr>
                <w:rFonts w:hint="default" w:ascii="Times New Roman" w:hAnsi="Times New Roman" w:cs="Times New Roman"/>
                <w:szCs w:val="21"/>
              </w:rPr>
            </w:pPr>
          </w:p>
        </w:tc>
        <w:tc>
          <w:tcPr>
            <w:tcW w:w="459" w:type="pct"/>
            <w:vMerge w:val="continue"/>
            <w:vAlign w:val="center"/>
          </w:tcPr>
          <w:p w14:paraId="53CEE292">
            <w:pPr>
              <w:jc w:val="center"/>
              <w:rPr>
                <w:rFonts w:hint="default" w:ascii="Times New Roman" w:hAnsi="Times New Roman" w:cs="Times New Roman"/>
                <w:szCs w:val="21"/>
              </w:rPr>
            </w:pPr>
          </w:p>
        </w:tc>
        <w:tc>
          <w:tcPr>
            <w:tcW w:w="1496" w:type="pct"/>
            <w:vAlign w:val="center"/>
          </w:tcPr>
          <w:p w14:paraId="42D6EE94">
            <w:pPr>
              <w:jc w:val="center"/>
              <w:rPr>
                <w:rFonts w:hint="default" w:ascii="Times New Roman" w:hAnsi="Times New Roman" w:cs="Times New Roman"/>
                <w:szCs w:val="21"/>
              </w:rPr>
            </w:pPr>
            <w:r>
              <w:rPr>
                <w:rFonts w:hint="default" w:ascii="Times New Roman" w:hAnsi="Times New Roman" w:cs="Times New Roman"/>
                <w:szCs w:val="21"/>
              </w:rPr>
              <w:t>户外式</w:t>
            </w:r>
          </w:p>
        </w:tc>
        <w:tc>
          <w:tcPr>
            <w:tcW w:w="448" w:type="pct"/>
            <w:vAlign w:val="center"/>
          </w:tcPr>
          <w:p w14:paraId="4A8B810D">
            <w:pPr>
              <w:jc w:val="center"/>
              <w:rPr>
                <w:rFonts w:hint="default" w:ascii="Times New Roman" w:hAnsi="Times New Roman" w:cs="Times New Roman"/>
                <w:szCs w:val="21"/>
              </w:rPr>
            </w:pPr>
            <w:r>
              <w:rPr>
                <w:rFonts w:hint="default" w:ascii="Times New Roman" w:hAnsi="Times New Roman" w:cs="Times New Roman"/>
                <w:szCs w:val="21"/>
              </w:rPr>
              <w:t>二级</w:t>
            </w:r>
          </w:p>
        </w:tc>
        <w:tc>
          <w:tcPr>
            <w:tcW w:w="1234" w:type="pct"/>
            <w:vAlign w:val="center"/>
          </w:tcPr>
          <w:p w14:paraId="64E2AF08">
            <w:pPr>
              <w:jc w:val="center"/>
              <w:rPr>
                <w:rFonts w:hint="default" w:ascii="Times New Roman" w:hAnsi="Times New Roman" w:cs="Times New Roman"/>
                <w:szCs w:val="21"/>
              </w:rPr>
            </w:pPr>
            <w:r>
              <w:rPr>
                <w:rFonts w:hint="default" w:ascii="Times New Roman" w:hAnsi="Times New Roman" w:cs="Times New Roman"/>
                <w:szCs w:val="21"/>
              </w:rPr>
              <w:t>户外式</w:t>
            </w:r>
          </w:p>
        </w:tc>
        <w:tc>
          <w:tcPr>
            <w:tcW w:w="439" w:type="pct"/>
            <w:vAlign w:val="center"/>
          </w:tcPr>
          <w:p w14:paraId="6761A18B">
            <w:pPr>
              <w:jc w:val="center"/>
              <w:rPr>
                <w:rFonts w:hint="default" w:ascii="Times New Roman" w:hAnsi="Times New Roman" w:cs="Times New Roman"/>
                <w:szCs w:val="21"/>
              </w:rPr>
            </w:pPr>
            <w:r>
              <w:rPr>
                <w:rFonts w:hint="default" w:ascii="Times New Roman" w:hAnsi="Times New Roman" w:cs="Times New Roman"/>
                <w:szCs w:val="21"/>
              </w:rPr>
              <w:t>二级</w:t>
            </w:r>
          </w:p>
        </w:tc>
      </w:tr>
    </w:tbl>
    <w:p w14:paraId="5585EA37">
      <w:pPr>
        <w:spacing w:line="480" w:lineRule="exact"/>
        <w:ind w:firstLine="480" w:firstLineChars="200"/>
        <w:rPr>
          <w:rFonts w:hint="default" w:ascii="Times New Roman" w:hAnsi="Times New Roman" w:cs="Times New Roman"/>
          <w:sz w:val="24"/>
        </w:rPr>
      </w:pPr>
      <w:r>
        <w:rPr>
          <w:rFonts w:hint="default" w:ascii="Times New Roman" w:hAnsi="Times New Roman" w:cs="Times New Roman"/>
          <w:sz w:val="24"/>
        </w:rPr>
        <w:t>（3）评价范围</w:t>
      </w:r>
    </w:p>
    <w:p w14:paraId="0D771733">
      <w:pPr>
        <w:spacing w:line="480" w:lineRule="exact"/>
        <w:ind w:firstLine="480" w:firstLineChars="200"/>
        <w:rPr>
          <w:rFonts w:hint="default" w:ascii="Times New Roman" w:hAnsi="Times New Roman" w:cs="Times New Roman"/>
          <w:sz w:val="24"/>
        </w:rPr>
      </w:pPr>
      <w:r>
        <w:rPr>
          <w:rFonts w:hint="default" w:ascii="Times New Roman" w:hAnsi="Times New Roman" w:cs="Times New Roman"/>
          <w:sz w:val="24"/>
        </w:rPr>
        <w:t>根据《环境影响评价技术导则</w:t>
      </w:r>
      <w:r>
        <w:rPr>
          <w:rFonts w:hint="default" w:ascii="Times New Roman" w:hAnsi="Times New Roman" w:cs="Times New Roman"/>
          <w:sz w:val="24"/>
          <w:lang w:val="en-US" w:eastAsia="zh-CN"/>
        </w:rPr>
        <w:t xml:space="preserve"> </w:t>
      </w:r>
      <w:r>
        <w:rPr>
          <w:rFonts w:hint="default" w:ascii="Times New Roman" w:hAnsi="Times New Roman" w:cs="Times New Roman"/>
          <w:sz w:val="24"/>
        </w:rPr>
        <w:t>输变电》（HJ24-2020），电压等级为</w:t>
      </w:r>
      <w:r>
        <w:rPr>
          <w:rFonts w:hint="default" w:ascii="Times New Roman" w:hAnsi="Times New Roman" w:cs="Times New Roman"/>
          <w:sz w:val="24"/>
          <w:lang w:val="en-US" w:eastAsia="zh-CN"/>
        </w:rPr>
        <w:t>110</w:t>
      </w:r>
      <w:r>
        <w:rPr>
          <w:rFonts w:hint="default" w:ascii="Times New Roman" w:hAnsi="Times New Roman" w:cs="Times New Roman"/>
          <w:sz w:val="24"/>
        </w:rPr>
        <w:t>kV的输变电工程以</w:t>
      </w:r>
      <w:r>
        <w:rPr>
          <w:rFonts w:hint="default" w:ascii="Times New Roman" w:hAnsi="Times New Roman" w:cs="Times New Roman"/>
          <w:sz w:val="24"/>
          <w:lang w:val="en-US" w:eastAsia="zh-CN"/>
        </w:rPr>
        <w:t>变电站站</w:t>
      </w:r>
      <w:r>
        <w:rPr>
          <w:rFonts w:hint="default" w:ascii="Times New Roman" w:hAnsi="Times New Roman" w:cs="Times New Roman"/>
          <w:sz w:val="24"/>
        </w:rPr>
        <w:t>界外</w:t>
      </w:r>
      <w:r>
        <w:rPr>
          <w:rFonts w:hint="default" w:ascii="Times New Roman" w:hAnsi="Times New Roman" w:cs="Times New Roman"/>
          <w:sz w:val="24"/>
          <w:lang w:val="en-US" w:eastAsia="zh-CN"/>
        </w:rPr>
        <w:t>30</w:t>
      </w:r>
      <w:r>
        <w:rPr>
          <w:rFonts w:hint="default" w:ascii="Times New Roman" w:hAnsi="Times New Roman" w:cs="Times New Roman"/>
          <w:sz w:val="24"/>
        </w:rPr>
        <w:t>m为电磁环境影响评价范围。本专题不包含110kV送出线路、厂区10kV配电线路，上述线路需单独开展环评，不属于本专题评价及验收范畴。</w:t>
      </w:r>
    </w:p>
    <w:p w14:paraId="2CC1C37D">
      <w:pPr>
        <w:numPr>
          <w:ilvl w:val="1"/>
          <w:numId w:val="16"/>
        </w:numPr>
        <w:autoSpaceDE w:val="0"/>
        <w:autoSpaceDN w:val="0"/>
        <w:adjustRightInd w:val="0"/>
        <w:spacing w:before="120" w:after="120" w:line="480" w:lineRule="exact"/>
        <w:ind w:left="0" w:firstLine="0"/>
        <w:outlineLvl w:val="1"/>
        <w:rPr>
          <w:rFonts w:hint="default" w:ascii="Times New Roman" w:hAnsi="Times New Roman" w:eastAsia="黑体" w:cs="Times New Roman"/>
          <w:sz w:val="28"/>
          <w:szCs w:val="21"/>
          <w14:ligatures w14:val="standardContextual"/>
        </w:rPr>
      </w:pPr>
      <w:bookmarkStart w:id="110" w:name="_Toc23429"/>
      <w:bookmarkStart w:id="111" w:name="_Toc30868"/>
      <w:r>
        <w:rPr>
          <w:rFonts w:hint="default" w:ascii="Times New Roman" w:hAnsi="Times New Roman" w:eastAsia="黑体" w:cs="Times New Roman"/>
          <w:sz w:val="28"/>
          <w:szCs w:val="21"/>
          <w14:ligatures w14:val="standardContextual"/>
        </w:rPr>
        <w:t>评价标准</w:t>
      </w:r>
      <w:bookmarkEnd w:id="110"/>
      <w:bookmarkEnd w:id="111"/>
    </w:p>
    <w:p w14:paraId="20756296">
      <w:pPr>
        <w:spacing w:line="480" w:lineRule="exact"/>
        <w:ind w:firstLine="480" w:firstLineChars="200"/>
        <w:rPr>
          <w:rFonts w:hint="default" w:ascii="Times New Roman" w:hAnsi="Times New Roman" w:cs="Times New Roman"/>
          <w:kern w:val="0"/>
          <w:sz w:val="24"/>
          <w:szCs w:val="20"/>
        </w:rPr>
      </w:pPr>
      <w:r>
        <w:rPr>
          <w:rFonts w:hint="default" w:ascii="Times New Roman" w:hAnsi="Times New Roman" w:cs="Times New Roman"/>
          <w:kern w:val="0"/>
          <w:sz w:val="24"/>
          <w:szCs w:val="20"/>
        </w:rPr>
        <w:t>根据《环境影响评价技术导则</w:t>
      </w:r>
      <w:r>
        <w:rPr>
          <w:rFonts w:hint="default" w:ascii="Times New Roman" w:hAnsi="Times New Roman" w:cs="Times New Roman"/>
          <w:kern w:val="0"/>
          <w:sz w:val="24"/>
          <w:szCs w:val="20"/>
          <w:lang w:val="en-US" w:eastAsia="zh-CN"/>
        </w:rPr>
        <w:t xml:space="preserve"> </w:t>
      </w:r>
      <w:r>
        <w:rPr>
          <w:rFonts w:hint="default" w:ascii="Times New Roman" w:hAnsi="Times New Roman" w:cs="Times New Roman"/>
          <w:kern w:val="0"/>
          <w:sz w:val="24"/>
          <w:szCs w:val="20"/>
        </w:rPr>
        <w:t>输变电》（HJ24-2020），工频电场的电场强度、工频磁场的磁感应强度应满足《电磁环境控制限值》（GB8702-2014）的要求，具体见表1.</w:t>
      </w:r>
      <w:r>
        <w:rPr>
          <w:rFonts w:hint="default" w:ascii="Times New Roman" w:hAnsi="Times New Roman" w:cs="Times New Roman"/>
          <w:kern w:val="0"/>
          <w:sz w:val="24"/>
          <w:szCs w:val="20"/>
          <w:lang w:val="en-US" w:eastAsia="zh-CN"/>
        </w:rPr>
        <w:t>5</w:t>
      </w:r>
      <w:r>
        <w:rPr>
          <w:rFonts w:hint="default" w:ascii="Times New Roman" w:hAnsi="Times New Roman" w:cs="Times New Roman"/>
          <w:kern w:val="0"/>
          <w:sz w:val="24"/>
          <w:szCs w:val="20"/>
        </w:rPr>
        <w:t>-</w:t>
      </w:r>
      <w:r>
        <w:rPr>
          <w:rFonts w:hint="default" w:ascii="Times New Roman" w:hAnsi="Times New Roman" w:cs="Times New Roman"/>
          <w:kern w:val="0"/>
          <w:sz w:val="24"/>
          <w:szCs w:val="20"/>
          <w:lang w:val="en-US" w:eastAsia="zh-CN"/>
        </w:rPr>
        <w:t>1</w:t>
      </w:r>
      <w:r>
        <w:rPr>
          <w:rFonts w:hint="default" w:ascii="Times New Roman" w:hAnsi="Times New Roman" w:cs="Times New Roman"/>
          <w:kern w:val="0"/>
          <w:sz w:val="24"/>
          <w:szCs w:val="20"/>
        </w:rPr>
        <w:t>。</w:t>
      </w:r>
    </w:p>
    <w:p w14:paraId="5253D59B">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黑体" w:cs="Times New Roman"/>
          <w:color w:val="000000"/>
          <w:highlight w:val="none"/>
          <w:lang w:val="en-US" w:eastAsia="zh-CN"/>
        </w:rPr>
      </w:pPr>
      <w:r>
        <w:rPr>
          <w:rFonts w:hint="default" w:ascii="Times New Roman" w:hAnsi="Times New Roman" w:eastAsia="黑体" w:cs="Times New Roman"/>
          <w:color w:val="000000"/>
          <w:highlight w:val="none"/>
          <w:lang w:val="en-US" w:eastAsia="zh-CN"/>
        </w:rPr>
        <w:t>表1.5-1  电磁环境控制限值</w:t>
      </w:r>
    </w:p>
    <w:tbl>
      <w:tblPr>
        <w:tblStyle w:val="4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0" w:type="dxa"/>
          <w:bottom w:w="57" w:type="dxa"/>
          <w:right w:w="0" w:type="dxa"/>
        </w:tblCellMar>
      </w:tblPr>
      <w:tblGrid>
        <w:gridCol w:w="2411"/>
        <w:gridCol w:w="1927"/>
        <w:gridCol w:w="1332"/>
        <w:gridCol w:w="1430"/>
        <w:gridCol w:w="1222"/>
      </w:tblGrid>
      <w:tr w14:paraId="505FF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rPr>
          <w:cantSplit/>
          <w:trHeight w:val="397" w:hRule="atLeast"/>
          <w:jc w:val="center"/>
        </w:trPr>
        <w:tc>
          <w:tcPr>
            <w:tcW w:w="1449" w:type="pct"/>
            <w:vAlign w:val="center"/>
          </w:tcPr>
          <w:p w14:paraId="75366F3A">
            <w:pPr>
              <w:jc w:val="center"/>
              <w:rPr>
                <w:rFonts w:hint="default" w:ascii="Times New Roman" w:hAnsi="Times New Roman" w:cs="Times New Roman"/>
                <w:bCs/>
                <w:szCs w:val="21"/>
              </w:rPr>
            </w:pPr>
            <w:r>
              <w:rPr>
                <w:rFonts w:hint="default" w:ascii="Times New Roman" w:hAnsi="Times New Roman" w:cs="Times New Roman"/>
                <w:bCs/>
                <w:szCs w:val="21"/>
              </w:rPr>
              <w:t>项目</w:t>
            </w:r>
          </w:p>
        </w:tc>
        <w:tc>
          <w:tcPr>
            <w:tcW w:w="1158" w:type="pct"/>
            <w:vAlign w:val="center"/>
          </w:tcPr>
          <w:p w14:paraId="4455EEB1">
            <w:pPr>
              <w:jc w:val="center"/>
              <w:rPr>
                <w:rFonts w:hint="default" w:ascii="Times New Roman" w:hAnsi="Times New Roman" w:cs="Times New Roman"/>
                <w:bCs/>
                <w:szCs w:val="21"/>
              </w:rPr>
            </w:pPr>
            <w:r>
              <w:rPr>
                <w:rFonts w:hint="default" w:ascii="Times New Roman" w:hAnsi="Times New Roman" w:cs="Times New Roman"/>
                <w:bCs/>
                <w:szCs w:val="21"/>
              </w:rPr>
              <w:t>频率范围</w:t>
            </w:r>
          </w:p>
        </w:tc>
        <w:tc>
          <w:tcPr>
            <w:tcW w:w="800" w:type="pct"/>
            <w:vAlign w:val="center"/>
          </w:tcPr>
          <w:p w14:paraId="2FB2E86C">
            <w:pPr>
              <w:jc w:val="center"/>
              <w:rPr>
                <w:rFonts w:hint="default" w:ascii="Times New Roman" w:hAnsi="Times New Roman" w:cs="Times New Roman"/>
                <w:bCs/>
                <w:szCs w:val="21"/>
              </w:rPr>
            </w:pPr>
            <w:r>
              <w:rPr>
                <w:rFonts w:hint="default" w:ascii="Times New Roman" w:hAnsi="Times New Roman" w:cs="Times New Roman"/>
                <w:bCs/>
                <w:szCs w:val="21"/>
              </w:rPr>
              <w:t>电场强度</w:t>
            </w:r>
          </w:p>
        </w:tc>
        <w:tc>
          <w:tcPr>
            <w:tcW w:w="859" w:type="pct"/>
            <w:vAlign w:val="center"/>
          </w:tcPr>
          <w:p w14:paraId="7D8B5531">
            <w:pPr>
              <w:jc w:val="center"/>
              <w:rPr>
                <w:rFonts w:hint="default" w:ascii="Times New Roman" w:hAnsi="Times New Roman" w:cs="Times New Roman"/>
                <w:bCs/>
                <w:szCs w:val="21"/>
              </w:rPr>
            </w:pPr>
            <w:r>
              <w:rPr>
                <w:rFonts w:hint="default" w:ascii="Times New Roman" w:hAnsi="Times New Roman" w:cs="Times New Roman"/>
                <w:bCs/>
                <w:szCs w:val="21"/>
              </w:rPr>
              <w:t>磁感应强度</w:t>
            </w:r>
          </w:p>
        </w:tc>
        <w:tc>
          <w:tcPr>
            <w:tcW w:w="734" w:type="pct"/>
            <w:vAlign w:val="center"/>
          </w:tcPr>
          <w:p w14:paraId="65503076">
            <w:pPr>
              <w:jc w:val="center"/>
              <w:rPr>
                <w:rFonts w:hint="default" w:ascii="Times New Roman" w:hAnsi="Times New Roman" w:cs="Times New Roman"/>
                <w:bCs/>
                <w:szCs w:val="21"/>
              </w:rPr>
            </w:pPr>
            <w:r>
              <w:rPr>
                <w:rFonts w:hint="default" w:ascii="Times New Roman" w:hAnsi="Times New Roman" w:cs="Times New Roman"/>
                <w:bCs/>
                <w:szCs w:val="21"/>
              </w:rPr>
              <w:t>备注</w:t>
            </w:r>
          </w:p>
        </w:tc>
      </w:tr>
      <w:tr w14:paraId="7F42B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rPr>
          <w:cantSplit/>
          <w:trHeight w:val="397" w:hRule="atLeast"/>
          <w:jc w:val="center"/>
        </w:trPr>
        <w:tc>
          <w:tcPr>
            <w:tcW w:w="1449" w:type="pct"/>
            <w:vAlign w:val="center"/>
          </w:tcPr>
          <w:p w14:paraId="0D4DC3FF">
            <w:pPr>
              <w:rPr>
                <w:rFonts w:hint="default" w:ascii="Times New Roman" w:hAnsi="Times New Roman" w:cs="Times New Roman"/>
                <w:szCs w:val="21"/>
              </w:rPr>
            </w:pPr>
            <w:r>
              <w:rPr>
                <w:rFonts w:hint="default" w:ascii="Times New Roman" w:hAnsi="Times New Roman" w:cs="Times New Roman"/>
                <w:szCs w:val="21"/>
              </w:rPr>
              <w:t>《电磁环境控制限值》（GB8702-2014）</w:t>
            </w:r>
          </w:p>
        </w:tc>
        <w:tc>
          <w:tcPr>
            <w:tcW w:w="1158" w:type="pct"/>
            <w:vAlign w:val="center"/>
          </w:tcPr>
          <w:p w14:paraId="7B64D364">
            <w:pPr>
              <w:jc w:val="center"/>
              <w:rPr>
                <w:rFonts w:hint="default" w:ascii="Times New Roman" w:hAnsi="Times New Roman" w:cs="Times New Roman"/>
                <w:szCs w:val="21"/>
              </w:rPr>
            </w:pPr>
            <w:r>
              <w:rPr>
                <w:rFonts w:hint="default" w:ascii="Times New Roman" w:hAnsi="Times New Roman" w:cs="Times New Roman"/>
                <w:szCs w:val="21"/>
              </w:rPr>
              <w:t>0.025kHz～1.2kHz</w:t>
            </w:r>
          </w:p>
        </w:tc>
        <w:tc>
          <w:tcPr>
            <w:tcW w:w="800" w:type="pct"/>
            <w:vAlign w:val="center"/>
          </w:tcPr>
          <w:p w14:paraId="660EA7A6">
            <w:pPr>
              <w:jc w:val="center"/>
              <w:rPr>
                <w:rFonts w:hint="default" w:ascii="Times New Roman" w:hAnsi="Times New Roman" w:cs="Times New Roman"/>
                <w:szCs w:val="21"/>
              </w:rPr>
            </w:pPr>
            <w:r>
              <w:rPr>
                <w:rFonts w:hint="default" w:ascii="Times New Roman" w:hAnsi="Times New Roman" w:cs="Times New Roman"/>
                <w:szCs w:val="21"/>
              </w:rPr>
              <w:t>200/f</w:t>
            </w:r>
          </w:p>
        </w:tc>
        <w:tc>
          <w:tcPr>
            <w:tcW w:w="859" w:type="pct"/>
            <w:vAlign w:val="center"/>
          </w:tcPr>
          <w:p w14:paraId="5B42831D">
            <w:pPr>
              <w:jc w:val="center"/>
              <w:rPr>
                <w:rFonts w:hint="default" w:ascii="Times New Roman" w:hAnsi="Times New Roman" w:cs="Times New Roman"/>
                <w:szCs w:val="21"/>
              </w:rPr>
            </w:pPr>
            <w:r>
              <w:rPr>
                <w:rFonts w:hint="default" w:ascii="Times New Roman" w:hAnsi="Times New Roman" w:cs="Times New Roman"/>
                <w:szCs w:val="21"/>
              </w:rPr>
              <w:t>5/f</w:t>
            </w:r>
          </w:p>
        </w:tc>
        <w:tc>
          <w:tcPr>
            <w:tcW w:w="734" w:type="pct"/>
            <w:vAlign w:val="center"/>
          </w:tcPr>
          <w:p w14:paraId="21ACDA63">
            <w:pPr>
              <w:jc w:val="center"/>
              <w:rPr>
                <w:rFonts w:hint="default" w:ascii="Times New Roman" w:hAnsi="Times New Roman" w:cs="Times New Roman"/>
                <w:szCs w:val="21"/>
              </w:rPr>
            </w:pPr>
            <w:r>
              <w:rPr>
                <w:rFonts w:hint="default" w:ascii="Times New Roman" w:hAnsi="Times New Roman" w:cs="Times New Roman"/>
                <w:szCs w:val="21"/>
              </w:rPr>
              <w:t>f代表频率</w:t>
            </w:r>
          </w:p>
        </w:tc>
      </w:tr>
      <w:tr w14:paraId="0E27A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rPr>
          <w:cantSplit/>
          <w:trHeight w:val="397" w:hRule="atLeast"/>
          <w:jc w:val="center"/>
        </w:trPr>
        <w:tc>
          <w:tcPr>
            <w:tcW w:w="1449" w:type="pct"/>
            <w:vAlign w:val="center"/>
          </w:tcPr>
          <w:p w14:paraId="3E3A6E6E">
            <w:pPr>
              <w:jc w:val="center"/>
              <w:rPr>
                <w:rFonts w:hint="default" w:ascii="Times New Roman" w:hAnsi="Times New Roman" w:cs="Times New Roman"/>
                <w:szCs w:val="21"/>
              </w:rPr>
            </w:pPr>
            <w:r>
              <w:rPr>
                <w:rFonts w:hint="default" w:ascii="Times New Roman" w:hAnsi="Times New Roman" w:cs="Times New Roman"/>
                <w:szCs w:val="21"/>
              </w:rPr>
              <w:t>交流输变电工程</w:t>
            </w:r>
          </w:p>
        </w:tc>
        <w:tc>
          <w:tcPr>
            <w:tcW w:w="1158" w:type="pct"/>
            <w:vAlign w:val="center"/>
          </w:tcPr>
          <w:p w14:paraId="62AB4880">
            <w:pPr>
              <w:jc w:val="center"/>
              <w:rPr>
                <w:rFonts w:hint="default" w:ascii="Times New Roman" w:hAnsi="Times New Roman" w:cs="Times New Roman"/>
                <w:szCs w:val="21"/>
              </w:rPr>
            </w:pPr>
            <w:r>
              <w:rPr>
                <w:rFonts w:hint="default" w:ascii="Times New Roman" w:hAnsi="Times New Roman" w:cs="Times New Roman"/>
                <w:szCs w:val="21"/>
              </w:rPr>
              <w:t>0.05kHz（50Hz）</w:t>
            </w:r>
          </w:p>
        </w:tc>
        <w:tc>
          <w:tcPr>
            <w:tcW w:w="800" w:type="pct"/>
            <w:vAlign w:val="center"/>
          </w:tcPr>
          <w:p w14:paraId="60094ED5">
            <w:pPr>
              <w:jc w:val="center"/>
              <w:rPr>
                <w:rFonts w:hint="default" w:ascii="Times New Roman" w:hAnsi="Times New Roman" w:cs="Times New Roman"/>
                <w:szCs w:val="21"/>
              </w:rPr>
            </w:pPr>
            <w:r>
              <w:rPr>
                <w:rFonts w:hint="default" w:ascii="Times New Roman" w:hAnsi="Times New Roman" w:cs="Times New Roman"/>
                <w:szCs w:val="21"/>
              </w:rPr>
              <w:t>4000V/m</w:t>
            </w:r>
          </w:p>
        </w:tc>
        <w:tc>
          <w:tcPr>
            <w:tcW w:w="859" w:type="pct"/>
            <w:vAlign w:val="center"/>
          </w:tcPr>
          <w:p w14:paraId="602236A4">
            <w:pPr>
              <w:jc w:val="center"/>
              <w:rPr>
                <w:rFonts w:hint="default" w:ascii="Times New Roman" w:hAnsi="Times New Roman" w:cs="Times New Roman"/>
                <w:szCs w:val="21"/>
              </w:rPr>
            </w:pPr>
            <w:r>
              <w:rPr>
                <w:rFonts w:hint="default" w:ascii="Times New Roman" w:hAnsi="Times New Roman" w:cs="Times New Roman"/>
                <w:szCs w:val="21"/>
              </w:rPr>
              <w:t>100μT</w:t>
            </w:r>
          </w:p>
        </w:tc>
        <w:tc>
          <w:tcPr>
            <w:tcW w:w="734" w:type="pct"/>
            <w:vAlign w:val="center"/>
          </w:tcPr>
          <w:p w14:paraId="1B9715AF">
            <w:pPr>
              <w:jc w:val="center"/>
              <w:rPr>
                <w:rFonts w:hint="default" w:ascii="Times New Roman" w:hAnsi="Times New Roman" w:cs="Times New Roman"/>
                <w:szCs w:val="21"/>
              </w:rPr>
            </w:pPr>
            <w:r>
              <w:rPr>
                <w:rFonts w:hint="default" w:ascii="Times New Roman" w:hAnsi="Times New Roman" w:cs="Times New Roman"/>
                <w:szCs w:val="21"/>
              </w:rPr>
              <w:t>——</w:t>
            </w:r>
          </w:p>
        </w:tc>
      </w:tr>
    </w:tbl>
    <w:p w14:paraId="225E2DE9">
      <w:pPr>
        <w:numPr>
          <w:ilvl w:val="1"/>
          <w:numId w:val="16"/>
        </w:numPr>
        <w:autoSpaceDE w:val="0"/>
        <w:autoSpaceDN w:val="0"/>
        <w:adjustRightInd w:val="0"/>
        <w:spacing w:before="120" w:after="120" w:line="480" w:lineRule="exact"/>
        <w:ind w:left="0" w:firstLine="0"/>
        <w:outlineLvl w:val="1"/>
        <w:rPr>
          <w:rFonts w:hint="default" w:ascii="Times New Roman" w:hAnsi="Times New Roman" w:eastAsia="黑体" w:cs="Times New Roman"/>
          <w:sz w:val="28"/>
          <w:szCs w:val="21"/>
          <w14:ligatures w14:val="standardContextual"/>
        </w:rPr>
      </w:pPr>
      <w:bookmarkStart w:id="112" w:name="_Toc407"/>
      <w:r>
        <w:rPr>
          <w:rFonts w:hint="default" w:ascii="Times New Roman" w:hAnsi="Times New Roman" w:eastAsia="黑体" w:cs="Times New Roman"/>
          <w:sz w:val="28"/>
          <w:szCs w:val="21"/>
          <w14:ligatures w14:val="standardContextual"/>
        </w:rPr>
        <w:t>环境敏感目标</w:t>
      </w:r>
      <w:bookmarkEnd w:id="112"/>
    </w:p>
    <w:p w14:paraId="1213F879">
      <w:pPr>
        <w:spacing w:line="480" w:lineRule="exact"/>
        <w:ind w:firstLine="480" w:firstLineChars="200"/>
        <w:rPr>
          <w:rFonts w:hint="default" w:ascii="Times New Roman" w:hAnsi="Times New Roman" w:cs="Times New Roman"/>
          <w:sz w:val="24"/>
          <w:lang w:val="zh-CN"/>
        </w:rPr>
        <w:sectPr>
          <w:footerReference r:id="rId6" w:type="default"/>
          <w:pgSz w:w="11906" w:h="16838"/>
          <w:pgMar w:top="1440" w:right="1797" w:bottom="1440" w:left="1797" w:header="851" w:footer="992" w:gutter="0"/>
          <w:pgBorders>
            <w:top w:val="none" w:sz="0" w:space="0"/>
            <w:left w:val="none" w:sz="0" w:space="0"/>
            <w:bottom w:val="none" w:sz="0" w:space="0"/>
            <w:right w:val="none" w:sz="0" w:space="0"/>
          </w:pgBorders>
          <w:pgNumType w:fmt="decimal" w:start="1"/>
          <w:cols w:space="720" w:num="1"/>
          <w:docGrid w:linePitch="312" w:charSpace="0"/>
        </w:sectPr>
      </w:pPr>
      <w:bookmarkStart w:id="113" w:name="_Toc9731"/>
      <w:r>
        <w:rPr>
          <w:rFonts w:hint="default" w:ascii="Times New Roman" w:hAnsi="Times New Roman" w:cs="Times New Roman"/>
          <w:sz w:val="24"/>
          <w:lang w:val="zh-CN"/>
        </w:rPr>
        <w:t>根据对工程所在区域的现场踏勘，</w:t>
      </w:r>
      <w:r>
        <w:rPr>
          <w:rFonts w:hint="default" w:ascii="Times New Roman" w:hAnsi="Times New Roman" w:cs="Times New Roman"/>
          <w:sz w:val="24"/>
        </w:rPr>
        <w:t>本项目</w:t>
      </w:r>
      <w:r>
        <w:rPr>
          <w:rFonts w:hint="default" w:ascii="Times New Roman" w:hAnsi="Times New Roman" w:cs="Times New Roman"/>
          <w:sz w:val="24"/>
          <w:lang w:eastAsia="zh-CN"/>
        </w:rPr>
        <w:t>变电站</w:t>
      </w:r>
      <w:r>
        <w:rPr>
          <w:rFonts w:hint="default" w:ascii="Times New Roman" w:hAnsi="Times New Roman" w:cs="Times New Roman"/>
          <w:sz w:val="24"/>
          <w:lang w:val="zh-CN"/>
        </w:rPr>
        <w:t>评价范围内</w:t>
      </w:r>
      <w:r>
        <w:rPr>
          <w:rFonts w:hint="default" w:ascii="Times New Roman" w:hAnsi="Times New Roman" w:cs="Times New Roman"/>
          <w:sz w:val="24"/>
        </w:rPr>
        <w:t>无环境敏感目标</w:t>
      </w:r>
      <w:r>
        <w:rPr>
          <w:rFonts w:hint="default" w:ascii="Times New Roman" w:hAnsi="Times New Roman" w:cs="Times New Roman"/>
          <w:sz w:val="24"/>
          <w:lang w:val="zh-CN"/>
        </w:rPr>
        <w:t>。</w:t>
      </w:r>
    </w:p>
    <w:p w14:paraId="278BEADB">
      <w:pPr>
        <w:pStyle w:val="3"/>
        <w:numPr>
          <w:ilvl w:val="0"/>
          <w:numId w:val="0"/>
        </w:numPr>
        <w:rPr>
          <w:rFonts w:hint="default" w:ascii="Times New Roman" w:hAnsi="Times New Roman" w:cs="Times New Roman"/>
          <w:sz w:val="32"/>
          <w:szCs w:val="21"/>
          <w14:ligatures w14:val="standardContextual"/>
        </w:rPr>
      </w:pPr>
      <w:bookmarkStart w:id="114" w:name="_Toc10671"/>
      <w:bookmarkStart w:id="115" w:name="_Toc27370"/>
      <w:r>
        <w:rPr>
          <w:rFonts w:hint="default" w:ascii="Times New Roman" w:hAnsi="Times New Roman" w:cs="Times New Roman"/>
        </w:rPr>
        <w:t>2.电磁环境现状监测与评价</w:t>
      </w:r>
      <w:bookmarkEnd w:id="113"/>
      <w:bookmarkEnd w:id="114"/>
      <w:bookmarkEnd w:id="115"/>
    </w:p>
    <w:p w14:paraId="3DBDACA6">
      <w:pPr>
        <w:autoSpaceDE w:val="0"/>
        <w:autoSpaceDN w:val="0"/>
        <w:adjustRightInd w:val="0"/>
        <w:spacing w:before="120" w:after="120" w:line="480" w:lineRule="exact"/>
        <w:outlineLvl w:val="1"/>
        <w:rPr>
          <w:rFonts w:hint="default" w:ascii="Times New Roman" w:hAnsi="Times New Roman" w:eastAsia="黑体" w:cs="Times New Roman"/>
          <w:sz w:val="28"/>
          <w:szCs w:val="21"/>
          <w14:ligatures w14:val="standardContextual"/>
        </w:rPr>
      </w:pPr>
      <w:bookmarkStart w:id="116" w:name="_Toc7468"/>
      <w:r>
        <w:rPr>
          <w:rFonts w:hint="default" w:ascii="Times New Roman" w:hAnsi="Times New Roman" w:eastAsia="黑体" w:cs="Times New Roman"/>
          <w:sz w:val="28"/>
          <w:szCs w:val="21"/>
          <w14:ligatures w14:val="standardContextual"/>
        </w:rPr>
        <w:t>2.1 监测因子</w:t>
      </w:r>
      <w:bookmarkEnd w:id="116"/>
    </w:p>
    <w:p w14:paraId="30954086">
      <w:pPr>
        <w:spacing w:line="480" w:lineRule="exact"/>
        <w:ind w:firstLine="480" w:firstLineChars="200"/>
        <w:rPr>
          <w:rFonts w:hint="default" w:ascii="Times New Roman" w:hAnsi="Times New Roman" w:cs="Times New Roman"/>
          <w:sz w:val="24"/>
        </w:rPr>
      </w:pPr>
      <w:r>
        <w:rPr>
          <w:rFonts w:hint="default" w:ascii="Times New Roman" w:hAnsi="Times New Roman" w:cs="Times New Roman"/>
          <w:sz w:val="24"/>
        </w:rPr>
        <w:t>工频电场、工频磁场。</w:t>
      </w:r>
    </w:p>
    <w:p w14:paraId="68D91929">
      <w:pPr>
        <w:autoSpaceDE w:val="0"/>
        <w:autoSpaceDN w:val="0"/>
        <w:adjustRightInd w:val="0"/>
        <w:spacing w:before="120" w:after="120" w:line="480" w:lineRule="exact"/>
        <w:outlineLvl w:val="1"/>
        <w:rPr>
          <w:rFonts w:hint="default" w:ascii="Times New Roman" w:hAnsi="Times New Roman" w:eastAsia="黑体" w:cs="Times New Roman"/>
          <w:sz w:val="28"/>
          <w:szCs w:val="21"/>
          <w14:ligatures w14:val="standardContextual"/>
        </w:rPr>
      </w:pPr>
      <w:bookmarkStart w:id="117" w:name="_Toc3930"/>
      <w:r>
        <w:rPr>
          <w:rFonts w:hint="default" w:ascii="Times New Roman" w:hAnsi="Times New Roman" w:eastAsia="黑体" w:cs="Times New Roman"/>
          <w:sz w:val="28"/>
          <w:szCs w:val="21"/>
          <w14:ligatures w14:val="standardContextual"/>
        </w:rPr>
        <w:t>2.2 监测方法及布点</w:t>
      </w:r>
      <w:bookmarkEnd w:id="117"/>
    </w:p>
    <w:p w14:paraId="6BA73AD8">
      <w:pPr>
        <w:spacing w:line="480" w:lineRule="exact"/>
        <w:ind w:firstLine="480" w:firstLineChars="200"/>
        <w:rPr>
          <w:rFonts w:hint="default" w:ascii="Times New Roman" w:hAnsi="Times New Roman" w:cs="Times New Roman"/>
          <w:sz w:val="24"/>
        </w:rPr>
      </w:pPr>
      <w:r>
        <w:rPr>
          <w:rFonts w:hint="default" w:ascii="Times New Roman" w:hAnsi="Times New Roman" w:cs="Times New Roman"/>
          <w:sz w:val="24"/>
        </w:rPr>
        <w:t>监测方法：《交流输变电工程电磁环境监测办法（试行）》（HJ681-2013）。根据《环境影响评价技术导则</w:t>
      </w:r>
      <w:r>
        <w:rPr>
          <w:rFonts w:hint="default" w:ascii="Times New Roman" w:hAnsi="Times New Roman" w:cs="Times New Roman"/>
          <w:sz w:val="24"/>
          <w:lang w:val="en-US" w:eastAsia="zh-CN"/>
        </w:rPr>
        <w:t xml:space="preserve"> </w:t>
      </w:r>
      <w:r>
        <w:rPr>
          <w:rFonts w:hint="default" w:ascii="Times New Roman" w:hAnsi="Times New Roman" w:cs="Times New Roman"/>
          <w:sz w:val="24"/>
        </w:rPr>
        <w:t>输变电》（HJ24-2020）的要求，本次评价</w:t>
      </w:r>
      <w:r>
        <w:rPr>
          <w:rFonts w:hint="default" w:ascii="Times New Roman" w:hAnsi="Times New Roman" w:cs="Times New Roman"/>
          <w:sz w:val="24"/>
          <w:lang w:val="en-US" w:eastAsia="zh-CN"/>
        </w:rPr>
        <w:t>变电站</w:t>
      </w:r>
      <w:r>
        <w:rPr>
          <w:rFonts w:hint="default" w:ascii="Times New Roman" w:hAnsi="Times New Roman" w:cs="Times New Roman"/>
          <w:sz w:val="24"/>
        </w:rPr>
        <w:t>设置1个现状监测点，具体点位见图2-1。</w:t>
      </w:r>
    </w:p>
    <w:p w14:paraId="3B31F55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黑体" w:cs="Times New Roman"/>
          <w:lang w:eastAsia="zh-CN"/>
        </w:rPr>
      </w:pPr>
    </w:p>
    <w:p w14:paraId="766CC268">
      <w:pPr>
        <w:spacing w:line="480" w:lineRule="exact"/>
        <w:jc w:val="center"/>
        <w:rPr>
          <w:rFonts w:hint="default" w:ascii="Times New Roman" w:hAnsi="Times New Roman" w:eastAsia="黑体" w:cs="Times New Roman"/>
        </w:rPr>
      </w:pPr>
      <w:r>
        <w:rPr>
          <w:rFonts w:hint="default" w:ascii="Times New Roman" w:hAnsi="Times New Roman" w:eastAsia="黑体" w:cs="Times New Roman"/>
        </w:rPr>
        <w:t>图2-1 监测布点图</w:t>
      </w:r>
    </w:p>
    <w:p w14:paraId="7FD976F4">
      <w:pPr>
        <w:autoSpaceDE w:val="0"/>
        <w:autoSpaceDN w:val="0"/>
        <w:adjustRightInd w:val="0"/>
        <w:spacing w:before="120" w:after="120" w:line="480" w:lineRule="exact"/>
        <w:outlineLvl w:val="1"/>
        <w:rPr>
          <w:rFonts w:hint="default" w:ascii="Times New Roman" w:hAnsi="Times New Roman" w:eastAsia="黑体" w:cs="Times New Roman"/>
          <w:sz w:val="28"/>
          <w:szCs w:val="21"/>
          <w14:ligatures w14:val="standardContextual"/>
        </w:rPr>
      </w:pPr>
      <w:bookmarkStart w:id="118" w:name="_Toc25358"/>
      <w:r>
        <w:rPr>
          <w:rFonts w:hint="default" w:ascii="Times New Roman" w:hAnsi="Times New Roman" w:eastAsia="黑体" w:cs="Times New Roman"/>
          <w:sz w:val="28"/>
          <w:szCs w:val="21"/>
          <w14:ligatures w14:val="standardContextual"/>
        </w:rPr>
        <w:t>2.3 监测单位及监测时间</w:t>
      </w:r>
      <w:bookmarkEnd w:id="118"/>
    </w:p>
    <w:p w14:paraId="54B55A03">
      <w:pPr>
        <w:spacing w:line="480" w:lineRule="exact"/>
        <w:ind w:firstLine="480" w:firstLineChars="200"/>
        <w:rPr>
          <w:rFonts w:hint="default" w:ascii="Times New Roman" w:hAnsi="Times New Roman" w:cs="Times New Roman"/>
          <w:sz w:val="24"/>
        </w:rPr>
      </w:pPr>
      <w:r>
        <w:rPr>
          <w:rFonts w:hint="default" w:ascii="Times New Roman" w:hAnsi="Times New Roman" w:cs="Times New Roman"/>
          <w:sz w:val="24"/>
        </w:rPr>
        <w:t>监测单位：新疆中测测试有限责任公司</w:t>
      </w:r>
    </w:p>
    <w:p w14:paraId="4C4B0A2B">
      <w:pPr>
        <w:spacing w:line="480" w:lineRule="exact"/>
        <w:ind w:firstLine="480" w:firstLineChars="200"/>
        <w:rPr>
          <w:rFonts w:hint="default" w:ascii="Times New Roman" w:hAnsi="Times New Roman" w:cs="Times New Roman"/>
          <w:sz w:val="24"/>
        </w:rPr>
      </w:pPr>
      <w:r>
        <w:rPr>
          <w:rFonts w:hint="default" w:ascii="Times New Roman" w:hAnsi="Times New Roman" w:cs="Times New Roman"/>
          <w:sz w:val="24"/>
        </w:rPr>
        <w:t>监测时间：202</w:t>
      </w:r>
      <w:r>
        <w:rPr>
          <w:rFonts w:hint="default" w:ascii="Times New Roman" w:hAnsi="Times New Roman" w:cs="Times New Roman"/>
          <w:sz w:val="24"/>
          <w:lang w:val="en-US" w:eastAsia="zh-CN"/>
        </w:rPr>
        <w:t>5</w:t>
      </w:r>
      <w:r>
        <w:rPr>
          <w:rFonts w:hint="default" w:ascii="Times New Roman" w:hAnsi="Times New Roman" w:cs="Times New Roman"/>
          <w:sz w:val="24"/>
        </w:rPr>
        <w:t>年</w:t>
      </w:r>
      <w:r>
        <w:rPr>
          <w:rFonts w:hint="default" w:ascii="Times New Roman" w:hAnsi="Times New Roman" w:cs="Times New Roman"/>
          <w:sz w:val="24"/>
          <w:lang w:val="en-US" w:eastAsia="zh-CN"/>
        </w:rPr>
        <w:t>11</w:t>
      </w:r>
      <w:r>
        <w:rPr>
          <w:rFonts w:hint="default" w:ascii="Times New Roman" w:hAnsi="Times New Roman" w:cs="Times New Roman"/>
          <w:sz w:val="24"/>
        </w:rPr>
        <w:t>月</w:t>
      </w:r>
      <w:r>
        <w:rPr>
          <w:rFonts w:hint="default" w:ascii="Times New Roman" w:hAnsi="Times New Roman" w:cs="Times New Roman"/>
          <w:sz w:val="24"/>
          <w:lang w:val="en-US" w:eastAsia="zh-CN"/>
        </w:rPr>
        <w:t>24</w:t>
      </w:r>
      <w:r>
        <w:rPr>
          <w:rFonts w:hint="default" w:ascii="Times New Roman" w:hAnsi="Times New Roman" w:cs="Times New Roman"/>
          <w:sz w:val="24"/>
        </w:rPr>
        <w:t>日</w:t>
      </w:r>
    </w:p>
    <w:p w14:paraId="75D1EEBB">
      <w:pPr>
        <w:autoSpaceDE w:val="0"/>
        <w:autoSpaceDN w:val="0"/>
        <w:adjustRightInd w:val="0"/>
        <w:spacing w:before="120" w:after="120" w:line="480" w:lineRule="exact"/>
        <w:outlineLvl w:val="1"/>
        <w:rPr>
          <w:rFonts w:hint="default" w:ascii="Times New Roman" w:hAnsi="Times New Roman" w:eastAsia="黑体" w:cs="Times New Roman"/>
          <w:sz w:val="28"/>
          <w:szCs w:val="21"/>
          <w14:ligatures w14:val="standardContextual"/>
        </w:rPr>
      </w:pPr>
      <w:bookmarkStart w:id="119" w:name="_Toc30891"/>
      <w:r>
        <w:rPr>
          <w:rFonts w:hint="default" w:ascii="Times New Roman" w:hAnsi="Times New Roman" w:eastAsia="黑体" w:cs="Times New Roman"/>
          <w:sz w:val="28"/>
          <w:szCs w:val="21"/>
          <w14:ligatures w14:val="standardContextual"/>
        </w:rPr>
        <w:t>2.4 监测仪器、监测条件及工况</w:t>
      </w:r>
      <w:bookmarkEnd w:id="119"/>
    </w:p>
    <w:p w14:paraId="11C07758">
      <w:pPr>
        <w:spacing w:line="480" w:lineRule="exact"/>
        <w:ind w:firstLine="480" w:firstLineChars="200"/>
        <w:rPr>
          <w:rFonts w:hint="default" w:ascii="Times New Roman" w:hAnsi="Times New Roman" w:cs="Times New Roman"/>
          <w:sz w:val="24"/>
        </w:rPr>
      </w:pPr>
      <w:r>
        <w:rPr>
          <w:rFonts w:hint="default" w:ascii="Times New Roman" w:hAnsi="Times New Roman" w:cs="Times New Roman"/>
          <w:sz w:val="24"/>
        </w:rPr>
        <w:t>监测仪器参数，见表2.4-1。</w:t>
      </w:r>
    </w:p>
    <w:p w14:paraId="1FAF24BE">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黑体" w:cs="Times New Roman"/>
          <w:color w:val="000000"/>
          <w:highlight w:val="none"/>
          <w:lang w:val="en-US" w:eastAsia="zh-CN"/>
        </w:rPr>
      </w:pPr>
      <w:r>
        <w:rPr>
          <w:rFonts w:hint="default" w:ascii="Times New Roman" w:hAnsi="Times New Roman" w:eastAsia="黑体" w:cs="Times New Roman"/>
          <w:color w:val="000000"/>
          <w:highlight w:val="none"/>
          <w:lang w:val="en-US" w:eastAsia="zh-CN"/>
        </w:rPr>
        <w:t>表2.4-1  监测仪器参数表</w:t>
      </w:r>
    </w:p>
    <w:tbl>
      <w:tblPr>
        <w:tblStyle w:val="4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75"/>
        <w:gridCol w:w="2415"/>
        <w:gridCol w:w="1909"/>
        <w:gridCol w:w="1929"/>
      </w:tblGrid>
      <w:tr w14:paraId="0A7CB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334" w:type="pct"/>
            <w:vAlign w:val="center"/>
          </w:tcPr>
          <w:p w14:paraId="078B90D3">
            <w:pPr>
              <w:jc w:val="center"/>
              <w:rPr>
                <w:rFonts w:hint="default" w:ascii="Times New Roman" w:hAnsi="Times New Roman" w:cs="Times New Roman"/>
                <w:szCs w:val="21"/>
              </w:rPr>
            </w:pPr>
            <w:r>
              <w:rPr>
                <w:rFonts w:hint="default" w:ascii="Times New Roman" w:hAnsi="Times New Roman" w:cs="Times New Roman"/>
                <w:szCs w:val="21"/>
              </w:rPr>
              <w:t>仪器设备编号</w:t>
            </w:r>
          </w:p>
        </w:tc>
        <w:tc>
          <w:tcPr>
            <w:tcW w:w="1416" w:type="pct"/>
            <w:vAlign w:val="center"/>
          </w:tcPr>
          <w:p w14:paraId="103FADBF">
            <w:pPr>
              <w:jc w:val="center"/>
              <w:rPr>
                <w:rFonts w:hint="default" w:ascii="Times New Roman" w:hAnsi="Times New Roman" w:cs="Times New Roman"/>
                <w:szCs w:val="21"/>
              </w:rPr>
            </w:pPr>
            <w:r>
              <w:rPr>
                <w:rFonts w:hint="default" w:ascii="Times New Roman" w:hAnsi="Times New Roman" w:cs="Times New Roman"/>
                <w:szCs w:val="21"/>
              </w:rPr>
              <w:t>仪器设备名称</w:t>
            </w:r>
          </w:p>
        </w:tc>
        <w:tc>
          <w:tcPr>
            <w:tcW w:w="1119" w:type="pct"/>
            <w:vAlign w:val="center"/>
          </w:tcPr>
          <w:p w14:paraId="75F9299D">
            <w:pPr>
              <w:jc w:val="center"/>
              <w:rPr>
                <w:rFonts w:hint="default" w:ascii="Times New Roman" w:hAnsi="Times New Roman" w:cs="Times New Roman"/>
                <w:szCs w:val="21"/>
              </w:rPr>
            </w:pPr>
            <w:r>
              <w:rPr>
                <w:rFonts w:hint="default" w:ascii="Times New Roman" w:hAnsi="Times New Roman" w:cs="Times New Roman"/>
                <w:szCs w:val="21"/>
              </w:rPr>
              <w:t>仪器设备型号</w:t>
            </w:r>
          </w:p>
        </w:tc>
        <w:tc>
          <w:tcPr>
            <w:tcW w:w="1131" w:type="pct"/>
            <w:vAlign w:val="center"/>
          </w:tcPr>
          <w:p w14:paraId="72BE52D6">
            <w:pPr>
              <w:jc w:val="center"/>
              <w:rPr>
                <w:rFonts w:hint="default" w:ascii="Times New Roman" w:hAnsi="Times New Roman" w:cs="Times New Roman"/>
                <w:szCs w:val="21"/>
              </w:rPr>
            </w:pPr>
            <w:r>
              <w:rPr>
                <w:rFonts w:hint="default" w:ascii="Times New Roman" w:hAnsi="Times New Roman" w:cs="Times New Roman"/>
                <w:szCs w:val="21"/>
              </w:rPr>
              <w:t>检定/校准有效期</w:t>
            </w:r>
          </w:p>
        </w:tc>
      </w:tr>
      <w:tr w14:paraId="56C16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334" w:type="pct"/>
            <w:vAlign w:val="center"/>
          </w:tcPr>
          <w:p w14:paraId="6E8558E8">
            <w:pPr>
              <w:jc w:val="center"/>
              <w:rPr>
                <w:rFonts w:hint="default" w:ascii="Times New Roman" w:hAnsi="Times New Roman" w:cs="Times New Roman"/>
                <w:szCs w:val="21"/>
              </w:rPr>
            </w:pPr>
            <w:r>
              <w:rPr>
                <w:rFonts w:hint="default" w:ascii="Times New Roman" w:hAnsi="Times New Roman" w:cs="Times New Roman"/>
                <w:szCs w:val="21"/>
              </w:rPr>
              <w:t>XHJ-ZBJCSB-332</w:t>
            </w:r>
          </w:p>
        </w:tc>
        <w:tc>
          <w:tcPr>
            <w:tcW w:w="1416" w:type="pct"/>
            <w:vAlign w:val="center"/>
          </w:tcPr>
          <w:p w14:paraId="0CB0ABEE">
            <w:pPr>
              <w:jc w:val="center"/>
              <w:rPr>
                <w:rFonts w:hint="default" w:ascii="Times New Roman" w:hAnsi="Times New Roman" w:cs="Times New Roman"/>
                <w:szCs w:val="21"/>
              </w:rPr>
            </w:pPr>
            <w:r>
              <w:rPr>
                <w:rFonts w:hint="default" w:ascii="Times New Roman" w:hAnsi="Times New Roman" w:cs="Times New Roman"/>
                <w:szCs w:val="21"/>
              </w:rPr>
              <w:t xml:space="preserve">电磁辐射分析仪 </w:t>
            </w:r>
          </w:p>
        </w:tc>
        <w:tc>
          <w:tcPr>
            <w:tcW w:w="1119" w:type="pct"/>
            <w:vAlign w:val="center"/>
          </w:tcPr>
          <w:p w14:paraId="70C06F72">
            <w:pPr>
              <w:jc w:val="center"/>
              <w:rPr>
                <w:rFonts w:hint="default" w:ascii="Times New Roman" w:hAnsi="Times New Roman" w:cs="Times New Roman"/>
                <w:szCs w:val="21"/>
              </w:rPr>
            </w:pPr>
            <w:r>
              <w:rPr>
                <w:rFonts w:hint="default" w:ascii="Times New Roman" w:hAnsi="Times New Roman" w:cs="Times New Roman"/>
                <w:szCs w:val="21"/>
              </w:rPr>
              <w:t>SEM-600</w:t>
            </w:r>
          </w:p>
        </w:tc>
        <w:tc>
          <w:tcPr>
            <w:tcW w:w="1131" w:type="pct"/>
            <w:vAlign w:val="center"/>
          </w:tcPr>
          <w:p w14:paraId="21806C24">
            <w:pPr>
              <w:jc w:val="center"/>
              <w:rPr>
                <w:rFonts w:hint="default" w:ascii="Times New Roman" w:hAnsi="Times New Roman" w:cs="Times New Roman"/>
                <w:szCs w:val="21"/>
              </w:rPr>
            </w:pPr>
            <w:r>
              <w:rPr>
                <w:rFonts w:hint="default" w:ascii="Times New Roman" w:hAnsi="Times New Roman" w:cs="Times New Roman"/>
                <w:szCs w:val="21"/>
              </w:rPr>
              <w:t>2026/9/3</w:t>
            </w:r>
          </w:p>
        </w:tc>
      </w:tr>
    </w:tbl>
    <w:p w14:paraId="3122FE4C">
      <w:pPr>
        <w:spacing w:line="480" w:lineRule="exact"/>
        <w:ind w:firstLine="480" w:firstLineChars="200"/>
        <w:rPr>
          <w:rFonts w:hint="default" w:ascii="Times New Roman" w:hAnsi="Times New Roman" w:cs="Times New Roman"/>
          <w:sz w:val="24"/>
        </w:rPr>
      </w:pPr>
      <w:r>
        <w:rPr>
          <w:rFonts w:hint="default" w:ascii="Times New Roman" w:hAnsi="Times New Roman" w:cs="Times New Roman"/>
          <w:sz w:val="24"/>
        </w:rPr>
        <w:t>监测条件：天气：晴；气温</w:t>
      </w:r>
      <w:r>
        <w:rPr>
          <w:rFonts w:hint="default" w:ascii="Times New Roman" w:hAnsi="Times New Roman" w:cs="Times New Roman"/>
          <w:sz w:val="24"/>
          <w:lang w:eastAsia="zh-CN"/>
        </w:rPr>
        <w:t>：</w:t>
      </w:r>
      <w:r>
        <w:rPr>
          <w:rFonts w:hint="default" w:ascii="Times New Roman" w:hAnsi="Times New Roman" w:cs="Times New Roman"/>
          <w:sz w:val="24"/>
        </w:rPr>
        <w:t>8.3℃；相对湿度：34%；气压：92.1kPa。</w:t>
      </w:r>
    </w:p>
    <w:p w14:paraId="268267CD">
      <w:pPr>
        <w:autoSpaceDE w:val="0"/>
        <w:autoSpaceDN w:val="0"/>
        <w:adjustRightInd w:val="0"/>
        <w:spacing w:before="120" w:after="120" w:line="480" w:lineRule="exact"/>
        <w:outlineLvl w:val="1"/>
        <w:rPr>
          <w:rFonts w:hint="default" w:ascii="Times New Roman" w:hAnsi="Times New Roman" w:eastAsia="黑体" w:cs="Times New Roman"/>
          <w:sz w:val="28"/>
          <w:szCs w:val="21"/>
          <w14:ligatures w14:val="standardContextual"/>
        </w:rPr>
      </w:pPr>
      <w:bookmarkStart w:id="120" w:name="_Toc5976"/>
      <w:r>
        <w:rPr>
          <w:rFonts w:hint="default" w:ascii="Times New Roman" w:hAnsi="Times New Roman" w:eastAsia="黑体" w:cs="Times New Roman"/>
          <w:sz w:val="28"/>
          <w:szCs w:val="21"/>
          <w14:ligatures w14:val="standardContextual"/>
        </w:rPr>
        <w:t>2.5 监测结果</w:t>
      </w:r>
      <w:bookmarkEnd w:id="120"/>
    </w:p>
    <w:p w14:paraId="73D4F42B">
      <w:pPr>
        <w:spacing w:line="480" w:lineRule="exact"/>
        <w:ind w:firstLine="480" w:firstLineChars="200"/>
        <w:rPr>
          <w:rFonts w:hint="default" w:ascii="Times New Roman" w:hAnsi="Times New Roman" w:cs="Times New Roman"/>
          <w:sz w:val="24"/>
        </w:rPr>
      </w:pPr>
      <w:r>
        <w:rPr>
          <w:rFonts w:hint="default" w:ascii="Times New Roman" w:hAnsi="Times New Roman" w:cs="Times New Roman"/>
          <w:sz w:val="24"/>
        </w:rPr>
        <w:t>监测结果，见表2.5-1。</w:t>
      </w:r>
    </w:p>
    <w:p w14:paraId="4BA80783">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黑体" w:cs="Times New Roman"/>
          <w:color w:val="000000"/>
          <w:highlight w:val="none"/>
          <w:lang w:val="en-US" w:eastAsia="zh-CN"/>
        </w:rPr>
      </w:pPr>
      <w:r>
        <w:rPr>
          <w:rFonts w:hint="default" w:ascii="Times New Roman" w:hAnsi="Times New Roman" w:eastAsia="黑体" w:cs="Times New Roman"/>
          <w:color w:val="000000"/>
          <w:highlight w:val="none"/>
          <w:lang w:val="en-US" w:eastAsia="zh-CN"/>
        </w:rPr>
        <w:t>表2.5-1  电磁环境现状监测结果</w:t>
      </w:r>
    </w:p>
    <w:tbl>
      <w:tblPr>
        <w:tblStyle w:val="43"/>
        <w:tblW w:w="499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0" w:type="dxa"/>
          <w:bottom w:w="57" w:type="dxa"/>
          <w:right w:w="0" w:type="dxa"/>
        </w:tblCellMar>
      </w:tblPr>
      <w:tblGrid>
        <w:gridCol w:w="764"/>
        <w:gridCol w:w="965"/>
        <w:gridCol w:w="605"/>
        <w:gridCol w:w="1205"/>
        <w:gridCol w:w="840"/>
        <w:gridCol w:w="790"/>
        <w:gridCol w:w="765"/>
        <w:gridCol w:w="790"/>
        <w:gridCol w:w="751"/>
        <w:gridCol w:w="835"/>
      </w:tblGrid>
      <w:tr w14:paraId="7F355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rPr>
          <w:trHeight w:val="397" w:hRule="atLeast"/>
          <w:jc w:val="center"/>
        </w:trPr>
        <w:tc>
          <w:tcPr>
            <w:tcW w:w="460" w:type="pct"/>
            <w:vMerge w:val="restart"/>
            <w:vAlign w:val="center"/>
          </w:tcPr>
          <w:p w14:paraId="08350A07">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序号</w:t>
            </w:r>
          </w:p>
        </w:tc>
        <w:tc>
          <w:tcPr>
            <w:tcW w:w="581" w:type="pct"/>
            <w:vAlign w:val="center"/>
          </w:tcPr>
          <w:p w14:paraId="75CE756C">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测点位置</w:t>
            </w:r>
          </w:p>
        </w:tc>
        <w:tc>
          <w:tcPr>
            <w:tcW w:w="3958" w:type="pct"/>
            <w:gridSpan w:val="8"/>
            <w:vAlign w:val="center"/>
          </w:tcPr>
          <w:p w14:paraId="0C7BA9FF">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检测结果</w:t>
            </w:r>
          </w:p>
        </w:tc>
      </w:tr>
      <w:tr w14:paraId="4B4E0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rPr>
          <w:trHeight w:val="397" w:hRule="atLeast"/>
          <w:jc w:val="center"/>
        </w:trPr>
        <w:tc>
          <w:tcPr>
            <w:tcW w:w="460" w:type="pct"/>
            <w:vMerge w:val="continue"/>
            <w:vAlign w:val="center"/>
          </w:tcPr>
          <w:p w14:paraId="3C201216">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sz w:val="21"/>
                <w:szCs w:val="21"/>
              </w:rPr>
            </w:pPr>
          </w:p>
        </w:tc>
        <w:tc>
          <w:tcPr>
            <w:tcW w:w="581" w:type="pct"/>
            <w:vAlign w:val="center"/>
          </w:tcPr>
          <w:p w14:paraId="3562A63E">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测点位置</w:t>
            </w:r>
          </w:p>
        </w:tc>
        <w:tc>
          <w:tcPr>
            <w:tcW w:w="364" w:type="pct"/>
            <w:vAlign w:val="center"/>
          </w:tcPr>
          <w:p w14:paraId="2490609B">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高度</w:t>
            </w:r>
          </w:p>
        </w:tc>
        <w:tc>
          <w:tcPr>
            <w:tcW w:w="725" w:type="pct"/>
            <w:vAlign w:val="center"/>
          </w:tcPr>
          <w:p w14:paraId="51D6EA1B">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检测项目</w:t>
            </w:r>
          </w:p>
        </w:tc>
        <w:tc>
          <w:tcPr>
            <w:tcW w:w="505" w:type="pct"/>
            <w:vAlign w:val="center"/>
          </w:tcPr>
          <w:p w14:paraId="3CDFF8CF">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w:t>
            </w:r>
          </w:p>
        </w:tc>
        <w:tc>
          <w:tcPr>
            <w:tcW w:w="475" w:type="pct"/>
            <w:vAlign w:val="center"/>
          </w:tcPr>
          <w:p w14:paraId="7758DF5C">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w:t>
            </w:r>
          </w:p>
        </w:tc>
        <w:tc>
          <w:tcPr>
            <w:tcW w:w="460" w:type="pct"/>
            <w:vAlign w:val="center"/>
          </w:tcPr>
          <w:p w14:paraId="277DB52C">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3</w:t>
            </w:r>
          </w:p>
        </w:tc>
        <w:tc>
          <w:tcPr>
            <w:tcW w:w="475" w:type="pct"/>
            <w:vAlign w:val="center"/>
          </w:tcPr>
          <w:p w14:paraId="1C9C306E">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4</w:t>
            </w:r>
          </w:p>
        </w:tc>
        <w:tc>
          <w:tcPr>
            <w:tcW w:w="452" w:type="pct"/>
            <w:vAlign w:val="center"/>
          </w:tcPr>
          <w:p w14:paraId="2EFA9E77">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5</w:t>
            </w:r>
          </w:p>
        </w:tc>
        <w:tc>
          <w:tcPr>
            <w:tcW w:w="498" w:type="pct"/>
            <w:vAlign w:val="center"/>
          </w:tcPr>
          <w:p w14:paraId="5F9DFF0A">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平均值</w:t>
            </w:r>
          </w:p>
        </w:tc>
      </w:tr>
      <w:tr w14:paraId="04588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rPr>
          <w:trHeight w:val="397" w:hRule="atLeast"/>
          <w:jc w:val="center"/>
        </w:trPr>
        <w:tc>
          <w:tcPr>
            <w:tcW w:w="460" w:type="pct"/>
            <w:vMerge w:val="restart"/>
            <w:vAlign w:val="center"/>
          </w:tcPr>
          <w:p w14:paraId="0C11C628">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val="en-US" w:eastAsia="zh-CN"/>
              </w:rPr>
              <w:t>1</w:t>
            </w:r>
          </w:p>
        </w:tc>
        <w:tc>
          <w:tcPr>
            <w:tcW w:w="581" w:type="pct"/>
            <w:vMerge w:val="restart"/>
            <w:vAlign w:val="center"/>
          </w:tcPr>
          <w:p w14:paraId="20EB9957">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拟建变电站站址中心</w:t>
            </w:r>
          </w:p>
        </w:tc>
        <w:tc>
          <w:tcPr>
            <w:tcW w:w="364" w:type="pct"/>
            <w:vMerge w:val="restart"/>
            <w:vAlign w:val="center"/>
          </w:tcPr>
          <w:p w14:paraId="096669E9">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1.5m</w:t>
            </w:r>
          </w:p>
        </w:tc>
        <w:tc>
          <w:tcPr>
            <w:tcW w:w="725" w:type="pct"/>
            <w:vAlign w:val="center"/>
          </w:tcPr>
          <w:p w14:paraId="38F9D82D">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电场（V/m）</w:t>
            </w:r>
          </w:p>
        </w:tc>
        <w:tc>
          <w:tcPr>
            <w:tcW w:w="839" w:type="dxa"/>
            <w:vAlign w:val="center"/>
          </w:tcPr>
          <w:p w14:paraId="63E70997">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kern w:val="0"/>
                <w:sz w:val="21"/>
                <w:szCs w:val="21"/>
                <w:lang w:val="en-US" w:eastAsia="zh-CN" w:bidi="ar"/>
              </w:rPr>
              <w:t>57.218</w:t>
            </w:r>
          </w:p>
        </w:tc>
        <w:tc>
          <w:tcPr>
            <w:tcW w:w="790" w:type="dxa"/>
            <w:vAlign w:val="center"/>
          </w:tcPr>
          <w:p w14:paraId="3167DE7E">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kern w:val="0"/>
                <w:sz w:val="21"/>
                <w:szCs w:val="21"/>
                <w:lang w:val="en-US" w:eastAsia="zh-CN" w:bidi="ar"/>
              </w:rPr>
              <w:t>67.357</w:t>
            </w:r>
          </w:p>
        </w:tc>
        <w:tc>
          <w:tcPr>
            <w:tcW w:w="765" w:type="dxa"/>
            <w:vAlign w:val="center"/>
          </w:tcPr>
          <w:p w14:paraId="78CF4C2E">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kern w:val="0"/>
                <w:sz w:val="21"/>
                <w:szCs w:val="21"/>
                <w:lang w:val="en-US" w:eastAsia="zh-CN" w:bidi="ar"/>
              </w:rPr>
              <w:t>52.673</w:t>
            </w:r>
          </w:p>
        </w:tc>
        <w:tc>
          <w:tcPr>
            <w:tcW w:w="790" w:type="dxa"/>
            <w:vAlign w:val="center"/>
          </w:tcPr>
          <w:p w14:paraId="43AA7AB2">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kern w:val="0"/>
                <w:sz w:val="21"/>
                <w:szCs w:val="21"/>
                <w:lang w:val="en-US" w:eastAsia="zh-CN" w:bidi="ar"/>
              </w:rPr>
              <w:t>64.389</w:t>
            </w:r>
          </w:p>
        </w:tc>
        <w:tc>
          <w:tcPr>
            <w:tcW w:w="751" w:type="dxa"/>
            <w:vAlign w:val="center"/>
          </w:tcPr>
          <w:p w14:paraId="7E31CD69">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kern w:val="0"/>
                <w:sz w:val="21"/>
                <w:szCs w:val="21"/>
                <w:lang w:val="en-US" w:eastAsia="zh-CN" w:bidi="ar"/>
              </w:rPr>
              <w:t>60.821</w:t>
            </w:r>
          </w:p>
        </w:tc>
        <w:tc>
          <w:tcPr>
            <w:tcW w:w="827" w:type="dxa"/>
            <w:vAlign w:val="center"/>
          </w:tcPr>
          <w:p w14:paraId="57A231AD">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kern w:val="0"/>
                <w:sz w:val="21"/>
                <w:szCs w:val="21"/>
                <w:lang w:val="en-US" w:eastAsia="zh-CN" w:bidi="ar"/>
              </w:rPr>
              <w:t>60.492</w:t>
            </w:r>
          </w:p>
        </w:tc>
      </w:tr>
      <w:tr w14:paraId="29EB7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rPr>
          <w:trHeight w:val="397" w:hRule="atLeast"/>
          <w:jc w:val="center"/>
        </w:trPr>
        <w:tc>
          <w:tcPr>
            <w:tcW w:w="460" w:type="pct"/>
            <w:vMerge w:val="continue"/>
            <w:vAlign w:val="center"/>
          </w:tcPr>
          <w:p w14:paraId="54859FDA">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sz w:val="21"/>
                <w:szCs w:val="21"/>
              </w:rPr>
            </w:pPr>
          </w:p>
        </w:tc>
        <w:tc>
          <w:tcPr>
            <w:tcW w:w="581" w:type="pct"/>
            <w:vMerge w:val="continue"/>
            <w:vAlign w:val="center"/>
          </w:tcPr>
          <w:p w14:paraId="25524830">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sz w:val="21"/>
                <w:szCs w:val="21"/>
              </w:rPr>
            </w:pPr>
          </w:p>
        </w:tc>
        <w:tc>
          <w:tcPr>
            <w:tcW w:w="364" w:type="pct"/>
            <w:vMerge w:val="continue"/>
            <w:vAlign w:val="center"/>
          </w:tcPr>
          <w:p w14:paraId="60A812AE">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sz w:val="21"/>
                <w:szCs w:val="21"/>
              </w:rPr>
            </w:pPr>
          </w:p>
        </w:tc>
        <w:tc>
          <w:tcPr>
            <w:tcW w:w="725" w:type="pct"/>
            <w:vAlign w:val="center"/>
          </w:tcPr>
          <w:p w14:paraId="2AE194B9">
            <w:pPr>
              <w:keepNext w:val="0"/>
              <w:keepLines w:val="0"/>
              <w:pageBreakBefore w:val="0"/>
              <w:kinsoku/>
              <w:wordWrap/>
              <w:overflowPunct/>
              <w:topLinePunct w:val="0"/>
              <w:autoSpaceDE/>
              <w:autoSpaceDN/>
              <w:bidi w:val="0"/>
              <w:adjustRightInd/>
              <w:snapToGrid/>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磁场（μT）</w:t>
            </w:r>
          </w:p>
        </w:tc>
        <w:tc>
          <w:tcPr>
            <w:tcW w:w="839" w:type="dxa"/>
            <w:vAlign w:val="center"/>
          </w:tcPr>
          <w:p w14:paraId="2B134C2F">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kern w:val="0"/>
                <w:sz w:val="21"/>
                <w:szCs w:val="21"/>
                <w:lang w:val="en-US" w:eastAsia="zh-CN" w:bidi="ar"/>
              </w:rPr>
              <w:t>0.027</w:t>
            </w:r>
          </w:p>
        </w:tc>
        <w:tc>
          <w:tcPr>
            <w:tcW w:w="790" w:type="dxa"/>
            <w:vAlign w:val="center"/>
          </w:tcPr>
          <w:p w14:paraId="1E5E6BC9">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kern w:val="0"/>
                <w:sz w:val="21"/>
                <w:szCs w:val="21"/>
                <w:lang w:val="en-US" w:eastAsia="zh-CN" w:bidi="ar"/>
              </w:rPr>
              <w:t>0.026</w:t>
            </w:r>
          </w:p>
        </w:tc>
        <w:tc>
          <w:tcPr>
            <w:tcW w:w="765" w:type="dxa"/>
            <w:vAlign w:val="center"/>
          </w:tcPr>
          <w:p w14:paraId="2759C727">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kern w:val="0"/>
                <w:sz w:val="21"/>
                <w:szCs w:val="21"/>
                <w:lang w:val="en-US" w:eastAsia="zh-CN" w:bidi="ar"/>
              </w:rPr>
              <w:t>0.018</w:t>
            </w:r>
          </w:p>
        </w:tc>
        <w:tc>
          <w:tcPr>
            <w:tcW w:w="790" w:type="dxa"/>
            <w:vAlign w:val="center"/>
          </w:tcPr>
          <w:p w14:paraId="3A39E16F">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kern w:val="0"/>
                <w:sz w:val="21"/>
                <w:szCs w:val="21"/>
                <w:lang w:val="en-US" w:eastAsia="zh-CN" w:bidi="ar"/>
              </w:rPr>
              <w:t>0.018</w:t>
            </w:r>
          </w:p>
        </w:tc>
        <w:tc>
          <w:tcPr>
            <w:tcW w:w="751" w:type="dxa"/>
            <w:vAlign w:val="center"/>
          </w:tcPr>
          <w:p w14:paraId="598A36FD">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kern w:val="0"/>
                <w:sz w:val="21"/>
                <w:szCs w:val="21"/>
                <w:lang w:val="en-US" w:eastAsia="zh-CN" w:bidi="ar"/>
              </w:rPr>
              <w:t>0.019</w:t>
            </w:r>
          </w:p>
        </w:tc>
        <w:tc>
          <w:tcPr>
            <w:tcW w:w="827" w:type="dxa"/>
            <w:vAlign w:val="center"/>
          </w:tcPr>
          <w:p w14:paraId="266C75AF">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kern w:val="0"/>
                <w:sz w:val="21"/>
                <w:szCs w:val="21"/>
                <w:lang w:val="en-US" w:eastAsia="zh-CN" w:bidi="ar"/>
              </w:rPr>
              <w:t>0.022</w:t>
            </w:r>
          </w:p>
        </w:tc>
      </w:tr>
    </w:tbl>
    <w:p w14:paraId="51F6C6DC">
      <w:pPr>
        <w:spacing w:line="480" w:lineRule="exact"/>
        <w:ind w:firstLine="480" w:firstLineChars="200"/>
        <w:rPr>
          <w:rFonts w:hint="default" w:ascii="Times New Roman" w:hAnsi="Times New Roman" w:cs="Times New Roman"/>
          <w:sz w:val="24"/>
          <w:highlight w:val="none"/>
        </w:rPr>
      </w:pPr>
      <w:r>
        <w:rPr>
          <w:rFonts w:hint="default" w:ascii="Times New Roman" w:hAnsi="Times New Roman" w:cs="Times New Roman"/>
          <w:sz w:val="24"/>
        </w:rPr>
        <w:t>由表2.5-1分析可知，变电站工频电场、工频磁场监测结果均满足《电磁环境控制限值》（GB8702-2014）中的（电场强度≤4000V/m；磁感应强度≤100μT）公众曝露控制限值，监测报告</w:t>
      </w:r>
      <w:r>
        <w:rPr>
          <w:rFonts w:hint="default" w:ascii="Times New Roman" w:hAnsi="Times New Roman" w:cs="Times New Roman"/>
          <w:sz w:val="24"/>
          <w:highlight w:val="none"/>
        </w:rPr>
        <w:t>见附件3。</w:t>
      </w:r>
    </w:p>
    <w:p w14:paraId="0337BE0B">
      <w:pPr>
        <w:autoSpaceDE w:val="0"/>
        <w:autoSpaceDN w:val="0"/>
        <w:adjustRightInd w:val="0"/>
        <w:spacing w:before="120" w:after="120" w:line="480" w:lineRule="exact"/>
        <w:outlineLvl w:val="0"/>
        <w:rPr>
          <w:rFonts w:hint="default" w:ascii="Times New Roman" w:hAnsi="Times New Roman" w:eastAsia="黑体" w:cs="Times New Roman"/>
          <w:sz w:val="32"/>
          <w:szCs w:val="21"/>
          <w14:ligatures w14:val="standardContextual"/>
        </w:rPr>
      </w:pPr>
      <w:bookmarkStart w:id="121" w:name="_Toc8549"/>
      <w:bookmarkStart w:id="122" w:name="_Toc10160"/>
      <w:bookmarkStart w:id="123" w:name="_Toc6127"/>
      <w:r>
        <w:rPr>
          <w:rFonts w:hint="default" w:ascii="Times New Roman" w:hAnsi="Times New Roman" w:eastAsia="黑体" w:cs="Times New Roman"/>
          <w:sz w:val="32"/>
          <w:szCs w:val="21"/>
          <w14:ligatures w14:val="standardContextual"/>
        </w:rPr>
        <w:t>3.电磁环境影响预测分析</w:t>
      </w:r>
      <w:bookmarkEnd w:id="121"/>
      <w:bookmarkEnd w:id="122"/>
      <w:bookmarkEnd w:id="123"/>
    </w:p>
    <w:p w14:paraId="0C82507D">
      <w:pPr>
        <w:spacing w:line="480" w:lineRule="exact"/>
        <w:ind w:firstLine="522"/>
        <w:rPr>
          <w:rFonts w:hint="default" w:ascii="Times New Roman" w:hAnsi="Times New Roman" w:cs="Times New Roman"/>
          <w:sz w:val="24"/>
          <w:szCs w:val="21"/>
          <w14:ligatures w14:val="standardContextual"/>
        </w:rPr>
      </w:pPr>
      <w:bookmarkStart w:id="124" w:name="_Toc20669"/>
      <w:bookmarkStart w:id="125" w:name="_Toc16397"/>
      <w:bookmarkStart w:id="126" w:name="_Toc15869"/>
      <w:r>
        <w:rPr>
          <w:rFonts w:hint="default" w:ascii="Times New Roman" w:hAnsi="Times New Roman" w:cs="Times New Roman"/>
          <w:sz w:val="24"/>
          <w:szCs w:val="21"/>
          <w14:ligatures w14:val="standardContextual"/>
        </w:rPr>
        <w:t>本项目</w:t>
      </w:r>
      <w:r>
        <w:rPr>
          <w:rFonts w:hint="default" w:ascii="Times New Roman" w:hAnsi="Times New Roman" w:cs="Times New Roman"/>
          <w:sz w:val="24"/>
        </w:rPr>
        <w:t>变电站</w:t>
      </w:r>
      <w:r>
        <w:rPr>
          <w:rFonts w:hint="default" w:ascii="Times New Roman" w:hAnsi="Times New Roman" w:cs="Times New Roman"/>
          <w:sz w:val="24"/>
          <w:szCs w:val="21"/>
          <w14:ligatures w14:val="standardContextual"/>
        </w:rPr>
        <w:t>的电磁环境影响评价等级为二级，根据《环境影响评价技术导则</w:t>
      </w:r>
      <w:r>
        <w:rPr>
          <w:rFonts w:hint="default" w:ascii="Times New Roman" w:hAnsi="Times New Roman" w:cs="Times New Roman"/>
          <w:sz w:val="24"/>
          <w:szCs w:val="21"/>
          <w:lang w:val="en-US" w:eastAsia="zh-CN"/>
          <w14:ligatures w14:val="standardContextual"/>
        </w:rPr>
        <w:t xml:space="preserve"> </w:t>
      </w:r>
      <w:r>
        <w:rPr>
          <w:rFonts w:hint="default" w:ascii="Times New Roman" w:hAnsi="Times New Roman" w:cs="Times New Roman"/>
          <w:sz w:val="24"/>
          <w:szCs w:val="21"/>
          <w14:ligatures w14:val="standardContextual"/>
        </w:rPr>
        <w:t>输变电》（HJ24-2020）要求，采用类比监测的方式进行预测分析。</w:t>
      </w:r>
      <w:bookmarkEnd w:id="124"/>
      <w:bookmarkEnd w:id="125"/>
      <w:bookmarkEnd w:id="126"/>
    </w:p>
    <w:p w14:paraId="7E56907E">
      <w:pPr>
        <w:autoSpaceDE w:val="0"/>
        <w:autoSpaceDN w:val="0"/>
        <w:adjustRightInd w:val="0"/>
        <w:spacing w:before="120" w:after="120" w:line="480" w:lineRule="exact"/>
        <w:outlineLvl w:val="1"/>
        <w:rPr>
          <w:rFonts w:hint="default" w:ascii="Times New Roman" w:hAnsi="Times New Roman" w:eastAsia="黑体" w:cs="Times New Roman"/>
          <w:sz w:val="28"/>
          <w:szCs w:val="21"/>
          <w14:ligatures w14:val="standardContextual"/>
        </w:rPr>
      </w:pPr>
      <w:bookmarkStart w:id="127" w:name="_Toc10694"/>
      <w:r>
        <w:rPr>
          <w:rFonts w:hint="default" w:ascii="Times New Roman" w:hAnsi="Times New Roman" w:eastAsia="黑体" w:cs="Times New Roman"/>
          <w:sz w:val="28"/>
          <w:szCs w:val="21"/>
          <w14:ligatures w14:val="standardContextual"/>
        </w:rPr>
        <w:t>3.1 类比的可行性</w:t>
      </w:r>
      <w:bookmarkEnd w:id="127"/>
    </w:p>
    <w:p w14:paraId="27010E80">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cs="Times New Roman"/>
        </w:rPr>
      </w:pPr>
      <w:bookmarkStart w:id="128" w:name="_Toc22779"/>
      <w:r>
        <w:rPr>
          <w:rFonts w:hint="default" w:ascii="Times New Roman" w:hAnsi="Times New Roman" w:eastAsia="宋体" w:cs="Times New Roman"/>
          <w:b w:val="0"/>
          <w:bCs w:val="0"/>
          <w:i w:val="0"/>
          <w:iCs w:val="0"/>
          <w:color w:val="000000"/>
          <w:spacing w:val="0"/>
          <w:w w:val="100"/>
          <w:sz w:val="24"/>
          <w:szCs w:val="24"/>
          <w:vertAlign w:val="baseline"/>
        </w:rPr>
        <w:t>本次评价本项目变电站的电磁环境影响预测采用类比监测的方法进行。</w:t>
      </w:r>
    </w:p>
    <w:p w14:paraId="1B2D5AC7">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cs="Times New Roman"/>
        </w:rPr>
      </w:pPr>
      <w:r>
        <w:rPr>
          <w:rFonts w:hint="default" w:ascii="Times New Roman" w:hAnsi="Times New Roman" w:eastAsia="宋体" w:cs="Times New Roman"/>
          <w:b w:val="0"/>
          <w:bCs w:val="0"/>
          <w:i w:val="0"/>
          <w:iCs w:val="0"/>
          <w:color w:val="000000"/>
          <w:spacing w:val="0"/>
          <w:w w:val="100"/>
          <w:sz w:val="24"/>
          <w:szCs w:val="24"/>
          <w:vertAlign w:val="baseline"/>
        </w:rPr>
        <w:t>电磁环境类比测量，从严格意义讲，具有完全相同的设备型号（决定了电压等级及额定功率、额定电流等）、布置情况（决定了距离因子）和环境条件是最理想的，即：不仅有相同的主变数和容量，而且一次主接线也相同，布置情况及环境条件也相同。但是要满足这样的条件是很困难的，要解决这一实际困难，可以在关键部分相同，而达到进行类比的条件。所谓关键部分，就是主要的工频电场、工频磁场产生源。</w:t>
      </w:r>
    </w:p>
    <w:p w14:paraId="5C332D8A">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cs="Times New Roman"/>
        </w:rPr>
      </w:pPr>
      <w:r>
        <w:rPr>
          <w:rFonts w:hint="default" w:ascii="Times New Roman" w:hAnsi="Times New Roman" w:eastAsia="宋体" w:cs="Times New Roman"/>
          <w:b w:val="0"/>
          <w:bCs w:val="0"/>
          <w:i w:val="0"/>
          <w:iCs w:val="0"/>
          <w:color w:val="000000"/>
          <w:spacing w:val="0"/>
          <w:w w:val="100"/>
          <w:sz w:val="24"/>
          <w:szCs w:val="24"/>
          <w:vertAlign w:val="baseline"/>
        </w:rPr>
        <w:t>对于围墙外的工频电场，要求最近的高压带电构架布置一致、电压相同，此时就可以认为具有可比性；同样对于变电站围墙外的工频磁场，也要求最近的通流导体的布置和电流相同才具有可比性。实际情况是，工频电场的类比条件相对容易相符，因为变电站主设备和母线电压是基本稳定的，不会随时间和负荷的变化而产生大的变化。但是产生工频磁场的电流</w:t>
      </w:r>
      <w:r>
        <w:rPr>
          <w:rFonts w:hint="default" w:ascii="Times New Roman" w:hAnsi="Times New Roman" w:cs="Times New Roman"/>
          <w:b w:val="0"/>
          <w:bCs w:val="0"/>
          <w:i w:val="0"/>
          <w:iCs w:val="0"/>
          <w:color w:val="000000"/>
          <w:spacing w:val="0"/>
          <w:w w:val="100"/>
          <w:sz w:val="24"/>
          <w:szCs w:val="24"/>
          <w:vertAlign w:val="baseline"/>
          <w:lang w:eastAsia="zh-CN"/>
        </w:rPr>
        <w:t>却</w:t>
      </w:r>
      <w:r>
        <w:rPr>
          <w:rFonts w:hint="default" w:ascii="Times New Roman" w:hAnsi="Times New Roman" w:eastAsia="宋体" w:cs="Times New Roman"/>
          <w:b w:val="0"/>
          <w:bCs w:val="0"/>
          <w:i w:val="0"/>
          <w:iCs w:val="0"/>
          <w:color w:val="000000"/>
          <w:spacing w:val="0"/>
          <w:w w:val="100"/>
          <w:sz w:val="24"/>
          <w:szCs w:val="24"/>
          <w:vertAlign w:val="baseline"/>
        </w:rPr>
        <w:t>随负荷变化而有较大的变化。</w:t>
      </w:r>
    </w:p>
    <w:p w14:paraId="537FCEC0">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cs="Times New Roman"/>
        </w:rPr>
      </w:pPr>
      <w:r>
        <w:rPr>
          <w:rFonts w:hint="default" w:ascii="Times New Roman" w:hAnsi="Times New Roman" w:eastAsia="宋体" w:cs="Times New Roman"/>
          <w:b w:val="0"/>
          <w:bCs w:val="0"/>
          <w:i w:val="0"/>
          <w:iCs w:val="0"/>
          <w:color w:val="000000"/>
          <w:spacing w:val="0"/>
          <w:w w:val="100"/>
          <w:sz w:val="24"/>
          <w:szCs w:val="24"/>
          <w:vertAlign w:val="baseline"/>
        </w:rPr>
        <w:t>根据以往对诸多变电站的电磁环境的类比监测结果，变电站周围的工频磁场场强远小于100μT的限值标准，而变电站围墙外进出线处的工频电场则有可能超过4kV/m。因此本项目主要针对工频电场选取类比对象。按照类似工程的主变规模、电压等级、布置形式等原则，现以已运行的</w:t>
      </w:r>
      <w:r>
        <w:rPr>
          <w:rFonts w:hint="eastAsia" w:ascii="Times New Roman" w:hAnsi="Times New Roman" w:cs="Times New Roman"/>
          <w:b w:val="0"/>
          <w:bCs w:val="0"/>
          <w:i w:val="0"/>
          <w:iCs w:val="0"/>
          <w:color w:val="000000"/>
          <w:spacing w:val="0"/>
          <w:w w:val="100"/>
          <w:sz w:val="24"/>
          <w:szCs w:val="24"/>
          <w:vertAlign w:val="baseline"/>
          <w:lang w:eastAsia="zh-CN"/>
        </w:rPr>
        <w:t>“</w:t>
      </w:r>
      <w:r>
        <w:rPr>
          <w:rFonts w:hint="default" w:ascii="Times New Roman" w:hAnsi="Times New Roman" w:eastAsia="宋体" w:cs="Times New Roman"/>
          <w:b w:val="0"/>
          <w:bCs w:val="0"/>
          <w:i w:val="0"/>
          <w:iCs w:val="0"/>
          <w:color w:val="000000"/>
          <w:spacing w:val="0"/>
          <w:w w:val="100"/>
          <w:sz w:val="24"/>
          <w:szCs w:val="24"/>
          <w:vertAlign w:val="baseline"/>
        </w:rPr>
        <w:t>石河子市兵团第八师143团山河110kV输变电工程110kV升压站</w:t>
      </w:r>
      <w:r>
        <w:rPr>
          <w:rFonts w:hint="eastAsia" w:ascii="Times New Roman" w:hAnsi="Times New Roman" w:cs="Times New Roman"/>
          <w:b w:val="0"/>
          <w:bCs w:val="0"/>
          <w:i w:val="0"/>
          <w:iCs w:val="0"/>
          <w:color w:val="000000"/>
          <w:spacing w:val="0"/>
          <w:w w:val="100"/>
          <w:sz w:val="24"/>
          <w:szCs w:val="24"/>
          <w:vertAlign w:val="baseline"/>
          <w:lang w:eastAsia="zh-CN"/>
        </w:rPr>
        <w:t>”</w:t>
      </w:r>
      <w:r>
        <w:rPr>
          <w:rFonts w:hint="default" w:ascii="Times New Roman" w:hAnsi="Times New Roman" w:eastAsia="宋体" w:cs="Times New Roman"/>
          <w:b w:val="0"/>
          <w:bCs w:val="0"/>
          <w:i w:val="0"/>
          <w:iCs w:val="0"/>
          <w:color w:val="000000"/>
          <w:spacing w:val="0"/>
          <w:w w:val="100"/>
          <w:sz w:val="24"/>
          <w:szCs w:val="24"/>
          <w:vertAlign w:val="baseline"/>
        </w:rPr>
        <w:t>作为类比对象，该站110kV升压站主变规模3×100MVA、户外GIS布置、110kV出线4回，已按《交流输变电工程电磁环境监测方法（试行）》（HJ681-2013）在四周围墙外5m处布设4个测点开展工频电场、工频磁场监测。</w:t>
      </w:r>
    </w:p>
    <w:p w14:paraId="67A7EF7C">
      <w:pPr>
        <w:keepNext w:val="0"/>
        <w:keepLines w:val="0"/>
        <w:pageBreakBefore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sz w:val="24"/>
          <w:highlight w:val="none"/>
        </w:rPr>
      </w:pPr>
      <w:r>
        <w:rPr>
          <w:rFonts w:hint="default" w:ascii="Times New Roman" w:hAnsi="Times New Roman" w:cs="Times New Roman"/>
          <w:sz w:val="24"/>
          <w:highlight w:val="none"/>
        </w:rPr>
        <w:t>具体可类比性主要体现在以下方面：</w:t>
      </w:r>
    </w:p>
    <w:bookmarkEnd w:id="128"/>
    <w:p w14:paraId="18A9E65D">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b w:val="0"/>
          <w:bCs w:val="0"/>
          <w:i w:val="0"/>
          <w:iCs w:val="0"/>
          <w:color w:val="000000"/>
          <w:spacing w:val="0"/>
          <w:w w:val="100"/>
          <w:sz w:val="24"/>
          <w:szCs w:val="24"/>
          <w:highlight w:val="none"/>
          <w:vertAlign w:val="baseline"/>
        </w:rPr>
      </w:pPr>
      <w:bookmarkStart w:id="129" w:name="_Toc15056"/>
      <w:bookmarkStart w:id="130" w:name="_Toc18035"/>
      <w:r>
        <w:rPr>
          <w:rFonts w:hint="default" w:ascii="Times New Roman" w:hAnsi="Times New Roman" w:eastAsia="宋体" w:cs="Times New Roman"/>
          <w:b w:val="0"/>
          <w:bCs w:val="0"/>
          <w:i w:val="0"/>
          <w:iCs w:val="0"/>
          <w:color w:val="000000"/>
          <w:spacing w:val="0"/>
          <w:w w:val="100"/>
          <w:sz w:val="24"/>
          <w:szCs w:val="24"/>
          <w:highlight w:val="none"/>
          <w:vertAlign w:val="baseline"/>
        </w:rPr>
        <w:t>1、布局基本相同。 本项目围墙内占地3586m²，主变压器户外布置于站区南侧，110kV GIS室、10kV配电室等配电装置布置于综合配电装置楼内，北侧架空出线；类比对象石河子市兵团第八师143团山河110kV输变电工程110kV升压站主变压器亦为户外布置，110kV配电装置采用户外GIS布置形式，110kV出线4回，同为架空出线。两站均为主变户外、高压配电装置利用金属壳体（建筑墙体）屏蔽的紧凑布置形式，主要电磁源（主变压器、配电装置）与变电站站界的相对位置关系基本一致。</w:t>
      </w:r>
    </w:p>
    <w:p w14:paraId="587673C1">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b w:val="0"/>
          <w:bCs w:val="0"/>
          <w:i w:val="0"/>
          <w:iCs w:val="0"/>
          <w:color w:val="000000"/>
          <w:spacing w:val="0"/>
          <w:w w:val="100"/>
          <w:sz w:val="24"/>
          <w:szCs w:val="24"/>
          <w:highlight w:val="none"/>
          <w:vertAlign w:val="baseline"/>
        </w:rPr>
      </w:pPr>
      <w:r>
        <w:rPr>
          <w:rFonts w:hint="default" w:ascii="Times New Roman" w:hAnsi="Times New Roman" w:eastAsia="宋体" w:cs="Times New Roman"/>
          <w:b w:val="0"/>
          <w:bCs w:val="0"/>
          <w:i w:val="0"/>
          <w:iCs w:val="0"/>
          <w:color w:val="000000"/>
          <w:spacing w:val="0"/>
          <w:w w:val="100"/>
          <w:sz w:val="24"/>
          <w:szCs w:val="24"/>
          <w:highlight w:val="none"/>
          <w:vertAlign w:val="baseline"/>
        </w:rPr>
        <w:t>2、环境条件基本相同。 本项目位于塔里木盆地东北缘、塔克拉玛干沙漠东北缘的尉犁县绿洲—荒漠过渡带，属温带干旱大陆性气候，年平均降水量41.2mm、年蒸发量2806.7mm，干旱少雨、蒸发强烈；类比对象山河110kV输变电工程位于新疆干旱区，气候干旱少雨、站址周围较为空旷。两站均处于干旱戈壁荒漠环境，空气湿度总体偏低，环境条件总体相当。工频电场强度受空气湿度存在一定影响，两站同属干旱低湿环境，湿度条件总体可比；工频磁感应强度基本不受温度、湿度条件影响。类比对象山河站主变总容量（3×100MVA）大于本项目（2×63MVA），110kV出线回路数（4回）多于本项目（2回），类比对象具备代表性，满足HJ24‑2020类比评价要求。两站站址周围地势开阔，变电站站界外均无居民住宅、学校、医院等电磁环境敏感目标。</w:t>
      </w:r>
    </w:p>
    <w:p w14:paraId="565F4A5E">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b w:val="0"/>
          <w:bCs w:val="0"/>
          <w:i w:val="0"/>
          <w:iCs w:val="0"/>
          <w:color w:val="000000"/>
          <w:spacing w:val="0"/>
          <w:w w:val="100"/>
          <w:sz w:val="24"/>
          <w:szCs w:val="24"/>
          <w:highlight w:val="none"/>
          <w:vertAlign w:val="baseline"/>
        </w:rPr>
      </w:pPr>
    </w:p>
    <w:p w14:paraId="2997DD01">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b w:val="0"/>
          <w:bCs w:val="0"/>
          <w:i w:val="0"/>
          <w:iCs w:val="0"/>
          <w:color w:val="000000"/>
          <w:spacing w:val="0"/>
          <w:w w:val="100"/>
          <w:sz w:val="24"/>
          <w:szCs w:val="24"/>
          <w:highlight w:val="none"/>
          <w:vertAlign w:val="baseline"/>
        </w:rPr>
      </w:pPr>
      <w:r>
        <w:rPr>
          <w:rFonts w:hint="default" w:ascii="Times New Roman" w:hAnsi="Times New Roman" w:eastAsia="宋体" w:cs="Times New Roman"/>
          <w:b w:val="0"/>
          <w:bCs w:val="0"/>
          <w:i w:val="0"/>
          <w:iCs w:val="0"/>
          <w:color w:val="000000"/>
          <w:spacing w:val="0"/>
          <w:w w:val="100"/>
          <w:sz w:val="24"/>
          <w:szCs w:val="24"/>
          <w:highlight w:val="none"/>
          <w:vertAlign w:val="baseline"/>
        </w:rPr>
        <w:t>3、主要源强分布基本相同。 两站主要工频电场、工频磁场源均为主变压器及110kV高压配电装置，本项目110kV配电装置为户内GIS，类比站为户外GIS，均利用金属壳体（建筑墙体）屏蔽，对外影响相当；站内其他设施（10kV配电装置、无功补偿装置、站用变等）电压等级低、通流小，产生的工频电场、工频磁场相对较弱。</w:t>
      </w:r>
    </w:p>
    <w:p w14:paraId="170A5166">
      <w:pPr>
        <w:pStyle w:val="40"/>
        <w:keepNext w:val="0"/>
        <w:keepLines w:val="0"/>
        <w:pageBreakBefore w:val="0"/>
        <w:widowControl/>
        <w:numPr>
          <w:ilvl w:val="0"/>
          <w:numId w:val="17"/>
        </w:numPr>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b w:val="0"/>
          <w:bCs w:val="0"/>
          <w:i w:val="0"/>
          <w:iCs w:val="0"/>
          <w:color w:val="000000"/>
          <w:spacing w:val="0"/>
          <w:w w:val="100"/>
          <w:sz w:val="24"/>
          <w:szCs w:val="24"/>
          <w:highlight w:val="none"/>
          <w:vertAlign w:val="baseline"/>
        </w:rPr>
      </w:pPr>
      <w:r>
        <w:rPr>
          <w:rFonts w:hint="default" w:ascii="Times New Roman" w:hAnsi="Times New Roman" w:eastAsia="宋体" w:cs="Times New Roman"/>
          <w:b w:val="0"/>
          <w:bCs w:val="0"/>
          <w:i w:val="0"/>
          <w:iCs w:val="0"/>
          <w:color w:val="000000"/>
          <w:spacing w:val="0"/>
          <w:w w:val="100"/>
          <w:sz w:val="24"/>
          <w:szCs w:val="24"/>
          <w:highlight w:val="none"/>
          <w:vertAlign w:val="baseline"/>
        </w:rPr>
        <w:t>源强强度基本相同。 类比对象石河子市兵团第八师143团山河110kV输变电工程110kV升压站设计规模为3×100MVA，电压等级110kV，单台主变容量及110kV侧额定电流（约524.9A/台）均大于本项目（2×63MVA，约330.7A/台）。工频电场强度主要取决于电压等级、导线对地高度和相间距离，两站电压等级相同，且类比站110kV配电装置为户外GIS布置、无建筑墙体屏蔽，本项目为户内GIS布置、尚有综合配电装置楼建筑墙体屏蔽，类比站站界工频电场环境较本项目更不利，类比结果偏保守；工频磁感应强度主要取决于电流大小和距离，类比监测期间山河站1#、2#主变110kV侧运行电流分别为29.28A、12.55A，低于本项目主变110kV侧额定电流，但类比站站界工频磁感应强度监测最大值仅0.303μT，占100μT公众曝露控制限值的0.30%，按本项目设计通流水平进行比例放大后约为4.8μT，仍远低于标准限值，故类比结果总体偏于安全，具有可比性。</w:t>
      </w:r>
    </w:p>
    <w:p w14:paraId="65385549">
      <w:pPr>
        <w:pStyle w:val="40"/>
        <w:keepNext w:val="0"/>
        <w:keepLines w:val="0"/>
        <w:pageBreakBefore w:val="0"/>
        <w:widowControl/>
        <w:numPr>
          <w:ilvl w:val="0"/>
          <w:numId w:val="17"/>
        </w:numPr>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黑体" w:cs="Times New Roman"/>
          <w:color w:val="000000"/>
          <w:highlight w:val="none"/>
          <w:lang w:val="en-US" w:eastAsia="zh-CN"/>
        </w:rPr>
      </w:pPr>
      <w:r>
        <w:rPr>
          <w:rFonts w:hint="default" w:ascii="Times New Roman" w:hAnsi="Times New Roman" w:eastAsia="宋体" w:cs="Times New Roman"/>
          <w:b w:val="0"/>
          <w:bCs w:val="0"/>
          <w:i w:val="0"/>
          <w:iCs w:val="0"/>
          <w:color w:val="000000"/>
          <w:spacing w:val="0"/>
          <w:w w:val="100"/>
          <w:sz w:val="24"/>
          <w:szCs w:val="24"/>
          <w:vertAlign w:val="baseline"/>
        </w:rPr>
        <w:t>类比变电站与本项目变电站主要技术参数对照，见表3.</w:t>
      </w:r>
      <w:r>
        <w:rPr>
          <w:rFonts w:hint="default" w:ascii="Times New Roman" w:hAnsi="Times New Roman" w:eastAsia="宋体" w:cs="Times New Roman"/>
          <w:b w:val="0"/>
          <w:bCs w:val="0"/>
          <w:i w:val="0"/>
          <w:iCs w:val="0"/>
          <w:color w:val="000000"/>
          <w:spacing w:val="0"/>
          <w:w w:val="100"/>
          <w:sz w:val="24"/>
          <w:szCs w:val="24"/>
          <w:vertAlign w:val="baseline"/>
          <w:lang w:val="en-US" w:eastAsia="zh-CN"/>
        </w:rPr>
        <w:t>1</w:t>
      </w:r>
      <w:r>
        <w:rPr>
          <w:rFonts w:hint="default" w:ascii="Times New Roman" w:hAnsi="Times New Roman" w:eastAsia="宋体" w:cs="Times New Roman"/>
          <w:b w:val="0"/>
          <w:bCs w:val="0"/>
          <w:i w:val="0"/>
          <w:iCs w:val="0"/>
          <w:color w:val="000000"/>
          <w:spacing w:val="0"/>
          <w:w w:val="100"/>
          <w:sz w:val="24"/>
          <w:szCs w:val="24"/>
          <w:vertAlign w:val="baseline"/>
        </w:rPr>
        <w:t>-1。</w:t>
      </w:r>
    </w:p>
    <w:p w14:paraId="38594FEC">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黑体" w:cs="Times New Roman"/>
          <w:color w:val="000000"/>
          <w:highlight w:val="none"/>
          <w:lang w:val="en-US" w:eastAsia="zh-CN"/>
        </w:rPr>
      </w:pPr>
      <w:r>
        <w:rPr>
          <w:rFonts w:hint="default" w:ascii="Times New Roman" w:hAnsi="Times New Roman" w:eastAsia="黑体" w:cs="Times New Roman"/>
          <w:color w:val="000000"/>
          <w:highlight w:val="none"/>
          <w:lang w:val="en-US" w:eastAsia="zh-CN"/>
        </w:rPr>
        <w:t>表3.1-1 主要技术指标对照表</w:t>
      </w:r>
    </w:p>
    <w:tbl>
      <w:tblPr>
        <w:tblStyle w:val="43"/>
        <w:tblW w:w="4746"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1516"/>
        <w:gridCol w:w="2706"/>
        <w:gridCol w:w="2141"/>
        <w:gridCol w:w="1732"/>
      </w:tblGrid>
      <w:tr w14:paraId="1BDE61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845" w:hRule="atLeast"/>
          <w:jc w:val="center"/>
        </w:trPr>
        <w:tc>
          <w:tcPr>
            <w:tcW w:w="936" w:type="pc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6788217E">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主要指标</w:t>
            </w:r>
          </w:p>
        </w:tc>
        <w:tc>
          <w:tcPr>
            <w:tcW w:w="1671" w:type="pc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421FCFA4">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b w:val="0"/>
                <w:bCs w:val="0"/>
                <w:i w:val="0"/>
                <w:iCs w:val="0"/>
                <w:color w:val="000000"/>
                <w:spacing w:val="0"/>
                <w:w w:val="100"/>
                <w:sz w:val="21"/>
                <w:szCs w:val="21"/>
                <w:vertAlign w:val="baseline"/>
              </w:rPr>
            </w:pPr>
            <w:r>
              <w:rPr>
                <w:rFonts w:hint="default" w:ascii="Times New Roman" w:hAnsi="Times New Roman" w:cs="Times New Roman" w:eastAsiaTheme="minorEastAsia"/>
                <w:b w:val="0"/>
                <w:bCs w:val="0"/>
                <w:color w:val="auto"/>
                <w:sz w:val="21"/>
                <w:szCs w:val="21"/>
                <w:highlight w:val="none"/>
                <w:lang w:val="en-US" w:eastAsia="zh-CN"/>
              </w:rPr>
              <w:t>石河子市兵团第八师143团山河110kV输变电工程</w:t>
            </w:r>
          </w:p>
        </w:tc>
        <w:tc>
          <w:tcPr>
            <w:tcW w:w="1322" w:type="pc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2A4E41AB">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本项目110kV变电站</w:t>
            </w:r>
          </w:p>
        </w:tc>
        <w:tc>
          <w:tcPr>
            <w:tcW w:w="1069" w:type="pc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773073C9">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b w:val="0"/>
                <w:bCs w:val="0"/>
                <w:i w:val="0"/>
                <w:iCs w:val="0"/>
                <w:color w:val="000000"/>
                <w:spacing w:val="0"/>
                <w:w w:val="100"/>
                <w:sz w:val="21"/>
                <w:szCs w:val="21"/>
                <w:vertAlign w:val="baseline"/>
              </w:rPr>
            </w:pPr>
            <w:r>
              <w:rPr>
                <w:rFonts w:hint="default" w:ascii="Times New Roman" w:hAnsi="Times New Roman" w:cs="Times New Roman" w:eastAsiaTheme="minorEastAsia"/>
                <w:b w:val="0"/>
                <w:bCs w:val="0"/>
                <w:color w:val="auto"/>
                <w:sz w:val="21"/>
                <w:szCs w:val="21"/>
                <w:highlight w:val="none"/>
                <w:lang w:val="en-US" w:eastAsia="zh-CN"/>
              </w:rPr>
              <w:t>可行性分析</w:t>
            </w:r>
          </w:p>
        </w:tc>
      </w:tr>
      <w:tr w14:paraId="2F5004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jc w:val="center"/>
        </w:trPr>
        <w:tc>
          <w:tcPr>
            <w:tcW w:w="936" w:type="pc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311B5041">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b w:val="0"/>
                <w:bCs w:val="0"/>
                <w:i w:val="0"/>
                <w:iCs w:val="0"/>
                <w:color w:val="000000"/>
                <w:spacing w:val="0"/>
                <w:w w:val="100"/>
                <w:sz w:val="21"/>
                <w:szCs w:val="21"/>
                <w:vertAlign w:val="baseline"/>
              </w:rPr>
            </w:pPr>
            <w:r>
              <w:rPr>
                <w:rFonts w:hint="default" w:ascii="Times New Roman" w:hAnsi="Times New Roman" w:eastAsia="宋体" w:cs="Times New Roman"/>
                <w:b w:val="0"/>
                <w:bCs w:val="0"/>
                <w:i w:val="0"/>
                <w:iCs w:val="0"/>
                <w:color w:val="000000"/>
                <w:spacing w:val="0"/>
                <w:w w:val="100"/>
                <w:sz w:val="21"/>
                <w:szCs w:val="21"/>
                <w:vertAlign w:val="baseline"/>
              </w:rPr>
              <w:t>电压等级</w:t>
            </w:r>
          </w:p>
        </w:tc>
        <w:tc>
          <w:tcPr>
            <w:tcW w:w="1671" w:type="pc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74F09B8F">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eastAsia="宋体" w:cs="Times New Roman"/>
                <w:b w:val="0"/>
                <w:bCs w:val="0"/>
                <w:i w:val="0"/>
                <w:iCs w:val="0"/>
                <w:color w:val="000000"/>
                <w:spacing w:val="0"/>
                <w:w w:val="100"/>
                <w:sz w:val="21"/>
                <w:szCs w:val="21"/>
                <w:vertAlign w:val="baseline"/>
              </w:rPr>
              <w:t>110kV</w:t>
            </w:r>
          </w:p>
        </w:tc>
        <w:tc>
          <w:tcPr>
            <w:tcW w:w="1322" w:type="pc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40785395">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b w:val="0"/>
                <w:bCs w:val="0"/>
                <w:i w:val="0"/>
                <w:iCs w:val="0"/>
                <w:color w:val="000000"/>
                <w:spacing w:val="0"/>
                <w:w w:val="100"/>
                <w:sz w:val="21"/>
                <w:szCs w:val="21"/>
                <w:vertAlign w:val="baseline"/>
              </w:rPr>
            </w:pPr>
            <w:r>
              <w:rPr>
                <w:rFonts w:hint="default" w:ascii="Times New Roman" w:hAnsi="Times New Roman" w:eastAsia="宋体" w:cs="Times New Roman"/>
                <w:b w:val="0"/>
                <w:bCs w:val="0"/>
                <w:i w:val="0"/>
                <w:iCs w:val="0"/>
                <w:color w:val="000000"/>
                <w:spacing w:val="0"/>
                <w:w w:val="100"/>
                <w:sz w:val="21"/>
                <w:szCs w:val="21"/>
                <w:vertAlign w:val="baseline"/>
              </w:rPr>
              <w:t>110kV</w:t>
            </w:r>
          </w:p>
        </w:tc>
        <w:tc>
          <w:tcPr>
            <w:tcW w:w="1069" w:type="pc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7B3B418F">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b w:val="0"/>
                <w:bCs w:val="0"/>
                <w:i w:val="0"/>
                <w:iCs w:val="0"/>
                <w:color w:val="000000"/>
                <w:spacing w:val="0"/>
                <w:w w:val="100"/>
                <w:sz w:val="21"/>
                <w:szCs w:val="21"/>
                <w:vertAlign w:val="baseline"/>
              </w:rPr>
            </w:pPr>
            <w:r>
              <w:rPr>
                <w:rFonts w:hint="default" w:ascii="Times New Roman" w:hAnsi="Times New Roman" w:cs="Times New Roman" w:eastAsiaTheme="minorEastAsia"/>
                <w:color w:val="auto"/>
                <w:sz w:val="21"/>
                <w:szCs w:val="21"/>
                <w:highlight w:val="none"/>
                <w:lang w:val="en-US" w:eastAsia="zh-CN"/>
              </w:rPr>
              <w:t>电压等级一致，具有可比性</w:t>
            </w:r>
          </w:p>
        </w:tc>
      </w:tr>
      <w:tr w14:paraId="259A7C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jc w:val="center"/>
        </w:trPr>
        <w:tc>
          <w:tcPr>
            <w:tcW w:w="936" w:type="pc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6E796BD8">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主变规模</w:t>
            </w:r>
          </w:p>
        </w:tc>
        <w:tc>
          <w:tcPr>
            <w:tcW w:w="1671" w:type="pc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667FD3D2">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b w:val="0"/>
                <w:bCs w:val="0"/>
                <w:i w:val="0"/>
                <w:iCs w:val="0"/>
                <w:color w:val="000000"/>
                <w:spacing w:val="0"/>
                <w:w w:val="100"/>
                <w:sz w:val="21"/>
                <w:szCs w:val="21"/>
                <w:vertAlign w:val="baseline"/>
              </w:rPr>
            </w:pPr>
            <w:r>
              <w:rPr>
                <w:rFonts w:hint="default" w:ascii="Times New Roman" w:hAnsi="Times New Roman" w:cs="Times New Roman" w:eastAsiaTheme="minorEastAsia"/>
                <w:color w:val="auto"/>
                <w:sz w:val="21"/>
                <w:szCs w:val="21"/>
                <w:highlight w:val="none"/>
                <w:lang w:val="en-US" w:eastAsia="zh-CN"/>
              </w:rPr>
              <w:t>3</w:t>
            </w:r>
            <w:r>
              <w:rPr>
                <w:rFonts w:hint="default" w:ascii="Times New Roman" w:hAnsi="Times New Roman" w:cs="Times New Roman" w:eastAsiaTheme="minorEastAsia"/>
                <w:color w:val="auto"/>
                <w:sz w:val="21"/>
                <w:szCs w:val="21"/>
                <w:highlight w:val="none"/>
              </w:rPr>
              <w:t>×</w:t>
            </w:r>
            <w:r>
              <w:rPr>
                <w:rFonts w:hint="default" w:ascii="Times New Roman" w:hAnsi="Times New Roman" w:cs="Times New Roman" w:eastAsiaTheme="minorEastAsia"/>
                <w:color w:val="auto"/>
                <w:sz w:val="21"/>
                <w:szCs w:val="21"/>
                <w:highlight w:val="none"/>
                <w:lang w:val="en-US" w:eastAsia="zh-CN"/>
              </w:rPr>
              <w:t>100</w:t>
            </w:r>
            <w:r>
              <w:rPr>
                <w:rFonts w:hint="default" w:ascii="Times New Roman" w:hAnsi="Times New Roman" w:cs="Times New Roman" w:eastAsiaTheme="minorEastAsia"/>
                <w:color w:val="auto"/>
                <w:sz w:val="21"/>
                <w:szCs w:val="21"/>
                <w:highlight w:val="none"/>
              </w:rPr>
              <w:t>MVA</w:t>
            </w:r>
          </w:p>
        </w:tc>
        <w:tc>
          <w:tcPr>
            <w:tcW w:w="1322" w:type="pc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133653C0">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2×63MVA</w:t>
            </w:r>
          </w:p>
        </w:tc>
        <w:tc>
          <w:tcPr>
            <w:tcW w:w="1069" w:type="pc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650A755C">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b w:val="0"/>
                <w:bCs w:val="0"/>
                <w:i w:val="0"/>
                <w:iCs w:val="0"/>
                <w:color w:val="000000"/>
                <w:spacing w:val="0"/>
                <w:w w:val="100"/>
                <w:sz w:val="21"/>
                <w:szCs w:val="21"/>
                <w:vertAlign w:val="baseline"/>
              </w:rPr>
            </w:pPr>
            <w:r>
              <w:rPr>
                <w:rFonts w:hint="default" w:ascii="Times New Roman" w:hAnsi="Times New Roman" w:cs="Times New Roman" w:eastAsiaTheme="minorEastAsia"/>
                <w:color w:val="auto"/>
                <w:sz w:val="21"/>
                <w:szCs w:val="21"/>
                <w:highlight w:val="none"/>
                <w:lang w:val="en-US" w:eastAsia="zh-CN"/>
              </w:rPr>
              <w:t>主变规模大于本项目</w:t>
            </w:r>
          </w:p>
        </w:tc>
      </w:tr>
      <w:tr w14:paraId="17CD9B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jc w:val="center"/>
        </w:trPr>
        <w:tc>
          <w:tcPr>
            <w:tcW w:w="936" w:type="pc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0DF6082B">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主变布置形式</w:t>
            </w:r>
          </w:p>
        </w:tc>
        <w:tc>
          <w:tcPr>
            <w:tcW w:w="1671" w:type="pc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52201CBD">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b w:val="0"/>
                <w:bCs w:val="0"/>
                <w:i w:val="0"/>
                <w:iCs w:val="0"/>
                <w:color w:val="000000"/>
                <w:spacing w:val="0"/>
                <w:w w:val="100"/>
                <w:sz w:val="21"/>
                <w:szCs w:val="21"/>
                <w:vertAlign w:val="baseline"/>
              </w:rPr>
            </w:pPr>
            <w:r>
              <w:rPr>
                <w:rFonts w:hint="default" w:ascii="Times New Roman" w:hAnsi="Times New Roman" w:eastAsia="宋体" w:cs="Times New Roman"/>
                <w:b w:val="0"/>
                <w:bCs w:val="0"/>
                <w:i w:val="0"/>
                <w:iCs w:val="0"/>
                <w:color w:val="000000"/>
                <w:spacing w:val="0"/>
                <w:w w:val="100"/>
                <w:sz w:val="21"/>
                <w:szCs w:val="21"/>
                <w:vertAlign w:val="baseline"/>
              </w:rPr>
              <w:t>户外布置</w:t>
            </w:r>
          </w:p>
        </w:tc>
        <w:tc>
          <w:tcPr>
            <w:tcW w:w="1322" w:type="pc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23005231">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户外布置</w:t>
            </w:r>
          </w:p>
        </w:tc>
        <w:tc>
          <w:tcPr>
            <w:tcW w:w="1069" w:type="pc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1F9CAE9D">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b w:val="0"/>
                <w:bCs w:val="0"/>
                <w:i w:val="0"/>
                <w:iCs w:val="0"/>
                <w:color w:val="000000"/>
                <w:spacing w:val="0"/>
                <w:w w:val="100"/>
                <w:sz w:val="21"/>
                <w:szCs w:val="21"/>
                <w:vertAlign w:val="baseline"/>
              </w:rPr>
            </w:pPr>
            <w:r>
              <w:rPr>
                <w:rFonts w:hint="default" w:ascii="Times New Roman" w:hAnsi="Times New Roman" w:cs="Times New Roman" w:eastAsiaTheme="minorEastAsia"/>
                <w:color w:val="auto"/>
                <w:sz w:val="21"/>
                <w:szCs w:val="21"/>
                <w:highlight w:val="none"/>
                <w:lang w:val="en-US" w:eastAsia="zh-CN"/>
              </w:rPr>
              <w:t>主变</w:t>
            </w:r>
            <w:r>
              <w:rPr>
                <w:rFonts w:hint="default" w:ascii="Times New Roman" w:hAnsi="Times New Roman" w:cs="Times New Roman" w:eastAsiaTheme="minorEastAsia"/>
                <w:color w:val="auto"/>
                <w:sz w:val="21"/>
                <w:szCs w:val="21"/>
                <w:highlight w:val="none"/>
              </w:rPr>
              <w:t>布置形式</w:t>
            </w:r>
            <w:r>
              <w:rPr>
                <w:rFonts w:hint="default" w:ascii="Times New Roman" w:hAnsi="Times New Roman" w:cs="Times New Roman" w:eastAsiaTheme="minorEastAsia"/>
                <w:color w:val="auto"/>
                <w:sz w:val="21"/>
                <w:szCs w:val="21"/>
                <w:highlight w:val="none"/>
                <w:lang w:val="en-US" w:eastAsia="zh-CN"/>
              </w:rPr>
              <w:t>一致</w:t>
            </w:r>
          </w:p>
        </w:tc>
      </w:tr>
      <w:tr w14:paraId="055294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jc w:val="center"/>
        </w:trPr>
        <w:tc>
          <w:tcPr>
            <w:tcW w:w="936" w:type="pc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72385268">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配电装置</w:t>
            </w:r>
          </w:p>
        </w:tc>
        <w:tc>
          <w:tcPr>
            <w:tcW w:w="1671" w:type="pc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219FD15C">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b w:val="0"/>
                <w:bCs w:val="0"/>
                <w:i w:val="0"/>
                <w:iCs w:val="0"/>
                <w:color w:val="000000"/>
                <w:spacing w:val="0"/>
                <w:w w:val="100"/>
                <w:sz w:val="21"/>
                <w:szCs w:val="21"/>
                <w:vertAlign w:val="baseline"/>
              </w:rPr>
            </w:pPr>
            <w:r>
              <w:rPr>
                <w:rFonts w:hint="default" w:ascii="Times New Roman" w:hAnsi="Times New Roman" w:cs="Times New Roman" w:eastAsiaTheme="minorEastAsia"/>
                <w:color w:val="auto"/>
                <w:sz w:val="21"/>
                <w:szCs w:val="21"/>
                <w:highlight w:val="none"/>
              </w:rPr>
              <w:t>户外布置GIS</w:t>
            </w:r>
          </w:p>
        </w:tc>
        <w:tc>
          <w:tcPr>
            <w:tcW w:w="1322" w:type="pc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0E921E12">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户内GIS布置</w:t>
            </w:r>
          </w:p>
        </w:tc>
        <w:tc>
          <w:tcPr>
            <w:tcW w:w="1069" w:type="pc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65AD79D3">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b w:val="0"/>
                <w:bCs w:val="0"/>
                <w:i w:val="0"/>
                <w:iCs w:val="0"/>
                <w:color w:val="000000"/>
                <w:spacing w:val="0"/>
                <w:w w:val="100"/>
                <w:sz w:val="21"/>
                <w:szCs w:val="21"/>
                <w:vertAlign w:val="baseline"/>
              </w:rPr>
            </w:pPr>
            <w:r>
              <w:rPr>
                <w:rFonts w:hint="default" w:ascii="Times New Roman" w:hAnsi="Times New Roman" w:eastAsia="宋体" w:cs="Times New Roman"/>
                <w:b w:val="0"/>
                <w:bCs w:val="0"/>
                <w:i w:val="0"/>
                <w:iCs w:val="0"/>
                <w:color w:val="000000"/>
                <w:spacing w:val="0"/>
                <w:w w:val="100"/>
                <w:sz w:val="21"/>
                <w:szCs w:val="21"/>
                <w:vertAlign w:val="baseline"/>
              </w:rPr>
              <w:t>配电装置</w:t>
            </w:r>
            <w:r>
              <w:rPr>
                <w:rFonts w:hint="default" w:ascii="Times New Roman" w:hAnsi="Times New Roman" w:cs="Times New Roman" w:eastAsiaTheme="minorEastAsia"/>
                <w:color w:val="auto"/>
                <w:sz w:val="21"/>
                <w:szCs w:val="21"/>
                <w:highlight w:val="none"/>
              </w:rPr>
              <w:t>布置形式</w:t>
            </w:r>
            <w:r>
              <w:rPr>
                <w:rFonts w:hint="default" w:ascii="Times New Roman" w:hAnsi="Times New Roman" w:cs="Times New Roman" w:eastAsiaTheme="minorEastAsia"/>
                <w:color w:val="auto"/>
                <w:sz w:val="21"/>
                <w:szCs w:val="21"/>
                <w:highlight w:val="none"/>
                <w:lang w:val="en-US" w:eastAsia="zh-CN"/>
              </w:rPr>
              <w:t>不一致</w:t>
            </w:r>
          </w:p>
        </w:tc>
      </w:tr>
      <w:tr w14:paraId="702725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jc w:val="center"/>
        </w:trPr>
        <w:tc>
          <w:tcPr>
            <w:tcW w:w="936" w:type="pc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13B8433A">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110kV出线回数</w:t>
            </w:r>
          </w:p>
        </w:tc>
        <w:tc>
          <w:tcPr>
            <w:tcW w:w="1671" w:type="pc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56C6CE08">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b w:val="0"/>
                <w:bCs w:val="0"/>
                <w:i w:val="0"/>
                <w:iCs w:val="0"/>
                <w:color w:val="000000"/>
                <w:spacing w:val="0"/>
                <w:w w:val="100"/>
                <w:sz w:val="21"/>
                <w:szCs w:val="21"/>
                <w:vertAlign w:val="baseline"/>
              </w:rPr>
            </w:pPr>
            <w:r>
              <w:rPr>
                <w:rFonts w:hint="default" w:ascii="Times New Roman" w:hAnsi="Times New Roman" w:eastAsia="宋体" w:cs="Times New Roman"/>
                <w:b w:val="0"/>
                <w:bCs w:val="0"/>
                <w:i w:val="0"/>
                <w:iCs w:val="0"/>
                <w:color w:val="000000"/>
                <w:spacing w:val="0"/>
                <w:w w:val="100"/>
                <w:sz w:val="21"/>
                <w:szCs w:val="21"/>
                <w:vertAlign w:val="baseline"/>
                <w:lang w:val="en-US" w:eastAsia="zh-CN"/>
              </w:rPr>
              <w:t>4</w:t>
            </w:r>
            <w:r>
              <w:rPr>
                <w:rFonts w:hint="default" w:ascii="Times New Roman" w:hAnsi="Times New Roman" w:eastAsia="宋体" w:cs="Times New Roman"/>
                <w:b w:val="0"/>
                <w:bCs w:val="0"/>
                <w:i w:val="0"/>
                <w:iCs w:val="0"/>
                <w:color w:val="000000"/>
                <w:spacing w:val="0"/>
                <w:w w:val="100"/>
                <w:sz w:val="21"/>
                <w:szCs w:val="21"/>
                <w:vertAlign w:val="baseline"/>
              </w:rPr>
              <w:t>回</w:t>
            </w:r>
          </w:p>
        </w:tc>
        <w:tc>
          <w:tcPr>
            <w:tcW w:w="1322" w:type="pc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5D6BC45D">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2回</w:t>
            </w:r>
          </w:p>
        </w:tc>
        <w:tc>
          <w:tcPr>
            <w:tcW w:w="1069" w:type="pc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0FFDD9F3">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b w:val="0"/>
                <w:bCs w:val="0"/>
                <w:i w:val="0"/>
                <w:iCs w:val="0"/>
                <w:color w:val="000000"/>
                <w:spacing w:val="0"/>
                <w:w w:val="100"/>
                <w:sz w:val="21"/>
                <w:szCs w:val="21"/>
                <w:vertAlign w:val="baseline"/>
              </w:rPr>
            </w:pPr>
            <w:r>
              <w:rPr>
                <w:rFonts w:hint="default" w:ascii="Times New Roman" w:hAnsi="Times New Roman" w:cs="Times New Roman" w:eastAsiaTheme="minorEastAsia"/>
                <w:color w:val="auto"/>
                <w:sz w:val="21"/>
                <w:szCs w:val="21"/>
                <w:highlight w:val="none"/>
                <w:lang w:val="en-US" w:eastAsia="zh-CN"/>
              </w:rPr>
              <w:t>出线回路数较本项目多</w:t>
            </w:r>
          </w:p>
        </w:tc>
      </w:tr>
      <w:tr w14:paraId="762ACD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jc w:val="center"/>
        </w:trPr>
        <w:tc>
          <w:tcPr>
            <w:tcW w:w="936" w:type="pc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20DF38D6">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运行工况</w:t>
            </w:r>
          </w:p>
        </w:tc>
        <w:tc>
          <w:tcPr>
            <w:tcW w:w="1671" w:type="pc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4813E35F">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1#主变电压117.23kV、电流29.28A；</w:t>
            </w:r>
          </w:p>
          <w:p w14:paraId="35F9A248">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cs="Times New Roman" w:eastAsiaTheme="minorEastAsia"/>
                <w:color w:val="auto"/>
                <w:sz w:val="21"/>
                <w:szCs w:val="21"/>
                <w:highlight w:val="none"/>
                <w:lang w:val="en-US" w:eastAsia="zh-CN"/>
              </w:rPr>
            </w:pPr>
            <w:r>
              <w:rPr>
                <w:rFonts w:hint="default" w:ascii="Times New Roman" w:hAnsi="Times New Roman" w:cs="Times New Roman" w:eastAsiaTheme="minorEastAsia"/>
                <w:color w:val="auto"/>
                <w:sz w:val="21"/>
                <w:szCs w:val="21"/>
                <w:highlight w:val="none"/>
                <w:lang w:val="en-US" w:eastAsia="zh-CN"/>
              </w:rPr>
              <w:t>2#主变电压116.97kV、电流12.55A；</w:t>
            </w:r>
          </w:p>
          <w:p w14:paraId="1203F6D8">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b w:val="0"/>
                <w:bCs w:val="0"/>
                <w:i w:val="0"/>
                <w:iCs w:val="0"/>
                <w:color w:val="000000"/>
                <w:spacing w:val="0"/>
                <w:w w:val="100"/>
                <w:sz w:val="21"/>
                <w:szCs w:val="21"/>
                <w:vertAlign w:val="baseline"/>
              </w:rPr>
            </w:pPr>
            <w:r>
              <w:rPr>
                <w:rFonts w:hint="default" w:ascii="Times New Roman" w:hAnsi="Times New Roman" w:cs="Times New Roman" w:eastAsiaTheme="minorEastAsia"/>
                <w:color w:val="auto"/>
                <w:sz w:val="21"/>
                <w:szCs w:val="21"/>
                <w:highlight w:val="none"/>
                <w:lang w:val="en-US" w:eastAsia="zh-CN"/>
              </w:rPr>
              <w:t>3#主变电压12.58kV、电流10.66A。</w:t>
            </w:r>
          </w:p>
        </w:tc>
        <w:tc>
          <w:tcPr>
            <w:tcW w:w="1322" w:type="pc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4A32B3BD">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/（本期新建）</w:t>
            </w:r>
          </w:p>
        </w:tc>
        <w:tc>
          <w:tcPr>
            <w:tcW w:w="1069" w:type="pc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42C30841">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b w:val="0"/>
                <w:bCs w:val="0"/>
                <w:i w:val="0"/>
                <w:iCs w:val="0"/>
                <w:color w:val="000000"/>
                <w:spacing w:val="0"/>
                <w:w w:val="100"/>
                <w:sz w:val="21"/>
                <w:szCs w:val="21"/>
                <w:vertAlign w:val="baseline"/>
              </w:rPr>
            </w:pPr>
            <w:r>
              <w:rPr>
                <w:rFonts w:hint="default" w:ascii="Times New Roman" w:hAnsi="Times New Roman" w:cs="Times New Roman" w:eastAsiaTheme="minorEastAsia"/>
                <w:color w:val="auto"/>
                <w:sz w:val="21"/>
                <w:szCs w:val="21"/>
                <w:highlight w:val="none"/>
                <w:lang w:val="en-US" w:eastAsia="zh-CN"/>
              </w:rPr>
              <w:t>正常运行工况</w:t>
            </w:r>
          </w:p>
        </w:tc>
      </w:tr>
      <w:tr w14:paraId="194DAD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jc w:val="center"/>
        </w:trPr>
        <w:tc>
          <w:tcPr>
            <w:tcW w:w="936" w:type="pc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4217A6D7">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环境条件</w:t>
            </w:r>
          </w:p>
        </w:tc>
        <w:tc>
          <w:tcPr>
            <w:tcW w:w="1671" w:type="pc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2F6A68A9">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b w:val="0"/>
                <w:bCs w:val="0"/>
                <w:i w:val="0"/>
                <w:iCs w:val="0"/>
                <w:color w:val="000000"/>
                <w:spacing w:val="0"/>
                <w:w w:val="100"/>
                <w:sz w:val="21"/>
                <w:szCs w:val="21"/>
                <w:vertAlign w:val="baseline"/>
              </w:rPr>
            </w:pPr>
            <w:r>
              <w:rPr>
                <w:rFonts w:hint="default" w:ascii="Times New Roman" w:hAnsi="Times New Roman" w:cs="Times New Roman" w:eastAsiaTheme="minorEastAsia"/>
                <w:color w:val="auto"/>
                <w:sz w:val="21"/>
                <w:szCs w:val="21"/>
                <w:highlight w:val="none"/>
              </w:rPr>
              <w:t>气候干旱少雨，</w:t>
            </w:r>
            <w:r>
              <w:rPr>
                <w:rFonts w:hint="default" w:ascii="Times New Roman" w:hAnsi="Times New Roman" w:cs="Times New Roman" w:eastAsiaTheme="minorEastAsia"/>
                <w:color w:val="auto"/>
                <w:sz w:val="21"/>
                <w:szCs w:val="21"/>
                <w:highlight w:val="none"/>
                <w:lang w:val="en-US" w:eastAsia="zh-CN"/>
              </w:rPr>
              <w:t>周围</w:t>
            </w:r>
            <w:r>
              <w:rPr>
                <w:rFonts w:hint="default" w:ascii="Times New Roman" w:hAnsi="Times New Roman" w:cs="Times New Roman" w:eastAsiaTheme="minorEastAsia"/>
                <w:color w:val="auto"/>
                <w:sz w:val="21"/>
                <w:szCs w:val="21"/>
                <w:highlight w:val="none"/>
              </w:rPr>
              <w:t>较为空旷。</w:t>
            </w:r>
          </w:p>
        </w:tc>
        <w:tc>
          <w:tcPr>
            <w:tcW w:w="1322" w:type="pc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1C1415D2">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干旱气候区，站址周围开阔，</w:t>
            </w:r>
            <w:r>
              <w:rPr>
                <w:rFonts w:hint="eastAsia" w:ascii="Times New Roman" w:hAnsi="Times New Roman" w:eastAsia="宋体" w:cs="Times New Roman"/>
                <w:b w:val="0"/>
                <w:bCs w:val="0"/>
                <w:i w:val="0"/>
                <w:iCs w:val="0"/>
                <w:color w:val="000000"/>
                <w:spacing w:val="0"/>
                <w:w w:val="100"/>
                <w:sz w:val="21"/>
                <w:szCs w:val="21"/>
                <w:vertAlign w:val="baseline"/>
                <w:lang w:eastAsia="zh-CN"/>
              </w:rPr>
              <w:t>变电站站界</w:t>
            </w:r>
            <w:r>
              <w:rPr>
                <w:rFonts w:hint="default" w:ascii="Times New Roman" w:hAnsi="Times New Roman" w:eastAsia="宋体" w:cs="Times New Roman"/>
                <w:b w:val="0"/>
                <w:bCs w:val="0"/>
                <w:i w:val="0"/>
                <w:iCs w:val="0"/>
                <w:color w:val="000000"/>
                <w:spacing w:val="0"/>
                <w:w w:val="100"/>
                <w:sz w:val="21"/>
                <w:szCs w:val="21"/>
                <w:vertAlign w:val="baseline"/>
              </w:rPr>
              <w:t>外</w:t>
            </w:r>
            <w:r>
              <w:rPr>
                <w:rFonts w:hint="eastAsia" w:ascii="Times New Roman" w:hAnsi="Times New Roman" w:eastAsia="宋体" w:cs="Times New Roman"/>
                <w:b w:val="0"/>
                <w:bCs w:val="0"/>
                <w:i w:val="0"/>
                <w:iCs w:val="0"/>
                <w:color w:val="000000"/>
                <w:spacing w:val="0"/>
                <w:w w:val="100"/>
                <w:sz w:val="21"/>
                <w:szCs w:val="21"/>
                <w:vertAlign w:val="baseline"/>
                <w:lang w:val="en-US" w:eastAsia="zh-CN"/>
              </w:rPr>
              <w:t>30</w:t>
            </w:r>
            <w:r>
              <w:rPr>
                <w:rFonts w:hint="default" w:ascii="Times New Roman" w:hAnsi="Times New Roman" w:eastAsia="宋体" w:cs="Times New Roman"/>
                <w:b w:val="0"/>
                <w:bCs w:val="0"/>
                <w:i w:val="0"/>
                <w:iCs w:val="0"/>
                <w:color w:val="000000"/>
                <w:spacing w:val="0"/>
                <w:w w:val="100"/>
                <w:sz w:val="21"/>
                <w:szCs w:val="21"/>
                <w:vertAlign w:val="baseline"/>
              </w:rPr>
              <w:t>m范围内无居民住宅、学校、医院等敏感目标</w:t>
            </w:r>
          </w:p>
        </w:tc>
        <w:tc>
          <w:tcPr>
            <w:tcW w:w="1069" w:type="pc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34287EA5">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b w:val="0"/>
                <w:bCs w:val="0"/>
                <w:i w:val="0"/>
                <w:iCs w:val="0"/>
                <w:color w:val="000000"/>
                <w:spacing w:val="0"/>
                <w:w w:val="100"/>
                <w:sz w:val="21"/>
                <w:szCs w:val="21"/>
                <w:vertAlign w:val="baseline"/>
              </w:rPr>
            </w:pPr>
            <w:r>
              <w:rPr>
                <w:rFonts w:hint="default" w:ascii="Times New Roman" w:hAnsi="Times New Roman" w:cs="Times New Roman" w:eastAsiaTheme="minorEastAsia"/>
                <w:color w:val="auto"/>
                <w:sz w:val="21"/>
                <w:szCs w:val="21"/>
                <w:highlight w:val="none"/>
                <w:lang w:val="en-US" w:eastAsia="zh-CN"/>
              </w:rPr>
              <w:t>环境条件一致</w:t>
            </w:r>
          </w:p>
        </w:tc>
      </w:tr>
      <w:tr w14:paraId="57E4B0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7" w:hRule="atLeast"/>
          <w:jc w:val="center"/>
        </w:trPr>
        <w:tc>
          <w:tcPr>
            <w:tcW w:w="936" w:type="pc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7BF5620C">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站址</w:t>
            </w:r>
          </w:p>
        </w:tc>
        <w:tc>
          <w:tcPr>
            <w:tcW w:w="1671" w:type="pc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48BBFCCF">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b w:val="0"/>
                <w:bCs w:val="0"/>
                <w:i w:val="0"/>
                <w:iCs w:val="0"/>
                <w:color w:val="000000"/>
                <w:spacing w:val="0"/>
                <w:w w:val="100"/>
                <w:sz w:val="21"/>
                <w:szCs w:val="21"/>
                <w:vertAlign w:val="baseline"/>
              </w:rPr>
            </w:pPr>
            <w:r>
              <w:rPr>
                <w:rFonts w:hint="default" w:ascii="Times New Roman" w:hAnsi="Times New Roman" w:cs="Times New Roman" w:eastAsiaTheme="minorEastAsia"/>
                <w:b w:val="0"/>
                <w:bCs w:val="0"/>
                <w:color w:val="auto"/>
                <w:sz w:val="21"/>
                <w:szCs w:val="21"/>
                <w:highlight w:val="none"/>
                <w:lang w:val="en-US" w:eastAsia="zh-CN"/>
              </w:rPr>
              <w:t>石河子市兵团第八师143团</w:t>
            </w:r>
          </w:p>
        </w:tc>
        <w:tc>
          <w:tcPr>
            <w:tcW w:w="1322" w:type="pc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307A3747">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i w:val="0"/>
                <w:iCs w:val="0"/>
                <w:color w:val="000000"/>
                <w:spacing w:val="0"/>
                <w:w w:val="100"/>
                <w:sz w:val="21"/>
                <w:szCs w:val="21"/>
                <w:vertAlign w:val="baseline"/>
              </w:rPr>
              <w:t>巴音郭楞蒙古自治州尉犁县</w:t>
            </w:r>
          </w:p>
        </w:tc>
        <w:tc>
          <w:tcPr>
            <w:tcW w:w="1069" w:type="pct"/>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60E61F05">
            <w:pPr>
              <w:pStyle w:val="4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b w:val="0"/>
                <w:bCs w:val="0"/>
                <w:i w:val="0"/>
                <w:iCs w:val="0"/>
                <w:color w:val="000000"/>
                <w:spacing w:val="0"/>
                <w:w w:val="100"/>
                <w:sz w:val="21"/>
                <w:szCs w:val="21"/>
                <w:vertAlign w:val="baseline"/>
                <w:lang w:val="en-US" w:eastAsia="zh-CN"/>
              </w:rPr>
            </w:pPr>
            <w:r>
              <w:rPr>
                <w:rFonts w:hint="default" w:ascii="Times New Roman" w:hAnsi="Times New Roman" w:eastAsia="宋体" w:cs="Times New Roman"/>
                <w:b w:val="0"/>
                <w:bCs w:val="0"/>
                <w:i w:val="0"/>
                <w:iCs w:val="0"/>
                <w:color w:val="000000"/>
                <w:spacing w:val="0"/>
                <w:w w:val="100"/>
                <w:sz w:val="21"/>
                <w:szCs w:val="21"/>
                <w:vertAlign w:val="baseline"/>
                <w:lang w:val="en-US" w:eastAsia="zh-CN"/>
              </w:rPr>
              <w:t>/</w:t>
            </w:r>
          </w:p>
        </w:tc>
      </w:tr>
    </w:tbl>
    <w:p w14:paraId="5952433A">
      <w:pPr>
        <w:spacing w:line="480" w:lineRule="exact"/>
        <w:ind w:firstLine="480" w:firstLineChars="200"/>
        <w:rPr>
          <w:rFonts w:hint="default" w:ascii="Times New Roman" w:hAnsi="Times New Roman" w:eastAsia="宋体" w:cs="Times New Roman"/>
          <w:sz w:val="24"/>
          <w:szCs w:val="21"/>
        </w:rPr>
      </w:pPr>
      <w:r>
        <w:rPr>
          <w:rFonts w:hint="default" w:ascii="Times New Roman" w:hAnsi="Times New Roman" w:eastAsia="宋体" w:cs="Times New Roman"/>
          <w:sz w:val="24"/>
          <w:szCs w:val="21"/>
        </w:rPr>
        <w:t>由表3.2-1对比分析，选取的类比变电站与本项目变电站电压等级相同、主变布置形式相同、配电装置均利用金属壳体（建筑墙体）屏蔽，环境条件除气温外基本一致；工频电场强度主要取决于电压等级、导线对地高度和相间距离，工频磁感应强度主要取决于电流大小和距离。类比站单台主变容量大于本项目，110kV侧额定电流相应更大，空气的介电常数和磁导率随温度变化极小，类比结果偏保守。因此，类比可行。</w:t>
      </w:r>
    </w:p>
    <w:p w14:paraId="0A2F6009">
      <w:pPr>
        <w:autoSpaceDE w:val="0"/>
        <w:autoSpaceDN w:val="0"/>
        <w:adjustRightInd w:val="0"/>
        <w:spacing w:before="120" w:after="120" w:line="480" w:lineRule="exact"/>
        <w:outlineLvl w:val="1"/>
        <w:rPr>
          <w:rFonts w:hint="default" w:ascii="Times New Roman" w:hAnsi="Times New Roman" w:eastAsia="黑体" w:cs="Times New Roman"/>
          <w:sz w:val="28"/>
          <w:szCs w:val="21"/>
          <w14:ligatures w14:val="standardContextual"/>
        </w:rPr>
      </w:pPr>
      <w:r>
        <w:rPr>
          <w:rFonts w:hint="default" w:ascii="Times New Roman" w:hAnsi="Times New Roman" w:eastAsia="黑体" w:cs="Times New Roman"/>
          <w:sz w:val="28"/>
          <w:szCs w:val="21"/>
          <w14:ligatures w14:val="standardContextual"/>
        </w:rPr>
        <w:t>3.2 工频电场、工频磁场类比监测</w:t>
      </w:r>
      <w:bookmarkEnd w:id="129"/>
    </w:p>
    <w:p w14:paraId="26B82DE1">
      <w:pPr>
        <w:spacing w:line="480" w:lineRule="exact"/>
        <w:ind w:firstLine="522"/>
        <w:rPr>
          <w:rFonts w:hint="default" w:ascii="Times New Roman" w:hAnsi="Times New Roman" w:eastAsia="黑体" w:cs="Times New Roman"/>
          <w:bCs/>
          <w:sz w:val="24"/>
          <w:szCs w:val="21"/>
        </w:rPr>
      </w:pPr>
      <w:bookmarkStart w:id="131" w:name="_Toc10548"/>
      <w:bookmarkStart w:id="132" w:name="_Toc17259"/>
      <w:r>
        <w:rPr>
          <w:rFonts w:hint="default" w:ascii="Times New Roman" w:hAnsi="Times New Roman" w:eastAsia="黑体" w:cs="Times New Roman"/>
          <w:bCs/>
          <w:sz w:val="24"/>
          <w:szCs w:val="21"/>
        </w:rPr>
        <w:t>3.2.1监测因子</w:t>
      </w:r>
    </w:p>
    <w:p w14:paraId="20531446">
      <w:pPr>
        <w:spacing w:line="480" w:lineRule="exact"/>
        <w:ind w:firstLine="480" w:firstLineChars="200"/>
        <w:rPr>
          <w:rFonts w:hint="default" w:ascii="Times New Roman" w:hAnsi="Times New Roman" w:cs="Times New Roman"/>
          <w:sz w:val="24"/>
          <w:szCs w:val="21"/>
        </w:rPr>
      </w:pPr>
      <w:r>
        <w:rPr>
          <w:rFonts w:hint="default" w:ascii="Times New Roman" w:hAnsi="Times New Roman" w:cs="Times New Roman"/>
          <w:sz w:val="24"/>
          <w:szCs w:val="21"/>
        </w:rPr>
        <w:t>工频电场强度、工频磁感应强度</w:t>
      </w:r>
    </w:p>
    <w:p w14:paraId="5973D977">
      <w:pPr>
        <w:spacing w:line="480" w:lineRule="exact"/>
        <w:ind w:firstLine="522"/>
        <w:rPr>
          <w:rFonts w:hint="default" w:ascii="Times New Roman" w:hAnsi="Times New Roman" w:eastAsia="黑体" w:cs="Times New Roman"/>
          <w:bCs/>
          <w:sz w:val="24"/>
          <w:szCs w:val="21"/>
        </w:rPr>
      </w:pPr>
      <w:r>
        <w:rPr>
          <w:rFonts w:hint="default" w:ascii="Times New Roman" w:hAnsi="Times New Roman" w:eastAsia="黑体" w:cs="Times New Roman"/>
          <w:bCs/>
          <w:sz w:val="24"/>
          <w:szCs w:val="21"/>
        </w:rPr>
        <w:t>3.2.2监测方法、监测布点</w:t>
      </w:r>
    </w:p>
    <w:p w14:paraId="007E037F">
      <w:pPr>
        <w:widowControl/>
        <w:spacing w:line="480" w:lineRule="exact"/>
        <w:ind w:firstLine="480" w:firstLineChars="200"/>
        <w:rPr>
          <w:rFonts w:hint="default" w:ascii="Times New Roman" w:hAnsi="Times New Roman" w:cs="Times New Roman"/>
          <w:sz w:val="24"/>
        </w:rPr>
      </w:pPr>
      <w:r>
        <w:rPr>
          <w:rFonts w:hint="default" w:ascii="Times New Roman" w:hAnsi="Times New Roman" w:cs="Times New Roman"/>
          <w:sz w:val="24"/>
        </w:rPr>
        <w:t>监测方法：</w:t>
      </w:r>
      <w:r>
        <w:rPr>
          <w:rFonts w:hint="default" w:ascii="Times New Roman" w:hAnsi="Times New Roman" w:cs="Times New Roman"/>
          <w:spacing w:val="-6"/>
          <w:kern w:val="0"/>
          <w:sz w:val="24"/>
        </w:rPr>
        <w:t>《交流输变电工程电磁环境监测方法</w:t>
      </w:r>
      <w:r>
        <w:rPr>
          <w:rFonts w:hint="default" w:ascii="Times New Roman" w:hAnsi="Times New Roman" w:cs="Times New Roman"/>
          <w:spacing w:val="-6"/>
          <w:kern w:val="0"/>
          <w:sz w:val="24"/>
          <w:lang w:eastAsia="zh-CN"/>
        </w:rPr>
        <w:t>（试行）》</w:t>
      </w:r>
      <w:r>
        <w:rPr>
          <w:rFonts w:hint="default" w:ascii="Times New Roman" w:hAnsi="Times New Roman" w:cs="Times New Roman"/>
          <w:spacing w:val="-6"/>
          <w:kern w:val="0"/>
          <w:sz w:val="24"/>
        </w:rPr>
        <w:t>（HJ681-2013）</w:t>
      </w:r>
      <w:r>
        <w:rPr>
          <w:rFonts w:hint="default" w:ascii="Times New Roman" w:hAnsi="Times New Roman" w:cs="Times New Roman"/>
          <w:sz w:val="24"/>
        </w:rPr>
        <w:t>。</w:t>
      </w:r>
    </w:p>
    <w:p w14:paraId="74E57E5B">
      <w:pPr>
        <w:spacing w:line="480" w:lineRule="exact"/>
        <w:ind w:firstLine="480" w:firstLineChars="200"/>
        <w:rPr>
          <w:rFonts w:hint="default" w:ascii="Times New Roman" w:hAnsi="Times New Roman" w:cs="Times New Roman"/>
          <w:sz w:val="24"/>
        </w:rPr>
      </w:pPr>
      <w:r>
        <w:rPr>
          <w:rFonts w:hint="default" w:ascii="Times New Roman" w:hAnsi="Times New Roman" w:cs="Times New Roman"/>
          <w:sz w:val="24"/>
        </w:rPr>
        <w:t>监测布点：类比对象山河110kV输变电工程，在升压站四周围墙外5m处共布置4个测点（东侧、南侧、西侧、北侧），测点距地面高度1.5m。</w:t>
      </w:r>
    </w:p>
    <w:p w14:paraId="4A9D3789">
      <w:pPr>
        <w:spacing w:line="480" w:lineRule="exact"/>
        <w:ind w:firstLine="522"/>
        <w:rPr>
          <w:rFonts w:hint="default" w:ascii="Times New Roman" w:hAnsi="Times New Roman" w:eastAsia="黑体" w:cs="Times New Roman"/>
          <w:bCs/>
          <w:sz w:val="24"/>
          <w:szCs w:val="21"/>
        </w:rPr>
      </w:pPr>
      <w:r>
        <w:rPr>
          <w:rFonts w:hint="default" w:ascii="Times New Roman" w:hAnsi="Times New Roman" w:eastAsia="黑体" w:cs="Times New Roman"/>
          <w:bCs/>
          <w:sz w:val="24"/>
          <w:szCs w:val="21"/>
        </w:rPr>
        <w:t>3.2.3监测单位及监测时间</w:t>
      </w:r>
    </w:p>
    <w:p w14:paraId="70B92554">
      <w:pPr>
        <w:spacing w:line="480" w:lineRule="exact"/>
        <w:ind w:firstLine="480" w:firstLineChars="200"/>
        <w:rPr>
          <w:rFonts w:hint="default" w:ascii="Times New Roman" w:hAnsi="Times New Roman" w:cs="Times New Roman"/>
          <w:sz w:val="24"/>
        </w:rPr>
      </w:pPr>
      <w:r>
        <w:rPr>
          <w:rFonts w:hint="default" w:ascii="Times New Roman" w:hAnsi="Times New Roman" w:cs="Times New Roman"/>
          <w:sz w:val="24"/>
        </w:rPr>
        <w:t>监测单位：南京电力设备质量性能检验中心</w:t>
      </w:r>
    </w:p>
    <w:p w14:paraId="5D280092">
      <w:pPr>
        <w:spacing w:line="480" w:lineRule="exact"/>
        <w:ind w:firstLine="480" w:firstLineChars="200"/>
        <w:rPr>
          <w:rFonts w:hint="default" w:ascii="Times New Roman" w:hAnsi="Times New Roman" w:cs="Times New Roman"/>
          <w:sz w:val="24"/>
        </w:rPr>
      </w:pPr>
      <w:r>
        <w:rPr>
          <w:rFonts w:hint="default" w:ascii="Times New Roman" w:hAnsi="Times New Roman" w:cs="Times New Roman"/>
          <w:sz w:val="24"/>
        </w:rPr>
        <w:t>监测时间：2017年5月10日</w:t>
      </w:r>
    </w:p>
    <w:p w14:paraId="6E9F4FBC">
      <w:pPr>
        <w:spacing w:line="480" w:lineRule="exact"/>
        <w:ind w:firstLine="522"/>
        <w:rPr>
          <w:rFonts w:hint="default" w:ascii="Times New Roman" w:hAnsi="Times New Roman" w:eastAsia="黑体" w:cs="Times New Roman"/>
          <w:bCs/>
          <w:sz w:val="24"/>
          <w:szCs w:val="21"/>
        </w:rPr>
      </w:pPr>
      <w:r>
        <w:rPr>
          <w:rFonts w:hint="default" w:ascii="Times New Roman" w:hAnsi="Times New Roman" w:eastAsia="黑体" w:cs="Times New Roman"/>
          <w:bCs/>
          <w:sz w:val="24"/>
          <w:szCs w:val="21"/>
        </w:rPr>
        <w:t>3.2.4监测仪器、监测条件</w:t>
      </w:r>
    </w:p>
    <w:p w14:paraId="05161352">
      <w:pPr>
        <w:spacing w:line="480" w:lineRule="exact"/>
        <w:ind w:firstLine="480" w:firstLineChars="200"/>
        <w:rPr>
          <w:rFonts w:hint="default" w:ascii="Times New Roman" w:hAnsi="Times New Roman" w:cs="Times New Roman"/>
          <w:sz w:val="24"/>
          <w:szCs w:val="21"/>
        </w:rPr>
      </w:pPr>
      <w:r>
        <w:rPr>
          <w:rFonts w:hint="default" w:ascii="Times New Roman" w:hAnsi="Times New Roman" w:cs="Times New Roman"/>
          <w:sz w:val="24"/>
          <w:szCs w:val="21"/>
        </w:rPr>
        <w:t>监测仪器参数，见表3.</w:t>
      </w:r>
      <w:r>
        <w:rPr>
          <w:rFonts w:hint="default" w:ascii="Times New Roman" w:hAnsi="Times New Roman" w:cs="Times New Roman"/>
          <w:sz w:val="24"/>
          <w:szCs w:val="21"/>
          <w:lang w:val="en-US" w:eastAsia="zh-CN"/>
        </w:rPr>
        <w:t>2-</w:t>
      </w:r>
      <w:r>
        <w:rPr>
          <w:rFonts w:hint="default" w:ascii="Times New Roman" w:hAnsi="Times New Roman" w:cs="Times New Roman"/>
          <w:sz w:val="24"/>
          <w:szCs w:val="21"/>
        </w:rPr>
        <w:t>1。</w:t>
      </w:r>
    </w:p>
    <w:p w14:paraId="6D01D42C">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黑体" w:cs="Times New Roman"/>
          <w:color w:val="000000"/>
          <w:highlight w:val="none"/>
          <w:lang w:val="en-US" w:eastAsia="zh-CN"/>
        </w:rPr>
      </w:pPr>
      <w:r>
        <w:rPr>
          <w:rFonts w:hint="default" w:ascii="Times New Roman" w:hAnsi="Times New Roman" w:eastAsia="黑体" w:cs="Times New Roman"/>
          <w:color w:val="000000"/>
          <w:highlight w:val="none"/>
          <w:lang w:val="en-US" w:eastAsia="zh-CN"/>
        </w:rPr>
        <w:t>表3.2-1 监测仪器参数表</w:t>
      </w:r>
    </w:p>
    <w:tbl>
      <w:tblPr>
        <w:tblStyle w:val="4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0" w:type="dxa"/>
          <w:bottom w:w="57" w:type="dxa"/>
          <w:right w:w="0" w:type="dxa"/>
        </w:tblCellMar>
      </w:tblPr>
      <w:tblGrid>
        <w:gridCol w:w="368"/>
        <w:gridCol w:w="1124"/>
        <w:gridCol w:w="1125"/>
        <w:gridCol w:w="1378"/>
        <w:gridCol w:w="2725"/>
        <w:gridCol w:w="1599"/>
      </w:tblGrid>
      <w:tr w14:paraId="5C4F1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rPr>
          <w:trHeight w:val="397" w:hRule="atLeast"/>
          <w:jc w:val="center"/>
        </w:trPr>
        <w:tc>
          <w:tcPr>
            <w:tcW w:w="221" w:type="pct"/>
            <w:tcMar>
              <w:top w:w="0" w:type="dxa"/>
              <w:left w:w="0" w:type="dxa"/>
              <w:bottom w:w="0" w:type="dxa"/>
              <w:right w:w="0" w:type="dxa"/>
            </w:tcMar>
            <w:vAlign w:val="center"/>
          </w:tcPr>
          <w:p w14:paraId="1104928B">
            <w:pPr>
              <w:jc w:val="center"/>
              <w:rPr>
                <w:rFonts w:hint="default" w:ascii="Times New Roman" w:hAnsi="Times New Roman" w:cs="Times New Roman"/>
                <w:szCs w:val="21"/>
              </w:rPr>
            </w:pPr>
            <w:r>
              <w:rPr>
                <w:rFonts w:hint="default" w:ascii="Times New Roman" w:hAnsi="Times New Roman" w:cs="Times New Roman"/>
                <w:szCs w:val="21"/>
              </w:rPr>
              <w:t>序号</w:t>
            </w:r>
          </w:p>
        </w:tc>
        <w:tc>
          <w:tcPr>
            <w:tcW w:w="675" w:type="pct"/>
            <w:tcMar>
              <w:top w:w="0" w:type="dxa"/>
              <w:left w:w="0" w:type="dxa"/>
              <w:bottom w:w="0" w:type="dxa"/>
              <w:right w:w="0" w:type="dxa"/>
            </w:tcMar>
            <w:vAlign w:val="center"/>
          </w:tcPr>
          <w:p w14:paraId="22A845C8">
            <w:pPr>
              <w:jc w:val="center"/>
              <w:rPr>
                <w:rFonts w:hint="default" w:ascii="Times New Roman" w:hAnsi="Times New Roman" w:cs="Times New Roman"/>
                <w:szCs w:val="21"/>
              </w:rPr>
            </w:pPr>
            <w:r>
              <w:rPr>
                <w:rFonts w:hint="default" w:ascii="Times New Roman" w:hAnsi="Times New Roman" w:cs="Times New Roman"/>
                <w:szCs w:val="21"/>
              </w:rPr>
              <w:t>监测项目</w:t>
            </w:r>
          </w:p>
        </w:tc>
        <w:tc>
          <w:tcPr>
            <w:tcW w:w="676" w:type="pct"/>
            <w:tcMar>
              <w:top w:w="0" w:type="dxa"/>
              <w:left w:w="0" w:type="dxa"/>
              <w:bottom w:w="0" w:type="dxa"/>
              <w:right w:w="0" w:type="dxa"/>
            </w:tcMar>
            <w:vAlign w:val="center"/>
          </w:tcPr>
          <w:p w14:paraId="7AA84D10">
            <w:pPr>
              <w:jc w:val="center"/>
              <w:rPr>
                <w:rFonts w:hint="default" w:ascii="Times New Roman" w:hAnsi="Times New Roman" w:cs="Times New Roman"/>
                <w:szCs w:val="21"/>
              </w:rPr>
            </w:pPr>
            <w:r>
              <w:rPr>
                <w:rFonts w:hint="default" w:ascii="Times New Roman" w:hAnsi="Times New Roman" w:cs="Times New Roman"/>
                <w:szCs w:val="21"/>
              </w:rPr>
              <w:t>设备名称</w:t>
            </w:r>
          </w:p>
        </w:tc>
        <w:tc>
          <w:tcPr>
            <w:tcW w:w="828" w:type="pct"/>
            <w:tcMar>
              <w:top w:w="0" w:type="dxa"/>
              <w:left w:w="0" w:type="dxa"/>
              <w:bottom w:w="0" w:type="dxa"/>
              <w:right w:w="0" w:type="dxa"/>
            </w:tcMar>
            <w:vAlign w:val="center"/>
          </w:tcPr>
          <w:p w14:paraId="74284FF0">
            <w:pPr>
              <w:jc w:val="center"/>
              <w:rPr>
                <w:rFonts w:hint="default" w:ascii="Times New Roman" w:hAnsi="Times New Roman" w:cs="Times New Roman"/>
                <w:szCs w:val="21"/>
              </w:rPr>
            </w:pPr>
            <w:r>
              <w:rPr>
                <w:rFonts w:hint="default" w:ascii="Times New Roman" w:hAnsi="Times New Roman" w:cs="Times New Roman"/>
                <w:szCs w:val="21"/>
              </w:rPr>
              <w:t>设备编号</w:t>
            </w:r>
          </w:p>
        </w:tc>
        <w:tc>
          <w:tcPr>
            <w:tcW w:w="1637" w:type="pct"/>
            <w:tcMar>
              <w:top w:w="0" w:type="dxa"/>
              <w:left w:w="0" w:type="dxa"/>
              <w:bottom w:w="0" w:type="dxa"/>
              <w:right w:w="0" w:type="dxa"/>
            </w:tcMar>
            <w:vAlign w:val="center"/>
          </w:tcPr>
          <w:p w14:paraId="62F3E8B9">
            <w:pPr>
              <w:jc w:val="center"/>
              <w:rPr>
                <w:rFonts w:hint="default" w:ascii="Times New Roman" w:hAnsi="Times New Roman" w:cs="Times New Roman"/>
                <w:szCs w:val="21"/>
              </w:rPr>
            </w:pPr>
            <w:r>
              <w:rPr>
                <w:rFonts w:hint="default" w:ascii="Times New Roman" w:hAnsi="Times New Roman" w:cs="Times New Roman"/>
                <w:szCs w:val="21"/>
              </w:rPr>
              <w:t>检定单位/证书编号</w:t>
            </w:r>
          </w:p>
        </w:tc>
        <w:tc>
          <w:tcPr>
            <w:tcW w:w="960" w:type="pct"/>
            <w:tcMar>
              <w:top w:w="0" w:type="dxa"/>
              <w:left w:w="0" w:type="dxa"/>
              <w:bottom w:w="0" w:type="dxa"/>
              <w:right w:w="0" w:type="dxa"/>
            </w:tcMar>
            <w:vAlign w:val="center"/>
          </w:tcPr>
          <w:p w14:paraId="170BB017">
            <w:pPr>
              <w:jc w:val="center"/>
              <w:rPr>
                <w:rFonts w:hint="default" w:ascii="Times New Roman" w:hAnsi="Times New Roman" w:cs="Times New Roman"/>
                <w:szCs w:val="21"/>
              </w:rPr>
            </w:pPr>
            <w:r>
              <w:rPr>
                <w:rFonts w:hint="default" w:ascii="Times New Roman" w:hAnsi="Times New Roman" w:cs="Times New Roman"/>
                <w:szCs w:val="21"/>
              </w:rPr>
              <w:t>有效日期</w:t>
            </w:r>
          </w:p>
        </w:tc>
      </w:tr>
      <w:tr w14:paraId="54965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rPr>
          <w:trHeight w:val="397" w:hRule="atLeast"/>
          <w:jc w:val="center"/>
        </w:trPr>
        <w:tc>
          <w:tcPr>
            <w:tcW w:w="221" w:type="pct"/>
            <w:vMerge w:val="restart"/>
            <w:tcMar>
              <w:top w:w="0" w:type="dxa"/>
              <w:left w:w="0" w:type="dxa"/>
              <w:bottom w:w="0" w:type="dxa"/>
              <w:right w:w="0" w:type="dxa"/>
            </w:tcMar>
            <w:vAlign w:val="center"/>
          </w:tcPr>
          <w:p w14:paraId="3992EEE9">
            <w:pPr>
              <w:jc w:val="center"/>
              <w:rPr>
                <w:rFonts w:hint="default" w:ascii="Times New Roman" w:hAnsi="Times New Roman" w:cs="Times New Roman"/>
                <w:szCs w:val="21"/>
              </w:rPr>
            </w:pPr>
            <w:r>
              <w:rPr>
                <w:rFonts w:hint="default" w:ascii="Times New Roman" w:hAnsi="Times New Roman" w:cs="Times New Roman"/>
                <w:szCs w:val="21"/>
              </w:rPr>
              <w:t>1</w:t>
            </w:r>
          </w:p>
        </w:tc>
        <w:tc>
          <w:tcPr>
            <w:tcW w:w="675" w:type="pct"/>
            <w:tcMar>
              <w:top w:w="0" w:type="dxa"/>
              <w:left w:w="0" w:type="dxa"/>
              <w:bottom w:w="0" w:type="dxa"/>
              <w:right w:w="0" w:type="dxa"/>
            </w:tcMar>
            <w:vAlign w:val="center"/>
          </w:tcPr>
          <w:p w14:paraId="46A81853">
            <w:pPr>
              <w:jc w:val="center"/>
              <w:rPr>
                <w:rFonts w:hint="default" w:ascii="Times New Roman" w:hAnsi="Times New Roman" w:cs="Times New Roman"/>
                <w:szCs w:val="21"/>
              </w:rPr>
            </w:pPr>
            <w:r>
              <w:rPr>
                <w:rFonts w:hint="default" w:ascii="Times New Roman" w:hAnsi="Times New Roman" w:cs="Times New Roman"/>
                <w:szCs w:val="21"/>
              </w:rPr>
              <w:t>工频电场强度</w:t>
            </w:r>
          </w:p>
        </w:tc>
        <w:tc>
          <w:tcPr>
            <w:tcW w:w="676" w:type="pct"/>
            <w:vMerge w:val="restart"/>
            <w:tcMar>
              <w:top w:w="0" w:type="dxa"/>
              <w:left w:w="0" w:type="dxa"/>
              <w:bottom w:w="0" w:type="dxa"/>
              <w:right w:w="0" w:type="dxa"/>
            </w:tcMar>
            <w:vAlign w:val="center"/>
          </w:tcPr>
          <w:p w14:paraId="0F27919A">
            <w:pPr>
              <w:jc w:val="center"/>
              <w:rPr>
                <w:rFonts w:hint="default" w:ascii="Times New Roman" w:hAnsi="Times New Roman" w:eastAsia="宋体" w:cs="Times New Roman"/>
                <w:szCs w:val="21"/>
                <w:lang w:val="en-US" w:eastAsia="zh-CN"/>
              </w:rPr>
            </w:pPr>
            <w:r>
              <w:rPr>
                <w:rFonts w:hint="default" w:ascii="Times New Roman" w:hAnsi="Times New Roman" w:cs="Times New Roman"/>
                <w:szCs w:val="21"/>
                <w:lang w:val="en-US" w:eastAsia="zh-CN"/>
              </w:rPr>
              <w:t>电磁辐射分析仪</w:t>
            </w:r>
          </w:p>
        </w:tc>
        <w:tc>
          <w:tcPr>
            <w:tcW w:w="828" w:type="pct"/>
            <w:vMerge w:val="restart"/>
            <w:tcMar>
              <w:top w:w="0" w:type="dxa"/>
              <w:left w:w="0" w:type="dxa"/>
              <w:bottom w:w="0" w:type="dxa"/>
              <w:right w:w="0" w:type="dxa"/>
            </w:tcMar>
            <w:vAlign w:val="center"/>
          </w:tcPr>
          <w:p w14:paraId="2EEF6EB8">
            <w:pPr>
              <w:jc w:val="center"/>
              <w:rPr>
                <w:rFonts w:hint="default" w:ascii="Times New Roman" w:hAnsi="Times New Roman" w:cs="Times New Roman"/>
                <w:szCs w:val="21"/>
              </w:rPr>
            </w:pPr>
            <w:r>
              <w:rPr>
                <w:rFonts w:hint="default" w:ascii="Times New Roman" w:hAnsi="Times New Roman" w:cs="Times New Roman"/>
                <w:szCs w:val="21"/>
                <w:lang w:val="en-US" w:eastAsia="zh-CN"/>
              </w:rPr>
              <w:t>G-0720和M-1007</w:t>
            </w:r>
          </w:p>
        </w:tc>
        <w:tc>
          <w:tcPr>
            <w:tcW w:w="1637" w:type="pct"/>
            <w:vMerge w:val="restart"/>
            <w:tcMar>
              <w:top w:w="0" w:type="dxa"/>
              <w:left w:w="0" w:type="dxa"/>
              <w:bottom w:w="0" w:type="dxa"/>
              <w:right w:w="0" w:type="dxa"/>
            </w:tcMar>
            <w:vAlign w:val="center"/>
          </w:tcPr>
          <w:p w14:paraId="12A4A629">
            <w:pPr>
              <w:jc w:val="center"/>
              <w:rPr>
                <w:rFonts w:hint="default" w:ascii="Times New Roman" w:hAnsi="Times New Roman" w:cs="Times New Roman"/>
                <w:szCs w:val="21"/>
                <w:lang w:val="en-US" w:eastAsia="zh-CN"/>
              </w:rPr>
            </w:pPr>
            <w:r>
              <w:rPr>
                <w:rFonts w:hint="default" w:ascii="Times New Roman" w:hAnsi="Times New Roman" w:cs="Times New Roman"/>
                <w:szCs w:val="21"/>
                <w:lang w:val="en-US" w:eastAsia="zh-CN"/>
              </w:rPr>
              <w:t>广电计量检测集团股份有限公司</w:t>
            </w:r>
          </w:p>
          <w:p w14:paraId="18FB6F2B">
            <w:pPr>
              <w:jc w:val="center"/>
              <w:rPr>
                <w:rFonts w:hint="default" w:ascii="Times New Roman" w:hAnsi="Times New Roman" w:cs="Times New Roman"/>
                <w:szCs w:val="21"/>
              </w:rPr>
            </w:pPr>
            <w:r>
              <w:rPr>
                <w:rFonts w:hint="default" w:ascii="Times New Roman" w:hAnsi="Times New Roman" w:cs="Times New Roman"/>
                <w:szCs w:val="21"/>
                <w:lang w:val="en-US" w:eastAsia="zh-CN"/>
              </w:rPr>
              <w:t>J202312261250-01-0001</w:t>
            </w:r>
          </w:p>
        </w:tc>
        <w:tc>
          <w:tcPr>
            <w:tcW w:w="960" w:type="pct"/>
            <w:vMerge w:val="restart"/>
            <w:tcMar>
              <w:top w:w="0" w:type="dxa"/>
              <w:left w:w="0" w:type="dxa"/>
              <w:bottom w:w="0" w:type="dxa"/>
              <w:right w:w="0" w:type="dxa"/>
            </w:tcMar>
            <w:vAlign w:val="center"/>
          </w:tcPr>
          <w:p w14:paraId="0BB80BED">
            <w:pPr>
              <w:jc w:val="center"/>
              <w:rPr>
                <w:rFonts w:hint="default" w:ascii="Times New Roman" w:hAnsi="Times New Roman" w:eastAsia="宋体" w:cs="Times New Roman"/>
                <w:szCs w:val="21"/>
                <w:lang w:val="en-US" w:eastAsia="zh-CN"/>
              </w:rPr>
            </w:pPr>
            <w:r>
              <w:rPr>
                <w:rFonts w:hint="default" w:ascii="Times New Roman" w:hAnsi="Times New Roman" w:cs="Times New Roman"/>
                <w:szCs w:val="21"/>
                <w:lang w:val="en-US" w:eastAsia="zh-CN"/>
              </w:rPr>
              <w:t>2024.3.7~2025.3.6</w:t>
            </w:r>
          </w:p>
        </w:tc>
      </w:tr>
      <w:tr w14:paraId="1A0E4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rPr>
          <w:trHeight w:val="397" w:hRule="atLeast"/>
          <w:jc w:val="center"/>
        </w:trPr>
        <w:tc>
          <w:tcPr>
            <w:tcW w:w="221" w:type="pct"/>
            <w:vMerge w:val="continue"/>
            <w:vAlign w:val="center"/>
          </w:tcPr>
          <w:p w14:paraId="2DE6BED3">
            <w:pPr>
              <w:jc w:val="center"/>
              <w:rPr>
                <w:rFonts w:hint="default" w:ascii="Times New Roman" w:hAnsi="Times New Roman" w:cs="Times New Roman"/>
                <w:szCs w:val="21"/>
              </w:rPr>
            </w:pPr>
          </w:p>
        </w:tc>
        <w:tc>
          <w:tcPr>
            <w:tcW w:w="675" w:type="pct"/>
            <w:tcMar>
              <w:top w:w="0" w:type="dxa"/>
              <w:left w:w="0" w:type="dxa"/>
              <w:bottom w:w="0" w:type="dxa"/>
              <w:right w:w="0" w:type="dxa"/>
            </w:tcMar>
            <w:vAlign w:val="center"/>
          </w:tcPr>
          <w:p w14:paraId="0F95EAA3">
            <w:pPr>
              <w:jc w:val="center"/>
              <w:rPr>
                <w:rFonts w:hint="default" w:ascii="Times New Roman" w:hAnsi="Times New Roman" w:cs="Times New Roman"/>
                <w:szCs w:val="21"/>
              </w:rPr>
            </w:pPr>
            <w:r>
              <w:rPr>
                <w:rFonts w:hint="default" w:ascii="Times New Roman" w:hAnsi="Times New Roman" w:cs="Times New Roman"/>
                <w:szCs w:val="21"/>
              </w:rPr>
              <w:t>工频磁感应强度</w:t>
            </w:r>
          </w:p>
        </w:tc>
        <w:tc>
          <w:tcPr>
            <w:tcW w:w="676" w:type="pct"/>
            <w:vMerge w:val="continue"/>
            <w:tcMar>
              <w:top w:w="0" w:type="dxa"/>
              <w:left w:w="0" w:type="dxa"/>
              <w:bottom w:w="0" w:type="dxa"/>
              <w:right w:w="0" w:type="dxa"/>
            </w:tcMar>
            <w:vAlign w:val="center"/>
          </w:tcPr>
          <w:p w14:paraId="2B54DB72">
            <w:pPr>
              <w:jc w:val="center"/>
              <w:rPr>
                <w:rFonts w:hint="default" w:ascii="Times New Roman" w:hAnsi="Times New Roman" w:cs="Times New Roman"/>
                <w:szCs w:val="21"/>
              </w:rPr>
            </w:pPr>
          </w:p>
        </w:tc>
        <w:tc>
          <w:tcPr>
            <w:tcW w:w="828" w:type="pct"/>
            <w:vMerge w:val="continue"/>
            <w:vAlign w:val="center"/>
          </w:tcPr>
          <w:p w14:paraId="79E41664">
            <w:pPr>
              <w:jc w:val="center"/>
              <w:rPr>
                <w:rFonts w:hint="default" w:ascii="Times New Roman" w:hAnsi="Times New Roman" w:cs="Times New Roman"/>
                <w:szCs w:val="21"/>
              </w:rPr>
            </w:pPr>
          </w:p>
        </w:tc>
        <w:tc>
          <w:tcPr>
            <w:tcW w:w="1637" w:type="pct"/>
            <w:vMerge w:val="continue"/>
            <w:vAlign w:val="center"/>
          </w:tcPr>
          <w:p w14:paraId="33436F04">
            <w:pPr>
              <w:jc w:val="center"/>
              <w:rPr>
                <w:rFonts w:hint="default" w:ascii="Times New Roman" w:hAnsi="Times New Roman" w:cs="Times New Roman"/>
                <w:szCs w:val="21"/>
              </w:rPr>
            </w:pPr>
          </w:p>
        </w:tc>
        <w:tc>
          <w:tcPr>
            <w:tcW w:w="960" w:type="pct"/>
            <w:vMerge w:val="continue"/>
            <w:vAlign w:val="center"/>
          </w:tcPr>
          <w:p w14:paraId="4CBF931E">
            <w:pPr>
              <w:jc w:val="center"/>
              <w:rPr>
                <w:rFonts w:hint="default" w:ascii="Times New Roman" w:hAnsi="Times New Roman" w:cs="Times New Roman"/>
                <w:szCs w:val="21"/>
              </w:rPr>
            </w:pPr>
          </w:p>
        </w:tc>
      </w:tr>
    </w:tbl>
    <w:p w14:paraId="71E0B2D1">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default" w:ascii="Times New Roman" w:hAnsi="Times New Roman" w:cs="Times New Roman"/>
          <w:sz w:val="24"/>
          <w:szCs w:val="21"/>
        </w:rPr>
      </w:pPr>
      <w:r>
        <w:rPr>
          <w:rFonts w:hint="default" w:ascii="Times New Roman" w:hAnsi="Times New Roman" w:cs="Times New Roman"/>
          <w:sz w:val="24"/>
          <w:szCs w:val="21"/>
        </w:rPr>
        <w:t>监测条件：天气晴，温度7~22℃，湿度25~28%，风速4.5m/s~4.7m/s。</w:t>
      </w:r>
      <w:r>
        <w:rPr>
          <w:rFonts w:hint="default" w:ascii="Times New Roman" w:hAnsi="Times New Roman" w:cs="Times New Roman"/>
          <w:sz w:val="24"/>
          <w:szCs w:val="21"/>
        </w:rPr>
        <w:br w:type="textWrapping"/>
      </w:r>
      <w:r>
        <w:rPr>
          <w:rFonts w:hint="default" w:ascii="Times New Roman" w:hAnsi="Times New Roman" w:cs="Times New Roman"/>
          <w:sz w:val="24"/>
          <w:szCs w:val="21"/>
        </w:rPr>
        <w:t>运行工况：监测期间山河110kV输变电工程处于正常运行状态，1#主变电压117.23kV、电流29.28A，2#主变电压116.97kV、电流12.55A，3#主变正常运行。</w:t>
      </w:r>
      <w:r>
        <w:rPr>
          <w:rFonts w:hint="default" w:ascii="Times New Roman" w:hAnsi="Times New Roman" w:cs="Times New Roman"/>
          <w:sz w:val="24"/>
          <w:szCs w:val="21"/>
        </w:rPr>
        <w:br w:type="textWrapping"/>
      </w:r>
      <w:r>
        <w:rPr>
          <w:rFonts w:hint="default" w:ascii="Times New Roman" w:hAnsi="Times New Roman" w:cs="Times New Roman"/>
          <w:sz w:val="24"/>
          <w:szCs w:val="21"/>
        </w:rPr>
        <w:t>数据有效性说明：监测方法执行HJ681-2013；测点布置于围墙外5m、距地面高度1.5m，符合HJ24-2020关于变电站类比监测布点的要求；类比对象监测期间处于正常运行工况，监测仪器经检定/校准且在有效期内，监测数据有效，可作为类比预测依据。完整类比监测报告见附件</w:t>
      </w:r>
      <w:r>
        <w:rPr>
          <w:rFonts w:hint="eastAsia" w:cs="Times New Roman"/>
          <w:sz w:val="24"/>
          <w:szCs w:val="21"/>
          <w:lang w:val="en-US" w:eastAsia="zh-CN"/>
        </w:rPr>
        <w:t>5</w:t>
      </w:r>
      <w:r>
        <w:rPr>
          <w:rFonts w:hint="default" w:ascii="Times New Roman" w:hAnsi="Times New Roman" w:cs="Times New Roman"/>
          <w:sz w:val="24"/>
          <w:szCs w:val="21"/>
        </w:rPr>
        <w:t>。</w:t>
      </w:r>
    </w:p>
    <w:p w14:paraId="7B5D273C">
      <w:pPr>
        <w:spacing w:line="480" w:lineRule="exact"/>
        <w:ind w:firstLine="522"/>
        <w:rPr>
          <w:rFonts w:hint="default" w:ascii="Times New Roman" w:hAnsi="Times New Roman" w:eastAsia="黑体" w:cs="Times New Roman"/>
          <w:bCs/>
          <w:sz w:val="24"/>
          <w:szCs w:val="21"/>
        </w:rPr>
      </w:pPr>
      <w:r>
        <w:rPr>
          <w:rFonts w:hint="default" w:ascii="Times New Roman" w:hAnsi="Times New Roman" w:eastAsia="黑体" w:cs="Times New Roman"/>
          <w:bCs/>
          <w:sz w:val="24"/>
          <w:szCs w:val="21"/>
        </w:rPr>
        <w:t>3.2.5监测结果</w:t>
      </w:r>
    </w:p>
    <w:p w14:paraId="7E5FC6D0">
      <w:pPr>
        <w:spacing w:line="480" w:lineRule="exact"/>
        <w:ind w:firstLine="480" w:firstLineChars="200"/>
        <w:rPr>
          <w:rFonts w:hint="default" w:ascii="Times New Roman" w:hAnsi="Times New Roman" w:eastAsia="宋体" w:cs="Times New Roman"/>
          <w:sz w:val="24"/>
          <w:szCs w:val="21"/>
          <w:lang w:val="en-US" w:eastAsia="zh-CN"/>
        </w:rPr>
      </w:pPr>
      <w:r>
        <w:rPr>
          <w:rFonts w:hint="default" w:ascii="Times New Roman" w:hAnsi="Times New Roman" w:cs="Times New Roman"/>
          <w:sz w:val="24"/>
          <w:szCs w:val="21"/>
        </w:rPr>
        <w:t>监测结果见表3.3-2。</w:t>
      </w:r>
      <w:r>
        <w:rPr>
          <w:rFonts w:hint="default" w:ascii="Times New Roman" w:hAnsi="Times New Roman" w:cs="Times New Roman"/>
          <w:sz w:val="24"/>
        </w:rPr>
        <w:t>监测报告</w:t>
      </w:r>
      <w:r>
        <w:rPr>
          <w:rFonts w:hint="default" w:ascii="Times New Roman" w:hAnsi="Times New Roman" w:cs="Times New Roman"/>
          <w:sz w:val="24"/>
          <w:highlight w:val="none"/>
        </w:rPr>
        <w:t>见附件</w:t>
      </w:r>
      <w:r>
        <w:rPr>
          <w:rFonts w:hint="eastAsia" w:cs="Times New Roman"/>
          <w:sz w:val="24"/>
          <w:highlight w:val="none"/>
          <w:lang w:val="en-US" w:eastAsia="zh-CN"/>
        </w:rPr>
        <w:t>4。</w:t>
      </w:r>
    </w:p>
    <w:p w14:paraId="79D83FD0">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黑体" w:cs="Times New Roman"/>
          <w:color w:val="000000"/>
          <w:highlight w:val="none"/>
          <w:lang w:val="en-US" w:eastAsia="zh-CN"/>
        </w:rPr>
      </w:pPr>
      <w:r>
        <w:rPr>
          <w:rFonts w:hint="default" w:ascii="Times New Roman" w:hAnsi="Times New Roman" w:eastAsia="黑体" w:cs="Times New Roman"/>
          <w:color w:val="000000"/>
          <w:highlight w:val="none"/>
          <w:lang w:val="en-US" w:eastAsia="zh-CN"/>
        </w:rPr>
        <w:t>表3.3-2 类比变电站工频电场、工频磁场测试结果</w:t>
      </w:r>
    </w:p>
    <w:tbl>
      <w:tblPr>
        <w:tblStyle w:val="43"/>
        <w:tblW w:w="498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0" w:type="dxa"/>
          <w:bottom w:w="57" w:type="dxa"/>
          <w:right w:w="0" w:type="dxa"/>
        </w:tblCellMar>
      </w:tblPr>
      <w:tblGrid>
        <w:gridCol w:w="751"/>
        <w:gridCol w:w="4086"/>
        <w:gridCol w:w="1443"/>
        <w:gridCol w:w="2019"/>
      </w:tblGrid>
      <w:tr w14:paraId="5A68B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rPr>
          <w:cantSplit/>
          <w:trHeight w:val="397" w:hRule="atLeast"/>
          <w:jc w:val="center"/>
        </w:trPr>
        <w:tc>
          <w:tcPr>
            <w:tcW w:w="452" w:type="pct"/>
            <w:vAlign w:val="center"/>
          </w:tcPr>
          <w:p w14:paraId="338D549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序号</w:t>
            </w:r>
          </w:p>
        </w:tc>
        <w:tc>
          <w:tcPr>
            <w:tcW w:w="2461" w:type="pct"/>
            <w:vAlign w:val="center"/>
          </w:tcPr>
          <w:p w14:paraId="0F85640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测点位置</w:t>
            </w:r>
          </w:p>
        </w:tc>
        <w:tc>
          <w:tcPr>
            <w:tcW w:w="869" w:type="pct"/>
            <w:vAlign w:val="center"/>
          </w:tcPr>
          <w:p w14:paraId="51EF6FD0">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工频电场强度</w:t>
            </w:r>
          </w:p>
          <w:p w14:paraId="702EF808">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（V/m）</w:t>
            </w:r>
          </w:p>
        </w:tc>
        <w:tc>
          <w:tcPr>
            <w:tcW w:w="1216" w:type="pct"/>
            <w:vAlign w:val="center"/>
          </w:tcPr>
          <w:p w14:paraId="3732807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工频磁感应强度</w:t>
            </w:r>
          </w:p>
          <w:p w14:paraId="32199D2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（μT）</w:t>
            </w:r>
          </w:p>
        </w:tc>
      </w:tr>
      <w:tr w14:paraId="3F742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rPr>
          <w:cantSplit/>
          <w:trHeight w:val="397" w:hRule="atLeast"/>
          <w:jc w:val="center"/>
        </w:trPr>
        <w:tc>
          <w:tcPr>
            <w:tcW w:w="452" w:type="pct"/>
            <w:vAlign w:val="center"/>
          </w:tcPr>
          <w:p w14:paraId="35042684">
            <w:pPr>
              <w:spacing w:after="20"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w:t>
            </w:r>
          </w:p>
        </w:tc>
        <w:tc>
          <w:tcPr>
            <w:tcW w:w="2461" w:type="pct"/>
            <w:vAlign w:val="center"/>
          </w:tcPr>
          <w:p w14:paraId="7EF907F3">
            <w:pPr>
              <w:spacing w:after="20"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东侧围墙外5m</w:t>
            </w:r>
          </w:p>
        </w:tc>
        <w:tc>
          <w:tcPr>
            <w:tcW w:w="869" w:type="pct"/>
            <w:vAlign w:val="center"/>
          </w:tcPr>
          <w:p w14:paraId="0C78BF82">
            <w:pPr>
              <w:spacing w:after="20"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19</w:t>
            </w:r>
          </w:p>
        </w:tc>
        <w:tc>
          <w:tcPr>
            <w:tcW w:w="1216" w:type="pct"/>
            <w:vAlign w:val="center"/>
          </w:tcPr>
          <w:p w14:paraId="38CC03AD">
            <w:pPr>
              <w:spacing w:after="20"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0.260</w:t>
            </w:r>
          </w:p>
        </w:tc>
      </w:tr>
      <w:tr w14:paraId="4E5C2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rPr>
          <w:cantSplit/>
          <w:trHeight w:val="397" w:hRule="atLeast"/>
          <w:jc w:val="center"/>
        </w:trPr>
        <w:tc>
          <w:tcPr>
            <w:tcW w:w="452" w:type="pct"/>
            <w:vAlign w:val="center"/>
          </w:tcPr>
          <w:p w14:paraId="373614AF">
            <w:pPr>
              <w:spacing w:after="20"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w:t>
            </w:r>
          </w:p>
        </w:tc>
        <w:tc>
          <w:tcPr>
            <w:tcW w:w="2461" w:type="pct"/>
            <w:vAlign w:val="center"/>
          </w:tcPr>
          <w:p w14:paraId="00FEDA1C">
            <w:pPr>
              <w:spacing w:after="20"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南侧围墙外5m</w:t>
            </w:r>
          </w:p>
        </w:tc>
        <w:tc>
          <w:tcPr>
            <w:tcW w:w="869" w:type="pct"/>
            <w:vAlign w:val="center"/>
          </w:tcPr>
          <w:p w14:paraId="11D582A5">
            <w:pPr>
              <w:spacing w:after="20"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150</w:t>
            </w:r>
          </w:p>
        </w:tc>
        <w:tc>
          <w:tcPr>
            <w:tcW w:w="1216" w:type="pct"/>
            <w:vAlign w:val="center"/>
          </w:tcPr>
          <w:p w14:paraId="068C8842">
            <w:pPr>
              <w:spacing w:after="20"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0.303</w:t>
            </w:r>
          </w:p>
        </w:tc>
      </w:tr>
      <w:tr w14:paraId="19FEE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rPr>
          <w:trHeight w:val="397" w:hRule="atLeast"/>
          <w:jc w:val="center"/>
        </w:trPr>
        <w:tc>
          <w:tcPr>
            <w:tcW w:w="452" w:type="pct"/>
            <w:vAlign w:val="center"/>
          </w:tcPr>
          <w:p w14:paraId="40BD517B">
            <w:pPr>
              <w:spacing w:after="20"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3</w:t>
            </w:r>
          </w:p>
        </w:tc>
        <w:tc>
          <w:tcPr>
            <w:tcW w:w="2461" w:type="pct"/>
            <w:vAlign w:val="center"/>
          </w:tcPr>
          <w:p w14:paraId="16DE1CB6">
            <w:pPr>
              <w:spacing w:after="20"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西侧围墙外5m</w:t>
            </w:r>
          </w:p>
        </w:tc>
        <w:tc>
          <w:tcPr>
            <w:tcW w:w="869" w:type="pct"/>
            <w:vAlign w:val="center"/>
          </w:tcPr>
          <w:p w14:paraId="57A0A746">
            <w:pPr>
              <w:spacing w:after="20"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91</w:t>
            </w:r>
          </w:p>
        </w:tc>
        <w:tc>
          <w:tcPr>
            <w:tcW w:w="1216" w:type="pct"/>
            <w:vAlign w:val="center"/>
          </w:tcPr>
          <w:p w14:paraId="41F93186">
            <w:pPr>
              <w:spacing w:after="20"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0.092</w:t>
            </w:r>
          </w:p>
        </w:tc>
      </w:tr>
      <w:tr w14:paraId="290A6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0" w:type="dxa"/>
            <w:bottom w:w="57" w:type="dxa"/>
            <w:right w:w="0" w:type="dxa"/>
          </w:tblCellMar>
        </w:tblPrEx>
        <w:trPr>
          <w:trHeight w:val="397" w:hRule="atLeast"/>
          <w:jc w:val="center"/>
        </w:trPr>
        <w:tc>
          <w:tcPr>
            <w:tcW w:w="452" w:type="pct"/>
            <w:vAlign w:val="center"/>
          </w:tcPr>
          <w:p w14:paraId="53813800">
            <w:pPr>
              <w:spacing w:after="20"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4</w:t>
            </w:r>
          </w:p>
        </w:tc>
        <w:tc>
          <w:tcPr>
            <w:tcW w:w="2461" w:type="pct"/>
            <w:vAlign w:val="center"/>
          </w:tcPr>
          <w:p w14:paraId="39E0F5FC">
            <w:pPr>
              <w:spacing w:after="20"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北侧围墙外5m</w:t>
            </w:r>
          </w:p>
        </w:tc>
        <w:tc>
          <w:tcPr>
            <w:tcW w:w="869" w:type="pct"/>
            <w:vAlign w:val="center"/>
          </w:tcPr>
          <w:p w14:paraId="34251A96">
            <w:pPr>
              <w:spacing w:after="20"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99</w:t>
            </w:r>
          </w:p>
        </w:tc>
        <w:tc>
          <w:tcPr>
            <w:tcW w:w="1216" w:type="pct"/>
            <w:vAlign w:val="center"/>
          </w:tcPr>
          <w:p w14:paraId="036185FF">
            <w:pPr>
              <w:spacing w:after="20" w:line="24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0.046</w:t>
            </w:r>
          </w:p>
        </w:tc>
      </w:tr>
    </w:tbl>
    <w:p w14:paraId="3C7FB091">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由表3.3-2类比监测结果可知，山河110kV输变电工程升压站四周围墙外5m处（测点高度1.5m）工频电场强度为19~150V/m、工频磁感应强度为0.046~0.303μT，均满足《电磁环境控制限值》（GB8702-2014）规定的公众曝露控制限值：工频电场强度4000V/m、工频磁感应强度100μT。</w:t>
      </w:r>
    </w:p>
    <w:p w14:paraId="4CFB8EE8">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（4）衰减断面模式预测</w:t>
      </w:r>
    </w:p>
    <w:p w14:paraId="7C971077">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为进一步说明本工程投运后电磁环境的空间衰减规律，按照《环境影响评价技术导则 输变电》（HJ24-2020）附录C（等效电荷法）和附录D推荐的计算模式，对本工程110kV出线侧进行工频电场强度、工频磁感应强度衰减断面预测。计算参数：预测电压取额定电压的1.05倍即115.5kV，三相导线对地电压分量UA＝（66.7＋j0）kV、UB＝（－33.3＋j57.8）kV、UC＝（－33.3－j57.8）kV；导线型号JL/G1A-300/40，导线计算半径11.97mm，单根导线、水平排列，相间距离4.0m，导线对地高度取10.0m；计算电流按2×63MVA主变满负荷时110kV侧总额定电流661.3A，单回出线330.7A；预测点距地面高度1.5m。计算假定线路无限长且平行于地面，未考虑弧垂及杆塔、构架的屏蔽作用，计算结果偏于保守。</w:t>
      </w:r>
    </w:p>
    <w:p w14:paraId="4618D201">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黑体" w:cs="Times New Roman"/>
          <w:color w:val="000000"/>
          <w:highlight w:val="none"/>
          <w:lang w:val="en-US" w:eastAsia="zh-CN"/>
        </w:rPr>
      </w:pPr>
      <w:r>
        <w:rPr>
          <w:rFonts w:hint="default" w:ascii="Times New Roman" w:hAnsi="Times New Roman" w:eastAsia="黑体" w:cs="Times New Roman"/>
          <w:color w:val="000000"/>
          <w:highlight w:val="none"/>
          <w:lang w:val="en-US" w:eastAsia="zh-CN"/>
        </w:rPr>
        <w:t>表3.3-3 110kV出线侧工频电场、工频磁感应强度衰减断面预测结果（离地1.5m）</w:t>
      </w:r>
    </w:p>
    <w:tbl>
      <w:tblPr>
        <w:tblStyle w:val="4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92"/>
        <w:gridCol w:w="2616"/>
        <w:gridCol w:w="2817"/>
      </w:tblGrid>
      <w:tr w14:paraId="48AE0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13" w:type="pct"/>
            <w:vAlign w:val="center"/>
          </w:tcPr>
          <w:p w14:paraId="68B4800F">
            <w:pPr>
              <w:spacing w:after="20" w:line="240" w:lineRule="auto"/>
              <w:jc w:val="center"/>
              <w:rPr>
                <w:rFonts w:hint="default" w:ascii="Times New Roman" w:hAnsi="Times New Roman" w:cs="Times New Roman"/>
                <w:sz w:val="21"/>
                <w:szCs w:val="21"/>
              </w:rPr>
            </w:pPr>
            <w:r>
              <w:rPr>
                <w:rFonts w:hint="default" w:ascii="Times New Roman" w:hAnsi="Times New Roman" w:eastAsia="宋体" w:cs="Times New Roman"/>
                <w:b/>
                <w:sz w:val="21"/>
                <w:szCs w:val="21"/>
              </w:rPr>
              <w:t>距线路中心水平距离（m）</w:t>
            </w:r>
          </w:p>
        </w:tc>
        <w:tc>
          <w:tcPr>
            <w:tcW w:w="1534" w:type="pct"/>
            <w:vAlign w:val="center"/>
          </w:tcPr>
          <w:p w14:paraId="58F8C08C">
            <w:pPr>
              <w:spacing w:after="20" w:line="240" w:lineRule="auto"/>
              <w:jc w:val="center"/>
              <w:rPr>
                <w:rFonts w:hint="default" w:ascii="Times New Roman" w:hAnsi="Times New Roman" w:cs="Times New Roman"/>
                <w:sz w:val="21"/>
                <w:szCs w:val="21"/>
              </w:rPr>
            </w:pPr>
            <w:r>
              <w:rPr>
                <w:rFonts w:hint="default" w:ascii="Times New Roman" w:hAnsi="Times New Roman" w:eastAsia="宋体" w:cs="Times New Roman"/>
                <w:b/>
                <w:sz w:val="21"/>
                <w:szCs w:val="21"/>
              </w:rPr>
              <w:t>工频电场强度（V/m）</w:t>
            </w:r>
          </w:p>
        </w:tc>
        <w:tc>
          <w:tcPr>
            <w:tcW w:w="1651" w:type="pct"/>
            <w:vAlign w:val="center"/>
          </w:tcPr>
          <w:p w14:paraId="7B6EC12D">
            <w:pPr>
              <w:spacing w:after="20" w:line="240" w:lineRule="auto"/>
              <w:jc w:val="center"/>
              <w:rPr>
                <w:rFonts w:hint="default" w:ascii="Times New Roman" w:hAnsi="Times New Roman" w:cs="Times New Roman"/>
                <w:sz w:val="21"/>
                <w:szCs w:val="21"/>
              </w:rPr>
            </w:pPr>
            <w:r>
              <w:rPr>
                <w:rFonts w:hint="default" w:ascii="Times New Roman" w:hAnsi="Times New Roman" w:eastAsia="宋体" w:cs="Times New Roman"/>
                <w:b/>
                <w:sz w:val="21"/>
                <w:szCs w:val="21"/>
              </w:rPr>
              <w:t>工频磁感应强度（μT）</w:t>
            </w:r>
          </w:p>
        </w:tc>
      </w:tr>
      <w:tr w14:paraId="3EEF8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13" w:type="pct"/>
            <w:vAlign w:val="center"/>
          </w:tcPr>
          <w:p w14:paraId="568921DE">
            <w:pPr>
              <w:spacing w:after="20" w:line="240" w:lineRule="auto"/>
              <w:jc w:val="center"/>
              <w:rPr>
                <w:rFonts w:hint="default" w:ascii="Times New Roman" w:hAnsi="Times New Roman" w:cs="Times New Roman"/>
                <w:sz w:val="21"/>
                <w:szCs w:val="21"/>
              </w:rPr>
            </w:pPr>
            <w:r>
              <w:rPr>
                <w:rFonts w:hint="default" w:ascii="Times New Roman" w:hAnsi="Times New Roman" w:eastAsia="宋体" w:cs="Times New Roman"/>
                <w:sz w:val="21"/>
                <w:szCs w:val="21"/>
              </w:rPr>
              <w:t>0</w:t>
            </w:r>
          </w:p>
        </w:tc>
        <w:tc>
          <w:tcPr>
            <w:tcW w:w="1534" w:type="pct"/>
            <w:vAlign w:val="center"/>
          </w:tcPr>
          <w:p w14:paraId="1B4E35B4">
            <w:pPr>
              <w:spacing w:after="20" w:line="240" w:lineRule="auto"/>
              <w:jc w:val="center"/>
              <w:rPr>
                <w:rFonts w:hint="default" w:ascii="Times New Roman" w:hAnsi="Times New Roman" w:cs="Times New Roman"/>
                <w:sz w:val="21"/>
                <w:szCs w:val="21"/>
              </w:rPr>
            </w:pPr>
            <w:r>
              <w:rPr>
                <w:rFonts w:hint="default" w:ascii="Times New Roman" w:hAnsi="Times New Roman" w:eastAsia="宋体" w:cs="Times New Roman"/>
                <w:sz w:val="21"/>
                <w:szCs w:val="21"/>
              </w:rPr>
              <w:t>402.1</w:t>
            </w:r>
          </w:p>
        </w:tc>
        <w:tc>
          <w:tcPr>
            <w:tcW w:w="1651" w:type="pct"/>
            <w:vAlign w:val="center"/>
          </w:tcPr>
          <w:p w14:paraId="0B06B9A9">
            <w:pPr>
              <w:spacing w:after="20" w:line="240" w:lineRule="auto"/>
              <w:jc w:val="center"/>
              <w:rPr>
                <w:rFonts w:hint="default" w:ascii="Times New Roman" w:hAnsi="Times New Roman" w:cs="Times New Roman"/>
                <w:sz w:val="21"/>
                <w:szCs w:val="21"/>
              </w:rPr>
            </w:pPr>
            <w:r>
              <w:rPr>
                <w:rFonts w:hint="default" w:ascii="Times New Roman" w:hAnsi="Times New Roman" w:eastAsia="宋体" w:cs="Times New Roman"/>
                <w:sz w:val="21"/>
                <w:szCs w:val="21"/>
              </w:rPr>
              <w:t>5.380</w:t>
            </w:r>
          </w:p>
        </w:tc>
      </w:tr>
      <w:tr w14:paraId="1DC21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13" w:type="pct"/>
            <w:vAlign w:val="center"/>
          </w:tcPr>
          <w:p w14:paraId="5D2412E0">
            <w:pPr>
              <w:spacing w:after="20" w:line="240" w:lineRule="auto"/>
              <w:jc w:val="center"/>
              <w:rPr>
                <w:rFonts w:hint="default" w:ascii="Times New Roman" w:hAnsi="Times New Roman" w:cs="Times New Roman"/>
                <w:sz w:val="21"/>
                <w:szCs w:val="21"/>
              </w:rPr>
            </w:pPr>
            <w:r>
              <w:rPr>
                <w:rFonts w:hint="default" w:ascii="Times New Roman" w:hAnsi="Times New Roman" w:eastAsia="宋体" w:cs="Times New Roman"/>
                <w:sz w:val="21"/>
                <w:szCs w:val="21"/>
              </w:rPr>
              <w:t>5</w:t>
            </w:r>
          </w:p>
        </w:tc>
        <w:tc>
          <w:tcPr>
            <w:tcW w:w="1534" w:type="pct"/>
            <w:vAlign w:val="center"/>
          </w:tcPr>
          <w:p w14:paraId="0188195D">
            <w:pPr>
              <w:spacing w:after="20" w:line="240" w:lineRule="auto"/>
              <w:jc w:val="center"/>
              <w:rPr>
                <w:rFonts w:hint="default" w:ascii="Times New Roman" w:hAnsi="Times New Roman" w:cs="Times New Roman"/>
                <w:sz w:val="21"/>
                <w:szCs w:val="21"/>
              </w:rPr>
            </w:pPr>
            <w:r>
              <w:rPr>
                <w:rFonts w:hint="default" w:ascii="Times New Roman" w:hAnsi="Times New Roman" w:eastAsia="宋体" w:cs="Times New Roman"/>
                <w:sz w:val="21"/>
                <w:szCs w:val="21"/>
              </w:rPr>
              <w:t>846.8</w:t>
            </w:r>
          </w:p>
        </w:tc>
        <w:tc>
          <w:tcPr>
            <w:tcW w:w="1651" w:type="pct"/>
            <w:vAlign w:val="center"/>
          </w:tcPr>
          <w:p w14:paraId="51CFF547">
            <w:pPr>
              <w:spacing w:after="20" w:line="240" w:lineRule="auto"/>
              <w:jc w:val="center"/>
              <w:rPr>
                <w:rFonts w:hint="default" w:ascii="Times New Roman" w:hAnsi="Times New Roman" w:cs="Times New Roman"/>
                <w:sz w:val="21"/>
                <w:szCs w:val="21"/>
              </w:rPr>
            </w:pPr>
            <w:r>
              <w:rPr>
                <w:rFonts w:hint="default" w:ascii="Times New Roman" w:hAnsi="Times New Roman" w:eastAsia="宋体" w:cs="Times New Roman"/>
                <w:sz w:val="21"/>
                <w:szCs w:val="21"/>
              </w:rPr>
              <w:t>4.441</w:t>
            </w:r>
          </w:p>
        </w:tc>
      </w:tr>
      <w:tr w14:paraId="67658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13" w:type="pct"/>
            <w:vAlign w:val="center"/>
          </w:tcPr>
          <w:p w14:paraId="3104E31A">
            <w:pPr>
              <w:spacing w:after="20" w:line="240" w:lineRule="auto"/>
              <w:jc w:val="center"/>
              <w:rPr>
                <w:rFonts w:hint="default" w:ascii="Times New Roman" w:hAnsi="Times New Roman" w:cs="Times New Roman"/>
                <w:sz w:val="21"/>
                <w:szCs w:val="21"/>
              </w:rPr>
            </w:pPr>
            <w:r>
              <w:rPr>
                <w:rFonts w:hint="default" w:ascii="Times New Roman" w:hAnsi="Times New Roman" w:eastAsia="宋体" w:cs="Times New Roman"/>
                <w:sz w:val="21"/>
                <w:szCs w:val="21"/>
              </w:rPr>
              <w:t>10</w:t>
            </w:r>
          </w:p>
        </w:tc>
        <w:tc>
          <w:tcPr>
            <w:tcW w:w="1534" w:type="pct"/>
            <w:vAlign w:val="center"/>
          </w:tcPr>
          <w:p w14:paraId="219BA58A">
            <w:pPr>
              <w:spacing w:after="20" w:line="240" w:lineRule="auto"/>
              <w:jc w:val="center"/>
              <w:rPr>
                <w:rFonts w:hint="default" w:ascii="Times New Roman" w:hAnsi="Times New Roman" w:cs="Times New Roman"/>
                <w:sz w:val="21"/>
                <w:szCs w:val="21"/>
              </w:rPr>
            </w:pPr>
            <w:r>
              <w:rPr>
                <w:rFonts w:hint="default" w:ascii="Times New Roman" w:hAnsi="Times New Roman" w:eastAsia="宋体" w:cs="Times New Roman"/>
                <w:sz w:val="21"/>
                <w:szCs w:val="21"/>
              </w:rPr>
              <w:t>745.9</w:t>
            </w:r>
          </w:p>
        </w:tc>
        <w:tc>
          <w:tcPr>
            <w:tcW w:w="1651" w:type="pct"/>
            <w:vAlign w:val="center"/>
          </w:tcPr>
          <w:p w14:paraId="63F85031">
            <w:pPr>
              <w:spacing w:after="20" w:line="240" w:lineRule="auto"/>
              <w:jc w:val="center"/>
              <w:rPr>
                <w:rFonts w:hint="default" w:ascii="Times New Roman" w:hAnsi="Times New Roman" w:cs="Times New Roman"/>
                <w:sz w:val="21"/>
                <w:szCs w:val="21"/>
              </w:rPr>
            </w:pPr>
            <w:r>
              <w:rPr>
                <w:rFonts w:hint="default" w:ascii="Times New Roman" w:hAnsi="Times New Roman" w:eastAsia="宋体" w:cs="Times New Roman"/>
                <w:sz w:val="21"/>
                <w:szCs w:val="21"/>
              </w:rPr>
              <w:t>2.730</w:t>
            </w:r>
          </w:p>
        </w:tc>
      </w:tr>
      <w:tr w14:paraId="26CB9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13" w:type="pct"/>
            <w:vAlign w:val="center"/>
          </w:tcPr>
          <w:p w14:paraId="1D06EA88">
            <w:pPr>
              <w:spacing w:after="20" w:line="240" w:lineRule="auto"/>
              <w:jc w:val="center"/>
              <w:rPr>
                <w:rFonts w:hint="default" w:ascii="Times New Roman" w:hAnsi="Times New Roman" w:cs="Times New Roman"/>
                <w:sz w:val="21"/>
                <w:szCs w:val="21"/>
              </w:rPr>
            </w:pPr>
            <w:r>
              <w:rPr>
                <w:rFonts w:hint="default" w:ascii="Times New Roman" w:hAnsi="Times New Roman" w:eastAsia="宋体" w:cs="Times New Roman"/>
                <w:sz w:val="21"/>
                <w:szCs w:val="21"/>
              </w:rPr>
              <w:t>15</w:t>
            </w:r>
          </w:p>
        </w:tc>
        <w:tc>
          <w:tcPr>
            <w:tcW w:w="1534" w:type="pct"/>
            <w:vAlign w:val="center"/>
          </w:tcPr>
          <w:p w14:paraId="41C6649E">
            <w:pPr>
              <w:spacing w:after="20" w:line="240" w:lineRule="auto"/>
              <w:jc w:val="center"/>
              <w:rPr>
                <w:rFonts w:hint="default" w:ascii="Times New Roman" w:hAnsi="Times New Roman" w:cs="Times New Roman"/>
                <w:sz w:val="21"/>
                <w:szCs w:val="21"/>
              </w:rPr>
            </w:pPr>
            <w:r>
              <w:rPr>
                <w:rFonts w:hint="default" w:ascii="Times New Roman" w:hAnsi="Times New Roman" w:eastAsia="宋体" w:cs="Times New Roman"/>
                <w:sz w:val="21"/>
                <w:szCs w:val="21"/>
              </w:rPr>
              <w:t>438.6</w:t>
            </w:r>
          </w:p>
        </w:tc>
        <w:tc>
          <w:tcPr>
            <w:tcW w:w="1651" w:type="pct"/>
            <w:vAlign w:val="center"/>
          </w:tcPr>
          <w:p w14:paraId="31BFF51A">
            <w:pPr>
              <w:spacing w:after="20" w:line="240" w:lineRule="auto"/>
              <w:jc w:val="center"/>
              <w:rPr>
                <w:rFonts w:hint="default" w:ascii="Times New Roman" w:hAnsi="Times New Roman" w:cs="Times New Roman"/>
                <w:sz w:val="21"/>
                <w:szCs w:val="21"/>
              </w:rPr>
            </w:pPr>
            <w:r>
              <w:rPr>
                <w:rFonts w:hint="default" w:ascii="Times New Roman" w:hAnsi="Times New Roman" w:eastAsia="宋体" w:cs="Times New Roman"/>
                <w:sz w:val="21"/>
                <w:szCs w:val="21"/>
              </w:rPr>
              <w:t>1.598</w:t>
            </w:r>
          </w:p>
        </w:tc>
      </w:tr>
      <w:tr w14:paraId="63426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13" w:type="pct"/>
            <w:vAlign w:val="center"/>
          </w:tcPr>
          <w:p w14:paraId="2FAD9E75">
            <w:pPr>
              <w:spacing w:after="20" w:line="240" w:lineRule="auto"/>
              <w:jc w:val="center"/>
              <w:rPr>
                <w:rFonts w:hint="default" w:ascii="Times New Roman" w:hAnsi="Times New Roman" w:cs="Times New Roman"/>
                <w:sz w:val="21"/>
                <w:szCs w:val="21"/>
              </w:rPr>
            </w:pPr>
            <w:r>
              <w:rPr>
                <w:rFonts w:hint="default" w:ascii="Times New Roman" w:hAnsi="Times New Roman" w:eastAsia="宋体" w:cs="Times New Roman"/>
                <w:sz w:val="21"/>
                <w:szCs w:val="21"/>
              </w:rPr>
              <w:t>20</w:t>
            </w:r>
          </w:p>
        </w:tc>
        <w:tc>
          <w:tcPr>
            <w:tcW w:w="1534" w:type="pct"/>
            <w:vAlign w:val="center"/>
          </w:tcPr>
          <w:p w14:paraId="3BDD0ACF">
            <w:pPr>
              <w:spacing w:after="20" w:line="240" w:lineRule="auto"/>
              <w:jc w:val="center"/>
              <w:rPr>
                <w:rFonts w:hint="default" w:ascii="Times New Roman" w:hAnsi="Times New Roman" w:cs="Times New Roman"/>
                <w:sz w:val="21"/>
                <w:szCs w:val="21"/>
              </w:rPr>
            </w:pPr>
            <w:r>
              <w:rPr>
                <w:rFonts w:hint="default" w:ascii="Times New Roman" w:hAnsi="Times New Roman" w:eastAsia="宋体" w:cs="Times New Roman"/>
                <w:sz w:val="21"/>
                <w:szCs w:val="21"/>
              </w:rPr>
              <w:t>247.1</w:t>
            </w:r>
          </w:p>
        </w:tc>
        <w:tc>
          <w:tcPr>
            <w:tcW w:w="1651" w:type="pct"/>
            <w:vAlign w:val="center"/>
          </w:tcPr>
          <w:p w14:paraId="3CAD50C7">
            <w:pPr>
              <w:spacing w:after="20" w:line="240" w:lineRule="auto"/>
              <w:jc w:val="center"/>
              <w:rPr>
                <w:rFonts w:hint="default" w:ascii="Times New Roman" w:hAnsi="Times New Roman" w:cs="Times New Roman"/>
                <w:sz w:val="21"/>
                <w:szCs w:val="21"/>
              </w:rPr>
            </w:pPr>
            <w:r>
              <w:rPr>
                <w:rFonts w:hint="default" w:ascii="Times New Roman" w:hAnsi="Times New Roman" w:eastAsia="宋体" w:cs="Times New Roman"/>
                <w:sz w:val="21"/>
                <w:szCs w:val="21"/>
              </w:rPr>
              <w:t>0.999</w:t>
            </w:r>
          </w:p>
        </w:tc>
      </w:tr>
      <w:tr w14:paraId="48A28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13" w:type="pct"/>
            <w:vAlign w:val="center"/>
          </w:tcPr>
          <w:p w14:paraId="5A3892A5">
            <w:pPr>
              <w:spacing w:after="20" w:line="240" w:lineRule="auto"/>
              <w:jc w:val="center"/>
              <w:rPr>
                <w:rFonts w:hint="default" w:ascii="Times New Roman" w:hAnsi="Times New Roman" w:cs="Times New Roman"/>
                <w:sz w:val="21"/>
                <w:szCs w:val="21"/>
              </w:rPr>
            </w:pPr>
            <w:r>
              <w:rPr>
                <w:rFonts w:hint="default" w:ascii="Times New Roman" w:hAnsi="Times New Roman" w:eastAsia="宋体" w:cs="Times New Roman"/>
                <w:sz w:val="21"/>
                <w:szCs w:val="21"/>
              </w:rPr>
              <w:t>25</w:t>
            </w:r>
          </w:p>
        </w:tc>
        <w:tc>
          <w:tcPr>
            <w:tcW w:w="1534" w:type="pct"/>
            <w:vAlign w:val="center"/>
          </w:tcPr>
          <w:p w14:paraId="4B4C5E75">
            <w:pPr>
              <w:spacing w:after="20" w:line="240" w:lineRule="auto"/>
              <w:jc w:val="center"/>
              <w:rPr>
                <w:rFonts w:hint="default" w:ascii="Times New Roman" w:hAnsi="Times New Roman" w:cs="Times New Roman"/>
                <w:sz w:val="21"/>
                <w:szCs w:val="21"/>
              </w:rPr>
            </w:pPr>
            <w:r>
              <w:rPr>
                <w:rFonts w:hint="default" w:ascii="Times New Roman" w:hAnsi="Times New Roman" w:eastAsia="宋体" w:cs="Times New Roman"/>
                <w:sz w:val="21"/>
                <w:szCs w:val="21"/>
              </w:rPr>
              <w:t>146.2</w:t>
            </w:r>
          </w:p>
        </w:tc>
        <w:tc>
          <w:tcPr>
            <w:tcW w:w="1651" w:type="pct"/>
            <w:vAlign w:val="center"/>
          </w:tcPr>
          <w:p w14:paraId="0B0CD135">
            <w:pPr>
              <w:spacing w:after="20" w:line="240" w:lineRule="auto"/>
              <w:jc w:val="center"/>
              <w:rPr>
                <w:rFonts w:hint="default" w:ascii="Times New Roman" w:hAnsi="Times New Roman" w:cs="Times New Roman"/>
                <w:sz w:val="21"/>
                <w:szCs w:val="21"/>
              </w:rPr>
            </w:pPr>
            <w:r>
              <w:rPr>
                <w:rFonts w:hint="default" w:ascii="Times New Roman" w:hAnsi="Times New Roman" w:eastAsia="宋体" w:cs="Times New Roman"/>
                <w:sz w:val="21"/>
                <w:szCs w:val="21"/>
              </w:rPr>
              <w:t>0.672</w:t>
            </w:r>
          </w:p>
        </w:tc>
      </w:tr>
      <w:tr w14:paraId="1DB3A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13" w:type="pct"/>
            <w:vAlign w:val="center"/>
          </w:tcPr>
          <w:p w14:paraId="3F2A6208">
            <w:pPr>
              <w:spacing w:after="20" w:line="240" w:lineRule="auto"/>
              <w:jc w:val="center"/>
              <w:rPr>
                <w:rFonts w:hint="default" w:ascii="Times New Roman" w:hAnsi="Times New Roman" w:cs="Times New Roman"/>
                <w:sz w:val="21"/>
                <w:szCs w:val="21"/>
              </w:rPr>
            </w:pPr>
            <w:r>
              <w:rPr>
                <w:rFonts w:hint="default" w:ascii="Times New Roman" w:hAnsi="Times New Roman" w:eastAsia="宋体" w:cs="Times New Roman"/>
                <w:sz w:val="21"/>
                <w:szCs w:val="21"/>
              </w:rPr>
              <w:t>30</w:t>
            </w:r>
          </w:p>
        </w:tc>
        <w:tc>
          <w:tcPr>
            <w:tcW w:w="1534" w:type="pct"/>
            <w:vAlign w:val="center"/>
          </w:tcPr>
          <w:p w14:paraId="2663A3D1">
            <w:pPr>
              <w:spacing w:after="20" w:line="240" w:lineRule="auto"/>
              <w:jc w:val="center"/>
              <w:rPr>
                <w:rFonts w:hint="default" w:ascii="Times New Roman" w:hAnsi="Times New Roman" w:cs="Times New Roman"/>
                <w:sz w:val="21"/>
                <w:szCs w:val="21"/>
              </w:rPr>
            </w:pPr>
            <w:r>
              <w:rPr>
                <w:rFonts w:hint="default" w:ascii="Times New Roman" w:hAnsi="Times New Roman" w:eastAsia="宋体" w:cs="Times New Roman"/>
                <w:sz w:val="21"/>
                <w:szCs w:val="21"/>
              </w:rPr>
              <w:t>91.8</w:t>
            </w:r>
          </w:p>
        </w:tc>
        <w:tc>
          <w:tcPr>
            <w:tcW w:w="1651" w:type="pct"/>
            <w:vAlign w:val="center"/>
          </w:tcPr>
          <w:p w14:paraId="7EF8EF77">
            <w:pPr>
              <w:spacing w:after="20" w:line="240" w:lineRule="auto"/>
              <w:jc w:val="center"/>
              <w:rPr>
                <w:rFonts w:hint="default" w:ascii="Times New Roman" w:hAnsi="Times New Roman" w:cs="Times New Roman"/>
                <w:sz w:val="21"/>
                <w:szCs w:val="21"/>
              </w:rPr>
            </w:pPr>
            <w:r>
              <w:rPr>
                <w:rFonts w:hint="default" w:ascii="Times New Roman" w:hAnsi="Times New Roman" w:eastAsia="宋体" w:cs="Times New Roman"/>
                <w:sz w:val="21"/>
                <w:szCs w:val="21"/>
              </w:rPr>
              <w:t>0.479</w:t>
            </w:r>
          </w:p>
        </w:tc>
      </w:tr>
      <w:tr w14:paraId="038C9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13" w:type="pct"/>
            <w:vAlign w:val="center"/>
          </w:tcPr>
          <w:p w14:paraId="629BB540">
            <w:pPr>
              <w:spacing w:after="20" w:line="240" w:lineRule="auto"/>
              <w:jc w:val="center"/>
              <w:rPr>
                <w:rFonts w:hint="default" w:ascii="Times New Roman" w:hAnsi="Times New Roman" w:cs="Times New Roman"/>
                <w:sz w:val="21"/>
                <w:szCs w:val="21"/>
              </w:rPr>
            </w:pPr>
            <w:r>
              <w:rPr>
                <w:rFonts w:hint="default" w:ascii="Times New Roman" w:hAnsi="Times New Roman" w:eastAsia="宋体" w:cs="Times New Roman"/>
                <w:sz w:val="21"/>
                <w:szCs w:val="21"/>
              </w:rPr>
              <w:t>35</w:t>
            </w:r>
          </w:p>
        </w:tc>
        <w:tc>
          <w:tcPr>
            <w:tcW w:w="1534" w:type="pct"/>
            <w:vAlign w:val="center"/>
          </w:tcPr>
          <w:p w14:paraId="71144034">
            <w:pPr>
              <w:spacing w:after="20" w:line="240" w:lineRule="auto"/>
              <w:jc w:val="center"/>
              <w:rPr>
                <w:rFonts w:hint="default" w:ascii="Times New Roman" w:hAnsi="Times New Roman" w:cs="Times New Roman"/>
                <w:sz w:val="21"/>
                <w:szCs w:val="21"/>
              </w:rPr>
            </w:pPr>
            <w:r>
              <w:rPr>
                <w:rFonts w:hint="default" w:ascii="Times New Roman" w:hAnsi="Times New Roman" w:eastAsia="宋体" w:cs="Times New Roman"/>
                <w:sz w:val="21"/>
                <w:szCs w:val="21"/>
              </w:rPr>
              <w:t>60.9</w:t>
            </w:r>
          </w:p>
        </w:tc>
        <w:tc>
          <w:tcPr>
            <w:tcW w:w="1651" w:type="pct"/>
            <w:vAlign w:val="center"/>
          </w:tcPr>
          <w:p w14:paraId="78B7BF72">
            <w:pPr>
              <w:spacing w:after="20" w:line="240" w:lineRule="auto"/>
              <w:jc w:val="center"/>
              <w:rPr>
                <w:rFonts w:hint="default" w:ascii="Times New Roman" w:hAnsi="Times New Roman" w:cs="Times New Roman"/>
                <w:sz w:val="21"/>
                <w:szCs w:val="21"/>
              </w:rPr>
            </w:pPr>
            <w:r>
              <w:rPr>
                <w:rFonts w:hint="default" w:ascii="Times New Roman" w:hAnsi="Times New Roman" w:eastAsia="宋体" w:cs="Times New Roman"/>
                <w:sz w:val="21"/>
                <w:szCs w:val="21"/>
              </w:rPr>
              <w:t>0.358</w:t>
            </w:r>
          </w:p>
        </w:tc>
      </w:tr>
      <w:tr w14:paraId="26495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13" w:type="pct"/>
            <w:vAlign w:val="center"/>
          </w:tcPr>
          <w:p w14:paraId="03004A67">
            <w:pPr>
              <w:spacing w:after="20" w:line="240" w:lineRule="auto"/>
              <w:jc w:val="center"/>
              <w:rPr>
                <w:rFonts w:hint="default" w:ascii="Times New Roman" w:hAnsi="Times New Roman" w:cs="Times New Roman"/>
                <w:sz w:val="21"/>
                <w:szCs w:val="21"/>
              </w:rPr>
            </w:pPr>
            <w:r>
              <w:rPr>
                <w:rFonts w:hint="default" w:ascii="Times New Roman" w:hAnsi="Times New Roman" w:eastAsia="宋体" w:cs="Times New Roman"/>
                <w:sz w:val="21"/>
                <w:szCs w:val="21"/>
              </w:rPr>
              <w:t>40</w:t>
            </w:r>
          </w:p>
        </w:tc>
        <w:tc>
          <w:tcPr>
            <w:tcW w:w="1534" w:type="pct"/>
            <w:vAlign w:val="center"/>
          </w:tcPr>
          <w:p w14:paraId="6CB3A66B">
            <w:pPr>
              <w:spacing w:after="20" w:line="240" w:lineRule="auto"/>
              <w:jc w:val="center"/>
              <w:rPr>
                <w:rFonts w:hint="default" w:ascii="Times New Roman" w:hAnsi="Times New Roman" w:cs="Times New Roman"/>
                <w:sz w:val="21"/>
                <w:szCs w:val="21"/>
              </w:rPr>
            </w:pPr>
            <w:r>
              <w:rPr>
                <w:rFonts w:hint="default" w:ascii="Times New Roman" w:hAnsi="Times New Roman" w:eastAsia="宋体" w:cs="Times New Roman"/>
                <w:sz w:val="21"/>
                <w:szCs w:val="21"/>
              </w:rPr>
              <w:t>42.3</w:t>
            </w:r>
          </w:p>
        </w:tc>
        <w:tc>
          <w:tcPr>
            <w:tcW w:w="1651" w:type="pct"/>
            <w:vAlign w:val="center"/>
          </w:tcPr>
          <w:p w14:paraId="08B7FE06">
            <w:pPr>
              <w:spacing w:after="20" w:line="240" w:lineRule="auto"/>
              <w:jc w:val="center"/>
              <w:rPr>
                <w:rFonts w:hint="default" w:ascii="Times New Roman" w:hAnsi="Times New Roman" w:cs="Times New Roman"/>
                <w:sz w:val="21"/>
                <w:szCs w:val="21"/>
              </w:rPr>
            </w:pPr>
            <w:r>
              <w:rPr>
                <w:rFonts w:hint="default" w:ascii="Times New Roman" w:hAnsi="Times New Roman" w:eastAsia="宋体" w:cs="Times New Roman"/>
                <w:sz w:val="21"/>
                <w:szCs w:val="21"/>
              </w:rPr>
              <w:t>0.277</w:t>
            </w:r>
          </w:p>
        </w:tc>
      </w:tr>
      <w:tr w14:paraId="68032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13" w:type="pct"/>
            <w:vAlign w:val="center"/>
          </w:tcPr>
          <w:p w14:paraId="24C3BED0">
            <w:pPr>
              <w:spacing w:after="20" w:line="240" w:lineRule="auto"/>
              <w:jc w:val="center"/>
              <w:rPr>
                <w:rFonts w:hint="default" w:ascii="Times New Roman" w:hAnsi="Times New Roman" w:cs="Times New Roman"/>
                <w:sz w:val="21"/>
                <w:szCs w:val="21"/>
              </w:rPr>
            </w:pPr>
            <w:r>
              <w:rPr>
                <w:rFonts w:hint="default" w:ascii="Times New Roman" w:hAnsi="Times New Roman" w:eastAsia="宋体" w:cs="Times New Roman"/>
                <w:sz w:val="21"/>
                <w:szCs w:val="21"/>
              </w:rPr>
              <w:t>45</w:t>
            </w:r>
          </w:p>
        </w:tc>
        <w:tc>
          <w:tcPr>
            <w:tcW w:w="1534" w:type="pct"/>
            <w:vAlign w:val="center"/>
          </w:tcPr>
          <w:p w14:paraId="451B1010">
            <w:pPr>
              <w:spacing w:after="20" w:line="240" w:lineRule="auto"/>
              <w:jc w:val="center"/>
              <w:rPr>
                <w:rFonts w:hint="default" w:ascii="Times New Roman" w:hAnsi="Times New Roman" w:cs="Times New Roman"/>
                <w:sz w:val="21"/>
                <w:szCs w:val="21"/>
              </w:rPr>
            </w:pPr>
            <w:r>
              <w:rPr>
                <w:rFonts w:hint="default" w:ascii="Times New Roman" w:hAnsi="Times New Roman" w:eastAsia="宋体" w:cs="Times New Roman"/>
                <w:sz w:val="21"/>
                <w:szCs w:val="21"/>
              </w:rPr>
              <w:t>30.5</w:t>
            </w:r>
          </w:p>
        </w:tc>
        <w:tc>
          <w:tcPr>
            <w:tcW w:w="1651" w:type="pct"/>
            <w:vAlign w:val="center"/>
          </w:tcPr>
          <w:p w14:paraId="74D94C22">
            <w:pPr>
              <w:spacing w:after="20" w:line="240" w:lineRule="auto"/>
              <w:jc w:val="center"/>
              <w:rPr>
                <w:rFonts w:hint="default" w:ascii="Times New Roman" w:hAnsi="Times New Roman" w:cs="Times New Roman"/>
                <w:sz w:val="21"/>
                <w:szCs w:val="21"/>
              </w:rPr>
            </w:pPr>
            <w:r>
              <w:rPr>
                <w:rFonts w:hint="default" w:ascii="Times New Roman" w:hAnsi="Times New Roman" w:eastAsia="宋体" w:cs="Times New Roman"/>
                <w:sz w:val="21"/>
                <w:szCs w:val="21"/>
              </w:rPr>
              <w:t>0.220</w:t>
            </w:r>
          </w:p>
        </w:tc>
      </w:tr>
      <w:tr w14:paraId="7DD5C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13" w:type="pct"/>
            <w:vAlign w:val="center"/>
          </w:tcPr>
          <w:p w14:paraId="502B3D3E">
            <w:pPr>
              <w:spacing w:after="20" w:line="240" w:lineRule="auto"/>
              <w:jc w:val="center"/>
              <w:rPr>
                <w:rFonts w:hint="default" w:ascii="Times New Roman" w:hAnsi="Times New Roman" w:cs="Times New Roman"/>
                <w:sz w:val="21"/>
                <w:szCs w:val="21"/>
              </w:rPr>
            </w:pPr>
            <w:r>
              <w:rPr>
                <w:rFonts w:hint="default" w:ascii="Times New Roman" w:hAnsi="Times New Roman" w:eastAsia="宋体" w:cs="Times New Roman"/>
                <w:sz w:val="21"/>
                <w:szCs w:val="21"/>
              </w:rPr>
              <w:t>50</w:t>
            </w:r>
          </w:p>
        </w:tc>
        <w:tc>
          <w:tcPr>
            <w:tcW w:w="1534" w:type="pct"/>
            <w:vAlign w:val="center"/>
          </w:tcPr>
          <w:p w14:paraId="573D28BB">
            <w:pPr>
              <w:spacing w:after="20" w:line="240" w:lineRule="auto"/>
              <w:jc w:val="center"/>
              <w:rPr>
                <w:rFonts w:hint="default" w:ascii="Times New Roman" w:hAnsi="Times New Roman" w:cs="Times New Roman"/>
                <w:sz w:val="21"/>
                <w:szCs w:val="21"/>
              </w:rPr>
            </w:pPr>
            <w:r>
              <w:rPr>
                <w:rFonts w:hint="default" w:ascii="Times New Roman" w:hAnsi="Times New Roman" w:eastAsia="宋体" w:cs="Times New Roman"/>
                <w:sz w:val="21"/>
                <w:szCs w:val="21"/>
              </w:rPr>
              <w:t>22.7</w:t>
            </w:r>
          </w:p>
        </w:tc>
        <w:tc>
          <w:tcPr>
            <w:tcW w:w="1651" w:type="pct"/>
            <w:vAlign w:val="center"/>
          </w:tcPr>
          <w:p w14:paraId="0BD76D7C">
            <w:pPr>
              <w:spacing w:after="20" w:line="240" w:lineRule="auto"/>
              <w:jc w:val="center"/>
              <w:rPr>
                <w:rFonts w:hint="default" w:ascii="Times New Roman" w:hAnsi="Times New Roman" w:cs="Times New Roman"/>
                <w:sz w:val="21"/>
                <w:szCs w:val="21"/>
              </w:rPr>
            </w:pPr>
            <w:r>
              <w:rPr>
                <w:rFonts w:hint="default" w:ascii="Times New Roman" w:hAnsi="Times New Roman" w:eastAsia="宋体" w:cs="Times New Roman"/>
                <w:sz w:val="21"/>
                <w:szCs w:val="21"/>
              </w:rPr>
              <w:t>0.179</w:t>
            </w:r>
          </w:p>
        </w:tc>
      </w:tr>
    </w:tbl>
    <w:p w14:paraId="1E4B199B"/>
    <w:p w14:paraId="67292702">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由表3.3-3及图3-1可知，本工程110kV出线侧衰减断面上工频电场强度最大值为846.8V/m（出现在距线路中心5m处），工频磁感应强度最大值为5.380μT（出现在距线路中心0m处），分别占《电磁环境控制限值》（GB8702-2014）公众曝露控制限值（工频电场4000V/m、工频磁感应强度100μT）的21.2%和5.38%；距线路中心30m处工频电场强度已降至91.8V/m、工频磁感应强度降至0.479μT，均远低于标准限值。</w:t>
      </w:r>
    </w:p>
    <w:p w14:paraId="5979E672">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类比变电站电压等级、主变布置形式、配电装置屏蔽方式、环境条件与本项目一致，其单台主变容量及110kV侧额定电流均大于本项目，类比结果偏保守。类比分析可知，本项目110kV变电站投运后，站界及评价范围内的工频电场强度、工频磁感应强度均能满足《电磁环境控制限值》（GB8702-2014）规定公众曝露控制限值：工频电场强度≤4000V/m，工频磁感应强度≤100μT，对周边电磁环境影响较小。</w:t>
      </w:r>
    </w:p>
    <w:p w14:paraId="678DA6AF">
      <w:pPr>
        <w:autoSpaceDE w:val="0"/>
        <w:autoSpaceDN w:val="0"/>
        <w:adjustRightInd w:val="0"/>
        <w:spacing w:before="120" w:after="120" w:line="480" w:lineRule="exact"/>
        <w:outlineLvl w:val="0"/>
        <w:rPr>
          <w:rFonts w:hint="default" w:ascii="Times New Roman" w:hAnsi="Times New Roman" w:eastAsia="黑体" w:cs="Times New Roman"/>
          <w:sz w:val="32"/>
          <w:szCs w:val="21"/>
          <w14:ligatures w14:val="standardContextual"/>
        </w:rPr>
      </w:pPr>
      <w:r>
        <w:rPr>
          <w:rFonts w:hint="default" w:ascii="Times New Roman" w:hAnsi="Times New Roman" w:eastAsia="黑体" w:cs="Times New Roman"/>
          <w:sz w:val="32"/>
          <w:szCs w:val="21"/>
          <w14:ligatures w14:val="standardContextual"/>
        </w:rPr>
        <w:t>4.电磁环境保护措施</w:t>
      </w:r>
      <w:bookmarkEnd w:id="130"/>
      <w:bookmarkEnd w:id="131"/>
      <w:bookmarkEnd w:id="132"/>
    </w:p>
    <w:p w14:paraId="349865D3">
      <w:pPr>
        <w:spacing w:line="480" w:lineRule="exact"/>
        <w:ind w:firstLine="480" w:firstLineChars="200"/>
        <w:rPr>
          <w:rFonts w:hint="default" w:ascii="Times New Roman" w:hAnsi="Times New Roman" w:cs="Times New Roman"/>
          <w:sz w:val="24"/>
        </w:rPr>
      </w:pPr>
      <w:r>
        <w:rPr>
          <w:rFonts w:hint="default" w:ascii="Times New Roman" w:hAnsi="Times New Roman" w:cs="Times New Roman"/>
          <w:sz w:val="24"/>
        </w:rPr>
        <w:t>为控制变电站运行产生的工频电场、工频磁场对周边环境的影响，工程设计、施工、验收及运行阶段落实以下电磁环境保护措施：</w:t>
      </w:r>
    </w:p>
    <w:p w14:paraId="0C6E17C9">
      <w:pPr>
        <w:spacing w:line="480" w:lineRule="exact"/>
        <w:ind w:firstLine="480" w:firstLineChars="200"/>
        <w:rPr>
          <w:rFonts w:hint="eastAsia" w:ascii="Times New Roman" w:hAnsi="Times New Roman" w:eastAsia="宋体" w:cs="Times New Roman"/>
          <w:sz w:val="24"/>
          <w:lang w:eastAsia="zh-CN"/>
        </w:rPr>
      </w:pPr>
      <w:r>
        <w:rPr>
          <w:rFonts w:hint="eastAsia" w:cs="Times New Roman"/>
          <w:sz w:val="24"/>
          <w:lang w:val="en-US" w:eastAsia="zh-CN"/>
        </w:rPr>
        <w:t>1、</w:t>
      </w:r>
      <w:r>
        <w:rPr>
          <w:rFonts w:hint="default" w:ascii="Times New Roman" w:hAnsi="Times New Roman" w:cs="Times New Roman"/>
          <w:sz w:val="24"/>
        </w:rPr>
        <w:t>总平面及设备布置优化</w:t>
      </w:r>
    </w:p>
    <w:p w14:paraId="50F6674A">
      <w:pPr>
        <w:spacing w:line="480" w:lineRule="exact"/>
        <w:ind w:firstLine="480" w:firstLineChars="200"/>
        <w:rPr>
          <w:rFonts w:hint="default" w:ascii="Times New Roman" w:hAnsi="Times New Roman" w:cs="Times New Roman"/>
          <w:sz w:val="24"/>
        </w:rPr>
      </w:pPr>
      <w:r>
        <w:rPr>
          <w:rFonts w:hint="default" w:ascii="Times New Roman" w:hAnsi="Times New Roman" w:cs="Times New Roman"/>
          <w:sz w:val="24"/>
        </w:rPr>
        <w:t>变电站站区按功能分区合理布置；110kV GIS 配电装置、10kV开关柜等高压设备采用户内布置，利用建筑物墙体对电磁场进行屏蔽；主变压器户外布置于站区南侧，保证主变压器与</w:t>
      </w:r>
      <w:r>
        <w:rPr>
          <w:rFonts w:hint="eastAsia" w:cs="Times New Roman"/>
          <w:sz w:val="24"/>
          <w:lang w:eastAsia="zh-CN"/>
        </w:rPr>
        <w:t>变电站站界</w:t>
      </w:r>
      <w:r>
        <w:rPr>
          <w:rFonts w:hint="default" w:ascii="Times New Roman" w:hAnsi="Times New Roman" w:cs="Times New Roman"/>
          <w:sz w:val="24"/>
        </w:rPr>
        <w:t>留有足够距离，降低</w:t>
      </w:r>
      <w:r>
        <w:rPr>
          <w:rFonts w:hint="eastAsia" w:cs="Times New Roman"/>
          <w:sz w:val="24"/>
          <w:lang w:eastAsia="zh-CN"/>
        </w:rPr>
        <w:t>变电站站界</w:t>
      </w:r>
      <w:r>
        <w:rPr>
          <w:rFonts w:hint="default" w:ascii="Times New Roman" w:hAnsi="Times New Roman" w:cs="Times New Roman"/>
          <w:sz w:val="24"/>
        </w:rPr>
        <w:t>处工频电磁场水平。导线、金具选型表面光洁，110kV 采用合成绝缘子，减少尖端放电现象。</w:t>
      </w:r>
    </w:p>
    <w:p w14:paraId="393E4409">
      <w:pPr>
        <w:spacing w:line="480" w:lineRule="exact"/>
        <w:ind w:firstLine="480" w:firstLineChars="200"/>
        <w:rPr>
          <w:rFonts w:hint="eastAsia" w:ascii="Times New Roman" w:hAnsi="Times New Roman" w:eastAsia="宋体" w:cs="Times New Roman"/>
          <w:sz w:val="24"/>
          <w:lang w:eastAsia="zh-CN"/>
        </w:rPr>
      </w:pPr>
      <w:r>
        <w:rPr>
          <w:rFonts w:hint="eastAsia" w:cs="Times New Roman"/>
          <w:sz w:val="24"/>
          <w:lang w:val="en-US" w:eastAsia="zh-CN"/>
        </w:rPr>
        <w:t>2、</w:t>
      </w:r>
      <w:r>
        <w:rPr>
          <w:rFonts w:hint="default" w:ascii="Times New Roman" w:hAnsi="Times New Roman" w:cs="Times New Roman"/>
          <w:sz w:val="24"/>
        </w:rPr>
        <w:t>接地网施工工艺要求</w:t>
      </w:r>
    </w:p>
    <w:p w14:paraId="1604DD9F">
      <w:pPr>
        <w:spacing w:line="480" w:lineRule="exact"/>
        <w:ind w:firstLine="480" w:firstLineChars="200"/>
        <w:rPr>
          <w:rFonts w:hint="default" w:ascii="Times New Roman" w:hAnsi="Times New Roman" w:cs="Times New Roman"/>
          <w:sz w:val="24"/>
        </w:rPr>
      </w:pPr>
      <w:r>
        <w:rPr>
          <w:rFonts w:hint="default" w:ascii="Times New Roman" w:hAnsi="Times New Roman" w:cs="Times New Roman"/>
          <w:sz w:val="24"/>
        </w:rPr>
        <w:t>站内设置铜质主接地网，工频接地电阻设计计算值0.532Ω；接地网施工严格按照设计图纸实施，所有高压电气设备金属外壳、构架、电缆金属护层均做到可靠接地；接地装置焊接、敷设、防腐处理严格遵守电气施工规范，施工完成后开展接地电阻实测，实测接地电阻必须满足设计要求，若实测值不满足设计要求应及时采取降阻处理，接地电阻检测资料作为竣工资料归档留存。</w:t>
      </w:r>
    </w:p>
    <w:p w14:paraId="6EEBEE3B">
      <w:pPr>
        <w:spacing w:line="480" w:lineRule="exact"/>
        <w:ind w:firstLine="480" w:firstLineChars="200"/>
        <w:rPr>
          <w:rFonts w:hint="eastAsia" w:ascii="Times New Roman" w:hAnsi="Times New Roman" w:eastAsia="宋体" w:cs="Times New Roman"/>
          <w:sz w:val="24"/>
          <w:lang w:eastAsia="zh-CN"/>
        </w:rPr>
      </w:pPr>
      <w:r>
        <w:rPr>
          <w:rFonts w:hint="eastAsia" w:cs="Times New Roman"/>
          <w:sz w:val="24"/>
          <w:lang w:val="en-US" w:eastAsia="zh-CN"/>
        </w:rPr>
        <w:t>3、</w:t>
      </w:r>
      <w:r>
        <w:rPr>
          <w:rFonts w:hint="default" w:ascii="Times New Roman" w:hAnsi="Times New Roman" w:cs="Times New Roman"/>
          <w:sz w:val="24"/>
        </w:rPr>
        <w:t>施工现场及运维人员防护管理</w:t>
      </w:r>
    </w:p>
    <w:p w14:paraId="7DF6B101">
      <w:pPr>
        <w:spacing w:line="480" w:lineRule="exact"/>
        <w:ind w:firstLine="480" w:firstLineChars="200"/>
        <w:rPr>
          <w:rFonts w:hint="default" w:ascii="Times New Roman" w:hAnsi="Times New Roman" w:cs="Times New Roman"/>
          <w:sz w:val="24"/>
        </w:rPr>
      </w:pPr>
      <w:r>
        <w:rPr>
          <w:rFonts w:hint="default" w:ascii="Times New Roman" w:hAnsi="Times New Roman" w:cs="Times New Roman"/>
          <w:sz w:val="24"/>
        </w:rPr>
        <w:t>对站内运维、检修作业人员开展电磁环境基础知识培训；开展带电设备巡检、维修作业时，优化作业流程，尽量缩短人员在强电磁场区域的暴露时间，保障作业人员职业安全。</w:t>
      </w:r>
    </w:p>
    <w:p w14:paraId="2F33F1A8">
      <w:pPr>
        <w:spacing w:line="480" w:lineRule="exact"/>
        <w:ind w:firstLine="480" w:firstLineChars="200"/>
        <w:rPr>
          <w:rFonts w:hint="eastAsia" w:ascii="Times New Roman" w:hAnsi="Times New Roman" w:eastAsia="宋体" w:cs="Times New Roman"/>
          <w:sz w:val="24"/>
          <w:lang w:eastAsia="zh-CN"/>
        </w:rPr>
      </w:pPr>
      <w:r>
        <w:rPr>
          <w:rFonts w:hint="eastAsia" w:cs="Times New Roman"/>
          <w:sz w:val="24"/>
          <w:lang w:val="en-US" w:eastAsia="zh-CN"/>
        </w:rPr>
        <w:t>4、</w:t>
      </w:r>
      <w:r>
        <w:rPr>
          <w:rFonts w:hint="default" w:ascii="Times New Roman" w:hAnsi="Times New Roman" w:cs="Times New Roman"/>
          <w:sz w:val="24"/>
        </w:rPr>
        <w:t>安全警示标识设置</w:t>
      </w:r>
    </w:p>
    <w:p w14:paraId="3D4EF550">
      <w:pPr>
        <w:spacing w:line="480" w:lineRule="exact"/>
        <w:ind w:firstLine="480" w:firstLineChars="200"/>
        <w:rPr>
          <w:rFonts w:hint="default" w:ascii="Times New Roman" w:hAnsi="Times New Roman" w:cs="Times New Roman"/>
          <w:sz w:val="24"/>
        </w:rPr>
      </w:pPr>
      <w:r>
        <w:rPr>
          <w:rFonts w:hint="default" w:ascii="Times New Roman" w:hAnsi="Times New Roman" w:cs="Times New Roman"/>
          <w:sz w:val="24"/>
        </w:rPr>
        <w:t>变电站围墙、高压设备区域设置规范安全警示标志，禁止无关人员擅自进入变电站站内、靠近带电架构。</w:t>
      </w:r>
    </w:p>
    <w:p w14:paraId="6AE9554C">
      <w:pPr>
        <w:spacing w:line="480" w:lineRule="exact"/>
        <w:ind w:firstLine="480" w:firstLineChars="200"/>
        <w:rPr>
          <w:rFonts w:hint="eastAsia" w:ascii="Times New Roman" w:hAnsi="Times New Roman" w:eastAsia="宋体" w:cs="Times New Roman"/>
          <w:sz w:val="24"/>
          <w:lang w:eastAsia="zh-CN"/>
        </w:rPr>
      </w:pPr>
      <w:r>
        <w:rPr>
          <w:rFonts w:hint="eastAsia" w:cs="Times New Roman"/>
          <w:sz w:val="24"/>
          <w:lang w:val="en-US" w:eastAsia="zh-CN"/>
        </w:rPr>
        <w:t>5、</w:t>
      </w:r>
      <w:r>
        <w:rPr>
          <w:rFonts w:hint="default" w:ascii="Times New Roman" w:hAnsi="Times New Roman" w:cs="Times New Roman"/>
          <w:sz w:val="24"/>
        </w:rPr>
        <w:t>竣工验收监测要求</w:t>
      </w:r>
    </w:p>
    <w:p w14:paraId="2DC4384A">
      <w:pPr>
        <w:spacing w:line="480" w:lineRule="exact"/>
        <w:ind w:firstLine="480" w:firstLineChars="200"/>
        <w:rPr>
          <w:rFonts w:hint="default" w:ascii="Times New Roman" w:hAnsi="Times New Roman" w:cs="Times New Roman"/>
          <w:sz w:val="24"/>
        </w:rPr>
      </w:pPr>
      <w:r>
        <w:rPr>
          <w:rFonts w:hint="default" w:ascii="Times New Roman" w:hAnsi="Times New Roman" w:cs="Times New Roman"/>
          <w:sz w:val="24"/>
        </w:rPr>
        <w:t>项目竣工环境保护验收阶段，严格按照《交流输变电工程电磁环境监测方法（试行）》（HJ681‑2013）开展电磁环境现场监测；沿变电站站界四周布设监测点位，监测工频电场强度、工频磁感应强度，监测结果须满足《电磁环境控制限值》（GB8702‑2014）公众曝露控制限值（工频电场 4000V/m，工频磁感应强度 100μT），监测报告作为竣工环保验收支撑材料。</w:t>
      </w:r>
    </w:p>
    <w:p w14:paraId="2F931999">
      <w:pPr>
        <w:spacing w:line="480" w:lineRule="exact"/>
        <w:ind w:firstLine="480" w:firstLineChars="200"/>
        <w:rPr>
          <w:rFonts w:hint="eastAsia" w:ascii="Times New Roman" w:hAnsi="Times New Roman" w:eastAsia="宋体" w:cs="Times New Roman"/>
          <w:sz w:val="24"/>
          <w:lang w:eastAsia="zh-CN"/>
        </w:rPr>
      </w:pPr>
      <w:r>
        <w:rPr>
          <w:rFonts w:hint="eastAsia" w:cs="Times New Roman"/>
          <w:sz w:val="24"/>
          <w:lang w:val="en-US" w:eastAsia="zh-CN"/>
        </w:rPr>
        <w:t>6、</w:t>
      </w:r>
      <w:r>
        <w:rPr>
          <w:rFonts w:hint="default" w:ascii="Times New Roman" w:hAnsi="Times New Roman" w:cs="Times New Roman"/>
          <w:sz w:val="24"/>
        </w:rPr>
        <w:t>运行期管理要求</w:t>
      </w:r>
    </w:p>
    <w:p w14:paraId="5CCB266A">
      <w:pPr>
        <w:spacing w:line="480" w:lineRule="exact"/>
        <w:ind w:firstLine="480" w:firstLineChars="200"/>
        <w:rPr>
          <w:rFonts w:hint="default" w:ascii="Times New Roman" w:hAnsi="Times New Roman" w:cs="Times New Roman"/>
          <w:sz w:val="24"/>
        </w:rPr>
      </w:pPr>
      <w:r>
        <w:rPr>
          <w:rFonts w:hint="default" w:ascii="Times New Roman" w:hAnsi="Times New Roman" w:cs="Times New Roman"/>
          <w:sz w:val="24"/>
        </w:rPr>
        <w:t>变电站运行期间定期对接地系统、高压设备进行巡检维护，确保设备外壳、构架接地完好；如设备进行重大改造，改造完成后必要时补充开展电磁环境复测。</w:t>
      </w:r>
    </w:p>
    <w:p w14:paraId="3EB39327">
      <w:pPr>
        <w:autoSpaceDE w:val="0"/>
        <w:autoSpaceDN w:val="0"/>
        <w:adjustRightInd w:val="0"/>
        <w:spacing w:before="120" w:after="120" w:line="480" w:lineRule="exact"/>
        <w:outlineLvl w:val="0"/>
        <w:rPr>
          <w:rFonts w:hint="default" w:ascii="Times New Roman" w:hAnsi="Times New Roman" w:eastAsia="黑体" w:cs="Times New Roman"/>
          <w:sz w:val="32"/>
          <w:szCs w:val="21"/>
          <w14:ligatures w14:val="standardContextual"/>
        </w:rPr>
      </w:pPr>
      <w:bookmarkStart w:id="133" w:name="_Toc15142"/>
      <w:bookmarkStart w:id="134" w:name="_Toc22451"/>
      <w:bookmarkStart w:id="135" w:name="_Toc10230"/>
      <w:r>
        <w:rPr>
          <w:rFonts w:hint="default" w:ascii="Times New Roman" w:hAnsi="Times New Roman" w:eastAsia="黑体" w:cs="Times New Roman"/>
          <w:sz w:val="32"/>
          <w:szCs w:val="21"/>
          <w14:ligatures w14:val="standardContextual"/>
        </w:rPr>
        <w:t>5.电磁环境影响评价结论</w:t>
      </w:r>
      <w:bookmarkEnd w:id="133"/>
      <w:bookmarkEnd w:id="134"/>
      <w:bookmarkEnd w:id="135"/>
    </w:p>
    <w:p w14:paraId="0A210395">
      <w:pPr>
        <w:spacing w:line="480" w:lineRule="exact"/>
        <w:ind w:firstLine="480" w:firstLineChars="200"/>
        <w:rPr>
          <w:rFonts w:hint="default" w:ascii="Times New Roman" w:hAnsi="Times New Roman" w:cs="Times New Roman"/>
          <w:sz w:val="24"/>
        </w:rPr>
      </w:pPr>
      <w:r>
        <w:rPr>
          <w:rFonts w:hint="default" w:ascii="Times New Roman" w:hAnsi="Times New Roman" w:cs="Times New Roman"/>
          <w:sz w:val="24"/>
        </w:rPr>
        <w:t>根据类比监测方式预测结果进行分析，本项目变电站建成投运后，对变电站周围环境产生的影响在可接受范围，变电站电磁环境影响能满足《电磁环境控制限值》（GB8702-2014）中频率为50Hz时的电场强度≤4000V/m、磁感应强度≤100μT的公众曝露控制限值要求。</w:t>
      </w:r>
    </w:p>
    <w:p w14:paraId="223B6D45">
      <w:pPr>
        <w:spacing w:line="480" w:lineRule="exact"/>
        <w:ind w:firstLine="522"/>
        <w:rPr>
          <w:rFonts w:hint="default" w:ascii="Times New Roman" w:hAnsi="Times New Roman" w:eastAsia="宋体" w:cs="Times New Roman"/>
          <w:color w:val="auto"/>
        </w:rPr>
        <w:sectPr>
          <w:pgSz w:w="11906" w:h="16838"/>
          <w:pgMar w:top="1440" w:right="1797" w:bottom="1440" w:left="1797" w:header="851" w:footer="992" w:gutter="0"/>
          <w:pgBorders>
            <w:top w:val="none" w:sz="0" w:space="0"/>
            <w:left w:val="none" w:sz="0" w:space="0"/>
            <w:bottom w:val="none" w:sz="0" w:space="0"/>
            <w:right w:val="none" w:sz="0" w:space="0"/>
          </w:pgBorders>
          <w:pgNumType w:fmt="decimal"/>
          <w:cols w:space="720" w:num="1"/>
          <w:docGrid w:linePitch="312" w:charSpace="0"/>
        </w:sectPr>
      </w:pPr>
      <w:r>
        <w:rPr>
          <w:rFonts w:hint="default" w:ascii="Times New Roman" w:hAnsi="Times New Roman" w:cs="Times New Roman"/>
          <w:sz w:val="24"/>
        </w:rPr>
        <w:t>综上所述，本项目建成运行后产生的电磁场对环境保护目标及评价范围内的电磁环境影响值能满足《电磁环境控制限值》（GB8702-2014）控制限值要求，项目对周边的电磁环境影响较小。</w:t>
      </w:r>
    </w:p>
    <w:p w14:paraId="333ED386">
      <w:pPr>
        <w:rPr>
          <w:rFonts w:hint="default" w:ascii="Times New Roman" w:hAnsi="Times New Roman" w:cs="Times New Roman"/>
        </w:rPr>
      </w:pPr>
    </w:p>
    <w:sectPr>
      <w:pgSz w:w="11906" w:h="16838"/>
      <w:pgMar w:top="1440" w:right="1797" w:bottom="1440" w:left="1797" w:header="851" w:footer="992" w:gutter="0"/>
      <w:pgBorders>
        <w:top w:val="none" w:sz="0" w:space="0"/>
        <w:left w:val="none" w:sz="0" w:space="0"/>
        <w:bottom w:val="none" w:sz="0" w:space="0"/>
        <w:right w:val="none" w:sz="0" w:space="0"/>
      </w:pgBorders>
      <w:pgNumType w:fmt="decimal"/>
      <w:cols w:space="720" w:num="1"/>
      <w:docGrid w:linePitch="312" w:charSpace="0"/>
    </w:sectPr>
  </w:body>
</w:document>
</file>

<file path=word/customizations.xml><?xml version="1.0" encoding="utf-8"?>
<wne:tcg xmlns:r="http://schemas.openxmlformats.org/officeDocument/2006/relationships" xmlns:wne="http://schemas.microsoft.com/office/word/2006/wordml">
  <wne:keymaps>
    <wne:keymap wne:kcmPrimary="0431">
      <wne:fci wne:fciName="FontColorPicker" wne:swArg="0000"/>
    </wne:keymap>
  </wne:keymap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D2852B2-4A2A-499C-ADEB-4594C9D935EB}"/>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libri Light">
    <w:altName w:val="Calibri"/>
    <w:panose1 w:val="020F0302020204030204"/>
    <w:charset w:val="00"/>
    <w:family w:val="auto"/>
    <w:pitch w:val="default"/>
    <w:sig w:usb0="00000000" w:usb1="00000000" w:usb2="00000009" w:usb3="00000000" w:csb0="200001FF" w:csb1="00000000"/>
  </w:font>
  <w:font w:name="等线 Light">
    <w:altName w:val="宋体"/>
    <w:panose1 w:val="02010600030101010101"/>
    <w:charset w:val="86"/>
    <w:family w:val="auto"/>
    <w:pitch w:val="default"/>
    <w:sig w:usb0="00000000" w:usb1="00000000" w:usb2="00000016" w:usb3="00000000" w:csb0="0004000F" w:csb1="00000000"/>
  </w:font>
  <w:font w:name="楷体_GB2312">
    <w:altName w:val="楷体"/>
    <w:panose1 w:val="00000000000000000000"/>
    <w:charset w:val="86"/>
    <w:family w:val="modern"/>
    <w:pitch w:val="default"/>
    <w:sig w:usb0="00000000" w:usb1="00000000" w:usb2="00000010" w:usb3="00000000" w:csb0="00040000" w:csb1="00000000"/>
    <w:embedRegular r:id="rId2" w:fontKey="{9B99F29F-601F-4167-864C-353E277D1CA2}"/>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embedRegular r:id="rId3" w:fontKey="{3DB14E2F-51C4-4739-AD14-3E1A91BA4025}"/>
  </w:font>
  <w:font w:name="Cambria">
    <w:panose1 w:val="02040503050406030204"/>
    <w:charset w:val="00"/>
    <w:family w:val="roman"/>
    <w:pitch w:val="default"/>
    <w:sig w:usb0="A00002EF" w:usb1="4000004B" w:usb2="00000000" w:usb3="00000000" w:csb0="2000019F" w:csb1="00000000"/>
  </w:font>
  <w:font w:name="仿宋_GB2312">
    <w:panose1 w:val="02010609030101010101"/>
    <w:charset w:val="86"/>
    <w:family w:val="modern"/>
    <w:pitch w:val="default"/>
    <w:sig w:usb0="00000001" w:usb1="080E0000" w:usb2="00000000" w:usb3="00000000" w:csb0="00040000" w:csb1="00000000"/>
    <w:embedRegular r:id="rId4" w:fontKey="{F9A03876-7559-4D9B-A146-7628B8BA123E}"/>
  </w:font>
  <w:font w:name="微软雅黑">
    <w:panose1 w:val="020B0503020204020204"/>
    <w:charset w:val="86"/>
    <w:family w:val="swiss"/>
    <w:pitch w:val="default"/>
    <w:sig w:usb0="80000287" w:usb1="280F3C52" w:usb2="00000016" w:usb3="00000000" w:csb0="0004001F" w:csb1="00000000"/>
  </w:font>
  <w:font w:name="TimesNewRomanPSMT">
    <w:altName w:val="Times New Roman"/>
    <w:panose1 w:val="00000000000000000000"/>
    <w:charset w:val="00"/>
    <w:family w:val="roman"/>
    <w:pitch w:val="default"/>
    <w:sig w:usb0="00000000" w:usb1="00000000" w:usb2="00000000" w:usb3="00000000" w:csb0="00000001" w:csb1="00000000"/>
  </w:font>
  <w:font w:name="TimesNewRomanPS-BoldMT">
    <w:altName w:val="宋体"/>
    <w:panose1 w:val="00000000000000000000"/>
    <w:charset w:val="86"/>
    <w:family w:val="auto"/>
    <w:pitch w:val="default"/>
    <w:sig w:usb0="00000000" w:usb1="00000000" w:usb2="00000010" w:usb3="00000000" w:csb0="00040000" w:csb1="00000000"/>
  </w:font>
  <w:font w:name="等线">
    <w:altName w:val="微软雅黑"/>
    <w:panose1 w:val="02010600030101010101"/>
    <w:charset w:val="86"/>
    <w:family w:val="auto"/>
    <w:pitch w:val="default"/>
    <w:sig w:usb0="00000000" w:usb1="00000000" w:usb2="00000016" w:usb3="00000000" w:csb0="0004000F" w:csb1="00000000"/>
  </w:font>
  <w:font w:name="ˎ̥">
    <w:altName w:val="Times New Roman"/>
    <w:panose1 w:val="00000000000000000000"/>
    <w:charset w:val="00"/>
    <w:family w:val="roman"/>
    <w:pitch w:val="default"/>
    <w:sig w:usb0="00000000" w:usb1="00000000" w:usb2="00000000" w:usb3="00000000" w:csb0="00040001" w:csb1="00000000"/>
  </w:font>
  <w:font w:name="华文中宋">
    <w:panose1 w:val="02010600040101010101"/>
    <w:charset w:val="86"/>
    <w:family w:val="auto"/>
    <w:pitch w:val="default"/>
    <w:sig w:usb0="00000287" w:usb1="080F0000" w:usb2="00000000" w:usb3="00000000" w:csb0="0004009F" w:csb1="DFD70000"/>
    <w:embedRegular r:id="rId5" w:fontKey="{4FED0093-929E-4210-9141-594BC66035B8}"/>
  </w:font>
  <w:font w:name="方正小标宋_GBK">
    <w:panose1 w:val="03000509000000000000"/>
    <w:charset w:val="86"/>
    <w:family w:val="script"/>
    <w:pitch w:val="default"/>
    <w:sig w:usb0="00000001" w:usb1="080E0000" w:usb2="00000000" w:usb3="00000000" w:csb0="00040000" w:csb1="00000000"/>
    <w:embedRegular r:id="rId6" w:fontKey="{939A4F92-CB6E-43AB-B25C-426E622920B3}"/>
  </w:font>
  <w:font w:name="华文仿宋">
    <w:panose1 w:val="02010600040101010101"/>
    <w:charset w:val="86"/>
    <w:family w:val="auto"/>
    <w:pitch w:val="default"/>
    <w:sig w:usb0="00000287" w:usb1="080F0000" w:usb2="00000000" w:usb3="00000000" w:csb0="0004009F" w:csb1="DFD70000"/>
    <w:embedRegular r:id="rId7" w:fontKey="{5A712014-06CA-4FE1-BD98-5D9C4138F363}"/>
  </w:font>
  <w:font w:name="宋体&quot; '仿宋_GB2312，宋体">
    <w:altName w:val="宋体"/>
    <w:panose1 w:val="00000000000000000000"/>
    <w:charset w:val="86"/>
    <w:family w:val="roman"/>
    <w:pitch w:val="default"/>
    <w:sig w:usb0="00000000" w:usb1="00000000" w:usb2="00000000" w:usb3="00000000" w:csb0="00000000" w:csb1="00000000"/>
    <w:embedRegular r:id="rId8" w:fontKey="{3EE70682-AB03-41A5-B72F-14CE2C2BBF9E}"/>
  </w:font>
  <w:font w:name="Gulim">
    <w:panose1 w:val="020B0600000101010101"/>
    <w:charset w:val="81"/>
    <w:family w:val="auto"/>
    <w:pitch w:val="default"/>
    <w:sig w:usb0="B00002AF" w:usb1="69D77CFB" w:usb2="00000030" w:usb3="00000000" w:csb0="4008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FAC7A2">
    <w:pPr>
      <w:pStyle w:val="27"/>
      <w:ind w:right="360"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2F2037">
    <w:pPr>
      <w:pStyle w:val="27"/>
      <w:ind w:right="360" w:firstLine="36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AE7146">
                          <w:pPr>
                            <w:pStyle w:val="27"/>
                            <w:ind w:right="360" w:firstLine="360"/>
                            <w:jc w:val="center"/>
                          </w:pPr>
                          <w:r>
                            <w:fldChar w:fldCharType="begin"/>
                          </w:r>
                          <w:r>
                            <w:instrText xml:space="preserve">PAGE   \* MERGEFORMAT</w:instrText>
                          </w:r>
                          <w:r>
                            <w:fldChar w:fldCharType="separate"/>
                          </w:r>
                          <w:r>
                            <w:rPr>
                              <w:lang w:val="zh-CN"/>
                            </w:rP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69AE7146">
                    <w:pPr>
                      <w:pStyle w:val="27"/>
                      <w:ind w:right="360" w:firstLine="360"/>
                      <w:jc w:val="center"/>
                    </w:pPr>
                    <w:r>
                      <w:fldChar w:fldCharType="begin"/>
                    </w:r>
                    <w:r>
                      <w:instrText xml:space="preserve">PAGE   \* MERGEFORMAT</w:instrText>
                    </w:r>
                    <w:r>
                      <w:fldChar w:fldCharType="separate"/>
                    </w:r>
                    <w:r>
                      <w:rPr>
                        <w:lang w:val="zh-CN"/>
                      </w:rP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0B49CC">
    <w:pPr>
      <w:pStyle w:val="27"/>
      <w:ind w:right="360" w:firstLine="360"/>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36147F">
    <w:pPr>
      <w:pStyle w:val="27"/>
      <w:ind w:right="360" w:firstLine="360"/>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D6AEE8">
                          <w:pPr>
                            <w:pStyle w:val="27"/>
                            <w:ind w:right="360" w:firstLine="360"/>
                            <w:jc w:val="center"/>
                          </w:pPr>
                          <w:r>
                            <w:fldChar w:fldCharType="begin"/>
                          </w:r>
                          <w:r>
                            <w:instrText xml:space="preserve">PAGE   \* MERGEFORMAT</w:instrText>
                          </w:r>
                          <w:r>
                            <w:fldChar w:fldCharType="separate"/>
                          </w:r>
                          <w:r>
                            <w:rPr>
                              <w:lang w:val="zh-CN"/>
                            </w:rP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68D6AEE8">
                    <w:pPr>
                      <w:pStyle w:val="27"/>
                      <w:ind w:right="360" w:firstLine="360"/>
                      <w:jc w:val="center"/>
                    </w:pPr>
                    <w:r>
                      <w:fldChar w:fldCharType="begin"/>
                    </w:r>
                    <w:r>
                      <w:instrText xml:space="preserve">PAGE   \* MERGEFORMAT</w:instrText>
                    </w:r>
                    <w:r>
                      <w:fldChar w:fldCharType="separate"/>
                    </w:r>
                    <w:r>
                      <w:rPr>
                        <w:lang w:val="zh-CN"/>
                      </w:rP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1A38C42"/>
    <w:multiLevelType w:val="singleLevel"/>
    <w:tmpl w:val="C1A38C42"/>
    <w:lvl w:ilvl="0" w:tentative="0">
      <w:start w:val="1"/>
      <w:numFmt w:val="bullet"/>
      <w:pStyle w:val="24"/>
      <w:lvlText w:val=""/>
      <w:lvlJc w:val="left"/>
      <w:pPr>
        <w:tabs>
          <w:tab w:val="left" w:pos="2040"/>
        </w:tabs>
        <w:ind w:left="2040" w:hanging="360"/>
      </w:pPr>
      <w:rPr>
        <w:rFonts w:hint="default" w:ascii="Wingdings" w:hAnsi="Wingdings"/>
      </w:rPr>
    </w:lvl>
  </w:abstractNum>
  <w:abstractNum w:abstractNumId="1">
    <w:nsid w:val="D1A9ED39"/>
    <w:multiLevelType w:val="singleLevel"/>
    <w:tmpl w:val="D1A9ED39"/>
    <w:lvl w:ilvl="0" w:tentative="0">
      <w:start w:val="3"/>
      <w:numFmt w:val="decimal"/>
      <w:suff w:val="nothing"/>
      <w:lvlText w:val="（%1）"/>
      <w:lvlJc w:val="left"/>
    </w:lvl>
  </w:abstractNum>
  <w:abstractNum w:abstractNumId="2">
    <w:nsid w:val="086B303B"/>
    <w:multiLevelType w:val="multilevel"/>
    <w:tmpl w:val="086B303B"/>
    <w:lvl w:ilvl="0" w:tentative="0">
      <w:start w:val="1"/>
      <w:numFmt w:val="chineseCountingThousand"/>
      <w:pStyle w:val="3"/>
      <w:suff w:val="nothing"/>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3">
    <w:nsid w:val="1DA216F0"/>
    <w:multiLevelType w:val="multilevel"/>
    <w:tmpl w:val="1DA216F0"/>
    <w:lvl w:ilvl="0" w:tentative="0">
      <w:start w:val="1"/>
      <w:numFmt w:val="chineseCountingThousand"/>
      <w:pStyle w:val="39"/>
      <w:lvlText w:val="第%1章　"/>
      <w:lvlJc w:val="left"/>
      <w:pPr>
        <w:tabs>
          <w:tab w:val="left" w:pos="1440"/>
        </w:tabs>
        <w:ind w:left="1140" w:hanging="720"/>
      </w:pPr>
      <w:rPr>
        <w:rFonts w:hint="eastAsia" w:cs="Times New Roman"/>
        <w:sz w:val="32"/>
      </w:rPr>
    </w:lvl>
    <w:lvl w:ilvl="1" w:tentative="0">
      <w:start w:val="1"/>
      <w:numFmt w:val="lowerRoman"/>
      <w:lvlText w:val="(%2)"/>
      <w:lvlJc w:val="left"/>
      <w:pPr>
        <w:tabs>
          <w:tab w:val="left" w:pos="861"/>
        </w:tabs>
        <w:ind w:left="1281" w:hanging="720"/>
      </w:pPr>
      <w:rPr>
        <w:rFonts w:hint="eastAsia" w:cs="Times New Roman"/>
      </w:rPr>
    </w:lvl>
    <w:lvl w:ilvl="2" w:tentative="0">
      <w:start w:val="1"/>
      <w:numFmt w:val="lowerLetter"/>
      <w:lvlText w:val="(%3)"/>
      <w:lvlJc w:val="left"/>
      <w:pPr>
        <w:tabs>
          <w:tab w:val="left" w:pos="1335"/>
        </w:tabs>
        <w:ind w:left="1755" w:hanging="495"/>
      </w:pPr>
      <w:rPr>
        <w:rFonts w:hint="eastAsia" w:cs="Times New Roman"/>
      </w:rPr>
    </w:lvl>
    <w:lvl w:ilvl="3" w:tentative="0">
      <w:start w:val="1"/>
      <w:numFmt w:val="decimal"/>
      <w:lvlText w:val="%4."/>
      <w:lvlJc w:val="left"/>
      <w:pPr>
        <w:tabs>
          <w:tab w:val="left" w:pos="1680"/>
        </w:tabs>
        <w:ind w:left="2100" w:hanging="420"/>
      </w:pPr>
      <w:rPr>
        <w:rFonts w:cs="Times New Roman"/>
      </w:rPr>
    </w:lvl>
    <w:lvl w:ilvl="4" w:tentative="0">
      <w:start w:val="1"/>
      <w:numFmt w:val="lowerLetter"/>
      <w:lvlText w:val="%5)"/>
      <w:lvlJc w:val="left"/>
      <w:pPr>
        <w:tabs>
          <w:tab w:val="left" w:pos="2100"/>
        </w:tabs>
        <w:ind w:left="2520" w:hanging="420"/>
      </w:pPr>
      <w:rPr>
        <w:rFonts w:cs="Times New Roman"/>
      </w:rPr>
    </w:lvl>
    <w:lvl w:ilvl="5" w:tentative="0">
      <w:start w:val="1"/>
      <w:numFmt w:val="lowerRoman"/>
      <w:lvlText w:val="%6."/>
      <w:lvlJc w:val="right"/>
      <w:pPr>
        <w:tabs>
          <w:tab w:val="left" w:pos="2520"/>
        </w:tabs>
        <w:ind w:left="2940" w:hanging="420"/>
      </w:pPr>
      <w:rPr>
        <w:rFonts w:cs="Times New Roman"/>
      </w:rPr>
    </w:lvl>
    <w:lvl w:ilvl="6" w:tentative="0">
      <w:start w:val="1"/>
      <w:numFmt w:val="decimal"/>
      <w:lvlText w:val="%7."/>
      <w:lvlJc w:val="left"/>
      <w:pPr>
        <w:tabs>
          <w:tab w:val="left" w:pos="2940"/>
        </w:tabs>
        <w:ind w:left="3360" w:hanging="420"/>
      </w:pPr>
      <w:rPr>
        <w:rFonts w:cs="Times New Roman"/>
      </w:rPr>
    </w:lvl>
    <w:lvl w:ilvl="7" w:tentative="0">
      <w:start w:val="1"/>
      <w:numFmt w:val="lowerLetter"/>
      <w:lvlText w:val="%8)"/>
      <w:lvlJc w:val="left"/>
      <w:pPr>
        <w:tabs>
          <w:tab w:val="left" w:pos="3360"/>
        </w:tabs>
        <w:ind w:left="3780" w:hanging="420"/>
      </w:pPr>
      <w:rPr>
        <w:rFonts w:cs="Times New Roman"/>
      </w:rPr>
    </w:lvl>
    <w:lvl w:ilvl="8" w:tentative="0">
      <w:start w:val="1"/>
      <w:numFmt w:val="lowerRoman"/>
      <w:lvlText w:val="%9."/>
      <w:lvlJc w:val="right"/>
      <w:pPr>
        <w:tabs>
          <w:tab w:val="left" w:pos="3780"/>
        </w:tabs>
        <w:ind w:left="4200" w:hanging="420"/>
      </w:pPr>
      <w:rPr>
        <w:rFonts w:cs="Times New Roman"/>
      </w:rPr>
    </w:lvl>
  </w:abstractNum>
  <w:abstractNum w:abstractNumId="4">
    <w:nsid w:val="38A376E8"/>
    <w:multiLevelType w:val="singleLevel"/>
    <w:tmpl w:val="38A376E8"/>
    <w:lvl w:ilvl="0" w:tentative="0">
      <w:start w:val="1"/>
      <w:numFmt w:val="decimal"/>
      <w:suff w:val="nothing"/>
      <w:lvlText w:val="%1."/>
      <w:lvlJc w:val="left"/>
      <w:pPr>
        <w:ind w:left="440" w:hanging="440"/>
      </w:pPr>
    </w:lvl>
  </w:abstractNum>
  <w:abstractNum w:abstractNumId="5">
    <w:nsid w:val="44123331"/>
    <w:multiLevelType w:val="singleLevel"/>
    <w:tmpl w:val="44123331"/>
    <w:lvl w:ilvl="0" w:tentative="0">
      <w:start w:val="2"/>
      <w:numFmt w:val="decimal"/>
      <w:suff w:val="space"/>
      <w:lvlText w:val="图4-%1"/>
      <w:lvlJc w:val="left"/>
      <w:pPr>
        <w:ind w:left="440" w:hanging="440"/>
      </w:pPr>
      <w:rPr>
        <w:rFonts w:hint="eastAsia" w:ascii="黑体" w:hAnsi="黑体" w:eastAsia="黑体"/>
        <w:b w:val="0"/>
        <w:bCs w:val="0"/>
        <w:sz w:val="21"/>
        <w:szCs w:val="21"/>
      </w:rPr>
    </w:lvl>
  </w:abstractNum>
  <w:abstractNum w:abstractNumId="6">
    <w:nsid w:val="488B36AD"/>
    <w:multiLevelType w:val="multilevel"/>
    <w:tmpl w:val="488B36AD"/>
    <w:lvl w:ilvl="0" w:tentative="0">
      <w:start w:val="1"/>
      <w:numFmt w:val="decimal"/>
      <w:suff w:val="nothing"/>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7">
    <w:nsid w:val="51810A6F"/>
    <w:multiLevelType w:val="singleLevel"/>
    <w:tmpl w:val="51810A6F"/>
    <w:lvl w:ilvl="0" w:tentative="0">
      <w:start w:val="2"/>
      <w:numFmt w:val="decimal"/>
      <w:suff w:val="nothing"/>
      <w:lvlText w:val="%1）"/>
      <w:lvlJc w:val="left"/>
    </w:lvl>
  </w:abstractNum>
  <w:abstractNum w:abstractNumId="8">
    <w:nsid w:val="51C705D5"/>
    <w:multiLevelType w:val="multilevel"/>
    <w:tmpl w:val="51C705D5"/>
    <w:lvl w:ilvl="0" w:tentative="0">
      <w:start w:val="1"/>
      <w:numFmt w:val="chineseCountingThousand"/>
      <w:suff w:val="nothing"/>
      <w:lvlText w:val="%1、"/>
      <w:lvlJc w:val="left"/>
      <w:pPr>
        <w:ind w:left="432" w:hanging="432"/>
      </w:pPr>
      <w:rPr>
        <w:rFonts w:hint="eastAsia"/>
      </w:rPr>
    </w:lvl>
    <w:lvl w:ilvl="1" w:tentative="0">
      <w:start w:val="1"/>
      <w:numFmt w:val="decimal"/>
      <w:pStyle w:val="4"/>
      <w:lvlText w:val="%1.%2"/>
      <w:lvlJc w:val="left"/>
      <w:pPr>
        <w:ind w:left="576" w:hanging="576"/>
      </w:pPr>
      <w:rPr>
        <w:rFonts w:hint="eastAsia"/>
      </w:rPr>
    </w:lvl>
    <w:lvl w:ilvl="2" w:tentative="0">
      <w:start w:val="1"/>
      <w:numFmt w:val="decimal"/>
      <w:pStyle w:val="5"/>
      <w:lvlText w:val="%1.%2.%3"/>
      <w:lvlJc w:val="left"/>
      <w:pPr>
        <w:ind w:left="720" w:hanging="720"/>
      </w:pPr>
      <w:rPr>
        <w:rFonts w:hint="eastAsia"/>
      </w:rPr>
    </w:lvl>
    <w:lvl w:ilvl="3" w:tentative="0">
      <w:start w:val="1"/>
      <w:numFmt w:val="decimal"/>
      <w:pStyle w:val="6"/>
      <w:lvlText w:val="%1.%2.%3.%4"/>
      <w:lvlJc w:val="left"/>
      <w:pPr>
        <w:ind w:left="864" w:hanging="864"/>
      </w:pPr>
      <w:rPr>
        <w:rFonts w:hint="eastAsia"/>
      </w:rPr>
    </w:lvl>
    <w:lvl w:ilvl="4" w:tentative="0">
      <w:start w:val="1"/>
      <w:numFmt w:val="decimal"/>
      <w:pStyle w:val="7"/>
      <w:lvlText w:val="%1.%2.%3.%4.%5"/>
      <w:lvlJc w:val="left"/>
      <w:pPr>
        <w:ind w:left="1008" w:hanging="1008"/>
      </w:pPr>
      <w:rPr>
        <w:rFonts w:hint="eastAsia"/>
      </w:rPr>
    </w:lvl>
    <w:lvl w:ilvl="5" w:tentative="0">
      <w:start w:val="1"/>
      <w:numFmt w:val="decimal"/>
      <w:pStyle w:val="8"/>
      <w:lvlText w:val="%1.%2.%3.%4.%5.%6"/>
      <w:lvlJc w:val="left"/>
      <w:pPr>
        <w:ind w:left="1152" w:hanging="1152"/>
      </w:pPr>
      <w:rPr>
        <w:rFonts w:hint="eastAsia"/>
      </w:rPr>
    </w:lvl>
    <w:lvl w:ilvl="6" w:tentative="0">
      <w:start w:val="1"/>
      <w:numFmt w:val="decimal"/>
      <w:pStyle w:val="9"/>
      <w:lvlText w:val="%1.%2.%3.%4.%5.%6.%7"/>
      <w:lvlJc w:val="left"/>
      <w:pPr>
        <w:ind w:left="1296" w:hanging="1296"/>
      </w:pPr>
      <w:rPr>
        <w:rFonts w:hint="eastAsia"/>
      </w:rPr>
    </w:lvl>
    <w:lvl w:ilvl="7" w:tentative="0">
      <w:start w:val="1"/>
      <w:numFmt w:val="decimal"/>
      <w:pStyle w:val="10"/>
      <w:lvlText w:val="%1.%2.%3.%4.%5.%6.%7.%8"/>
      <w:lvlJc w:val="left"/>
      <w:pPr>
        <w:ind w:left="1440" w:hanging="1440"/>
      </w:pPr>
      <w:rPr>
        <w:rFonts w:hint="eastAsia"/>
      </w:rPr>
    </w:lvl>
    <w:lvl w:ilvl="8" w:tentative="0">
      <w:start w:val="1"/>
      <w:numFmt w:val="decimal"/>
      <w:pStyle w:val="11"/>
      <w:lvlText w:val="%1.%2.%3.%4.%5.%6.%7.%8.%9"/>
      <w:lvlJc w:val="left"/>
      <w:pPr>
        <w:ind w:left="1584" w:hanging="1584"/>
      </w:pPr>
      <w:rPr>
        <w:rFonts w:hint="eastAsia"/>
      </w:rPr>
    </w:lvl>
  </w:abstractNum>
  <w:abstractNum w:abstractNumId="9">
    <w:nsid w:val="548F484C"/>
    <w:multiLevelType w:val="singleLevel"/>
    <w:tmpl w:val="548F484C"/>
    <w:lvl w:ilvl="0" w:tentative="0">
      <w:start w:val="1"/>
      <w:numFmt w:val="decimal"/>
      <w:suff w:val="nothing"/>
      <w:lvlText w:val="%1."/>
      <w:lvlJc w:val="left"/>
      <w:pPr>
        <w:ind w:left="440" w:hanging="440"/>
      </w:pPr>
    </w:lvl>
  </w:abstractNum>
  <w:abstractNum w:abstractNumId="10">
    <w:nsid w:val="5C294DA9"/>
    <w:multiLevelType w:val="multilevel"/>
    <w:tmpl w:val="5C294DA9"/>
    <w:lvl w:ilvl="0" w:tentative="0">
      <w:start w:val="1"/>
      <w:numFmt w:val="decimal"/>
      <w:suff w:val="nothing"/>
      <w:lvlText w:val="%1."/>
      <w:lvlJc w:val="left"/>
      <w:pPr>
        <w:ind w:left="440" w:hanging="440"/>
      </w:pPr>
      <w:rPr>
        <w:rFonts w:hint="default" w:ascii="Times New Roman" w:hAnsi="Times New Roman" w:eastAsia="黑体" w:cs="Times New Roman"/>
        <w:b w:val="0"/>
        <w:bCs w:val="0"/>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1">
    <w:nsid w:val="5CAFD606"/>
    <w:multiLevelType w:val="singleLevel"/>
    <w:tmpl w:val="5CAFD606"/>
    <w:lvl w:ilvl="0" w:tentative="0">
      <w:start w:val="4"/>
      <w:numFmt w:val="decimal"/>
      <w:suff w:val="nothing"/>
      <w:lvlText w:val="%1、"/>
      <w:lvlJc w:val="left"/>
    </w:lvl>
  </w:abstractNum>
  <w:abstractNum w:abstractNumId="12">
    <w:nsid w:val="5E8E39BF"/>
    <w:multiLevelType w:val="singleLevel"/>
    <w:tmpl w:val="5E8E39BF"/>
    <w:lvl w:ilvl="0" w:tentative="0">
      <w:start w:val="1"/>
      <w:numFmt w:val="decimal"/>
      <w:suff w:val="space"/>
      <w:lvlText w:val="图4-%1"/>
      <w:lvlJc w:val="left"/>
      <w:pPr>
        <w:ind w:left="440" w:hanging="440"/>
      </w:pPr>
    </w:lvl>
  </w:abstractNum>
  <w:abstractNum w:abstractNumId="13">
    <w:nsid w:val="71825F4E"/>
    <w:multiLevelType w:val="singleLevel"/>
    <w:tmpl w:val="71825F4E"/>
    <w:lvl w:ilvl="0" w:tentative="0">
      <w:start w:val="1"/>
      <w:numFmt w:val="decimal"/>
      <w:suff w:val="nothing"/>
      <w:lvlText w:val="%1."/>
      <w:lvlJc w:val="left"/>
      <w:pPr>
        <w:ind w:left="440" w:hanging="440"/>
      </w:pPr>
    </w:lvl>
  </w:abstractNum>
  <w:abstractNum w:abstractNumId="14">
    <w:nsid w:val="72531A6E"/>
    <w:multiLevelType w:val="singleLevel"/>
    <w:tmpl w:val="72531A6E"/>
    <w:lvl w:ilvl="0" w:tentative="0">
      <w:start w:val="1"/>
      <w:numFmt w:val="decimal"/>
      <w:suff w:val="nothing"/>
      <w:lvlText w:val="%1."/>
      <w:lvlJc w:val="left"/>
      <w:pPr>
        <w:ind w:left="440" w:hanging="440"/>
      </w:pPr>
    </w:lvl>
  </w:abstractNum>
  <w:abstractNum w:abstractNumId="15">
    <w:nsid w:val="7E056219"/>
    <w:multiLevelType w:val="multilevel"/>
    <w:tmpl w:val="7E056219"/>
    <w:lvl w:ilvl="0" w:tentative="0">
      <w:start w:val="1"/>
      <w:numFmt w:val="decimal"/>
      <w:lvlText w:val="%1"/>
      <w:lvlJc w:val="left"/>
      <w:pPr>
        <w:ind w:left="425" w:hanging="425"/>
      </w:pPr>
      <w:rPr>
        <w:rFonts w:hint="eastAsia"/>
      </w:rPr>
    </w:lvl>
    <w:lvl w:ilvl="1" w:tentative="0">
      <w:start w:val="1"/>
      <w:numFmt w:val="decimal"/>
      <w:suff w:val="space"/>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num w:numId="1">
    <w:abstractNumId w:val="2"/>
  </w:num>
  <w:num w:numId="2">
    <w:abstractNumId w:val="8"/>
  </w:num>
  <w:num w:numId="3">
    <w:abstractNumId w:val="0"/>
  </w:num>
  <w:num w:numId="4">
    <w:abstractNumId w:val="3"/>
  </w:num>
  <w:num w:numId="5">
    <w:abstractNumId w:val="10"/>
  </w:num>
  <w:num w:numId="6">
    <w:abstractNumId w:val="1"/>
  </w:num>
  <w:num w:numId="7">
    <w:abstractNumId w:val="4"/>
  </w:num>
  <w:num w:numId="8">
    <w:abstractNumId w:val="13"/>
  </w:num>
  <w:num w:numId="9">
    <w:abstractNumId w:val="12"/>
  </w:num>
  <w:num w:numId="10">
    <w:abstractNumId w:val="5"/>
  </w:num>
  <w:num w:numId="11">
    <w:abstractNumId w:val="14"/>
  </w:num>
  <w:num w:numId="12">
    <w:abstractNumId w:val="7"/>
  </w:num>
  <w:num w:numId="13">
    <w:abstractNumId w:val="14"/>
    <w:lvlOverride w:ilvl="0">
      <w:lvl w:ilvl="0" w:tentative="1">
        <w:start w:val="1"/>
        <w:numFmt w:val="decimal"/>
        <w:suff w:val="nothing"/>
        <w:lvlText w:val="%1."/>
        <w:lvlJc w:val="left"/>
        <w:pPr>
          <w:ind w:left="440" w:hanging="440"/>
        </w:pPr>
      </w:lvl>
    </w:lvlOverride>
  </w:num>
  <w:num w:numId="14">
    <w:abstractNumId w:val="9"/>
  </w:num>
  <w:num w:numId="15">
    <w:abstractNumId w:val="6"/>
  </w:num>
  <w:num w:numId="16">
    <w:abstractNumId w:val="15"/>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stylePaneFormatFilter w:val="9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1"/>
  <w:documentProtection w:enforcement="0"/>
  <w:defaultTabStop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U5YWFkYzc4MGNlOWY3ZDBhYTRhZThmODNlZjZiNDEifQ=="/>
  </w:docVars>
  <w:rsids>
    <w:rsidRoot w:val="00172A27"/>
    <w:rsid w:val="000007FE"/>
    <w:rsid w:val="000009A5"/>
    <w:rsid w:val="00001CAD"/>
    <w:rsid w:val="000036CC"/>
    <w:rsid w:val="00003C10"/>
    <w:rsid w:val="000048EF"/>
    <w:rsid w:val="0000764F"/>
    <w:rsid w:val="000103A0"/>
    <w:rsid w:val="00010DE7"/>
    <w:rsid w:val="00011C8E"/>
    <w:rsid w:val="000125EF"/>
    <w:rsid w:val="00013269"/>
    <w:rsid w:val="00013AEA"/>
    <w:rsid w:val="00016A21"/>
    <w:rsid w:val="00016A84"/>
    <w:rsid w:val="00016AA0"/>
    <w:rsid w:val="00017299"/>
    <w:rsid w:val="000202E0"/>
    <w:rsid w:val="000206D2"/>
    <w:rsid w:val="00021865"/>
    <w:rsid w:val="00022B9C"/>
    <w:rsid w:val="00023348"/>
    <w:rsid w:val="000240A0"/>
    <w:rsid w:val="00024A29"/>
    <w:rsid w:val="000260E4"/>
    <w:rsid w:val="000263EC"/>
    <w:rsid w:val="00031F34"/>
    <w:rsid w:val="00036B4B"/>
    <w:rsid w:val="00036EE6"/>
    <w:rsid w:val="000400B5"/>
    <w:rsid w:val="000415FC"/>
    <w:rsid w:val="000428EA"/>
    <w:rsid w:val="00042B34"/>
    <w:rsid w:val="000441FB"/>
    <w:rsid w:val="000447D1"/>
    <w:rsid w:val="00047B76"/>
    <w:rsid w:val="00051B28"/>
    <w:rsid w:val="00052793"/>
    <w:rsid w:val="000531CA"/>
    <w:rsid w:val="0005335F"/>
    <w:rsid w:val="000539CF"/>
    <w:rsid w:val="000546D5"/>
    <w:rsid w:val="00055941"/>
    <w:rsid w:val="00055B3E"/>
    <w:rsid w:val="000565B0"/>
    <w:rsid w:val="00056CA0"/>
    <w:rsid w:val="00057C5A"/>
    <w:rsid w:val="00057F92"/>
    <w:rsid w:val="000625B7"/>
    <w:rsid w:val="00062DF8"/>
    <w:rsid w:val="00063196"/>
    <w:rsid w:val="0006508F"/>
    <w:rsid w:val="00067337"/>
    <w:rsid w:val="00067BDC"/>
    <w:rsid w:val="00072221"/>
    <w:rsid w:val="000729F5"/>
    <w:rsid w:val="00073B9B"/>
    <w:rsid w:val="00073FF9"/>
    <w:rsid w:val="0007409C"/>
    <w:rsid w:val="00074292"/>
    <w:rsid w:val="00074328"/>
    <w:rsid w:val="000754B3"/>
    <w:rsid w:val="000756F6"/>
    <w:rsid w:val="00075927"/>
    <w:rsid w:val="00076AAC"/>
    <w:rsid w:val="00080153"/>
    <w:rsid w:val="00080622"/>
    <w:rsid w:val="00081ABE"/>
    <w:rsid w:val="000823AE"/>
    <w:rsid w:val="0008366F"/>
    <w:rsid w:val="000858E3"/>
    <w:rsid w:val="00090C21"/>
    <w:rsid w:val="000912E2"/>
    <w:rsid w:val="00093291"/>
    <w:rsid w:val="000932C6"/>
    <w:rsid w:val="000957C7"/>
    <w:rsid w:val="00095ACD"/>
    <w:rsid w:val="00095E1F"/>
    <w:rsid w:val="000961A6"/>
    <w:rsid w:val="000963D8"/>
    <w:rsid w:val="0009674E"/>
    <w:rsid w:val="00097618"/>
    <w:rsid w:val="00097FE6"/>
    <w:rsid w:val="000A023C"/>
    <w:rsid w:val="000A061D"/>
    <w:rsid w:val="000A0A3F"/>
    <w:rsid w:val="000A1881"/>
    <w:rsid w:val="000A1DDC"/>
    <w:rsid w:val="000A21B3"/>
    <w:rsid w:val="000A25C3"/>
    <w:rsid w:val="000A3209"/>
    <w:rsid w:val="000A5070"/>
    <w:rsid w:val="000A53CF"/>
    <w:rsid w:val="000A5EDA"/>
    <w:rsid w:val="000A64D0"/>
    <w:rsid w:val="000A6C9D"/>
    <w:rsid w:val="000A7322"/>
    <w:rsid w:val="000B0893"/>
    <w:rsid w:val="000B0D2C"/>
    <w:rsid w:val="000B11DB"/>
    <w:rsid w:val="000B27B1"/>
    <w:rsid w:val="000B3ABA"/>
    <w:rsid w:val="000B3E30"/>
    <w:rsid w:val="000B40B9"/>
    <w:rsid w:val="000B4EC7"/>
    <w:rsid w:val="000B5668"/>
    <w:rsid w:val="000B596C"/>
    <w:rsid w:val="000B603F"/>
    <w:rsid w:val="000B644F"/>
    <w:rsid w:val="000B6F4A"/>
    <w:rsid w:val="000B7DB0"/>
    <w:rsid w:val="000C07B6"/>
    <w:rsid w:val="000C11E3"/>
    <w:rsid w:val="000C1E87"/>
    <w:rsid w:val="000C2F8A"/>
    <w:rsid w:val="000C5AC1"/>
    <w:rsid w:val="000C7387"/>
    <w:rsid w:val="000D0BF5"/>
    <w:rsid w:val="000D15B5"/>
    <w:rsid w:val="000D2A54"/>
    <w:rsid w:val="000D4679"/>
    <w:rsid w:val="000D6E9E"/>
    <w:rsid w:val="000E221C"/>
    <w:rsid w:val="000E2F86"/>
    <w:rsid w:val="000E3C9D"/>
    <w:rsid w:val="000E4A4D"/>
    <w:rsid w:val="000E5A82"/>
    <w:rsid w:val="000E6825"/>
    <w:rsid w:val="000E77EB"/>
    <w:rsid w:val="000F09E7"/>
    <w:rsid w:val="000F0CB3"/>
    <w:rsid w:val="000F1364"/>
    <w:rsid w:val="000F1B1D"/>
    <w:rsid w:val="000F64DB"/>
    <w:rsid w:val="000F6539"/>
    <w:rsid w:val="000F73ED"/>
    <w:rsid w:val="000F7403"/>
    <w:rsid w:val="0010180F"/>
    <w:rsid w:val="00101BA4"/>
    <w:rsid w:val="00102151"/>
    <w:rsid w:val="00102AC9"/>
    <w:rsid w:val="00104002"/>
    <w:rsid w:val="0010440F"/>
    <w:rsid w:val="0010485D"/>
    <w:rsid w:val="00104B10"/>
    <w:rsid w:val="00104CD6"/>
    <w:rsid w:val="00106258"/>
    <w:rsid w:val="0010689B"/>
    <w:rsid w:val="001077E0"/>
    <w:rsid w:val="00111006"/>
    <w:rsid w:val="00111CA3"/>
    <w:rsid w:val="0011311A"/>
    <w:rsid w:val="001144BD"/>
    <w:rsid w:val="00114803"/>
    <w:rsid w:val="001155C0"/>
    <w:rsid w:val="00115D82"/>
    <w:rsid w:val="00115E41"/>
    <w:rsid w:val="00120BBB"/>
    <w:rsid w:val="00120D1F"/>
    <w:rsid w:val="001228A1"/>
    <w:rsid w:val="00122E4E"/>
    <w:rsid w:val="00122FE3"/>
    <w:rsid w:val="0012619F"/>
    <w:rsid w:val="00127F1C"/>
    <w:rsid w:val="00132CC4"/>
    <w:rsid w:val="00133D3F"/>
    <w:rsid w:val="0013411F"/>
    <w:rsid w:val="0013463B"/>
    <w:rsid w:val="00134A25"/>
    <w:rsid w:val="00134B6B"/>
    <w:rsid w:val="00140416"/>
    <w:rsid w:val="00141076"/>
    <w:rsid w:val="00142999"/>
    <w:rsid w:val="0014348A"/>
    <w:rsid w:val="00143541"/>
    <w:rsid w:val="001438D9"/>
    <w:rsid w:val="00144972"/>
    <w:rsid w:val="001471E1"/>
    <w:rsid w:val="0015256D"/>
    <w:rsid w:val="00152854"/>
    <w:rsid w:val="0015386C"/>
    <w:rsid w:val="00153C2F"/>
    <w:rsid w:val="00153E37"/>
    <w:rsid w:val="0015408D"/>
    <w:rsid w:val="001540DF"/>
    <w:rsid w:val="0015420F"/>
    <w:rsid w:val="0015583C"/>
    <w:rsid w:val="00157721"/>
    <w:rsid w:val="00160087"/>
    <w:rsid w:val="001625B2"/>
    <w:rsid w:val="00163461"/>
    <w:rsid w:val="00170DC4"/>
    <w:rsid w:val="00171919"/>
    <w:rsid w:val="001729A4"/>
    <w:rsid w:val="00172A27"/>
    <w:rsid w:val="00175440"/>
    <w:rsid w:val="00175799"/>
    <w:rsid w:val="00176D6F"/>
    <w:rsid w:val="001772F3"/>
    <w:rsid w:val="001833A9"/>
    <w:rsid w:val="001869D6"/>
    <w:rsid w:val="00191CDA"/>
    <w:rsid w:val="001923D0"/>
    <w:rsid w:val="001923D9"/>
    <w:rsid w:val="001926B0"/>
    <w:rsid w:val="00192E51"/>
    <w:rsid w:val="00195919"/>
    <w:rsid w:val="001977F3"/>
    <w:rsid w:val="001A23E5"/>
    <w:rsid w:val="001A2445"/>
    <w:rsid w:val="001A33AF"/>
    <w:rsid w:val="001A4EC4"/>
    <w:rsid w:val="001A531B"/>
    <w:rsid w:val="001A6717"/>
    <w:rsid w:val="001A702C"/>
    <w:rsid w:val="001A708F"/>
    <w:rsid w:val="001A7AE3"/>
    <w:rsid w:val="001B0000"/>
    <w:rsid w:val="001B3168"/>
    <w:rsid w:val="001B3291"/>
    <w:rsid w:val="001B37BB"/>
    <w:rsid w:val="001B37BC"/>
    <w:rsid w:val="001C39D4"/>
    <w:rsid w:val="001C4811"/>
    <w:rsid w:val="001D19F4"/>
    <w:rsid w:val="001D2432"/>
    <w:rsid w:val="001D3346"/>
    <w:rsid w:val="001D3465"/>
    <w:rsid w:val="001D43D8"/>
    <w:rsid w:val="001D489F"/>
    <w:rsid w:val="001D560B"/>
    <w:rsid w:val="001D6ACA"/>
    <w:rsid w:val="001D6ADD"/>
    <w:rsid w:val="001E42D5"/>
    <w:rsid w:val="001E56D0"/>
    <w:rsid w:val="001E60E8"/>
    <w:rsid w:val="001E6132"/>
    <w:rsid w:val="001E7340"/>
    <w:rsid w:val="001E7A9C"/>
    <w:rsid w:val="001F388E"/>
    <w:rsid w:val="001F5778"/>
    <w:rsid w:val="001F5C90"/>
    <w:rsid w:val="001F72E9"/>
    <w:rsid w:val="00201BE0"/>
    <w:rsid w:val="00203E24"/>
    <w:rsid w:val="002050C2"/>
    <w:rsid w:val="00205CCB"/>
    <w:rsid w:val="0020712D"/>
    <w:rsid w:val="002149EF"/>
    <w:rsid w:val="002158E4"/>
    <w:rsid w:val="00215A8C"/>
    <w:rsid w:val="00215E07"/>
    <w:rsid w:val="00217BE4"/>
    <w:rsid w:val="00220437"/>
    <w:rsid w:val="00220913"/>
    <w:rsid w:val="00220CE5"/>
    <w:rsid w:val="00222968"/>
    <w:rsid w:val="00222D72"/>
    <w:rsid w:val="00222DCF"/>
    <w:rsid w:val="00222E88"/>
    <w:rsid w:val="0022696B"/>
    <w:rsid w:val="00230623"/>
    <w:rsid w:val="002307F7"/>
    <w:rsid w:val="00231017"/>
    <w:rsid w:val="0023155A"/>
    <w:rsid w:val="00232820"/>
    <w:rsid w:val="00236A0E"/>
    <w:rsid w:val="00237344"/>
    <w:rsid w:val="00237C6E"/>
    <w:rsid w:val="00242742"/>
    <w:rsid w:val="00245F61"/>
    <w:rsid w:val="002474AD"/>
    <w:rsid w:val="00250CC4"/>
    <w:rsid w:val="0025131C"/>
    <w:rsid w:val="002523E2"/>
    <w:rsid w:val="00253019"/>
    <w:rsid w:val="00254AE5"/>
    <w:rsid w:val="00257044"/>
    <w:rsid w:val="00257FB1"/>
    <w:rsid w:val="00260C61"/>
    <w:rsid w:val="0026132C"/>
    <w:rsid w:val="0026401C"/>
    <w:rsid w:val="002666E6"/>
    <w:rsid w:val="00267F1D"/>
    <w:rsid w:val="002718DF"/>
    <w:rsid w:val="00273017"/>
    <w:rsid w:val="00273070"/>
    <w:rsid w:val="00273DC8"/>
    <w:rsid w:val="00274883"/>
    <w:rsid w:val="0027538A"/>
    <w:rsid w:val="00276D29"/>
    <w:rsid w:val="00277E5D"/>
    <w:rsid w:val="00282328"/>
    <w:rsid w:val="00282C66"/>
    <w:rsid w:val="00283354"/>
    <w:rsid w:val="00283DFF"/>
    <w:rsid w:val="00284114"/>
    <w:rsid w:val="00285496"/>
    <w:rsid w:val="002866E1"/>
    <w:rsid w:val="002867B8"/>
    <w:rsid w:val="0028719A"/>
    <w:rsid w:val="002871CD"/>
    <w:rsid w:val="00287CE4"/>
    <w:rsid w:val="00287D20"/>
    <w:rsid w:val="002920E5"/>
    <w:rsid w:val="00293EC2"/>
    <w:rsid w:val="00294D73"/>
    <w:rsid w:val="00295AD4"/>
    <w:rsid w:val="00297107"/>
    <w:rsid w:val="002A3110"/>
    <w:rsid w:val="002A3298"/>
    <w:rsid w:val="002A3410"/>
    <w:rsid w:val="002A345B"/>
    <w:rsid w:val="002A4B3A"/>
    <w:rsid w:val="002A4F65"/>
    <w:rsid w:val="002A4F74"/>
    <w:rsid w:val="002A6315"/>
    <w:rsid w:val="002A72AC"/>
    <w:rsid w:val="002A733B"/>
    <w:rsid w:val="002A75E5"/>
    <w:rsid w:val="002B03E8"/>
    <w:rsid w:val="002B18E9"/>
    <w:rsid w:val="002B27D3"/>
    <w:rsid w:val="002B4F1A"/>
    <w:rsid w:val="002B58BC"/>
    <w:rsid w:val="002B5A42"/>
    <w:rsid w:val="002B62BD"/>
    <w:rsid w:val="002B7735"/>
    <w:rsid w:val="002B79F4"/>
    <w:rsid w:val="002C01E6"/>
    <w:rsid w:val="002C18DB"/>
    <w:rsid w:val="002C269F"/>
    <w:rsid w:val="002C36DF"/>
    <w:rsid w:val="002C716D"/>
    <w:rsid w:val="002D0AEC"/>
    <w:rsid w:val="002D25CE"/>
    <w:rsid w:val="002D26D6"/>
    <w:rsid w:val="002D51BC"/>
    <w:rsid w:val="002E0453"/>
    <w:rsid w:val="002E25AF"/>
    <w:rsid w:val="002E5ED3"/>
    <w:rsid w:val="002E69B2"/>
    <w:rsid w:val="002F2542"/>
    <w:rsid w:val="002F546C"/>
    <w:rsid w:val="002F5A8B"/>
    <w:rsid w:val="002F6822"/>
    <w:rsid w:val="002F6A9D"/>
    <w:rsid w:val="002F77F8"/>
    <w:rsid w:val="0030409E"/>
    <w:rsid w:val="0030423A"/>
    <w:rsid w:val="00307258"/>
    <w:rsid w:val="00311E00"/>
    <w:rsid w:val="0031209C"/>
    <w:rsid w:val="003124CE"/>
    <w:rsid w:val="003131B1"/>
    <w:rsid w:val="00313BEA"/>
    <w:rsid w:val="0031414E"/>
    <w:rsid w:val="003153E0"/>
    <w:rsid w:val="00316D97"/>
    <w:rsid w:val="0031704E"/>
    <w:rsid w:val="003172DA"/>
    <w:rsid w:val="00321B92"/>
    <w:rsid w:val="00324E04"/>
    <w:rsid w:val="003277A3"/>
    <w:rsid w:val="00327C9B"/>
    <w:rsid w:val="00330BBE"/>
    <w:rsid w:val="00331A2E"/>
    <w:rsid w:val="00331C24"/>
    <w:rsid w:val="00332361"/>
    <w:rsid w:val="003329D6"/>
    <w:rsid w:val="00333702"/>
    <w:rsid w:val="00333C50"/>
    <w:rsid w:val="00337B52"/>
    <w:rsid w:val="0034320D"/>
    <w:rsid w:val="00343EE2"/>
    <w:rsid w:val="00345915"/>
    <w:rsid w:val="00345DD2"/>
    <w:rsid w:val="00347187"/>
    <w:rsid w:val="00351BA5"/>
    <w:rsid w:val="00352FCE"/>
    <w:rsid w:val="003541F1"/>
    <w:rsid w:val="00356918"/>
    <w:rsid w:val="00357618"/>
    <w:rsid w:val="003578B0"/>
    <w:rsid w:val="00360803"/>
    <w:rsid w:val="00361AF5"/>
    <w:rsid w:val="00364740"/>
    <w:rsid w:val="00364F60"/>
    <w:rsid w:val="00371A64"/>
    <w:rsid w:val="00372A38"/>
    <w:rsid w:val="00373F57"/>
    <w:rsid w:val="00374560"/>
    <w:rsid w:val="0037488B"/>
    <w:rsid w:val="003768BE"/>
    <w:rsid w:val="0037710D"/>
    <w:rsid w:val="00377A79"/>
    <w:rsid w:val="00377AB2"/>
    <w:rsid w:val="00377FEA"/>
    <w:rsid w:val="00380434"/>
    <w:rsid w:val="0038288B"/>
    <w:rsid w:val="00384915"/>
    <w:rsid w:val="00384E11"/>
    <w:rsid w:val="00386E80"/>
    <w:rsid w:val="00387DA9"/>
    <w:rsid w:val="00390377"/>
    <w:rsid w:val="0039109E"/>
    <w:rsid w:val="0039355C"/>
    <w:rsid w:val="00393B20"/>
    <w:rsid w:val="0039472A"/>
    <w:rsid w:val="00394830"/>
    <w:rsid w:val="00394A08"/>
    <w:rsid w:val="003965D8"/>
    <w:rsid w:val="003A0FDB"/>
    <w:rsid w:val="003A1EDE"/>
    <w:rsid w:val="003A2B5F"/>
    <w:rsid w:val="003A5765"/>
    <w:rsid w:val="003A6B00"/>
    <w:rsid w:val="003A7A39"/>
    <w:rsid w:val="003B1D6E"/>
    <w:rsid w:val="003B2078"/>
    <w:rsid w:val="003B262A"/>
    <w:rsid w:val="003B2EF7"/>
    <w:rsid w:val="003B3C39"/>
    <w:rsid w:val="003B479C"/>
    <w:rsid w:val="003B5655"/>
    <w:rsid w:val="003B6CAF"/>
    <w:rsid w:val="003B7A22"/>
    <w:rsid w:val="003C0119"/>
    <w:rsid w:val="003C1634"/>
    <w:rsid w:val="003C2F88"/>
    <w:rsid w:val="003C37DB"/>
    <w:rsid w:val="003C3E71"/>
    <w:rsid w:val="003C4BD2"/>
    <w:rsid w:val="003C54B7"/>
    <w:rsid w:val="003C5DF2"/>
    <w:rsid w:val="003C6BAB"/>
    <w:rsid w:val="003C6BF3"/>
    <w:rsid w:val="003C7E05"/>
    <w:rsid w:val="003D42AE"/>
    <w:rsid w:val="003D43C4"/>
    <w:rsid w:val="003D44D5"/>
    <w:rsid w:val="003D56AA"/>
    <w:rsid w:val="003D5D8A"/>
    <w:rsid w:val="003D5DFA"/>
    <w:rsid w:val="003D6118"/>
    <w:rsid w:val="003D61A6"/>
    <w:rsid w:val="003D7988"/>
    <w:rsid w:val="003E292D"/>
    <w:rsid w:val="003E2CFD"/>
    <w:rsid w:val="003E2EB7"/>
    <w:rsid w:val="003E343B"/>
    <w:rsid w:val="003E369F"/>
    <w:rsid w:val="003E37A7"/>
    <w:rsid w:val="003E568F"/>
    <w:rsid w:val="003E5FB9"/>
    <w:rsid w:val="003E6123"/>
    <w:rsid w:val="003E71E5"/>
    <w:rsid w:val="003F11BF"/>
    <w:rsid w:val="003F1D01"/>
    <w:rsid w:val="003F25C6"/>
    <w:rsid w:val="003F2653"/>
    <w:rsid w:val="003F32E3"/>
    <w:rsid w:val="003F36E9"/>
    <w:rsid w:val="003F4E87"/>
    <w:rsid w:val="003F6700"/>
    <w:rsid w:val="003F7083"/>
    <w:rsid w:val="003F7D69"/>
    <w:rsid w:val="00401DA7"/>
    <w:rsid w:val="00404B22"/>
    <w:rsid w:val="00404CD9"/>
    <w:rsid w:val="004054B6"/>
    <w:rsid w:val="00406ECC"/>
    <w:rsid w:val="00407FB7"/>
    <w:rsid w:val="00412453"/>
    <w:rsid w:val="004139D1"/>
    <w:rsid w:val="0041683F"/>
    <w:rsid w:val="00416A03"/>
    <w:rsid w:val="00423285"/>
    <w:rsid w:val="00423417"/>
    <w:rsid w:val="004251DF"/>
    <w:rsid w:val="004252C7"/>
    <w:rsid w:val="00426013"/>
    <w:rsid w:val="00426FD7"/>
    <w:rsid w:val="00427064"/>
    <w:rsid w:val="0042723E"/>
    <w:rsid w:val="00431144"/>
    <w:rsid w:val="0043136B"/>
    <w:rsid w:val="004338C8"/>
    <w:rsid w:val="00433B70"/>
    <w:rsid w:val="00434C54"/>
    <w:rsid w:val="00435339"/>
    <w:rsid w:val="0043723D"/>
    <w:rsid w:val="00437E6A"/>
    <w:rsid w:val="0044137D"/>
    <w:rsid w:val="004417A4"/>
    <w:rsid w:val="00441E99"/>
    <w:rsid w:val="00442807"/>
    <w:rsid w:val="004438F1"/>
    <w:rsid w:val="00444A85"/>
    <w:rsid w:val="0044509A"/>
    <w:rsid w:val="00445B60"/>
    <w:rsid w:val="00445D49"/>
    <w:rsid w:val="0044659C"/>
    <w:rsid w:val="00447C6C"/>
    <w:rsid w:val="00447F55"/>
    <w:rsid w:val="00451358"/>
    <w:rsid w:val="004521FD"/>
    <w:rsid w:val="00452279"/>
    <w:rsid w:val="0045554D"/>
    <w:rsid w:val="004575C2"/>
    <w:rsid w:val="00460A10"/>
    <w:rsid w:val="0046276B"/>
    <w:rsid w:val="00463CA4"/>
    <w:rsid w:val="0046445A"/>
    <w:rsid w:val="00464927"/>
    <w:rsid w:val="00464C54"/>
    <w:rsid w:val="00465DBA"/>
    <w:rsid w:val="00466259"/>
    <w:rsid w:val="0046640A"/>
    <w:rsid w:val="00466BB3"/>
    <w:rsid w:val="00467743"/>
    <w:rsid w:val="00467A51"/>
    <w:rsid w:val="00471AF0"/>
    <w:rsid w:val="00472EDF"/>
    <w:rsid w:val="0047304C"/>
    <w:rsid w:val="004730D3"/>
    <w:rsid w:val="00474492"/>
    <w:rsid w:val="00474A07"/>
    <w:rsid w:val="00474FEF"/>
    <w:rsid w:val="00476980"/>
    <w:rsid w:val="00476F7F"/>
    <w:rsid w:val="00477A0A"/>
    <w:rsid w:val="00477D5D"/>
    <w:rsid w:val="00480551"/>
    <w:rsid w:val="00481E7E"/>
    <w:rsid w:val="00481E8A"/>
    <w:rsid w:val="00482346"/>
    <w:rsid w:val="00483CAB"/>
    <w:rsid w:val="0048528E"/>
    <w:rsid w:val="004907B2"/>
    <w:rsid w:val="00491E04"/>
    <w:rsid w:val="00492FA5"/>
    <w:rsid w:val="004947FE"/>
    <w:rsid w:val="0049505E"/>
    <w:rsid w:val="00496F1C"/>
    <w:rsid w:val="00497557"/>
    <w:rsid w:val="004A0689"/>
    <w:rsid w:val="004A2157"/>
    <w:rsid w:val="004A4275"/>
    <w:rsid w:val="004A6236"/>
    <w:rsid w:val="004A66B4"/>
    <w:rsid w:val="004B01A9"/>
    <w:rsid w:val="004B08F9"/>
    <w:rsid w:val="004B1584"/>
    <w:rsid w:val="004B1B6A"/>
    <w:rsid w:val="004B2C04"/>
    <w:rsid w:val="004B4150"/>
    <w:rsid w:val="004B4B5E"/>
    <w:rsid w:val="004B5D00"/>
    <w:rsid w:val="004B7C54"/>
    <w:rsid w:val="004C24F3"/>
    <w:rsid w:val="004C26E6"/>
    <w:rsid w:val="004C405E"/>
    <w:rsid w:val="004C6583"/>
    <w:rsid w:val="004D2FBC"/>
    <w:rsid w:val="004D3683"/>
    <w:rsid w:val="004D6CDF"/>
    <w:rsid w:val="004D7CAA"/>
    <w:rsid w:val="004E015B"/>
    <w:rsid w:val="004E2D42"/>
    <w:rsid w:val="004E4BAE"/>
    <w:rsid w:val="004E4BB3"/>
    <w:rsid w:val="004E6044"/>
    <w:rsid w:val="004E64BD"/>
    <w:rsid w:val="004E677A"/>
    <w:rsid w:val="004E7555"/>
    <w:rsid w:val="004E769E"/>
    <w:rsid w:val="004F16AF"/>
    <w:rsid w:val="004F192B"/>
    <w:rsid w:val="004F3BFC"/>
    <w:rsid w:val="004F420C"/>
    <w:rsid w:val="004F5D26"/>
    <w:rsid w:val="004F5FED"/>
    <w:rsid w:val="004F7614"/>
    <w:rsid w:val="004F7A6A"/>
    <w:rsid w:val="00501C78"/>
    <w:rsid w:val="00504738"/>
    <w:rsid w:val="00511AEA"/>
    <w:rsid w:val="00511E43"/>
    <w:rsid w:val="00512A87"/>
    <w:rsid w:val="00512CA9"/>
    <w:rsid w:val="00514BE6"/>
    <w:rsid w:val="00516299"/>
    <w:rsid w:val="005164F0"/>
    <w:rsid w:val="00516773"/>
    <w:rsid w:val="00516EB0"/>
    <w:rsid w:val="005210F8"/>
    <w:rsid w:val="00521209"/>
    <w:rsid w:val="00521B39"/>
    <w:rsid w:val="00521CC1"/>
    <w:rsid w:val="005236E7"/>
    <w:rsid w:val="00524F8B"/>
    <w:rsid w:val="00524FE7"/>
    <w:rsid w:val="005261CC"/>
    <w:rsid w:val="00526A88"/>
    <w:rsid w:val="00526D30"/>
    <w:rsid w:val="005272AF"/>
    <w:rsid w:val="005275D1"/>
    <w:rsid w:val="005277C1"/>
    <w:rsid w:val="00530A9C"/>
    <w:rsid w:val="00534F92"/>
    <w:rsid w:val="00535460"/>
    <w:rsid w:val="00536DFC"/>
    <w:rsid w:val="00542433"/>
    <w:rsid w:val="0054631F"/>
    <w:rsid w:val="005464D5"/>
    <w:rsid w:val="00547F27"/>
    <w:rsid w:val="005502BD"/>
    <w:rsid w:val="00550781"/>
    <w:rsid w:val="00550A72"/>
    <w:rsid w:val="00550F8A"/>
    <w:rsid w:val="0055109E"/>
    <w:rsid w:val="005532F6"/>
    <w:rsid w:val="005533D2"/>
    <w:rsid w:val="00554EBC"/>
    <w:rsid w:val="005565DF"/>
    <w:rsid w:val="005614D0"/>
    <w:rsid w:val="0056152C"/>
    <w:rsid w:val="0056224E"/>
    <w:rsid w:val="00562874"/>
    <w:rsid w:val="00562F0A"/>
    <w:rsid w:val="00563108"/>
    <w:rsid w:val="005642DC"/>
    <w:rsid w:val="00564A86"/>
    <w:rsid w:val="00564EA1"/>
    <w:rsid w:val="00565268"/>
    <w:rsid w:val="00565AA5"/>
    <w:rsid w:val="0056615F"/>
    <w:rsid w:val="0056768D"/>
    <w:rsid w:val="00567808"/>
    <w:rsid w:val="00567C46"/>
    <w:rsid w:val="00567DB9"/>
    <w:rsid w:val="0057222C"/>
    <w:rsid w:val="005734C9"/>
    <w:rsid w:val="005758FF"/>
    <w:rsid w:val="00576132"/>
    <w:rsid w:val="00576241"/>
    <w:rsid w:val="00576D0A"/>
    <w:rsid w:val="005779C5"/>
    <w:rsid w:val="00580BE3"/>
    <w:rsid w:val="00582021"/>
    <w:rsid w:val="005823CD"/>
    <w:rsid w:val="00582F3F"/>
    <w:rsid w:val="00583768"/>
    <w:rsid w:val="00584AE6"/>
    <w:rsid w:val="00591112"/>
    <w:rsid w:val="00595728"/>
    <w:rsid w:val="00596977"/>
    <w:rsid w:val="005A0D3F"/>
    <w:rsid w:val="005A1E41"/>
    <w:rsid w:val="005A2157"/>
    <w:rsid w:val="005A2B36"/>
    <w:rsid w:val="005A39B8"/>
    <w:rsid w:val="005A3CF9"/>
    <w:rsid w:val="005A5591"/>
    <w:rsid w:val="005A5877"/>
    <w:rsid w:val="005A6126"/>
    <w:rsid w:val="005A7E20"/>
    <w:rsid w:val="005B2561"/>
    <w:rsid w:val="005B2E7B"/>
    <w:rsid w:val="005B543F"/>
    <w:rsid w:val="005B55F0"/>
    <w:rsid w:val="005B55FC"/>
    <w:rsid w:val="005B762F"/>
    <w:rsid w:val="005C0613"/>
    <w:rsid w:val="005C0B8B"/>
    <w:rsid w:val="005C20D2"/>
    <w:rsid w:val="005C24E8"/>
    <w:rsid w:val="005C37C7"/>
    <w:rsid w:val="005C5A8B"/>
    <w:rsid w:val="005C641E"/>
    <w:rsid w:val="005C6994"/>
    <w:rsid w:val="005D0F3F"/>
    <w:rsid w:val="005D1B2E"/>
    <w:rsid w:val="005D1EF1"/>
    <w:rsid w:val="005D230B"/>
    <w:rsid w:val="005D32C8"/>
    <w:rsid w:val="005D4F1E"/>
    <w:rsid w:val="005D543E"/>
    <w:rsid w:val="005E22F9"/>
    <w:rsid w:val="005E2E27"/>
    <w:rsid w:val="005E2EA2"/>
    <w:rsid w:val="005E5BAB"/>
    <w:rsid w:val="005E6396"/>
    <w:rsid w:val="005E64A8"/>
    <w:rsid w:val="005E777F"/>
    <w:rsid w:val="005F0B05"/>
    <w:rsid w:val="005F0F23"/>
    <w:rsid w:val="005F1626"/>
    <w:rsid w:val="005F1B76"/>
    <w:rsid w:val="005F1D8B"/>
    <w:rsid w:val="005F23BA"/>
    <w:rsid w:val="005F3383"/>
    <w:rsid w:val="005F3605"/>
    <w:rsid w:val="005F5ECB"/>
    <w:rsid w:val="005F6C3C"/>
    <w:rsid w:val="005F7E5C"/>
    <w:rsid w:val="0060781D"/>
    <w:rsid w:val="00610642"/>
    <w:rsid w:val="006107C6"/>
    <w:rsid w:val="00611E08"/>
    <w:rsid w:val="006125E8"/>
    <w:rsid w:val="006148E9"/>
    <w:rsid w:val="00614AFC"/>
    <w:rsid w:val="0061546B"/>
    <w:rsid w:val="006175C7"/>
    <w:rsid w:val="0062037D"/>
    <w:rsid w:val="00621969"/>
    <w:rsid w:val="00622705"/>
    <w:rsid w:val="00625B42"/>
    <w:rsid w:val="00626767"/>
    <w:rsid w:val="00626A72"/>
    <w:rsid w:val="00627710"/>
    <w:rsid w:val="00627A13"/>
    <w:rsid w:val="00627AC2"/>
    <w:rsid w:val="00630A24"/>
    <w:rsid w:val="00630BC2"/>
    <w:rsid w:val="00630C80"/>
    <w:rsid w:val="006311E7"/>
    <w:rsid w:val="0063149A"/>
    <w:rsid w:val="00634E60"/>
    <w:rsid w:val="00636AF4"/>
    <w:rsid w:val="00637269"/>
    <w:rsid w:val="00640A65"/>
    <w:rsid w:val="00643FEB"/>
    <w:rsid w:val="0064409F"/>
    <w:rsid w:val="00647E1D"/>
    <w:rsid w:val="006501E7"/>
    <w:rsid w:val="006533DF"/>
    <w:rsid w:val="00654CCB"/>
    <w:rsid w:val="00655E96"/>
    <w:rsid w:val="00660528"/>
    <w:rsid w:val="00660780"/>
    <w:rsid w:val="00660C09"/>
    <w:rsid w:val="00663F56"/>
    <w:rsid w:val="00664033"/>
    <w:rsid w:val="00664B38"/>
    <w:rsid w:val="00664FC8"/>
    <w:rsid w:val="00665539"/>
    <w:rsid w:val="006676A4"/>
    <w:rsid w:val="006724EE"/>
    <w:rsid w:val="00672D2A"/>
    <w:rsid w:val="00677B49"/>
    <w:rsid w:val="00681119"/>
    <w:rsid w:val="00682AC4"/>
    <w:rsid w:val="00682D9E"/>
    <w:rsid w:val="00685064"/>
    <w:rsid w:val="00686209"/>
    <w:rsid w:val="00687CF9"/>
    <w:rsid w:val="00690C90"/>
    <w:rsid w:val="00691E6A"/>
    <w:rsid w:val="006931BB"/>
    <w:rsid w:val="00693ACB"/>
    <w:rsid w:val="00696821"/>
    <w:rsid w:val="006A168B"/>
    <w:rsid w:val="006A227A"/>
    <w:rsid w:val="006A3D0A"/>
    <w:rsid w:val="006A4738"/>
    <w:rsid w:val="006A63F8"/>
    <w:rsid w:val="006A773F"/>
    <w:rsid w:val="006B3114"/>
    <w:rsid w:val="006B495B"/>
    <w:rsid w:val="006B59F2"/>
    <w:rsid w:val="006B6B02"/>
    <w:rsid w:val="006C0690"/>
    <w:rsid w:val="006C17CE"/>
    <w:rsid w:val="006C1AE2"/>
    <w:rsid w:val="006C1F3A"/>
    <w:rsid w:val="006C405B"/>
    <w:rsid w:val="006C606D"/>
    <w:rsid w:val="006C73AC"/>
    <w:rsid w:val="006D1EF5"/>
    <w:rsid w:val="006D2710"/>
    <w:rsid w:val="006D30FA"/>
    <w:rsid w:val="006D3CC4"/>
    <w:rsid w:val="006D3E0A"/>
    <w:rsid w:val="006D470D"/>
    <w:rsid w:val="006D52EA"/>
    <w:rsid w:val="006D583B"/>
    <w:rsid w:val="006D6A1B"/>
    <w:rsid w:val="006D7A4C"/>
    <w:rsid w:val="006E00F6"/>
    <w:rsid w:val="006E1C33"/>
    <w:rsid w:val="006E2A7E"/>
    <w:rsid w:val="006E2FC6"/>
    <w:rsid w:val="006E3EC0"/>
    <w:rsid w:val="006E771B"/>
    <w:rsid w:val="006F13C6"/>
    <w:rsid w:val="006F38E0"/>
    <w:rsid w:val="006F3D32"/>
    <w:rsid w:val="006F4985"/>
    <w:rsid w:val="006F6580"/>
    <w:rsid w:val="006F74E5"/>
    <w:rsid w:val="007009B5"/>
    <w:rsid w:val="00703856"/>
    <w:rsid w:val="007065CE"/>
    <w:rsid w:val="007079B4"/>
    <w:rsid w:val="00710E02"/>
    <w:rsid w:val="00711DBC"/>
    <w:rsid w:val="00714F27"/>
    <w:rsid w:val="00715A6A"/>
    <w:rsid w:val="0071656C"/>
    <w:rsid w:val="007206B6"/>
    <w:rsid w:val="00721DCA"/>
    <w:rsid w:val="0072440F"/>
    <w:rsid w:val="007245B8"/>
    <w:rsid w:val="007255EE"/>
    <w:rsid w:val="007264DB"/>
    <w:rsid w:val="00726B34"/>
    <w:rsid w:val="0073123F"/>
    <w:rsid w:val="007332B9"/>
    <w:rsid w:val="00734E8A"/>
    <w:rsid w:val="007377E3"/>
    <w:rsid w:val="00741274"/>
    <w:rsid w:val="00741B97"/>
    <w:rsid w:val="007423AD"/>
    <w:rsid w:val="0074324F"/>
    <w:rsid w:val="00743A2A"/>
    <w:rsid w:val="007440A0"/>
    <w:rsid w:val="007447C6"/>
    <w:rsid w:val="0074669C"/>
    <w:rsid w:val="007473D6"/>
    <w:rsid w:val="007503C8"/>
    <w:rsid w:val="00751848"/>
    <w:rsid w:val="00751863"/>
    <w:rsid w:val="00755869"/>
    <w:rsid w:val="00756342"/>
    <w:rsid w:val="00756700"/>
    <w:rsid w:val="007572D7"/>
    <w:rsid w:val="0075738C"/>
    <w:rsid w:val="00757D0A"/>
    <w:rsid w:val="00761170"/>
    <w:rsid w:val="00761208"/>
    <w:rsid w:val="00764DB1"/>
    <w:rsid w:val="00765944"/>
    <w:rsid w:val="007670F1"/>
    <w:rsid w:val="00770A4D"/>
    <w:rsid w:val="00770F8D"/>
    <w:rsid w:val="0077312B"/>
    <w:rsid w:val="007739F1"/>
    <w:rsid w:val="00775139"/>
    <w:rsid w:val="00775AF2"/>
    <w:rsid w:val="00777DAB"/>
    <w:rsid w:val="00780681"/>
    <w:rsid w:val="007809C0"/>
    <w:rsid w:val="007817AE"/>
    <w:rsid w:val="00783BBB"/>
    <w:rsid w:val="00784B91"/>
    <w:rsid w:val="00786A10"/>
    <w:rsid w:val="00790673"/>
    <w:rsid w:val="007907B8"/>
    <w:rsid w:val="0079322E"/>
    <w:rsid w:val="00796535"/>
    <w:rsid w:val="0079784F"/>
    <w:rsid w:val="00797DF3"/>
    <w:rsid w:val="007A2C41"/>
    <w:rsid w:val="007B0026"/>
    <w:rsid w:val="007B0563"/>
    <w:rsid w:val="007B152B"/>
    <w:rsid w:val="007B19A6"/>
    <w:rsid w:val="007B4027"/>
    <w:rsid w:val="007B47ED"/>
    <w:rsid w:val="007B583A"/>
    <w:rsid w:val="007B5B75"/>
    <w:rsid w:val="007B74E1"/>
    <w:rsid w:val="007C03A8"/>
    <w:rsid w:val="007C0688"/>
    <w:rsid w:val="007C1018"/>
    <w:rsid w:val="007C2086"/>
    <w:rsid w:val="007C254E"/>
    <w:rsid w:val="007C3645"/>
    <w:rsid w:val="007C47E9"/>
    <w:rsid w:val="007C58F2"/>
    <w:rsid w:val="007C6278"/>
    <w:rsid w:val="007D371D"/>
    <w:rsid w:val="007D486B"/>
    <w:rsid w:val="007D4AD3"/>
    <w:rsid w:val="007D5312"/>
    <w:rsid w:val="007D6B9F"/>
    <w:rsid w:val="007E02BD"/>
    <w:rsid w:val="007E3D5F"/>
    <w:rsid w:val="007E5076"/>
    <w:rsid w:val="007E52AE"/>
    <w:rsid w:val="007E6BFD"/>
    <w:rsid w:val="007E7E1E"/>
    <w:rsid w:val="007F0B36"/>
    <w:rsid w:val="007F10F2"/>
    <w:rsid w:val="007F6596"/>
    <w:rsid w:val="007F7102"/>
    <w:rsid w:val="0080079E"/>
    <w:rsid w:val="00803C77"/>
    <w:rsid w:val="008047D5"/>
    <w:rsid w:val="00804927"/>
    <w:rsid w:val="00805052"/>
    <w:rsid w:val="00805566"/>
    <w:rsid w:val="00806867"/>
    <w:rsid w:val="008115DF"/>
    <w:rsid w:val="00813F4E"/>
    <w:rsid w:val="008154E3"/>
    <w:rsid w:val="00815DAA"/>
    <w:rsid w:val="00815E8C"/>
    <w:rsid w:val="00816D45"/>
    <w:rsid w:val="008175D9"/>
    <w:rsid w:val="008211F7"/>
    <w:rsid w:val="008220F0"/>
    <w:rsid w:val="008236DE"/>
    <w:rsid w:val="00823B24"/>
    <w:rsid w:val="00824784"/>
    <w:rsid w:val="008269D9"/>
    <w:rsid w:val="008274B8"/>
    <w:rsid w:val="00830693"/>
    <w:rsid w:val="008318ED"/>
    <w:rsid w:val="00834368"/>
    <w:rsid w:val="0083492F"/>
    <w:rsid w:val="008353A8"/>
    <w:rsid w:val="00835D2B"/>
    <w:rsid w:val="00840B8D"/>
    <w:rsid w:val="00843066"/>
    <w:rsid w:val="00843B03"/>
    <w:rsid w:val="00846509"/>
    <w:rsid w:val="00847835"/>
    <w:rsid w:val="00847AE1"/>
    <w:rsid w:val="0085092D"/>
    <w:rsid w:val="00850BCC"/>
    <w:rsid w:val="008518EC"/>
    <w:rsid w:val="00852511"/>
    <w:rsid w:val="00853C60"/>
    <w:rsid w:val="0085461F"/>
    <w:rsid w:val="008557CE"/>
    <w:rsid w:val="008561B6"/>
    <w:rsid w:val="008605A1"/>
    <w:rsid w:val="00864652"/>
    <w:rsid w:val="00865944"/>
    <w:rsid w:val="00865D94"/>
    <w:rsid w:val="00866061"/>
    <w:rsid w:val="00867B7C"/>
    <w:rsid w:val="00867DCA"/>
    <w:rsid w:val="00872F08"/>
    <w:rsid w:val="008743A5"/>
    <w:rsid w:val="0087450B"/>
    <w:rsid w:val="0087474F"/>
    <w:rsid w:val="008758F7"/>
    <w:rsid w:val="0087650E"/>
    <w:rsid w:val="008773BD"/>
    <w:rsid w:val="008804FD"/>
    <w:rsid w:val="008808BC"/>
    <w:rsid w:val="008819DC"/>
    <w:rsid w:val="008820B8"/>
    <w:rsid w:val="00882F1A"/>
    <w:rsid w:val="00883DA3"/>
    <w:rsid w:val="00886DAF"/>
    <w:rsid w:val="00890696"/>
    <w:rsid w:val="00890750"/>
    <w:rsid w:val="008909A1"/>
    <w:rsid w:val="008913B3"/>
    <w:rsid w:val="008926F2"/>
    <w:rsid w:val="00892AFE"/>
    <w:rsid w:val="00893A2C"/>
    <w:rsid w:val="00893B84"/>
    <w:rsid w:val="00893D62"/>
    <w:rsid w:val="00893F4F"/>
    <w:rsid w:val="0089457A"/>
    <w:rsid w:val="00894B63"/>
    <w:rsid w:val="00895857"/>
    <w:rsid w:val="00896A5A"/>
    <w:rsid w:val="008A26D4"/>
    <w:rsid w:val="008A2B56"/>
    <w:rsid w:val="008A2D91"/>
    <w:rsid w:val="008A3193"/>
    <w:rsid w:val="008A3E59"/>
    <w:rsid w:val="008A68A3"/>
    <w:rsid w:val="008A69A5"/>
    <w:rsid w:val="008A7E9A"/>
    <w:rsid w:val="008B1097"/>
    <w:rsid w:val="008B1147"/>
    <w:rsid w:val="008B3711"/>
    <w:rsid w:val="008B3BB4"/>
    <w:rsid w:val="008B669F"/>
    <w:rsid w:val="008C08B0"/>
    <w:rsid w:val="008C197F"/>
    <w:rsid w:val="008C37FD"/>
    <w:rsid w:val="008C4B81"/>
    <w:rsid w:val="008C4DAA"/>
    <w:rsid w:val="008C6A52"/>
    <w:rsid w:val="008C7740"/>
    <w:rsid w:val="008D1A07"/>
    <w:rsid w:val="008D21FF"/>
    <w:rsid w:val="008D2B40"/>
    <w:rsid w:val="008D6966"/>
    <w:rsid w:val="008E291C"/>
    <w:rsid w:val="008E2F96"/>
    <w:rsid w:val="008E6D70"/>
    <w:rsid w:val="008F044E"/>
    <w:rsid w:val="008F0D0C"/>
    <w:rsid w:val="008F11B4"/>
    <w:rsid w:val="008F168F"/>
    <w:rsid w:val="008F18E9"/>
    <w:rsid w:val="008F309A"/>
    <w:rsid w:val="008F6BF6"/>
    <w:rsid w:val="008F6CB4"/>
    <w:rsid w:val="008F7165"/>
    <w:rsid w:val="009017E0"/>
    <w:rsid w:val="00901954"/>
    <w:rsid w:val="00905820"/>
    <w:rsid w:val="00905C89"/>
    <w:rsid w:val="009062F6"/>
    <w:rsid w:val="009066D7"/>
    <w:rsid w:val="00906B97"/>
    <w:rsid w:val="0091069E"/>
    <w:rsid w:val="00910823"/>
    <w:rsid w:val="00912309"/>
    <w:rsid w:val="0091231E"/>
    <w:rsid w:val="0091419C"/>
    <w:rsid w:val="009171DD"/>
    <w:rsid w:val="00920666"/>
    <w:rsid w:val="009213EB"/>
    <w:rsid w:val="009220AC"/>
    <w:rsid w:val="009226D4"/>
    <w:rsid w:val="009247B8"/>
    <w:rsid w:val="0092531E"/>
    <w:rsid w:val="009267E3"/>
    <w:rsid w:val="00926C3F"/>
    <w:rsid w:val="0093013E"/>
    <w:rsid w:val="00932813"/>
    <w:rsid w:val="00933975"/>
    <w:rsid w:val="009375E5"/>
    <w:rsid w:val="00941496"/>
    <w:rsid w:val="00941996"/>
    <w:rsid w:val="00942FE7"/>
    <w:rsid w:val="00943D3B"/>
    <w:rsid w:val="00944D44"/>
    <w:rsid w:val="00945104"/>
    <w:rsid w:val="009451F8"/>
    <w:rsid w:val="009515DE"/>
    <w:rsid w:val="009517AC"/>
    <w:rsid w:val="00953C98"/>
    <w:rsid w:val="00954506"/>
    <w:rsid w:val="0096008C"/>
    <w:rsid w:val="00965210"/>
    <w:rsid w:val="0096706F"/>
    <w:rsid w:val="00967B16"/>
    <w:rsid w:val="00970FB6"/>
    <w:rsid w:val="00972659"/>
    <w:rsid w:val="00972C31"/>
    <w:rsid w:val="009730AE"/>
    <w:rsid w:val="009730C6"/>
    <w:rsid w:val="009738BD"/>
    <w:rsid w:val="009751CD"/>
    <w:rsid w:val="0097734D"/>
    <w:rsid w:val="009800D4"/>
    <w:rsid w:val="00980C2C"/>
    <w:rsid w:val="009810EE"/>
    <w:rsid w:val="00981902"/>
    <w:rsid w:val="009823CC"/>
    <w:rsid w:val="00984011"/>
    <w:rsid w:val="009875D9"/>
    <w:rsid w:val="009945AB"/>
    <w:rsid w:val="00994621"/>
    <w:rsid w:val="00994DA5"/>
    <w:rsid w:val="00995BF0"/>
    <w:rsid w:val="00997023"/>
    <w:rsid w:val="009A0915"/>
    <w:rsid w:val="009A1EEA"/>
    <w:rsid w:val="009A51EB"/>
    <w:rsid w:val="009A7459"/>
    <w:rsid w:val="009B1EE3"/>
    <w:rsid w:val="009B2BCA"/>
    <w:rsid w:val="009B353C"/>
    <w:rsid w:val="009B4208"/>
    <w:rsid w:val="009B4D44"/>
    <w:rsid w:val="009B5595"/>
    <w:rsid w:val="009B6587"/>
    <w:rsid w:val="009B7247"/>
    <w:rsid w:val="009C0C26"/>
    <w:rsid w:val="009C243C"/>
    <w:rsid w:val="009C334E"/>
    <w:rsid w:val="009C431F"/>
    <w:rsid w:val="009C6308"/>
    <w:rsid w:val="009D1E25"/>
    <w:rsid w:val="009D2353"/>
    <w:rsid w:val="009D3070"/>
    <w:rsid w:val="009D3237"/>
    <w:rsid w:val="009D32B4"/>
    <w:rsid w:val="009D7DAA"/>
    <w:rsid w:val="009E0F53"/>
    <w:rsid w:val="009E263A"/>
    <w:rsid w:val="009E2D3D"/>
    <w:rsid w:val="009E3759"/>
    <w:rsid w:val="009E4006"/>
    <w:rsid w:val="009E4363"/>
    <w:rsid w:val="009E53F0"/>
    <w:rsid w:val="009E5771"/>
    <w:rsid w:val="009E5FDA"/>
    <w:rsid w:val="009E753D"/>
    <w:rsid w:val="009F0522"/>
    <w:rsid w:val="009F061D"/>
    <w:rsid w:val="009F10E5"/>
    <w:rsid w:val="009F11A5"/>
    <w:rsid w:val="009F2C14"/>
    <w:rsid w:val="009F4BEB"/>
    <w:rsid w:val="009F5678"/>
    <w:rsid w:val="009F5DE0"/>
    <w:rsid w:val="00A0142D"/>
    <w:rsid w:val="00A01AE2"/>
    <w:rsid w:val="00A05297"/>
    <w:rsid w:val="00A07134"/>
    <w:rsid w:val="00A13392"/>
    <w:rsid w:val="00A13B0B"/>
    <w:rsid w:val="00A1760D"/>
    <w:rsid w:val="00A20098"/>
    <w:rsid w:val="00A20F9F"/>
    <w:rsid w:val="00A21ADC"/>
    <w:rsid w:val="00A226A6"/>
    <w:rsid w:val="00A2329D"/>
    <w:rsid w:val="00A23437"/>
    <w:rsid w:val="00A278D4"/>
    <w:rsid w:val="00A27D91"/>
    <w:rsid w:val="00A310D9"/>
    <w:rsid w:val="00A31918"/>
    <w:rsid w:val="00A31E05"/>
    <w:rsid w:val="00A354C8"/>
    <w:rsid w:val="00A3694A"/>
    <w:rsid w:val="00A36F46"/>
    <w:rsid w:val="00A3743C"/>
    <w:rsid w:val="00A411C7"/>
    <w:rsid w:val="00A425E3"/>
    <w:rsid w:val="00A4325F"/>
    <w:rsid w:val="00A4789E"/>
    <w:rsid w:val="00A52384"/>
    <w:rsid w:val="00A52445"/>
    <w:rsid w:val="00A52452"/>
    <w:rsid w:val="00A52649"/>
    <w:rsid w:val="00A528A8"/>
    <w:rsid w:val="00A535E3"/>
    <w:rsid w:val="00A5714C"/>
    <w:rsid w:val="00A57543"/>
    <w:rsid w:val="00A626EC"/>
    <w:rsid w:val="00A6512D"/>
    <w:rsid w:val="00A6541E"/>
    <w:rsid w:val="00A6637E"/>
    <w:rsid w:val="00A66908"/>
    <w:rsid w:val="00A67954"/>
    <w:rsid w:val="00A70CB4"/>
    <w:rsid w:val="00A712AA"/>
    <w:rsid w:val="00A75658"/>
    <w:rsid w:val="00A80EFD"/>
    <w:rsid w:val="00A81672"/>
    <w:rsid w:val="00A825F4"/>
    <w:rsid w:val="00A832CD"/>
    <w:rsid w:val="00A84890"/>
    <w:rsid w:val="00A8541A"/>
    <w:rsid w:val="00A8577E"/>
    <w:rsid w:val="00A85C05"/>
    <w:rsid w:val="00A86105"/>
    <w:rsid w:val="00A86FAD"/>
    <w:rsid w:val="00A87051"/>
    <w:rsid w:val="00A91028"/>
    <w:rsid w:val="00A91D21"/>
    <w:rsid w:val="00A9292E"/>
    <w:rsid w:val="00A93235"/>
    <w:rsid w:val="00A93C85"/>
    <w:rsid w:val="00A94F2E"/>
    <w:rsid w:val="00A95EAB"/>
    <w:rsid w:val="00A9608D"/>
    <w:rsid w:val="00AA024C"/>
    <w:rsid w:val="00AA11DD"/>
    <w:rsid w:val="00AA2946"/>
    <w:rsid w:val="00AA3876"/>
    <w:rsid w:val="00AA3F00"/>
    <w:rsid w:val="00AA5B5D"/>
    <w:rsid w:val="00AB56D6"/>
    <w:rsid w:val="00AB57C5"/>
    <w:rsid w:val="00AB5AD7"/>
    <w:rsid w:val="00AC10EC"/>
    <w:rsid w:val="00AC34CA"/>
    <w:rsid w:val="00AC457D"/>
    <w:rsid w:val="00AC5938"/>
    <w:rsid w:val="00AC71C7"/>
    <w:rsid w:val="00AC722B"/>
    <w:rsid w:val="00AC77AE"/>
    <w:rsid w:val="00AD0E11"/>
    <w:rsid w:val="00AD567F"/>
    <w:rsid w:val="00AD573E"/>
    <w:rsid w:val="00AD670A"/>
    <w:rsid w:val="00AD797D"/>
    <w:rsid w:val="00AE25BA"/>
    <w:rsid w:val="00AE6A39"/>
    <w:rsid w:val="00AE6FFD"/>
    <w:rsid w:val="00AE7135"/>
    <w:rsid w:val="00AE72C9"/>
    <w:rsid w:val="00AF1429"/>
    <w:rsid w:val="00AF29CC"/>
    <w:rsid w:val="00AF35C6"/>
    <w:rsid w:val="00AF38CD"/>
    <w:rsid w:val="00AF3DF1"/>
    <w:rsid w:val="00AF41DB"/>
    <w:rsid w:val="00AF47E3"/>
    <w:rsid w:val="00AF697C"/>
    <w:rsid w:val="00AF6F2D"/>
    <w:rsid w:val="00B019F5"/>
    <w:rsid w:val="00B01BFD"/>
    <w:rsid w:val="00B03A8D"/>
    <w:rsid w:val="00B04EF9"/>
    <w:rsid w:val="00B0549A"/>
    <w:rsid w:val="00B06317"/>
    <w:rsid w:val="00B07E9D"/>
    <w:rsid w:val="00B1018C"/>
    <w:rsid w:val="00B102B5"/>
    <w:rsid w:val="00B10EC1"/>
    <w:rsid w:val="00B12B68"/>
    <w:rsid w:val="00B1392B"/>
    <w:rsid w:val="00B14EBA"/>
    <w:rsid w:val="00B15554"/>
    <w:rsid w:val="00B158ED"/>
    <w:rsid w:val="00B16108"/>
    <w:rsid w:val="00B16FE4"/>
    <w:rsid w:val="00B17F10"/>
    <w:rsid w:val="00B2162E"/>
    <w:rsid w:val="00B245B0"/>
    <w:rsid w:val="00B267A8"/>
    <w:rsid w:val="00B278CA"/>
    <w:rsid w:val="00B27AC5"/>
    <w:rsid w:val="00B27AD9"/>
    <w:rsid w:val="00B312D1"/>
    <w:rsid w:val="00B319BB"/>
    <w:rsid w:val="00B33626"/>
    <w:rsid w:val="00B340A1"/>
    <w:rsid w:val="00B34526"/>
    <w:rsid w:val="00B355E7"/>
    <w:rsid w:val="00B36125"/>
    <w:rsid w:val="00B4077B"/>
    <w:rsid w:val="00B40B76"/>
    <w:rsid w:val="00B410CB"/>
    <w:rsid w:val="00B45D4C"/>
    <w:rsid w:val="00B46171"/>
    <w:rsid w:val="00B468B0"/>
    <w:rsid w:val="00B47273"/>
    <w:rsid w:val="00B4746A"/>
    <w:rsid w:val="00B50C68"/>
    <w:rsid w:val="00B51B39"/>
    <w:rsid w:val="00B52F25"/>
    <w:rsid w:val="00B543EC"/>
    <w:rsid w:val="00B55F4B"/>
    <w:rsid w:val="00B57033"/>
    <w:rsid w:val="00B57779"/>
    <w:rsid w:val="00B57A98"/>
    <w:rsid w:val="00B61E7B"/>
    <w:rsid w:val="00B62300"/>
    <w:rsid w:val="00B6355B"/>
    <w:rsid w:val="00B646D9"/>
    <w:rsid w:val="00B64F3D"/>
    <w:rsid w:val="00B663E0"/>
    <w:rsid w:val="00B66F2F"/>
    <w:rsid w:val="00B672E8"/>
    <w:rsid w:val="00B675AD"/>
    <w:rsid w:val="00B70843"/>
    <w:rsid w:val="00B7203A"/>
    <w:rsid w:val="00B7203C"/>
    <w:rsid w:val="00B72F24"/>
    <w:rsid w:val="00B760FF"/>
    <w:rsid w:val="00B77859"/>
    <w:rsid w:val="00B77C49"/>
    <w:rsid w:val="00B8187C"/>
    <w:rsid w:val="00B81B9C"/>
    <w:rsid w:val="00B81DB0"/>
    <w:rsid w:val="00B83990"/>
    <w:rsid w:val="00B83BFE"/>
    <w:rsid w:val="00B860B8"/>
    <w:rsid w:val="00B864EB"/>
    <w:rsid w:val="00B8670F"/>
    <w:rsid w:val="00B86A84"/>
    <w:rsid w:val="00B86E2F"/>
    <w:rsid w:val="00B90102"/>
    <w:rsid w:val="00B91483"/>
    <w:rsid w:val="00B926A3"/>
    <w:rsid w:val="00B945EA"/>
    <w:rsid w:val="00B95641"/>
    <w:rsid w:val="00B9606B"/>
    <w:rsid w:val="00B96671"/>
    <w:rsid w:val="00BA1C18"/>
    <w:rsid w:val="00BA1D8C"/>
    <w:rsid w:val="00BA31F3"/>
    <w:rsid w:val="00BA3E49"/>
    <w:rsid w:val="00BA5DC4"/>
    <w:rsid w:val="00BA5E46"/>
    <w:rsid w:val="00BA65D9"/>
    <w:rsid w:val="00BA6A36"/>
    <w:rsid w:val="00BB0637"/>
    <w:rsid w:val="00BB1841"/>
    <w:rsid w:val="00BB2BEF"/>
    <w:rsid w:val="00BB4084"/>
    <w:rsid w:val="00BC2047"/>
    <w:rsid w:val="00BC4B87"/>
    <w:rsid w:val="00BC5CB0"/>
    <w:rsid w:val="00BC5CD2"/>
    <w:rsid w:val="00BC6E3D"/>
    <w:rsid w:val="00BC7035"/>
    <w:rsid w:val="00BD14D6"/>
    <w:rsid w:val="00BD15D0"/>
    <w:rsid w:val="00BD3C5B"/>
    <w:rsid w:val="00BD414D"/>
    <w:rsid w:val="00BD4906"/>
    <w:rsid w:val="00BD57F0"/>
    <w:rsid w:val="00BD7067"/>
    <w:rsid w:val="00BD79BE"/>
    <w:rsid w:val="00BE044E"/>
    <w:rsid w:val="00BE2562"/>
    <w:rsid w:val="00BE2B72"/>
    <w:rsid w:val="00BE31D1"/>
    <w:rsid w:val="00BE436D"/>
    <w:rsid w:val="00BE4C7F"/>
    <w:rsid w:val="00BE4F2B"/>
    <w:rsid w:val="00BE6487"/>
    <w:rsid w:val="00BE7346"/>
    <w:rsid w:val="00BE7755"/>
    <w:rsid w:val="00BE7A46"/>
    <w:rsid w:val="00BF1B2C"/>
    <w:rsid w:val="00BF2345"/>
    <w:rsid w:val="00BF332E"/>
    <w:rsid w:val="00BF6B7E"/>
    <w:rsid w:val="00BF7BD2"/>
    <w:rsid w:val="00C00050"/>
    <w:rsid w:val="00C001AD"/>
    <w:rsid w:val="00C004F8"/>
    <w:rsid w:val="00C00CFB"/>
    <w:rsid w:val="00C01B82"/>
    <w:rsid w:val="00C036CD"/>
    <w:rsid w:val="00C045A4"/>
    <w:rsid w:val="00C05191"/>
    <w:rsid w:val="00C0554A"/>
    <w:rsid w:val="00C0630D"/>
    <w:rsid w:val="00C06F72"/>
    <w:rsid w:val="00C07264"/>
    <w:rsid w:val="00C0779D"/>
    <w:rsid w:val="00C07831"/>
    <w:rsid w:val="00C0788F"/>
    <w:rsid w:val="00C07D9A"/>
    <w:rsid w:val="00C07EF7"/>
    <w:rsid w:val="00C108BE"/>
    <w:rsid w:val="00C10B1E"/>
    <w:rsid w:val="00C1226A"/>
    <w:rsid w:val="00C13156"/>
    <w:rsid w:val="00C15D08"/>
    <w:rsid w:val="00C15D23"/>
    <w:rsid w:val="00C162AA"/>
    <w:rsid w:val="00C163DE"/>
    <w:rsid w:val="00C16CE7"/>
    <w:rsid w:val="00C16D2A"/>
    <w:rsid w:val="00C20A1A"/>
    <w:rsid w:val="00C22D8C"/>
    <w:rsid w:val="00C24186"/>
    <w:rsid w:val="00C246F7"/>
    <w:rsid w:val="00C24BFF"/>
    <w:rsid w:val="00C30DB2"/>
    <w:rsid w:val="00C314F5"/>
    <w:rsid w:val="00C3174F"/>
    <w:rsid w:val="00C31ABF"/>
    <w:rsid w:val="00C322A3"/>
    <w:rsid w:val="00C32421"/>
    <w:rsid w:val="00C33909"/>
    <w:rsid w:val="00C415C1"/>
    <w:rsid w:val="00C46A0D"/>
    <w:rsid w:val="00C47A16"/>
    <w:rsid w:val="00C51655"/>
    <w:rsid w:val="00C5180C"/>
    <w:rsid w:val="00C53861"/>
    <w:rsid w:val="00C53BAB"/>
    <w:rsid w:val="00C53E87"/>
    <w:rsid w:val="00C57635"/>
    <w:rsid w:val="00C6021A"/>
    <w:rsid w:val="00C61E15"/>
    <w:rsid w:val="00C61EDE"/>
    <w:rsid w:val="00C6221E"/>
    <w:rsid w:val="00C64A99"/>
    <w:rsid w:val="00C64EAD"/>
    <w:rsid w:val="00C65362"/>
    <w:rsid w:val="00C6681F"/>
    <w:rsid w:val="00C705AA"/>
    <w:rsid w:val="00C70F26"/>
    <w:rsid w:val="00C7209D"/>
    <w:rsid w:val="00C724E5"/>
    <w:rsid w:val="00C77866"/>
    <w:rsid w:val="00C82582"/>
    <w:rsid w:val="00C838A8"/>
    <w:rsid w:val="00C84150"/>
    <w:rsid w:val="00C85C44"/>
    <w:rsid w:val="00C860FA"/>
    <w:rsid w:val="00C87020"/>
    <w:rsid w:val="00C93A3A"/>
    <w:rsid w:val="00C9490D"/>
    <w:rsid w:val="00C94923"/>
    <w:rsid w:val="00C94EBD"/>
    <w:rsid w:val="00C95DE3"/>
    <w:rsid w:val="00CA0835"/>
    <w:rsid w:val="00CA44A2"/>
    <w:rsid w:val="00CA48BE"/>
    <w:rsid w:val="00CA5775"/>
    <w:rsid w:val="00CB08C9"/>
    <w:rsid w:val="00CB2666"/>
    <w:rsid w:val="00CB3A1E"/>
    <w:rsid w:val="00CB515D"/>
    <w:rsid w:val="00CB7F7F"/>
    <w:rsid w:val="00CC538D"/>
    <w:rsid w:val="00CC6C83"/>
    <w:rsid w:val="00CC6FAB"/>
    <w:rsid w:val="00CC7739"/>
    <w:rsid w:val="00CC77D9"/>
    <w:rsid w:val="00CD15F0"/>
    <w:rsid w:val="00CD1A54"/>
    <w:rsid w:val="00CD23BF"/>
    <w:rsid w:val="00CD2751"/>
    <w:rsid w:val="00CD2BFA"/>
    <w:rsid w:val="00CD3945"/>
    <w:rsid w:val="00CE1FE2"/>
    <w:rsid w:val="00CE220C"/>
    <w:rsid w:val="00CE34CE"/>
    <w:rsid w:val="00CE378F"/>
    <w:rsid w:val="00CE3885"/>
    <w:rsid w:val="00CE517E"/>
    <w:rsid w:val="00CE53CA"/>
    <w:rsid w:val="00CE58D3"/>
    <w:rsid w:val="00CE77B0"/>
    <w:rsid w:val="00CF20BE"/>
    <w:rsid w:val="00CF3D81"/>
    <w:rsid w:val="00D00171"/>
    <w:rsid w:val="00D0049B"/>
    <w:rsid w:val="00D0193E"/>
    <w:rsid w:val="00D01FBD"/>
    <w:rsid w:val="00D02287"/>
    <w:rsid w:val="00D036BF"/>
    <w:rsid w:val="00D049B3"/>
    <w:rsid w:val="00D0529D"/>
    <w:rsid w:val="00D05627"/>
    <w:rsid w:val="00D073AC"/>
    <w:rsid w:val="00D107A6"/>
    <w:rsid w:val="00D15D12"/>
    <w:rsid w:val="00D179A2"/>
    <w:rsid w:val="00D201C1"/>
    <w:rsid w:val="00D2241F"/>
    <w:rsid w:val="00D22CAE"/>
    <w:rsid w:val="00D230C8"/>
    <w:rsid w:val="00D24743"/>
    <w:rsid w:val="00D27BD6"/>
    <w:rsid w:val="00D308F8"/>
    <w:rsid w:val="00D323B7"/>
    <w:rsid w:val="00D352E9"/>
    <w:rsid w:val="00D35529"/>
    <w:rsid w:val="00D361A5"/>
    <w:rsid w:val="00D36D02"/>
    <w:rsid w:val="00D3711F"/>
    <w:rsid w:val="00D37523"/>
    <w:rsid w:val="00D4215E"/>
    <w:rsid w:val="00D43781"/>
    <w:rsid w:val="00D43A1F"/>
    <w:rsid w:val="00D44C51"/>
    <w:rsid w:val="00D44D8B"/>
    <w:rsid w:val="00D46C57"/>
    <w:rsid w:val="00D471A0"/>
    <w:rsid w:val="00D47590"/>
    <w:rsid w:val="00D53367"/>
    <w:rsid w:val="00D53541"/>
    <w:rsid w:val="00D54404"/>
    <w:rsid w:val="00D551D5"/>
    <w:rsid w:val="00D5656E"/>
    <w:rsid w:val="00D57C94"/>
    <w:rsid w:val="00D602A8"/>
    <w:rsid w:val="00D61450"/>
    <w:rsid w:val="00D61AE0"/>
    <w:rsid w:val="00D61F04"/>
    <w:rsid w:val="00D66A18"/>
    <w:rsid w:val="00D66B40"/>
    <w:rsid w:val="00D7021C"/>
    <w:rsid w:val="00D72DF6"/>
    <w:rsid w:val="00D76E1A"/>
    <w:rsid w:val="00D8033F"/>
    <w:rsid w:val="00D81164"/>
    <w:rsid w:val="00D81615"/>
    <w:rsid w:val="00D82ABA"/>
    <w:rsid w:val="00D83E37"/>
    <w:rsid w:val="00D84E76"/>
    <w:rsid w:val="00D9153D"/>
    <w:rsid w:val="00D94E6D"/>
    <w:rsid w:val="00D956A3"/>
    <w:rsid w:val="00DA04E9"/>
    <w:rsid w:val="00DA0710"/>
    <w:rsid w:val="00DA0742"/>
    <w:rsid w:val="00DA0C32"/>
    <w:rsid w:val="00DA0FA2"/>
    <w:rsid w:val="00DA2ECB"/>
    <w:rsid w:val="00DA2FC6"/>
    <w:rsid w:val="00DA3AF7"/>
    <w:rsid w:val="00DA4D16"/>
    <w:rsid w:val="00DA5D8B"/>
    <w:rsid w:val="00DA63D1"/>
    <w:rsid w:val="00DA6DBA"/>
    <w:rsid w:val="00DB0150"/>
    <w:rsid w:val="00DB4F4E"/>
    <w:rsid w:val="00DB5EAC"/>
    <w:rsid w:val="00DB7FEA"/>
    <w:rsid w:val="00DC12E5"/>
    <w:rsid w:val="00DC28A6"/>
    <w:rsid w:val="00DC5C18"/>
    <w:rsid w:val="00DC6337"/>
    <w:rsid w:val="00DC785A"/>
    <w:rsid w:val="00DC7C26"/>
    <w:rsid w:val="00DD1542"/>
    <w:rsid w:val="00DD4327"/>
    <w:rsid w:val="00DD4DEC"/>
    <w:rsid w:val="00DD5D0E"/>
    <w:rsid w:val="00DD6D64"/>
    <w:rsid w:val="00DE020A"/>
    <w:rsid w:val="00DE1B59"/>
    <w:rsid w:val="00DE2517"/>
    <w:rsid w:val="00DE3615"/>
    <w:rsid w:val="00DE3CAE"/>
    <w:rsid w:val="00DE4414"/>
    <w:rsid w:val="00DE52B4"/>
    <w:rsid w:val="00DE55C3"/>
    <w:rsid w:val="00DE5B90"/>
    <w:rsid w:val="00DE6E52"/>
    <w:rsid w:val="00DF05E9"/>
    <w:rsid w:val="00DF51BC"/>
    <w:rsid w:val="00E024BB"/>
    <w:rsid w:val="00E0325F"/>
    <w:rsid w:val="00E03EF4"/>
    <w:rsid w:val="00E04141"/>
    <w:rsid w:val="00E04343"/>
    <w:rsid w:val="00E04962"/>
    <w:rsid w:val="00E054F6"/>
    <w:rsid w:val="00E1110E"/>
    <w:rsid w:val="00E15546"/>
    <w:rsid w:val="00E161DC"/>
    <w:rsid w:val="00E16A66"/>
    <w:rsid w:val="00E2056C"/>
    <w:rsid w:val="00E2177C"/>
    <w:rsid w:val="00E232E2"/>
    <w:rsid w:val="00E24E0A"/>
    <w:rsid w:val="00E258A7"/>
    <w:rsid w:val="00E26D16"/>
    <w:rsid w:val="00E310A9"/>
    <w:rsid w:val="00E31C7C"/>
    <w:rsid w:val="00E32886"/>
    <w:rsid w:val="00E34B03"/>
    <w:rsid w:val="00E376CB"/>
    <w:rsid w:val="00E40002"/>
    <w:rsid w:val="00E41D33"/>
    <w:rsid w:val="00E42D85"/>
    <w:rsid w:val="00E4300F"/>
    <w:rsid w:val="00E510B6"/>
    <w:rsid w:val="00E53DAD"/>
    <w:rsid w:val="00E567FA"/>
    <w:rsid w:val="00E60C10"/>
    <w:rsid w:val="00E610BF"/>
    <w:rsid w:val="00E65622"/>
    <w:rsid w:val="00E7012D"/>
    <w:rsid w:val="00E70A63"/>
    <w:rsid w:val="00E70DB5"/>
    <w:rsid w:val="00E70FEE"/>
    <w:rsid w:val="00E723C2"/>
    <w:rsid w:val="00E756FA"/>
    <w:rsid w:val="00E75737"/>
    <w:rsid w:val="00E809FF"/>
    <w:rsid w:val="00E82D06"/>
    <w:rsid w:val="00E84536"/>
    <w:rsid w:val="00E8651D"/>
    <w:rsid w:val="00E867F1"/>
    <w:rsid w:val="00E86ABA"/>
    <w:rsid w:val="00E86C2D"/>
    <w:rsid w:val="00E8779E"/>
    <w:rsid w:val="00E90362"/>
    <w:rsid w:val="00E92D77"/>
    <w:rsid w:val="00E93999"/>
    <w:rsid w:val="00E93B33"/>
    <w:rsid w:val="00E95188"/>
    <w:rsid w:val="00E95EEA"/>
    <w:rsid w:val="00E96FCF"/>
    <w:rsid w:val="00E9730E"/>
    <w:rsid w:val="00E9739F"/>
    <w:rsid w:val="00E97A30"/>
    <w:rsid w:val="00EA03C6"/>
    <w:rsid w:val="00EA0ABF"/>
    <w:rsid w:val="00EA1335"/>
    <w:rsid w:val="00EA26AC"/>
    <w:rsid w:val="00EA2ED0"/>
    <w:rsid w:val="00EA5263"/>
    <w:rsid w:val="00EA5B43"/>
    <w:rsid w:val="00EA64A2"/>
    <w:rsid w:val="00EA738C"/>
    <w:rsid w:val="00EB02FA"/>
    <w:rsid w:val="00EB248B"/>
    <w:rsid w:val="00EB35B6"/>
    <w:rsid w:val="00EB4486"/>
    <w:rsid w:val="00EB4605"/>
    <w:rsid w:val="00EB4DD2"/>
    <w:rsid w:val="00EB6011"/>
    <w:rsid w:val="00EB753F"/>
    <w:rsid w:val="00EC0232"/>
    <w:rsid w:val="00EC1A2F"/>
    <w:rsid w:val="00EC1DEF"/>
    <w:rsid w:val="00EC3FAA"/>
    <w:rsid w:val="00EC5173"/>
    <w:rsid w:val="00EC604C"/>
    <w:rsid w:val="00EC7C48"/>
    <w:rsid w:val="00ED0410"/>
    <w:rsid w:val="00ED05CB"/>
    <w:rsid w:val="00ED231D"/>
    <w:rsid w:val="00ED28CA"/>
    <w:rsid w:val="00ED2A47"/>
    <w:rsid w:val="00ED2DBF"/>
    <w:rsid w:val="00ED304B"/>
    <w:rsid w:val="00ED31D7"/>
    <w:rsid w:val="00ED4662"/>
    <w:rsid w:val="00ED62BF"/>
    <w:rsid w:val="00ED79CA"/>
    <w:rsid w:val="00EE2739"/>
    <w:rsid w:val="00EE375A"/>
    <w:rsid w:val="00EE58AB"/>
    <w:rsid w:val="00EE7771"/>
    <w:rsid w:val="00EF1008"/>
    <w:rsid w:val="00EF2C22"/>
    <w:rsid w:val="00EF42A4"/>
    <w:rsid w:val="00EF475D"/>
    <w:rsid w:val="00F00C94"/>
    <w:rsid w:val="00F01543"/>
    <w:rsid w:val="00F01939"/>
    <w:rsid w:val="00F01D03"/>
    <w:rsid w:val="00F0496B"/>
    <w:rsid w:val="00F053A8"/>
    <w:rsid w:val="00F062B2"/>
    <w:rsid w:val="00F10282"/>
    <w:rsid w:val="00F1225C"/>
    <w:rsid w:val="00F125F5"/>
    <w:rsid w:val="00F13AE9"/>
    <w:rsid w:val="00F14458"/>
    <w:rsid w:val="00F147C6"/>
    <w:rsid w:val="00F174D4"/>
    <w:rsid w:val="00F2192A"/>
    <w:rsid w:val="00F22605"/>
    <w:rsid w:val="00F23412"/>
    <w:rsid w:val="00F236BE"/>
    <w:rsid w:val="00F26C7B"/>
    <w:rsid w:val="00F3188C"/>
    <w:rsid w:val="00F33406"/>
    <w:rsid w:val="00F34702"/>
    <w:rsid w:val="00F42B91"/>
    <w:rsid w:val="00F43D64"/>
    <w:rsid w:val="00F43E9A"/>
    <w:rsid w:val="00F45E5C"/>
    <w:rsid w:val="00F46C4C"/>
    <w:rsid w:val="00F50AC2"/>
    <w:rsid w:val="00F50DEB"/>
    <w:rsid w:val="00F515A4"/>
    <w:rsid w:val="00F52FC5"/>
    <w:rsid w:val="00F53119"/>
    <w:rsid w:val="00F53328"/>
    <w:rsid w:val="00F53C70"/>
    <w:rsid w:val="00F53C9C"/>
    <w:rsid w:val="00F53F79"/>
    <w:rsid w:val="00F544F7"/>
    <w:rsid w:val="00F54C6C"/>
    <w:rsid w:val="00F55857"/>
    <w:rsid w:val="00F5706D"/>
    <w:rsid w:val="00F57B0D"/>
    <w:rsid w:val="00F6131E"/>
    <w:rsid w:val="00F636CA"/>
    <w:rsid w:val="00F64416"/>
    <w:rsid w:val="00F7101D"/>
    <w:rsid w:val="00F73EEA"/>
    <w:rsid w:val="00F76092"/>
    <w:rsid w:val="00F766E0"/>
    <w:rsid w:val="00F76917"/>
    <w:rsid w:val="00F8189F"/>
    <w:rsid w:val="00F82166"/>
    <w:rsid w:val="00F82731"/>
    <w:rsid w:val="00F82CEC"/>
    <w:rsid w:val="00F845C4"/>
    <w:rsid w:val="00F872E7"/>
    <w:rsid w:val="00F87441"/>
    <w:rsid w:val="00F9291D"/>
    <w:rsid w:val="00F937E0"/>
    <w:rsid w:val="00F94874"/>
    <w:rsid w:val="00F96158"/>
    <w:rsid w:val="00F97924"/>
    <w:rsid w:val="00FA0EE0"/>
    <w:rsid w:val="00FA23CC"/>
    <w:rsid w:val="00FA494B"/>
    <w:rsid w:val="00FA647A"/>
    <w:rsid w:val="00FA6AE3"/>
    <w:rsid w:val="00FA7463"/>
    <w:rsid w:val="00FB186D"/>
    <w:rsid w:val="00FB1A3C"/>
    <w:rsid w:val="00FB2E3A"/>
    <w:rsid w:val="00FB3172"/>
    <w:rsid w:val="00FB3E3A"/>
    <w:rsid w:val="00FB68A3"/>
    <w:rsid w:val="00FB7F80"/>
    <w:rsid w:val="00FC2B3B"/>
    <w:rsid w:val="00FC3880"/>
    <w:rsid w:val="00FC4174"/>
    <w:rsid w:val="00FC4D17"/>
    <w:rsid w:val="00FC5271"/>
    <w:rsid w:val="00FC58FA"/>
    <w:rsid w:val="00FC7993"/>
    <w:rsid w:val="00FD1152"/>
    <w:rsid w:val="00FD205F"/>
    <w:rsid w:val="00FD2C07"/>
    <w:rsid w:val="00FD3831"/>
    <w:rsid w:val="00FD40D4"/>
    <w:rsid w:val="00FD4270"/>
    <w:rsid w:val="00FD592E"/>
    <w:rsid w:val="00FD6343"/>
    <w:rsid w:val="00FD698E"/>
    <w:rsid w:val="00FD6BD2"/>
    <w:rsid w:val="00FD7C16"/>
    <w:rsid w:val="00FE0048"/>
    <w:rsid w:val="00FE0FB4"/>
    <w:rsid w:val="00FE2A12"/>
    <w:rsid w:val="00FF16FB"/>
    <w:rsid w:val="00FF29DB"/>
    <w:rsid w:val="00FF4C46"/>
    <w:rsid w:val="00FF6494"/>
    <w:rsid w:val="00FF7799"/>
    <w:rsid w:val="02004570"/>
    <w:rsid w:val="02017C0E"/>
    <w:rsid w:val="022D6EB1"/>
    <w:rsid w:val="02A1111E"/>
    <w:rsid w:val="02A14633"/>
    <w:rsid w:val="02EA149B"/>
    <w:rsid w:val="02FC0103"/>
    <w:rsid w:val="03100052"/>
    <w:rsid w:val="03184FDD"/>
    <w:rsid w:val="036245CC"/>
    <w:rsid w:val="037B7D63"/>
    <w:rsid w:val="038E3FF0"/>
    <w:rsid w:val="03D16770"/>
    <w:rsid w:val="03D24412"/>
    <w:rsid w:val="03DE78EB"/>
    <w:rsid w:val="04073FBB"/>
    <w:rsid w:val="04207E0A"/>
    <w:rsid w:val="04895EF8"/>
    <w:rsid w:val="04CD4C20"/>
    <w:rsid w:val="050071C0"/>
    <w:rsid w:val="05193A57"/>
    <w:rsid w:val="060638F2"/>
    <w:rsid w:val="060F7133"/>
    <w:rsid w:val="065018C3"/>
    <w:rsid w:val="069C5834"/>
    <w:rsid w:val="06AF1AEC"/>
    <w:rsid w:val="06D358B6"/>
    <w:rsid w:val="06D575E9"/>
    <w:rsid w:val="07027CB2"/>
    <w:rsid w:val="077E7B93"/>
    <w:rsid w:val="08061630"/>
    <w:rsid w:val="081B06CA"/>
    <w:rsid w:val="08400A92"/>
    <w:rsid w:val="087D0F9F"/>
    <w:rsid w:val="08AD54F4"/>
    <w:rsid w:val="09774987"/>
    <w:rsid w:val="0A781DF1"/>
    <w:rsid w:val="0A9652E1"/>
    <w:rsid w:val="0B300542"/>
    <w:rsid w:val="0B790C6D"/>
    <w:rsid w:val="0BAB4DBC"/>
    <w:rsid w:val="0BB87FE9"/>
    <w:rsid w:val="0C7B653C"/>
    <w:rsid w:val="0CA87014"/>
    <w:rsid w:val="0CE00A95"/>
    <w:rsid w:val="0D392A9D"/>
    <w:rsid w:val="0D5A0848"/>
    <w:rsid w:val="0D674D12"/>
    <w:rsid w:val="0E71088B"/>
    <w:rsid w:val="0E9E0297"/>
    <w:rsid w:val="0EC66B7C"/>
    <w:rsid w:val="0EFB1BB6"/>
    <w:rsid w:val="0F220EF1"/>
    <w:rsid w:val="0F5030E2"/>
    <w:rsid w:val="0F563A4D"/>
    <w:rsid w:val="0F727893"/>
    <w:rsid w:val="0FC226D4"/>
    <w:rsid w:val="10632C39"/>
    <w:rsid w:val="11464637"/>
    <w:rsid w:val="12330692"/>
    <w:rsid w:val="12413D84"/>
    <w:rsid w:val="126F3D33"/>
    <w:rsid w:val="12FB4D13"/>
    <w:rsid w:val="13234AE7"/>
    <w:rsid w:val="13701EBE"/>
    <w:rsid w:val="13AB6423"/>
    <w:rsid w:val="13B5564F"/>
    <w:rsid w:val="13B84A4F"/>
    <w:rsid w:val="13CA11AE"/>
    <w:rsid w:val="13DC1FB6"/>
    <w:rsid w:val="13F529C5"/>
    <w:rsid w:val="14123C2A"/>
    <w:rsid w:val="143A6CDD"/>
    <w:rsid w:val="158C17BA"/>
    <w:rsid w:val="15F746EC"/>
    <w:rsid w:val="160B6ACC"/>
    <w:rsid w:val="167A1613"/>
    <w:rsid w:val="168A46BB"/>
    <w:rsid w:val="16A477BC"/>
    <w:rsid w:val="16E609A3"/>
    <w:rsid w:val="176A5B2B"/>
    <w:rsid w:val="17854713"/>
    <w:rsid w:val="17AF6944"/>
    <w:rsid w:val="17BB1EE3"/>
    <w:rsid w:val="17CC2342"/>
    <w:rsid w:val="17F35B20"/>
    <w:rsid w:val="181A469E"/>
    <w:rsid w:val="18305897"/>
    <w:rsid w:val="18761375"/>
    <w:rsid w:val="19341378"/>
    <w:rsid w:val="1A3F504D"/>
    <w:rsid w:val="1AC44158"/>
    <w:rsid w:val="1B102065"/>
    <w:rsid w:val="1B3A5814"/>
    <w:rsid w:val="1B8F7EA5"/>
    <w:rsid w:val="1B944B45"/>
    <w:rsid w:val="1BCD48DA"/>
    <w:rsid w:val="1BD17F21"/>
    <w:rsid w:val="1BE340FE"/>
    <w:rsid w:val="1C0D38E3"/>
    <w:rsid w:val="1C430AF8"/>
    <w:rsid w:val="1C475CEC"/>
    <w:rsid w:val="1D137198"/>
    <w:rsid w:val="1D2A5330"/>
    <w:rsid w:val="1D447B28"/>
    <w:rsid w:val="1D6E79F7"/>
    <w:rsid w:val="1D7417D3"/>
    <w:rsid w:val="1DB15962"/>
    <w:rsid w:val="1DF60F95"/>
    <w:rsid w:val="1DFA797E"/>
    <w:rsid w:val="1EA93A28"/>
    <w:rsid w:val="1F5570C1"/>
    <w:rsid w:val="1FC61FAC"/>
    <w:rsid w:val="1FD945F1"/>
    <w:rsid w:val="206A7390"/>
    <w:rsid w:val="20B66206"/>
    <w:rsid w:val="20C54952"/>
    <w:rsid w:val="20DA1032"/>
    <w:rsid w:val="20FA0C45"/>
    <w:rsid w:val="21812E7A"/>
    <w:rsid w:val="219F2875"/>
    <w:rsid w:val="21F20BF7"/>
    <w:rsid w:val="22BF31CF"/>
    <w:rsid w:val="22D863D8"/>
    <w:rsid w:val="23687ACD"/>
    <w:rsid w:val="23895B2A"/>
    <w:rsid w:val="23E0050C"/>
    <w:rsid w:val="23FE1445"/>
    <w:rsid w:val="24030E99"/>
    <w:rsid w:val="24373239"/>
    <w:rsid w:val="25162E4E"/>
    <w:rsid w:val="25D05DBA"/>
    <w:rsid w:val="25EC325C"/>
    <w:rsid w:val="268D24CB"/>
    <w:rsid w:val="27005B64"/>
    <w:rsid w:val="274C683A"/>
    <w:rsid w:val="28A428DD"/>
    <w:rsid w:val="28DA5A1C"/>
    <w:rsid w:val="29315647"/>
    <w:rsid w:val="294D38E7"/>
    <w:rsid w:val="2953641F"/>
    <w:rsid w:val="29A21154"/>
    <w:rsid w:val="29F04A42"/>
    <w:rsid w:val="2A15310C"/>
    <w:rsid w:val="2A3E3AFB"/>
    <w:rsid w:val="2AA463ED"/>
    <w:rsid w:val="2ABA051F"/>
    <w:rsid w:val="2AD80FB9"/>
    <w:rsid w:val="2BBD2276"/>
    <w:rsid w:val="2C424529"/>
    <w:rsid w:val="2C6732CD"/>
    <w:rsid w:val="2CB97BDE"/>
    <w:rsid w:val="2CFC6DCE"/>
    <w:rsid w:val="2D485B6F"/>
    <w:rsid w:val="2D7746A6"/>
    <w:rsid w:val="2D8F19F0"/>
    <w:rsid w:val="2DE81100"/>
    <w:rsid w:val="2E61620B"/>
    <w:rsid w:val="2E7A61FC"/>
    <w:rsid w:val="2EB87E61"/>
    <w:rsid w:val="2F4A14FC"/>
    <w:rsid w:val="2F4A5401"/>
    <w:rsid w:val="30236BA9"/>
    <w:rsid w:val="306453B6"/>
    <w:rsid w:val="309335A5"/>
    <w:rsid w:val="31117149"/>
    <w:rsid w:val="311E5564"/>
    <w:rsid w:val="31AB491E"/>
    <w:rsid w:val="31AC744B"/>
    <w:rsid w:val="32482B05"/>
    <w:rsid w:val="32544FB6"/>
    <w:rsid w:val="327411B4"/>
    <w:rsid w:val="32833FBC"/>
    <w:rsid w:val="328D6F97"/>
    <w:rsid w:val="32EB55D9"/>
    <w:rsid w:val="33743B62"/>
    <w:rsid w:val="337771AE"/>
    <w:rsid w:val="342B5BC4"/>
    <w:rsid w:val="348E2A01"/>
    <w:rsid w:val="349A267C"/>
    <w:rsid w:val="34CC342B"/>
    <w:rsid w:val="34E003CD"/>
    <w:rsid w:val="362829E1"/>
    <w:rsid w:val="36CF4430"/>
    <w:rsid w:val="3708631C"/>
    <w:rsid w:val="37684B3E"/>
    <w:rsid w:val="377D753B"/>
    <w:rsid w:val="37C16BA0"/>
    <w:rsid w:val="37D72911"/>
    <w:rsid w:val="385F7EA5"/>
    <w:rsid w:val="38651CCB"/>
    <w:rsid w:val="38E14011"/>
    <w:rsid w:val="390238FC"/>
    <w:rsid w:val="39203E44"/>
    <w:rsid w:val="39770BF7"/>
    <w:rsid w:val="39E6508D"/>
    <w:rsid w:val="39F17D3B"/>
    <w:rsid w:val="3A1A0893"/>
    <w:rsid w:val="3AE74C19"/>
    <w:rsid w:val="3B2B0F4E"/>
    <w:rsid w:val="3B6E533A"/>
    <w:rsid w:val="3B81042F"/>
    <w:rsid w:val="3BCA4233"/>
    <w:rsid w:val="3CA32DC2"/>
    <w:rsid w:val="3D234E1D"/>
    <w:rsid w:val="3D9D3209"/>
    <w:rsid w:val="3DBA51E3"/>
    <w:rsid w:val="3E133F77"/>
    <w:rsid w:val="3E3036A4"/>
    <w:rsid w:val="3E4660FB"/>
    <w:rsid w:val="3E495BEB"/>
    <w:rsid w:val="3E5C2AAE"/>
    <w:rsid w:val="3E9073B3"/>
    <w:rsid w:val="3EAF184A"/>
    <w:rsid w:val="3EC3774B"/>
    <w:rsid w:val="3F2D72BA"/>
    <w:rsid w:val="3FB54248"/>
    <w:rsid w:val="3FDF4418"/>
    <w:rsid w:val="401704D7"/>
    <w:rsid w:val="40292A31"/>
    <w:rsid w:val="404946C2"/>
    <w:rsid w:val="409F16FE"/>
    <w:rsid w:val="40A418B8"/>
    <w:rsid w:val="41656898"/>
    <w:rsid w:val="41877EB7"/>
    <w:rsid w:val="41AA5E67"/>
    <w:rsid w:val="41AC44C7"/>
    <w:rsid w:val="422007B3"/>
    <w:rsid w:val="425E381F"/>
    <w:rsid w:val="42642FF3"/>
    <w:rsid w:val="42727FCF"/>
    <w:rsid w:val="428760D4"/>
    <w:rsid w:val="42876CE2"/>
    <w:rsid w:val="42E46FEC"/>
    <w:rsid w:val="42EA174A"/>
    <w:rsid w:val="42FE1B67"/>
    <w:rsid w:val="433C187A"/>
    <w:rsid w:val="43465605"/>
    <w:rsid w:val="437234EE"/>
    <w:rsid w:val="43E41877"/>
    <w:rsid w:val="43F565F9"/>
    <w:rsid w:val="44496945"/>
    <w:rsid w:val="450E5498"/>
    <w:rsid w:val="453E3FCF"/>
    <w:rsid w:val="45C32B57"/>
    <w:rsid w:val="45DD3C1A"/>
    <w:rsid w:val="46003033"/>
    <w:rsid w:val="46403543"/>
    <w:rsid w:val="46607F75"/>
    <w:rsid w:val="46787559"/>
    <w:rsid w:val="47890808"/>
    <w:rsid w:val="47D26C51"/>
    <w:rsid w:val="481903DC"/>
    <w:rsid w:val="485756EC"/>
    <w:rsid w:val="489363E0"/>
    <w:rsid w:val="48A44149"/>
    <w:rsid w:val="49250AFA"/>
    <w:rsid w:val="49B91E77"/>
    <w:rsid w:val="49D97E23"/>
    <w:rsid w:val="49E54A1A"/>
    <w:rsid w:val="4A606610"/>
    <w:rsid w:val="4B240983"/>
    <w:rsid w:val="4BCD1C09"/>
    <w:rsid w:val="4C1B2975"/>
    <w:rsid w:val="4C3C2091"/>
    <w:rsid w:val="4C78532B"/>
    <w:rsid w:val="4C92075D"/>
    <w:rsid w:val="4CA02E7A"/>
    <w:rsid w:val="4DA8710E"/>
    <w:rsid w:val="4E6A1991"/>
    <w:rsid w:val="4E8C5DAC"/>
    <w:rsid w:val="4F365D17"/>
    <w:rsid w:val="4F6173D5"/>
    <w:rsid w:val="4F714FA1"/>
    <w:rsid w:val="4F717F76"/>
    <w:rsid w:val="4FF359B6"/>
    <w:rsid w:val="5006393C"/>
    <w:rsid w:val="50461F8A"/>
    <w:rsid w:val="5060129E"/>
    <w:rsid w:val="50A8054F"/>
    <w:rsid w:val="50AF18DD"/>
    <w:rsid w:val="50C850E1"/>
    <w:rsid w:val="51CF296F"/>
    <w:rsid w:val="521045FE"/>
    <w:rsid w:val="523634E2"/>
    <w:rsid w:val="52691DC7"/>
    <w:rsid w:val="5274661D"/>
    <w:rsid w:val="52A92859"/>
    <w:rsid w:val="52B86BB9"/>
    <w:rsid w:val="52C96552"/>
    <w:rsid w:val="531A3605"/>
    <w:rsid w:val="53A80DDB"/>
    <w:rsid w:val="54332825"/>
    <w:rsid w:val="54820F50"/>
    <w:rsid w:val="54A132D0"/>
    <w:rsid w:val="54F34A51"/>
    <w:rsid w:val="54F366D4"/>
    <w:rsid w:val="55127FA1"/>
    <w:rsid w:val="55306D65"/>
    <w:rsid w:val="559F4616"/>
    <w:rsid w:val="56CA2991"/>
    <w:rsid w:val="56D804B4"/>
    <w:rsid w:val="572A7F10"/>
    <w:rsid w:val="582901C7"/>
    <w:rsid w:val="58666989"/>
    <w:rsid w:val="59461221"/>
    <w:rsid w:val="5984568E"/>
    <w:rsid w:val="59D941FA"/>
    <w:rsid w:val="5A953685"/>
    <w:rsid w:val="5ADF1011"/>
    <w:rsid w:val="5AE64A95"/>
    <w:rsid w:val="5B307ABF"/>
    <w:rsid w:val="5BE46A75"/>
    <w:rsid w:val="5C163158"/>
    <w:rsid w:val="5C3322DF"/>
    <w:rsid w:val="5C6B34A4"/>
    <w:rsid w:val="5C972ED8"/>
    <w:rsid w:val="5CCA694D"/>
    <w:rsid w:val="5CCB1B89"/>
    <w:rsid w:val="5CFA3D46"/>
    <w:rsid w:val="5D2E44D2"/>
    <w:rsid w:val="5D883BE2"/>
    <w:rsid w:val="5E2002BE"/>
    <w:rsid w:val="5E420235"/>
    <w:rsid w:val="5E941B9A"/>
    <w:rsid w:val="5EAD718A"/>
    <w:rsid w:val="5F11022A"/>
    <w:rsid w:val="5F665AD1"/>
    <w:rsid w:val="5F90049A"/>
    <w:rsid w:val="5FD37716"/>
    <w:rsid w:val="5FEA294A"/>
    <w:rsid w:val="60603A0C"/>
    <w:rsid w:val="60DD4100"/>
    <w:rsid w:val="614A6766"/>
    <w:rsid w:val="62400DDA"/>
    <w:rsid w:val="62CB09BA"/>
    <w:rsid w:val="630006BE"/>
    <w:rsid w:val="631B72A6"/>
    <w:rsid w:val="63EF7FA0"/>
    <w:rsid w:val="63F95AF6"/>
    <w:rsid w:val="644503DF"/>
    <w:rsid w:val="64C002CD"/>
    <w:rsid w:val="64F97EB2"/>
    <w:rsid w:val="652F2B95"/>
    <w:rsid w:val="65D73958"/>
    <w:rsid w:val="65F438BD"/>
    <w:rsid w:val="663D62AA"/>
    <w:rsid w:val="664B013C"/>
    <w:rsid w:val="66742F55"/>
    <w:rsid w:val="6677281C"/>
    <w:rsid w:val="67352362"/>
    <w:rsid w:val="67E53E3A"/>
    <w:rsid w:val="67FA1625"/>
    <w:rsid w:val="686E563A"/>
    <w:rsid w:val="68AF6C4E"/>
    <w:rsid w:val="68B166E3"/>
    <w:rsid w:val="691727A3"/>
    <w:rsid w:val="6983378C"/>
    <w:rsid w:val="69CB37D4"/>
    <w:rsid w:val="6A4E132A"/>
    <w:rsid w:val="6A8169BA"/>
    <w:rsid w:val="6AC11A76"/>
    <w:rsid w:val="6AC36259"/>
    <w:rsid w:val="6B321631"/>
    <w:rsid w:val="6B403D4E"/>
    <w:rsid w:val="6BCD65BF"/>
    <w:rsid w:val="6BD01D30"/>
    <w:rsid w:val="6BD821B9"/>
    <w:rsid w:val="6C0B75DD"/>
    <w:rsid w:val="6C134FBF"/>
    <w:rsid w:val="6C3B1211"/>
    <w:rsid w:val="6C563727"/>
    <w:rsid w:val="6C797C4E"/>
    <w:rsid w:val="6C9A123C"/>
    <w:rsid w:val="6CBC6A70"/>
    <w:rsid w:val="6CD832B5"/>
    <w:rsid w:val="6D1503FA"/>
    <w:rsid w:val="6D851809"/>
    <w:rsid w:val="6DAB3230"/>
    <w:rsid w:val="6E2E69DB"/>
    <w:rsid w:val="6E7A7577"/>
    <w:rsid w:val="6EB5096A"/>
    <w:rsid w:val="6EBB3499"/>
    <w:rsid w:val="6FAA7DC7"/>
    <w:rsid w:val="6FC06D93"/>
    <w:rsid w:val="6FEA24DA"/>
    <w:rsid w:val="6FFC43C3"/>
    <w:rsid w:val="700C06A3"/>
    <w:rsid w:val="704E2A69"/>
    <w:rsid w:val="708906D1"/>
    <w:rsid w:val="714C3E17"/>
    <w:rsid w:val="71B132B0"/>
    <w:rsid w:val="71CD20B4"/>
    <w:rsid w:val="728B1556"/>
    <w:rsid w:val="72BC63B0"/>
    <w:rsid w:val="72CB7276"/>
    <w:rsid w:val="72CF07C8"/>
    <w:rsid w:val="72E512AD"/>
    <w:rsid w:val="7329331A"/>
    <w:rsid w:val="74746816"/>
    <w:rsid w:val="74AC7D5E"/>
    <w:rsid w:val="751853F4"/>
    <w:rsid w:val="75864A53"/>
    <w:rsid w:val="75AB309B"/>
    <w:rsid w:val="75AB44BA"/>
    <w:rsid w:val="75C80BC8"/>
    <w:rsid w:val="75CC5D7A"/>
    <w:rsid w:val="75D45BA0"/>
    <w:rsid w:val="76527704"/>
    <w:rsid w:val="767026A5"/>
    <w:rsid w:val="76953D04"/>
    <w:rsid w:val="770A7925"/>
    <w:rsid w:val="775368EB"/>
    <w:rsid w:val="776E39F1"/>
    <w:rsid w:val="777F79AC"/>
    <w:rsid w:val="778A0538"/>
    <w:rsid w:val="7791148D"/>
    <w:rsid w:val="77C359E5"/>
    <w:rsid w:val="77FC2DAB"/>
    <w:rsid w:val="78001C88"/>
    <w:rsid w:val="783C5CF3"/>
    <w:rsid w:val="78611EEF"/>
    <w:rsid w:val="786E7F1C"/>
    <w:rsid w:val="78F50A48"/>
    <w:rsid w:val="790404A2"/>
    <w:rsid w:val="790463BB"/>
    <w:rsid w:val="797359A7"/>
    <w:rsid w:val="7A0F3ECF"/>
    <w:rsid w:val="7AD41DBD"/>
    <w:rsid w:val="7AED10D1"/>
    <w:rsid w:val="7B234AF2"/>
    <w:rsid w:val="7B282B5B"/>
    <w:rsid w:val="7BB618B8"/>
    <w:rsid w:val="7BE77DF4"/>
    <w:rsid w:val="7C3D559D"/>
    <w:rsid w:val="7CB9570E"/>
    <w:rsid w:val="7CEA78D0"/>
    <w:rsid w:val="7D00471E"/>
    <w:rsid w:val="7D674C70"/>
    <w:rsid w:val="7DA43F77"/>
    <w:rsid w:val="7E236328"/>
    <w:rsid w:val="7E2B6BA8"/>
    <w:rsid w:val="7E424317"/>
    <w:rsid w:val="7EA3490A"/>
    <w:rsid w:val="7F021403"/>
    <w:rsid w:val="7F14305C"/>
    <w:rsid w:val="7F5D1ED3"/>
    <w:rsid w:val="7F9556AD"/>
    <w:rsid w:val="7FA150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1" w:semiHidden="0" w:name="toc 2"/>
    <w:lsdException w:qFormat="1" w:unhideWhenUsed="0" w:uiPriority="1" w:semiHidden="0" w:name="toc 3"/>
    <w:lsdException w:qFormat="1" w:unhideWhenUsed="0" w:uiPriority="1"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qFormat="1" w:unhideWhenUsed="0" w:uiPriority="99" w:semiHidden="0" w:name="index heading"/>
    <w:lsdException w:qFormat="1" w:unhideWhenUsed="0" w:uiPriority="0" w:semiHidden="0" w:name="caption"/>
    <w:lsdException w:qFormat="1" w:unhideWhenUsed="0" w:uiPriority="99"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qFormat="1"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qFormat="1"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qFormat="1"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iPriority="99" w:semiHidden="0" w:name="Body Text 2"/>
    <w:lsdException w:qFormat="1"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92"/>
    <w:autoRedefine/>
    <w:qFormat/>
    <w:uiPriority w:val="9"/>
    <w:pPr>
      <w:keepNext/>
      <w:numPr>
        <w:ilvl w:val="0"/>
        <w:numId w:val="1"/>
      </w:numPr>
      <w:overflowPunct w:val="0"/>
      <w:autoSpaceDE w:val="0"/>
      <w:autoSpaceDN w:val="0"/>
      <w:adjustRightInd w:val="0"/>
      <w:snapToGrid w:val="0"/>
      <w:spacing w:before="120" w:after="120" w:line="480" w:lineRule="exact"/>
      <w:jc w:val="center"/>
      <w:outlineLvl w:val="0"/>
    </w:pPr>
    <w:rPr>
      <w:rFonts w:eastAsia="黑体"/>
      <w:snapToGrid w:val="0"/>
      <w:kern w:val="44"/>
      <w:sz w:val="44"/>
      <w:szCs w:val="44"/>
    </w:rPr>
  </w:style>
  <w:style w:type="paragraph" w:styleId="4">
    <w:name w:val="heading 2"/>
    <w:basedOn w:val="1"/>
    <w:next w:val="1"/>
    <w:link w:val="69"/>
    <w:qFormat/>
    <w:uiPriority w:val="9"/>
    <w:pPr>
      <w:keepNext/>
      <w:keepLines/>
      <w:numPr>
        <w:ilvl w:val="1"/>
        <w:numId w:val="2"/>
      </w:numPr>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193"/>
    <w:qFormat/>
    <w:uiPriority w:val="9"/>
    <w:pPr>
      <w:keepNext/>
      <w:keepLines/>
      <w:numPr>
        <w:ilvl w:val="2"/>
        <w:numId w:val="2"/>
      </w:numPr>
      <w:spacing w:before="260" w:after="260" w:line="416" w:lineRule="auto"/>
      <w:outlineLvl w:val="2"/>
    </w:pPr>
    <w:rPr>
      <w:b/>
      <w:bCs/>
      <w:sz w:val="32"/>
      <w:szCs w:val="32"/>
    </w:rPr>
  </w:style>
  <w:style w:type="paragraph" w:styleId="6">
    <w:name w:val="heading 4"/>
    <w:basedOn w:val="1"/>
    <w:next w:val="1"/>
    <w:link w:val="80"/>
    <w:qFormat/>
    <w:uiPriority w:val="9"/>
    <w:pPr>
      <w:keepNext/>
      <w:keepLines/>
      <w:numPr>
        <w:ilvl w:val="3"/>
        <w:numId w:val="2"/>
      </w:numPr>
      <w:spacing w:line="440" w:lineRule="exact"/>
      <w:outlineLvl w:val="3"/>
    </w:pPr>
    <w:rPr>
      <w:rFonts w:ascii="Arial" w:hAnsi="Arial"/>
      <w:b/>
      <w:bCs/>
      <w:sz w:val="24"/>
      <w:szCs w:val="28"/>
    </w:rPr>
  </w:style>
  <w:style w:type="paragraph" w:styleId="7">
    <w:name w:val="heading 5"/>
    <w:basedOn w:val="1"/>
    <w:next w:val="1"/>
    <w:link w:val="81"/>
    <w:autoRedefine/>
    <w:qFormat/>
    <w:uiPriority w:val="9"/>
    <w:pPr>
      <w:keepNext/>
      <w:keepLines/>
      <w:numPr>
        <w:ilvl w:val="4"/>
        <w:numId w:val="2"/>
      </w:numPr>
      <w:spacing w:line="360" w:lineRule="auto"/>
      <w:jc w:val="center"/>
      <w:outlineLvl w:val="4"/>
    </w:pPr>
    <w:rPr>
      <w:rFonts w:ascii="Arial" w:hAnsi="Arial" w:eastAsia="黑体"/>
      <w:b/>
    </w:rPr>
  </w:style>
  <w:style w:type="paragraph" w:styleId="8">
    <w:name w:val="heading 6"/>
    <w:basedOn w:val="1"/>
    <w:next w:val="1"/>
    <w:link w:val="82"/>
    <w:qFormat/>
    <w:uiPriority w:val="9"/>
    <w:pPr>
      <w:keepNext/>
      <w:keepLines/>
      <w:numPr>
        <w:ilvl w:val="5"/>
        <w:numId w:val="2"/>
      </w:numPr>
      <w:autoSpaceDE w:val="0"/>
      <w:autoSpaceDN w:val="0"/>
      <w:spacing w:before="40"/>
      <w:jc w:val="left"/>
      <w:outlineLvl w:val="5"/>
    </w:pPr>
    <w:rPr>
      <w:rFonts w:ascii="宋体" w:hAnsi="宋体"/>
      <w:b/>
      <w:bCs/>
      <w:color w:val="2E74B5"/>
      <w:kern w:val="0"/>
      <w:sz w:val="22"/>
      <w:szCs w:val="22"/>
    </w:rPr>
  </w:style>
  <w:style w:type="paragraph" w:styleId="9">
    <w:name w:val="heading 7"/>
    <w:basedOn w:val="1"/>
    <w:next w:val="1"/>
    <w:link w:val="83"/>
    <w:qFormat/>
    <w:uiPriority w:val="9"/>
    <w:pPr>
      <w:keepNext/>
      <w:keepLines/>
      <w:numPr>
        <w:ilvl w:val="6"/>
        <w:numId w:val="2"/>
      </w:numPr>
      <w:autoSpaceDE w:val="0"/>
      <w:autoSpaceDN w:val="0"/>
      <w:spacing w:before="40"/>
      <w:jc w:val="left"/>
      <w:outlineLvl w:val="6"/>
    </w:pPr>
    <w:rPr>
      <w:rFonts w:ascii="宋体" w:hAnsi="宋体"/>
      <w:b/>
      <w:bCs/>
      <w:color w:val="595959"/>
      <w:kern w:val="0"/>
      <w:sz w:val="22"/>
      <w:szCs w:val="22"/>
    </w:rPr>
  </w:style>
  <w:style w:type="paragraph" w:styleId="10">
    <w:name w:val="heading 8"/>
    <w:basedOn w:val="1"/>
    <w:next w:val="1"/>
    <w:link w:val="84"/>
    <w:qFormat/>
    <w:uiPriority w:val="9"/>
    <w:pPr>
      <w:keepNext/>
      <w:keepLines/>
      <w:numPr>
        <w:ilvl w:val="7"/>
        <w:numId w:val="2"/>
      </w:numPr>
      <w:autoSpaceDE w:val="0"/>
      <w:autoSpaceDN w:val="0"/>
      <w:jc w:val="left"/>
      <w:outlineLvl w:val="7"/>
    </w:pPr>
    <w:rPr>
      <w:rFonts w:ascii="宋体" w:hAnsi="宋体"/>
      <w:color w:val="595959"/>
      <w:kern w:val="0"/>
      <w:sz w:val="22"/>
      <w:szCs w:val="22"/>
    </w:rPr>
  </w:style>
  <w:style w:type="paragraph" w:styleId="11">
    <w:name w:val="heading 9"/>
    <w:basedOn w:val="1"/>
    <w:next w:val="1"/>
    <w:link w:val="85"/>
    <w:qFormat/>
    <w:uiPriority w:val="9"/>
    <w:pPr>
      <w:keepNext/>
      <w:keepLines/>
      <w:numPr>
        <w:ilvl w:val="8"/>
        <w:numId w:val="2"/>
      </w:numPr>
      <w:autoSpaceDE w:val="0"/>
      <w:autoSpaceDN w:val="0"/>
      <w:jc w:val="left"/>
      <w:outlineLvl w:val="8"/>
    </w:pPr>
    <w:rPr>
      <w:rFonts w:ascii="宋体" w:hAnsi="宋体" w:eastAsia="等线 Light"/>
      <w:color w:val="595959"/>
      <w:kern w:val="0"/>
      <w:sz w:val="22"/>
      <w:szCs w:val="22"/>
    </w:rPr>
  </w:style>
  <w:style w:type="character" w:default="1" w:styleId="45">
    <w:name w:val="Default Paragraph Font"/>
    <w:semiHidden/>
    <w:unhideWhenUsed/>
    <w:qFormat/>
    <w:uiPriority w:val="1"/>
  </w:style>
  <w:style w:type="table" w:default="1" w:styleId="43">
    <w:name w:val="Normal Table"/>
    <w:semiHidden/>
    <w:unhideWhenUsed/>
    <w:qFormat/>
    <w:uiPriority w:val="99"/>
    <w:tblPr>
      <w:tblCellMar>
        <w:top w:w="0" w:type="dxa"/>
        <w:left w:w="108" w:type="dxa"/>
        <w:bottom w:w="0" w:type="dxa"/>
        <w:right w:w="108" w:type="dxa"/>
      </w:tblCellMar>
    </w:tblPr>
  </w:style>
  <w:style w:type="paragraph" w:styleId="2">
    <w:name w:val="macro"/>
    <w:link w:val="202"/>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ind w:firstLine="200" w:firstLineChars="200"/>
    </w:pPr>
    <w:rPr>
      <w:rFonts w:ascii="Courier New" w:hAnsi="Courier New" w:eastAsia="宋体" w:cs="Times New Roman"/>
      <w:kern w:val="2"/>
      <w:sz w:val="24"/>
      <w:szCs w:val="24"/>
      <w:lang w:val="en-US" w:eastAsia="zh-CN" w:bidi="ar-SA"/>
    </w:rPr>
  </w:style>
  <w:style w:type="paragraph" w:styleId="12">
    <w:name w:val="Normal Indent"/>
    <w:basedOn w:val="1"/>
    <w:qFormat/>
    <w:uiPriority w:val="0"/>
    <w:pPr>
      <w:ind w:firstLine="420" w:firstLineChars="200"/>
    </w:pPr>
  </w:style>
  <w:style w:type="paragraph" w:styleId="13">
    <w:name w:val="caption"/>
    <w:basedOn w:val="1"/>
    <w:next w:val="1"/>
    <w:qFormat/>
    <w:uiPriority w:val="0"/>
    <w:rPr>
      <w:rFonts w:eastAsia="黑体" w:asciiTheme="majorHAnsi" w:hAnsiTheme="majorHAnsi" w:cstheme="majorBidi"/>
      <w:sz w:val="20"/>
      <w:szCs w:val="20"/>
    </w:rPr>
  </w:style>
  <w:style w:type="paragraph" w:styleId="14">
    <w:name w:val="annotation text"/>
    <w:basedOn w:val="1"/>
    <w:link w:val="77"/>
    <w:qFormat/>
    <w:uiPriority w:val="0"/>
    <w:pPr>
      <w:jc w:val="left"/>
    </w:pPr>
  </w:style>
  <w:style w:type="paragraph" w:styleId="15">
    <w:name w:val="index 6"/>
    <w:basedOn w:val="1"/>
    <w:next w:val="1"/>
    <w:qFormat/>
    <w:uiPriority w:val="0"/>
    <w:pPr>
      <w:wordWrap w:val="0"/>
      <w:ind w:left="1000" w:leftChars="1000"/>
    </w:pPr>
    <w:rPr>
      <w:rFonts w:hAnsi="宋体"/>
      <w:color w:val="000000"/>
      <w:sz w:val="28"/>
      <w:szCs w:val="20"/>
    </w:rPr>
  </w:style>
  <w:style w:type="paragraph" w:styleId="16">
    <w:name w:val="Body Text 3"/>
    <w:basedOn w:val="1"/>
    <w:link w:val="157"/>
    <w:autoRedefine/>
    <w:qFormat/>
    <w:uiPriority w:val="0"/>
    <w:pPr>
      <w:spacing w:after="120"/>
    </w:pPr>
    <w:rPr>
      <w:sz w:val="16"/>
      <w:szCs w:val="16"/>
    </w:rPr>
  </w:style>
  <w:style w:type="paragraph" w:styleId="17">
    <w:name w:val="Body Text"/>
    <w:basedOn w:val="1"/>
    <w:next w:val="18"/>
    <w:link w:val="68"/>
    <w:qFormat/>
    <w:uiPriority w:val="99"/>
    <w:pPr>
      <w:widowControl/>
      <w:snapToGrid w:val="0"/>
      <w:spacing w:before="60" w:after="160" w:line="259" w:lineRule="auto"/>
      <w:ind w:right="113"/>
    </w:pPr>
    <w:rPr>
      <w:kern w:val="0"/>
      <w:sz w:val="18"/>
      <w:szCs w:val="18"/>
    </w:rPr>
  </w:style>
  <w:style w:type="paragraph" w:styleId="18">
    <w:name w:val="Body Text First Indent"/>
    <w:basedOn w:val="17"/>
    <w:next w:val="19"/>
    <w:qFormat/>
    <w:uiPriority w:val="0"/>
    <w:pPr>
      <w:spacing w:after="120" w:line="360" w:lineRule="auto"/>
      <w:ind w:firstLine="420" w:firstLineChars="100"/>
    </w:pPr>
    <w:rPr>
      <w:rFonts w:ascii="Arial" w:hAnsi="Arial" w:cs="Arial"/>
      <w:spacing w:val="-14"/>
      <w:kern w:val="28"/>
      <w:sz w:val="28"/>
      <w:szCs w:val="28"/>
    </w:rPr>
  </w:style>
  <w:style w:type="paragraph" w:styleId="19">
    <w:name w:val="Body Text First Indent 2"/>
    <w:basedOn w:val="1"/>
    <w:next w:val="20"/>
    <w:qFormat/>
    <w:uiPriority w:val="0"/>
    <w:pPr>
      <w:ind w:firstLine="420" w:firstLineChars="200"/>
    </w:pPr>
  </w:style>
  <w:style w:type="paragraph" w:styleId="20">
    <w:name w:val="List Continue 4"/>
    <w:basedOn w:val="1"/>
    <w:next w:val="1"/>
    <w:qFormat/>
    <w:uiPriority w:val="0"/>
    <w:pPr>
      <w:spacing w:after="120"/>
      <w:ind w:left="1680" w:leftChars="800"/>
      <w:contextualSpacing/>
    </w:pPr>
  </w:style>
  <w:style w:type="paragraph" w:styleId="21">
    <w:name w:val="Body Text Indent"/>
    <w:basedOn w:val="1"/>
    <w:next w:val="17"/>
    <w:link w:val="89"/>
    <w:qFormat/>
    <w:uiPriority w:val="0"/>
    <w:pPr>
      <w:spacing w:after="120"/>
      <w:ind w:left="420" w:leftChars="200"/>
    </w:pPr>
  </w:style>
  <w:style w:type="paragraph" w:styleId="22">
    <w:name w:val="toc 3"/>
    <w:basedOn w:val="1"/>
    <w:qFormat/>
    <w:uiPriority w:val="1"/>
    <w:pPr>
      <w:autoSpaceDE w:val="0"/>
      <w:autoSpaceDN w:val="0"/>
      <w:spacing w:before="154"/>
      <w:ind w:left="960" w:hanging="422"/>
      <w:jc w:val="left"/>
    </w:pPr>
    <w:rPr>
      <w:rFonts w:ascii="宋体" w:hAnsi="宋体" w:cs="宋体"/>
      <w:kern w:val="0"/>
      <w:sz w:val="24"/>
    </w:rPr>
  </w:style>
  <w:style w:type="paragraph" w:styleId="23">
    <w:name w:val="Plain Text"/>
    <w:basedOn w:val="1"/>
    <w:link w:val="90"/>
    <w:qFormat/>
    <w:uiPriority w:val="0"/>
    <w:pPr>
      <w:spacing w:line="480" w:lineRule="exact"/>
      <w:ind w:firstLine="544" w:firstLineChars="200"/>
    </w:pPr>
    <w:rPr>
      <w:rFonts w:ascii="宋体" w:hAnsi="Courier New" w:eastAsia="楷体_GB2312"/>
      <w:color w:val="000000"/>
      <w:spacing w:val="-4"/>
      <w:sz w:val="28"/>
      <w:szCs w:val="21"/>
    </w:rPr>
  </w:style>
  <w:style w:type="paragraph" w:styleId="24">
    <w:name w:val="List Bullet 5"/>
    <w:basedOn w:val="1"/>
    <w:qFormat/>
    <w:uiPriority w:val="0"/>
    <w:pPr>
      <w:numPr>
        <w:ilvl w:val="0"/>
        <w:numId w:val="3"/>
      </w:numPr>
    </w:pPr>
  </w:style>
  <w:style w:type="paragraph" w:styleId="25">
    <w:name w:val="Date"/>
    <w:basedOn w:val="1"/>
    <w:next w:val="1"/>
    <w:link w:val="92"/>
    <w:qFormat/>
    <w:uiPriority w:val="0"/>
    <w:pPr>
      <w:ind w:left="100" w:leftChars="2500"/>
    </w:pPr>
    <w:rPr>
      <w:kern w:val="0"/>
      <w:sz w:val="24"/>
      <w:szCs w:val="20"/>
    </w:rPr>
  </w:style>
  <w:style w:type="paragraph" w:styleId="26">
    <w:name w:val="Balloon Text"/>
    <w:basedOn w:val="1"/>
    <w:link w:val="93"/>
    <w:qFormat/>
    <w:uiPriority w:val="0"/>
    <w:rPr>
      <w:kern w:val="0"/>
      <w:sz w:val="18"/>
      <w:szCs w:val="20"/>
    </w:rPr>
  </w:style>
  <w:style w:type="paragraph" w:styleId="27">
    <w:name w:val="footer"/>
    <w:basedOn w:val="1"/>
    <w:link w:val="94"/>
    <w:qFormat/>
    <w:uiPriority w:val="99"/>
    <w:pPr>
      <w:tabs>
        <w:tab w:val="center" w:pos="4153"/>
        <w:tab w:val="right" w:pos="8306"/>
      </w:tabs>
      <w:snapToGrid w:val="0"/>
      <w:jc w:val="left"/>
    </w:pPr>
    <w:rPr>
      <w:sz w:val="18"/>
      <w:szCs w:val="18"/>
    </w:rPr>
  </w:style>
  <w:style w:type="paragraph" w:styleId="28">
    <w:name w:val="header"/>
    <w:basedOn w:val="1"/>
    <w:link w:val="95"/>
    <w:qFormat/>
    <w:uiPriority w:val="99"/>
    <w:pPr>
      <w:pBdr>
        <w:bottom w:val="single" w:color="auto" w:sz="6" w:space="1"/>
      </w:pBdr>
      <w:tabs>
        <w:tab w:val="center" w:pos="4153"/>
        <w:tab w:val="right" w:pos="8306"/>
      </w:tabs>
      <w:snapToGrid w:val="0"/>
      <w:jc w:val="center"/>
    </w:pPr>
    <w:rPr>
      <w:sz w:val="18"/>
      <w:szCs w:val="18"/>
    </w:rPr>
  </w:style>
  <w:style w:type="paragraph" w:styleId="29">
    <w:name w:val="toc 1"/>
    <w:basedOn w:val="1"/>
    <w:next w:val="1"/>
    <w:qFormat/>
    <w:uiPriority w:val="39"/>
    <w:pPr>
      <w:autoSpaceDE w:val="0"/>
      <w:autoSpaceDN w:val="0"/>
      <w:spacing w:before="214"/>
      <w:ind w:left="400"/>
      <w:jc w:val="left"/>
    </w:pPr>
    <w:rPr>
      <w:rFonts w:ascii="仿宋" w:hAnsi="仿宋" w:eastAsia="仿宋" w:cs="仿宋"/>
      <w:kern w:val="0"/>
      <w:sz w:val="32"/>
      <w:szCs w:val="32"/>
      <w:lang w:eastAsia="en-US"/>
    </w:rPr>
  </w:style>
  <w:style w:type="paragraph" w:styleId="30">
    <w:name w:val="toc 4"/>
    <w:basedOn w:val="1"/>
    <w:qFormat/>
    <w:uiPriority w:val="1"/>
    <w:pPr>
      <w:autoSpaceDE w:val="0"/>
      <w:autoSpaceDN w:val="0"/>
      <w:spacing w:before="154"/>
      <w:ind w:left="1560" w:hanging="604"/>
      <w:jc w:val="left"/>
    </w:pPr>
    <w:rPr>
      <w:rFonts w:ascii="宋体" w:hAnsi="宋体" w:cs="宋体"/>
      <w:kern w:val="0"/>
      <w:sz w:val="24"/>
    </w:rPr>
  </w:style>
  <w:style w:type="paragraph" w:styleId="31">
    <w:name w:val="index heading"/>
    <w:basedOn w:val="1"/>
    <w:next w:val="32"/>
    <w:qFormat/>
    <w:uiPriority w:val="99"/>
    <w:rPr>
      <w:rFonts w:ascii="Cambria" w:hAnsi="Cambria"/>
      <w:b/>
      <w:bCs/>
    </w:rPr>
  </w:style>
  <w:style w:type="paragraph" w:styleId="32">
    <w:name w:val="index 1"/>
    <w:basedOn w:val="1"/>
    <w:next w:val="1"/>
    <w:qFormat/>
    <w:uiPriority w:val="0"/>
    <w:pPr>
      <w:jc w:val="center"/>
    </w:pPr>
  </w:style>
  <w:style w:type="paragraph" w:styleId="33">
    <w:name w:val="Subtitle"/>
    <w:basedOn w:val="1"/>
    <w:next w:val="1"/>
    <w:link w:val="194"/>
    <w:qFormat/>
    <w:uiPriority w:val="11"/>
    <w:pPr>
      <w:autoSpaceDE w:val="0"/>
      <w:autoSpaceDN w:val="0"/>
      <w:spacing w:after="160"/>
      <w:jc w:val="center"/>
    </w:pPr>
    <w:rPr>
      <w:rFonts w:ascii="等线 Light" w:hAnsi="等线 Light" w:eastAsia="等线 Light"/>
      <w:color w:val="595959"/>
      <w:spacing w:val="15"/>
      <w:kern w:val="0"/>
      <w:sz w:val="28"/>
      <w:szCs w:val="28"/>
    </w:rPr>
  </w:style>
  <w:style w:type="paragraph" w:styleId="34">
    <w:name w:val="List"/>
    <w:basedOn w:val="1"/>
    <w:next w:val="1"/>
    <w:qFormat/>
    <w:uiPriority w:val="0"/>
    <w:pPr>
      <w:adjustRightInd w:val="0"/>
      <w:snapToGrid w:val="0"/>
      <w:spacing w:line="480" w:lineRule="atLeast"/>
      <w:ind w:left="420" w:hanging="420"/>
    </w:pPr>
    <w:rPr>
      <w:rFonts w:eastAsia="楷体_GB2312"/>
      <w:sz w:val="32"/>
      <w:szCs w:val="20"/>
    </w:rPr>
  </w:style>
  <w:style w:type="paragraph" w:styleId="35">
    <w:name w:val="footnote text"/>
    <w:basedOn w:val="1"/>
    <w:link w:val="201"/>
    <w:qFormat/>
    <w:uiPriority w:val="0"/>
    <w:pPr>
      <w:snapToGrid w:val="0"/>
      <w:jc w:val="left"/>
    </w:pPr>
    <w:rPr>
      <w:sz w:val="18"/>
      <w:szCs w:val="18"/>
    </w:rPr>
  </w:style>
  <w:style w:type="paragraph" w:styleId="36">
    <w:name w:val="Body Text Indent 3"/>
    <w:basedOn w:val="1"/>
    <w:link w:val="96"/>
    <w:qFormat/>
    <w:uiPriority w:val="0"/>
    <w:pPr>
      <w:spacing w:after="120"/>
      <w:ind w:left="420" w:leftChars="200"/>
    </w:pPr>
    <w:rPr>
      <w:sz w:val="16"/>
      <w:szCs w:val="16"/>
    </w:rPr>
  </w:style>
  <w:style w:type="paragraph" w:styleId="37">
    <w:name w:val="table of figures"/>
    <w:basedOn w:val="1"/>
    <w:next w:val="1"/>
    <w:autoRedefine/>
    <w:qFormat/>
    <w:uiPriority w:val="99"/>
    <w:pPr>
      <w:jc w:val="center"/>
    </w:pPr>
    <w:rPr>
      <w:rFonts w:eastAsia="楷体_GB2312"/>
      <w:color w:val="000000"/>
      <w:spacing w:val="-4"/>
    </w:rPr>
  </w:style>
  <w:style w:type="paragraph" w:styleId="38">
    <w:name w:val="toc 2"/>
    <w:basedOn w:val="1"/>
    <w:next w:val="1"/>
    <w:qFormat/>
    <w:uiPriority w:val="1"/>
    <w:pPr>
      <w:ind w:left="420" w:leftChars="200"/>
    </w:pPr>
  </w:style>
  <w:style w:type="paragraph" w:styleId="39">
    <w:name w:val="Body Text 2"/>
    <w:basedOn w:val="1"/>
    <w:unhideWhenUsed/>
    <w:qFormat/>
    <w:uiPriority w:val="99"/>
    <w:pPr>
      <w:widowControl/>
      <w:numPr>
        <w:ilvl w:val="0"/>
        <w:numId w:val="4"/>
      </w:numPr>
      <w:spacing w:beforeLines="50" w:line="336" w:lineRule="auto"/>
      <w:ind w:left="0" w:firstLine="0"/>
    </w:pPr>
    <w:rPr>
      <w:rFonts w:eastAsia="黑体"/>
      <w:szCs w:val="20"/>
      <w:lang w:val="en-GB"/>
    </w:rPr>
  </w:style>
  <w:style w:type="paragraph" w:styleId="40">
    <w:name w:val="Normal (Web)"/>
    <w:basedOn w:val="1"/>
    <w:link w:val="97"/>
    <w:qFormat/>
    <w:uiPriority w:val="99"/>
    <w:pPr>
      <w:widowControl/>
      <w:spacing w:before="100" w:beforeAutospacing="1" w:after="100" w:afterAutospacing="1"/>
      <w:jc w:val="left"/>
    </w:pPr>
    <w:rPr>
      <w:rFonts w:ascii="宋体" w:hAnsi="宋体"/>
      <w:kern w:val="0"/>
      <w:sz w:val="24"/>
    </w:rPr>
  </w:style>
  <w:style w:type="paragraph" w:styleId="41">
    <w:name w:val="Title"/>
    <w:basedOn w:val="1"/>
    <w:next w:val="1"/>
    <w:link w:val="159"/>
    <w:autoRedefine/>
    <w:qFormat/>
    <w:uiPriority w:val="0"/>
    <w:pPr>
      <w:spacing w:before="240" w:after="60"/>
      <w:jc w:val="center"/>
      <w:outlineLvl w:val="0"/>
    </w:pPr>
    <w:rPr>
      <w:rFonts w:ascii="Cambria" w:hAnsi="Cambria"/>
      <w:b/>
      <w:bCs/>
      <w:sz w:val="32"/>
      <w:szCs w:val="32"/>
    </w:rPr>
  </w:style>
  <w:style w:type="paragraph" w:styleId="42">
    <w:name w:val="annotation subject"/>
    <w:basedOn w:val="14"/>
    <w:next w:val="14"/>
    <w:link w:val="78"/>
    <w:qFormat/>
    <w:uiPriority w:val="0"/>
    <w:rPr>
      <w:b/>
      <w:bCs/>
    </w:rPr>
  </w:style>
  <w:style w:type="table" w:styleId="44">
    <w:name w:val="Table Grid"/>
    <w:basedOn w:val="4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6">
    <w:name w:val="Strong"/>
    <w:basedOn w:val="45"/>
    <w:qFormat/>
    <w:uiPriority w:val="22"/>
    <w:rPr>
      <w:b/>
      <w:bCs/>
    </w:rPr>
  </w:style>
  <w:style w:type="character" w:styleId="47">
    <w:name w:val="page number"/>
    <w:qFormat/>
    <w:uiPriority w:val="0"/>
  </w:style>
  <w:style w:type="character" w:styleId="48">
    <w:name w:val="FollowedHyperlink"/>
    <w:qFormat/>
    <w:uiPriority w:val="99"/>
    <w:rPr>
      <w:color w:val="000000"/>
      <w:u w:val="none"/>
    </w:rPr>
  </w:style>
  <w:style w:type="character" w:styleId="49">
    <w:name w:val="Emphasis"/>
    <w:qFormat/>
    <w:uiPriority w:val="0"/>
  </w:style>
  <w:style w:type="character" w:styleId="50">
    <w:name w:val="Hyperlink"/>
    <w:qFormat/>
    <w:uiPriority w:val="99"/>
    <w:rPr>
      <w:color w:val="0000FF"/>
      <w:u w:val="single"/>
    </w:rPr>
  </w:style>
  <w:style w:type="character" w:styleId="51">
    <w:name w:val="HTML Code"/>
    <w:basedOn w:val="45"/>
    <w:qFormat/>
    <w:uiPriority w:val="0"/>
    <w:rPr>
      <w:rFonts w:ascii="Courier New" w:hAnsi="Courier New"/>
      <w:sz w:val="20"/>
    </w:rPr>
  </w:style>
  <w:style w:type="character" w:styleId="52">
    <w:name w:val="annotation reference"/>
    <w:basedOn w:val="45"/>
    <w:qFormat/>
    <w:uiPriority w:val="0"/>
    <w:rPr>
      <w:sz w:val="21"/>
      <w:szCs w:val="21"/>
    </w:rPr>
  </w:style>
  <w:style w:type="character" w:styleId="53">
    <w:name w:val="footnote reference"/>
    <w:qFormat/>
    <w:uiPriority w:val="0"/>
    <w:rPr>
      <w:vertAlign w:val="superscript"/>
    </w:rPr>
  </w:style>
  <w:style w:type="paragraph" w:customStyle="1" w:styleId="54">
    <w:name w:val="Default"/>
    <w:basedOn w:val="55"/>
    <w:next w:val="34"/>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55">
    <w:name w:val="纯文本1"/>
    <w:basedOn w:val="56"/>
    <w:qFormat/>
    <w:uiPriority w:val="0"/>
    <w:rPr>
      <w:rFonts w:ascii="宋体" w:hAnsi="Courier New" w:eastAsia="仿宋_GB2312" w:cstheme="minorBidi"/>
      <w:sz w:val="28"/>
      <w:szCs w:val="22"/>
    </w:rPr>
  </w:style>
  <w:style w:type="paragraph" w:customStyle="1" w:styleId="56">
    <w:name w:val="正文_0"/>
    <w:next w:val="55"/>
    <w:qFormat/>
    <w:uiPriority w:val="0"/>
    <w:pPr>
      <w:widowControl w:val="0"/>
      <w:jc w:val="both"/>
    </w:pPr>
    <w:rPr>
      <w:rFonts w:ascii="Calibri" w:hAnsi="Calibri" w:eastAsia="仿宋_GB2312" w:cs="Times New Roman"/>
      <w:kern w:val="2"/>
      <w:sz w:val="32"/>
      <w:szCs w:val="24"/>
      <w:lang w:val="en-US" w:eastAsia="zh-CN" w:bidi="ar-SA"/>
    </w:rPr>
  </w:style>
  <w:style w:type="paragraph" w:customStyle="1" w:styleId="57">
    <w:name w:val="00正文"/>
    <w:qFormat/>
    <w:uiPriority w:val="99"/>
    <w:pPr>
      <w:spacing w:line="360" w:lineRule="auto"/>
      <w:ind w:firstLine="480" w:firstLineChars="200"/>
      <w:jc w:val="both"/>
    </w:pPr>
    <w:rPr>
      <w:rFonts w:ascii="Arial" w:hAnsi="宋体" w:eastAsia="Arial" w:cs="Arial"/>
      <w:bCs/>
      <w:sz w:val="24"/>
      <w:szCs w:val="24"/>
      <w:lang w:val="en-US" w:eastAsia="zh-CN" w:bidi="ar-SA"/>
    </w:rPr>
  </w:style>
  <w:style w:type="paragraph" w:customStyle="1" w:styleId="58">
    <w:name w:val="Table Paragraph"/>
    <w:basedOn w:val="1"/>
    <w:qFormat/>
    <w:uiPriority w:val="1"/>
    <w:pPr>
      <w:autoSpaceDE w:val="0"/>
      <w:autoSpaceDN w:val="0"/>
      <w:spacing w:before="1"/>
      <w:jc w:val="left"/>
    </w:pPr>
    <w:rPr>
      <w:rFonts w:eastAsia="Times New Roman"/>
      <w:kern w:val="0"/>
      <w:sz w:val="22"/>
      <w:szCs w:val="22"/>
      <w:lang w:val="zh-CN" w:bidi="zh-CN"/>
    </w:rPr>
  </w:style>
  <w:style w:type="character" w:customStyle="1" w:styleId="59">
    <w:name w:val="font31"/>
    <w:qFormat/>
    <w:uiPriority w:val="0"/>
    <w:rPr>
      <w:rFonts w:hint="default" w:ascii="Times New Roman" w:hAnsi="Times New Roman" w:eastAsia="宋体" w:cs="Times New Roman"/>
      <w:color w:val="000000"/>
      <w:kern w:val="2"/>
      <w:sz w:val="28"/>
      <w:szCs w:val="28"/>
      <w:u w:val="none"/>
      <w:vertAlign w:val="subscript"/>
      <w:lang w:val="en-US" w:eastAsia="zh-CN"/>
    </w:rPr>
  </w:style>
  <w:style w:type="paragraph" w:customStyle="1" w:styleId="60">
    <w:name w:val="表内文字"/>
    <w:basedOn w:val="1"/>
    <w:qFormat/>
    <w:uiPriority w:val="0"/>
    <w:pPr>
      <w:adjustRightInd w:val="0"/>
      <w:jc w:val="center"/>
    </w:pPr>
    <w:rPr>
      <w:rFonts w:ascii="宋体" w:hAnsi="Calibri" w:cs="宋体"/>
      <w:spacing w:val="5"/>
      <w:sz w:val="25"/>
    </w:rPr>
  </w:style>
  <w:style w:type="paragraph" w:customStyle="1" w:styleId="61">
    <w:name w:val="正文(首行缩进)"/>
    <w:basedOn w:val="1"/>
    <w:next w:val="1"/>
    <w:link w:val="112"/>
    <w:qFormat/>
    <w:uiPriority w:val="0"/>
    <w:pPr>
      <w:snapToGrid w:val="0"/>
      <w:spacing w:line="360" w:lineRule="auto"/>
      <w:ind w:firstLine="540" w:firstLineChars="225"/>
    </w:pPr>
    <w:rPr>
      <w:color w:val="000000"/>
      <w:kern w:val="0"/>
      <w:sz w:val="24"/>
    </w:rPr>
  </w:style>
  <w:style w:type="paragraph" w:customStyle="1" w:styleId="62">
    <w:name w:val="zw居中"/>
    <w:basedOn w:val="23"/>
    <w:qFormat/>
    <w:uiPriority w:val="0"/>
    <w:pPr>
      <w:adjustRightInd w:val="0"/>
      <w:snapToGrid w:val="0"/>
      <w:jc w:val="center"/>
    </w:pPr>
    <w:rPr>
      <w:rFonts w:ascii="Times New Roman" w:hAnsi="Times New Roman"/>
      <w:sz w:val="24"/>
    </w:rPr>
  </w:style>
  <w:style w:type="character" w:customStyle="1" w:styleId="63">
    <w:name w:val="黑体三号"/>
    <w:qFormat/>
    <w:uiPriority w:val="0"/>
    <w:rPr>
      <w:rFonts w:eastAsia="黑体"/>
      <w:sz w:val="32"/>
    </w:rPr>
  </w:style>
  <w:style w:type="paragraph" w:customStyle="1" w:styleId="64">
    <w:name w:val="编制日期"/>
    <w:basedOn w:val="1"/>
    <w:next w:val="65"/>
    <w:qFormat/>
    <w:uiPriority w:val="0"/>
    <w:pPr>
      <w:jc w:val="center"/>
    </w:pPr>
    <w:rPr>
      <w:rFonts w:eastAsia="仿宋_GB2312"/>
      <w:sz w:val="32"/>
    </w:rPr>
  </w:style>
  <w:style w:type="paragraph" w:customStyle="1" w:styleId="65">
    <w:name w:val="zw"/>
    <w:basedOn w:val="23"/>
    <w:next w:val="1"/>
    <w:qFormat/>
    <w:uiPriority w:val="0"/>
    <w:pPr>
      <w:spacing w:line="360" w:lineRule="auto"/>
      <w:ind w:firstLine="480"/>
    </w:pPr>
    <w:rPr>
      <w:rFonts w:ascii="Times New Roman" w:hAnsi="Times New Roman"/>
      <w:sz w:val="24"/>
      <w:szCs w:val="20"/>
    </w:rPr>
  </w:style>
  <w:style w:type="paragraph" w:customStyle="1" w:styleId="66">
    <w:name w:val="表格"/>
    <w:basedOn w:val="34"/>
    <w:next w:val="1"/>
    <w:link w:val="88"/>
    <w:qFormat/>
    <w:uiPriority w:val="0"/>
    <w:pPr>
      <w:spacing w:beforeLines="10" w:afterLines="10" w:line="259" w:lineRule="auto"/>
      <w:jc w:val="center"/>
    </w:pPr>
    <w:rPr>
      <w:rFonts w:ascii="宋体"/>
      <w:kern w:val="0"/>
      <w:sz w:val="20"/>
      <w:szCs w:val="21"/>
    </w:rPr>
  </w:style>
  <w:style w:type="paragraph" w:styleId="67">
    <w:name w:val="List Paragraph"/>
    <w:basedOn w:val="1"/>
    <w:qFormat/>
    <w:uiPriority w:val="1"/>
    <w:pPr>
      <w:ind w:firstLine="420" w:firstLineChars="200"/>
    </w:pPr>
  </w:style>
  <w:style w:type="character" w:customStyle="1" w:styleId="68">
    <w:name w:val="正文文本 字符"/>
    <w:basedOn w:val="45"/>
    <w:link w:val="17"/>
    <w:qFormat/>
    <w:uiPriority w:val="99"/>
    <w:rPr>
      <w:sz w:val="18"/>
      <w:szCs w:val="18"/>
    </w:rPr>
  </w:style>
  <w:style w:type="character" w:customStyle="1" w:styleId="69">
    <w:name w:val="标题 2 字符"/>
    <w:basedOn w:val="45"/>
    <w:link w:val="4"/>
    <w:qFormat/>
    <w:uiPriority w:val="9"/>
    <w:rPr>
      <w:rFonts w:asciiTheme="majorHAnsi" w:hAnsiTheme="majorHAnsi" w:eastAsiaTheme="majorEastAsia" w:cstheme="majorBidi"/>
      <w:b/>
      <w:bCs/>
      <w:kern w:val="2"/>
      <w:sz w:val="32"/>
      <w:szCs w:val="32"/>
    </w:rPr>
  </w:style>
  <w:style w:type="paragraph" w:customStyle="1" w:styleId="70">
    <w:name w:val="Char"/>
    <w:basedOn w:val="1"/>
    <w:next w:val="1"/>
    <w:qFormat/>
    <w:uiPriority w:val="0"/>
    <w:rPr>
      <w:rFonts w:ascii="Arial" w:hAnsi="Arial" w:eastAsia="黑体"/>
      <w:b/>
      <w:sz w:val="28"/>
    </w:rPr>
  </w:style>
  <w:style w:type="paragraph" w:customStyle="1" w:styleId="71">
    <w:name w:val="样式 正文缩进s4标题4表正文正文非缩进图标题段1Body Text(ch)缩进ALT+Z特点四号正文不...3"/>
    <w:basedOn w:val="12"/>
    <w:qFormat/>
    <w:uiPriority w:val="0"/>
    <w:pPr>
      <w:ind w:firstLine="200"/>
    </w:pPr>
    <w:rPr>
      <w:rFonts w:ascii="宋体" w:eastAsia="仿宋_GB2312" w:cs="宋体"/>
      <w:sz w:val="24"/>
    </w:rPr>
  </w:style>
  <w:style w:type="character" w:customStyle="1" w:styleId="72">
    <w:name w:val="样式 正文缩进s4标题4表正文正文非缩进图标题段1Body Text(ch)缩进ALT+Z特点四号正文不...2 Char"/>
    <w:link w:val="73"/>
    <w:qFormat/>
    <w:locked/>
    <w:uiPriority w:val="0"/>
    <w:rPr>
      <w:rFonts w:ascii="宋体" w:hAnsi="宋体" w:eastAsia="仿宋_GB2312"/>
      <w:sz w:val="24"/>
    </w:rPr>
  </w:style>
  <w:style w:type="paragraph" w:customStyle="1" w:styleId="73">
    <w:name w:val="样式 正文缩进s4标题4表正文正文非缩进图标题段1Body Text(ch)缩进ALT+Z特点四号正文不...2"/>
    <w:basedOn w:val="12"/>
    <w:link w:val="72"/>
    <w:qFormat/>
    <w:uiPriority w:val="0"/>
    <w:pPr>
      <w:ind w:firstLine="200"/>
    </w:pPr>
    <w:rPr>
      <w:rFonts w:ascii="宋体" w:hAnsi="宋体" w:eastAsia="仿宋_GB2312"/>
      <w:kern w:val="0"/>
      <w:sz w:val="24"/>
      <w:szCs w:val="20"/>
    </w:rPr>
  </w:style>
  <w:style w:type="paragraph" w:customStyle="1" w:styleId="74">
    <w:name w:val="样式 样式 正文缩进s4标题4表正文正文非缩进图标题段1Body Text(ch)缩进ALT+Z特点四号正文不... + 首行缩..."/>
    <w:basedOn w:val="1"/>
    <w:qFormat/>
    <w:uiPriority w:val="0"/>
    <w:pPr>
      <w:ind w:firstLine="480" w:firstLineChars="200"/>
    </w:pPr>
    <w:rPr>
      <w:rFonts w:ascii="宋体" w:hAnsi="宋体" w:eastAsia="仿宋_GB2312" w:cs="宋体"/>
      <w:kern w:val="0"/>
      <w:sz w:val="24"/>
      <w:szCs w:val="20"/>
    </w:rPr>
  </w:style>
  <w:style w:type="paragraph" w:customStyle="1" w:styleId="75">
    <w:name w:val="样式 正文缩进s4标题4表正文正文非缩进图标题段1Body Text(ch)缩进ALT+Z特点四号正文不...1"/>
    <w:basedOn w:val="12"/>
    <w:qFormat/>
    <w:uiPriority w:val="0"/>
    <w:pPr>
      <w:ind w:firstLine="840" w:firstLineChars="400"/>
    </w:pPr>
    <w:rPr>
      <w:rFonts w:ascii="宋体" w:hAnsi="宋体" w:eastAsia="仿宋_GB2312" w:cs="宋体"/>
      <w:sz w:val="24"/>
    </w:rPr>
  </w:style>
  <w:style w:type="paragraph" w:customStyle="1" w:styleId="76">
    <w:name w:val="表格文字"/>
    <w:basedOn w:val="17"/>
    <w:qFormat/>
    <w:uiPriority w:val="0"/>
    <w:pPr>
      <w:jc w:val="center"/>
    </w:pPr>
    <w:rPr>
      <w:rFonts w:ascii="Times New Roman" w:hAnsi="Times New Roman" w:eastAsia="宋体" w:cs="宋体"/>
      <w:sz w:val="21"/>
      <w:szCs w:val="24"/>
      <w:lang w:val="en-US" w:eastAsia="zh-CN" w:bidi="ar-SA"/>
    </w:rPr>
  </w:style>
  <w:style w:type="character" w:customStyle="1" w:styleId="77">
    <w:name w:val="批注文字 字符"/>
    <w:basedOn w:val="45"/>
    <w:link w:val="14"/>
    <w:qFormat/>
    <w:uiPriority w:val="0"/>
    <w:rPr>
      <w:kern w:val="2"/>
      <w:sz w:val="21"/>
      <w:szCs w:val="24"/>
    </w:rPr>
  </w:style>
  <w:style w:type="character" w:customStyle="1" w:styleId="78">
    <w:name w:val="批注主题 字符"/>
    <w:basedOn w:val="77"/>
    <w:link w:val="42"/>
    <w:qFormat/>
    <w:uiPriority w:val="0"/>
    <w:rPr>
      <w:b/>
      <w:bCs/>
      <w:kern w:val="2"/>
      <w:sz w:val="21"/>
      <w:szCs w:val="24"/>
    </w:rPr>
  </w:style>
  <w:style w:type="table" w:customStyle="1" w:styleId="79">
    <w:name w:val="Table Normal"/>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character" w:customStyle="1" w:styleId="80">
    <w:name w:val="标题 4 字符"/>
    <w:basedOn w:val="45"/>
    <w:link w:val="6"/>
    <w:qFormat/>
    <w:uiPriority w:val="9"/>
    <w:rPr>
      <w:rFonts w:ascii="Arial" w:hAnsi="Arial"/>
      <w:b/>
      <w:bCs/>
      <w:kern w:val="2"/>
      <w:sz w:val="24"/>
      <w:szCs w:val="28"/>
    </w:rPr>
  </w:style>
  <w:style w:type="character" w:customStyle="1" w:styleId="81">
    <w:name w:val="标题 5 字符"/>
    <w:basedOn w:val="45"/>
    <w:link w:val="7"/>
    <w:qFormat/>
    <w:uiPriority w:val="9"/>
    <w:rPr>
      <w:rFonts w:ascii="Arial" w:hAnsi="Arial" w:eastAsia="黑体"/>
      <w:b/>
      <w:kern w:val="2"/>
      <w:sz w:val="21"/>
      <w:szCs w:val="24"/>
    </w:rPr>
  </w:style>
  <w:style w:type="character" w:customStyle="1" w:styleId="82">
    <w:name w:val="标题 6 字符"/>
    <w:basedOn w:val="45"/>
    <w:link w:val="8"/>
    <w:qFormat/>
    <w:uiPriority w:val="9"/>
    <w:rPr>
      <w:rFonts w:ascii="宋体" w:hAnsi="宋体"/>
      <w:b/>
      <w:bCs/>
      <w:color w:val="2E74B5"/>
      <w:sz w:val="22"/>
      <w:szCs w:val="22"/>
    </w:rPr>
  </w:style>
  <w:style w:type="character" w:customStyle="1" w:styleId="83">
    <w:name w:val="标题 7 字符"/>
    <w:basedOn w:val="45"/>
    <w:link w:val="9"/>
    <w:qFormat/>
    <w:uiPriority w:val="9"/>
    <w:rPr>
      <w:rFonts w:ascii="宋体" w:hAnsi="宋体"/>
      <w:b/>
      <w:bCs/>
      <w:color w:val="595959"/>
      <w:sz w:val="22"/>
      <w:szCs w:val="22"/>
    </w:rPr>
  </w:style>
  <w:style w:type="character" w:customStyle="1" w:styleId="84">
    <w:name w:val="标题 8 字符"/>
    <w:basedOn w:val="45"/>
    <w:link w:val="10"/>
    <w:qFormat/>
    <w:uiPriority w:val="9"/>
    <w:rPr>
      <w:rFonts w:ascii="宋体" w:hAnsi="宋体"/>
      <w:color w:val="595959"/>
      <w:sz w:val="22"/>
      <w:szCs w:val="22"/>
    </w:rPr>
  </w:style>
  <w:style w:type="character" w:customStyle="1" w:styleId="85">
    <w:name w:val="标题 9 字符"/>
    <w:basedOn w:val="45"/>
    <w:link w:val="11"/>
    <w:qFormat/>
    <w:uiPriority w:val="9"/>
    <w:rPr>
      <w:rFonts w:ascii="宋体" w:hAnsi="宋体" w:eastAsia="等线 Light"/>
      <w:color w:val="595959"/>
      <w:sz w:val="22"/>
      <w:szCs w:val="22"/>
    </w:rPr>
  </w:style>
  <w:style w:type="paragraph" w:customStyle="1" w:styleId="86">
    <w:name w:val="表头"/>
    <w:basedOn w:val="18"/>
    <w:next w:val="66"/>
    <w:link w:val="87"/>
    <w:qFormat/>
    <w:uiPriority w:val="0"/>
    <w:pPr>
      <w:widowControl w:val="0"/>
      <w:snapToGrid/>
      <w:spacing w:before="0" w:line="500" w:lineRule="exact"/>
      <w:ind w:right="0"/>
      <w:jc w:val="center"/>
    </w:pPr>
    <w:rPr>
      <w:rFonts w:ascii="楷体_GB2312" w:hAnsi="楷体_GB2312" w:eastAsia="楷体_GB2312" w:cs="楷体_GB2312"/>
      <w:b/>
      <w:spacing w:val="0"/>
      <w:kern w:val="2"/>
      <w:sz w:val="24"/>
      <w:szCs w:val="24"/>
    </w:rPr>
  </w:style>
  <w:style w:type="character" w:customStyle="1" w:styleId="87">
    <w:name w:val="表头 Char2"/>
    <w:link w:val="86"/>
    <w:qFormat/>
    <w:uiPriority w:val="0"/>
    <w:rPr>
      <w:rFonts w:ascii="楷体_GB2312" w:hAnsi="楷体_GB2312" w:eastAsia="楷体_GB2312" w:cs="楷体_GB2312"/>
      <w:b/>
      <w:kern w:val="2"/>
      <w:sz w:val="24"/>
      <w:szCs w:val="24"/>
    </w:rPr>
  </w:style>
  <w:style w:type="character" w:customStyle="1" w:styleId="88">
    <w:name w:val="表格 Char"/>
    <w:link w:val="66"/>
    <w:qFormat/>
    <w:locked/>
    <w:uiPriority w:val="0"/>
    <w:rPr>
      <w:rFonts w:ascii="宋体" w:eastAsia="楷体_GB2312"/>
      <w:szCs w:val="21"/>
    </w:rPr>
  </w:style>
  <w:style w:type="character" w:customStyle="1" w:styleId="89">
    <w:name w:val="正文文本缩进 字符"/>
    <w:link w:val="21"/>
    <w:qFormat/>
    <w:locked/>
    <w:uiPriority w:val="0"/>
    <w:rPr>
      <w:kern w:val="2"/>
      <w:sz w:val="21"/>
      <w:szCs w:val="24"/>
    </w:rPr>
  </w:style>
  <w:style w:type="character" w:customStyle="1" w:styleId="90">
    <w:name w:val="纯文本 字符1"/>
    <w:link w:val="23"/>
    <w:qFormat/>
    <w:uiPriority w:val="0"/>
    <w:rPr>
      <w:rFonts w:ascii="宋体" w:hAnsi="Courier New" w:eastAsia="楷体_GB2312"/>
      <w:color w:val="000000"/>
      <w:spacing w:val="-4"/>
      <w:kern w:val="2"/>
      <w:sz w:val="28"/>
      <w:szCs w:val="21"/>
    </w:rPr>
  </w:style>
  <w:style w:type="character" w:customStyle="1" w:styleId="91">
    <w:name w:val="日期 字符"/>
    <w:basedOn w:val="45"/>
    <w:qFormat/>
    <w:uiPriority w:val="0"/>
    <w:rPr>
      <w:kern w:val="2"/>
      <w:sz w:val="21"/>
      <w:szCs w:val="24"/>
    </w:rPr>
  </w:style>
  <w:style w:type="character" w:customStyle="1" w:styleId="92">
    <w:name w:val="日期 字符1"/>
    <w:link w:val="25"/>
    <w:qFormat/>
    <w:locked/>
    <w:uiPriority w:val="0"/>
    <w:rPr>
      <w:sz w:val="24"/>
    </w:rPr>
  </w:style>
  <w:style w:type="character" w:customStyle="1" w:styleId="93">
    <w:name w:val="批注框文本 字符"/>
    <w:basedOn w:val="45"/>
    <w:link w:val="26"/>
    <w:qFormat/>
    <w:uiPriority w:val="0"/>
    <w:rPr>
      <w:sz w:val="18"/>
    </w:rPr>
  </w:style>
  <w:style w:type="character" w:customStyle="1" w:styleId="94">
    <w:name w:val="页脚 字符1"/>
    <w:link w:val="27"/>
    <w:qFormat/>
    <w:locked/>
    <w:uiPriority w:val="99"/>
    <w:rPr>
      <w:kern w:val="2"/>
      <w:sz w:val="18"/>
      <w:szCs w:val="18"/>
    </w:rPr>
  </w:style>
  <w:style w:type="character" w:customStyle="1" w:styleId="95">
    <w:name w:val="页眉 字符"/>
    <w:link w:val="28"/>
    <w:qFormat/>
    <w:locked/>
    <w:uiPriority w:val="99"/>
    <w:rPr>
      <w:kern w:val="2"/>
      <w:sz w:val="18"/>
      <w:szCs w:val="18"/>
    </w:rPr>
  </w:style>
  <w:style w:type="character" w:customStyle="1" w:styleId="96">
    <w:name w:val="正文文本缩进 3 字符"/>
    <w:basedOn w:val="45"/>
    <w:link w:val="36"/>
    <w:qFormat/>
    <w:uiPriority w:val="0"/>
    <w:rPr>
      <w:kern w:val="2"/>
      <w:sz w:val="16"/>
      <w:szCs w:val="16"/>
    </w:rPr>
  </w:style>
  <w:style w:type="character" w:customStyle="1" w:styleId="97">
    <w:name w:val="普通(网站) 字符"/>
    <w:link w:val="40"/>
    <w:qFormat/>
    <w:locked/>
    <w:uiPriority w:val="0"/>
    <w:rPr>
      <w:rFonts w:ascii="宋体" w:hAnsi="宋体"/>
      <w:sz w:val="24"/>
      <w:szCs w:val="24"/>
    </w:rPr>
  </w:style>
  <w:style w:type="table" w:customStyle="1" w:styleId="98">
    <w:name w:val="黄桥表1"/>
    <w:basedOn w:val="43"/>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9">
    <w:name w:val="表格内"/>
    <w:basedOn w:val="1"/>
    <w:qFormat/>
    <w:uiPriority w:val="0"/>
    <w:pPr>
      <w:widowControl/>
      <w:adjustRightInd w:val="0"/>
      <w:snapToGrid w:val="0"/>
      <w:spacing w:after="200" w:line="360" w:lineRule="exact"/>
      <w:jc w:val="center"/>
    </w:pPr>
    <w:rPr>
      <w:rFonts w:eastAsia="微软雅黑"/>
      <w:snapToGrid w:val="0"/>
      <w:kern w:val="0"/>
      <w:sz w:val="22"/>
      <w:szCs w:val="21"/>
    </w:rPr>
  </w:style>
  <w:style w:type="character" w:customStyle="1" w:styleId="100">
    <w:name w:val="fontstyle31"/>
    <w:qFormat/>
    <w:uiPriority w:val="0"/>
    <w:rPr>
      <w:rFonts w:hint="default" w:ascii="TimesNewRomanPSMT" w:hAnsi="TimesNewRomanPSMT"/>
      <w:color w:val="000000"/>
      <w:sz w:val="24"/>
      <w:szCs w:val="24"/>
    </w:rPr>
  </w:style>
  <w:style w:type="character" w:customStyle="1" w:styleId="101">
    <w:name w:val="fontstyle01"/>
    <w:qFormat/>
    <w:uiPriority w:val="0"/>
    <w:rPr>
      <w:rFonts w:hint="default" w:ascii="TimesNewRomanPS-BoldMT" w:hAnsi="TimesNewRomanPS-BoldMT"/>
      <w:b/>
      <w:bCs/>
      <w:color w:val="000000"/>
      <w:sz w:val="24"/>
      <w:szCs w:val="24"/>
    </w:rPr>
  </w:style>
  <w:style w:type="character" w:customStyle="1" w:styleId="102">
    <w:name w:val="页脚 字符"/>
    <w:qFormat/>
    <w:uiPriority w:val="99"/>
  </w:style>
  <w:style w:type="character" w:customStyle="1" w:styleId="103">
    <w:name w:val="批注文字 字符1"/>
    <w:qFormat/>
    <w:uiPriority w:val="0"/>
    <w:rPr>
      <w:rFonts w:ascii="Times New Roman" w:hAnsi="Times New Roman" w:eastAsia="宋体"/>
      <w:sz w:val="24"/>
    </w:rPr>
  </w:style>
  <w:style w:type="character" w:customStyle="1" w:styleId="104">
    <w:name w:val="纯文本 字符"/>
    <w:qFormat/>
    <w:uiPriority w:val="0"/>
    <w:rPr>
      <w:rFonts w:ascii="宋体" w:hAnsi="Courier New" w:cs="Courier New"/>
      <w:kern w:val="2"/>
      <w:sz w:val="21"/>
      <w:szCs w:val="21"/>
    </w:rPr>
  </w:style>
  <w:style w:type="paragraph" w:customStyle="1" w:styleId="105">
    <w:name w:val="正文1"/>
    <w:basedOn w:val="12"/>
    <w:next w:val="12"/>
    <w:qFormat/>
    <w:uiPriority w:val="0"/>
    <w:pPr>
      <w:spacing w:before="78" w:beforeLines="25" w:after="78" w:afterLines="25" w:line="360" w:lineRule="auto"/>
      <w:ind w:firstLine="480"/>
    </w:pPr>
    <w:rPr>
      <w:sz w:val="24"/>
    </w:rPr>
  </w:style>
  <w:style w:type="character" w:customStyle="1" w:styleId="106">
    <w:name w:val="正文文本 3 Char3"/>
    <w:qFormat/>
    <w:uiPriority w:val="0"/>
    <w:rPr>
      <w:rFonts w:ascii="Times New Roman" w:hAnsi="Times New Roman" w:eastAsia="宋体" w:cs="Times New Roman"/>
      <w:sz w:val="16"/>
      <w:szCs w:val="16"/>
    </w:rPr>
  </w:style>
  <w:style w:type="character" w:customStyle="1" w:styleId="107">
    <w:name w:val="正文文本 字符1"/>
    <w:qFormat/>
    <w:uiPriority w:val="0"/>
    <w:rPr>
      <w:rFonts w:ascii="Times New Roman" w:hAnsi="Times New Roman" w:eastAsia="宋体"/>
      <w:sz w:val="24"/>
    </w:rPr>
  </w:style>
  <w:style w:type="character" w:customStyle="1" w:styleId="108">
    <w:name w:val="fontstyle11"/>
    <w:qFormat/>
    <w:uiPriority w:val="0"/>
    <w:rPr>
      <w:rFonts w:hint="eastAsia" w:ascii="宋体" w:hAnsi="宋体" w:eastAsia="宋体"/>
      <w:color w:val="000000"/>
      <w:sz w:val="24"/>
      <w:szCs w:val="24"/>
    </w:rPr>
  </w:style>
  <w:style w:type="character" w:customStyle="1" w:styleId="109">
    <w:name w:val="excel1 字符"/>
    <w:link w:val="110"/>
    <w:qFormat/>
    <w:uiPriority w:val="0"/>
    <w:rPr>
      <w:rFonts w:cs="宋体"/>
      <w:sz w:val="21"/>
      <w:szCs w:val="24"/>
    </w:rPr>
  </w:style>
  <w:style w:type="paragraph" w:customStyle="1" w:styleId="110">
    <w:name w:val="excel1"/>
    <w:basedOn w:val="1"/>
    <w:link w:val="109"/>
    <w:qFormat/>
    <w:uiPriority w:val="0"/>
    <w:pPr>
      <w:widowControl/>
      <w:jc w:val="center"/>
    </w:pPr>
    <w:rPr>
      <w:rFonts w:cs="宋体"/>
      <w:kern w:val="0"/>
    </w:rPr>
  </w:style>
  <w:style w:type="character" w:customStyle="1" w:styleId="111">
    <w:name w:val="表格 Char Char"/>
    <w:qFormat/>
    <w:uiPriority w:val="0"/>
    <w:rPr>
      <w:rFonts w:eastAsia="宋体"/>
      <w:bCs/>
      <w:kern w:val="2"/>
      <w:sz w:val="21"/>
      <w:szCs w:val="28"/>
      <w:lang w:val="en-US" w:eastAsia="zh-CN" w:bidi="ar-SA"/>
    </w:rPr>
  </w:style>
  <w:style w:type="character" w:customStyle="1" w:styleId="112">
    <w:name w:val="正文(首行缩进) Char"/>
    <w:link w:val="61"/>
    <w:qFormat/>
    <w:uiPriority w:val="0"/>
    <w:rPr>
      <w:color w:val="000000"/>
      <w:sz w:val="24"/>
      <w:szCs w:val="24"/>
    </w:rPr>
  </w:style>
  <w:style w:type="paragraph" w:customStyle="1" w:styleId="113">
    <w:name w:val="普通(网站)2"/>
    <w:basedOn w:val="1"/>
    <w:qFormat/>
    <w:uiPriority w:val="0"/>
    <w:pPr>
      <w:widowControl/>
      <w:spacing w:before="100" w:beforeAutospacing="1" w:after="100" w:afterAutospacing="1"/>
      <w:jc w:val="left"/>
    </w:pPr>
    <w:rPr>
      <w:rFonts w:ascii="宋体" w:hAnsi="宋体"/>
      <w:sz w:val="24"/>
      <w:szCs w:val="20"/>
    </w:rPr>
  </w:style>
  <w:style w:type="paragraph" w:customStyle="1" w:styleId="114">
    <w:name w:val="正文啊"/>
    <w:basedOn w:val="1"/>
    <w:qFormat/>
    <w:uiPriority w:val="0"/>
    <w:pPr>
      <w:spacing w:line="360" w:lineRule="auto"/>
      <w:ind w:firstLine="200" w:firstLineChars="200"/>
    </w:pPr>
    <w:rPr>
      <w:sz w:val="24"/>
      <w:szCs w:val="20"/>
    </w:rPr>
  </w:style>
  <w:style w:type="paragraph" w:customStyle="1" w:styleId="115">
    <w:name w:val="我的正文"/>
    <w:basedOn w:val="1"/>
    <w:qFormat/>
    <w:uiPriority w:val="0"/>
    <w:pPr>
      <w:spacing w:before="78" w:beforeLines="25" w:after="78" w:afterLines="25" w:line="324" w:lineRule="auto"/>
      <w:ind w:firstLine="200" w:firstLineChars="200"/>
    </w:pPr>
    <w:rPr>
      <w:rFonts w:eastAsia="Times New Roman"/>
      <w:sz w:val="24"/>
      <w:szCs w:val="20"/>
    </w:rPr>
  </w:style>
  <w:style w:type="paragraph" w:customStyle="1" w:styleId="116">
    <w:name w:val="报告正文小四"/>
    <w:basedOn w:val="1"/>
    <w:qFormat/>
    <w:uiPriority w:val="0"/>
    <w:pPr>
      <w:adjustRightInd w:val="0"/>
      <w:snapToGrid w:val="0"/>
      <w:spacing w:before="120" w:line="420" w:lineRule="atLeast"/>
      <w:ind w:firstLine="510"/>
    </w:pPr>
    <w:rPr>
      <w:szCs w:val="20"/>
    </w:rPr>
  </w:style>
  <w:style w:type="paragraph" w:customStyle="1" w:styleId="117">
    <w:name w:val="报告书正文"/>
    <w:basedOn w:val="18"/>
    <w:qFormat/>
    <w:uiPriority w:val="0"/>
    <w:pPr>
      <w:snapToGrid/>
      <w:spacing w:before="100" w:beforeAutospacing="1" w:after="0"/>
      <w:ind w:right="0" w:firstLine="200" w:firstLineChars="200"/>
      <w:jc w:val="left"/>
    </w:pPr>
    <w:rPr>
      <w:rFonts w:ascii="Times New Roman" w:hAnsi="Times New Roman" w:cs="Times New Roman"/>
      <w:spacing w:val="0"/>
      <w:kern w:val="2"/>
      <w:sz w:val="24"/>
      <w:szCs w:val="24"/>
    </w:rPr>
  </w:style>
  <w:style w:type="paragraph" w:customStyle="1" w:styleId="118">
    <w:name w:val="报告书表格"/>
    <w:basedOn w:val="1"/>
    <w:qFormat/>
    <w:uiPriority w:val="0"/>
    <w:pPr>
      <w:adjustRightInd w:val="0"/>
      <w:spacing w:line="240" w:lineRule="atLeast"/>
      <w:jc w:val="center"/>
      <w:textAlignment w:val="baseline"/>
    </w:pPr>
    <w:rPr>
      <w:kern w:val="0"/>
      <w:sz w:val="24"/>
    </w:rPr>
  </w:style>
  <w:style w:type="paragraph" w:customStyle="1" w:styleId="119">
    <w:name w:val="表格文字样式"/>
    <w:basedOn w:val="1"/>
    <w:qFormat/>
    <w:uiPriority w:val="0"/>
    <w:pPr>
      <w:widowControl/>
      <w:autoSpaceDE w:val="0"/>
      <w:autoSpaceDN w:val="0"/>
      <w:adjustRightInd w:val="0"/>
      <w:spacing w:line="240" w:lineRule="exact"/>
      <w:jc w:val="left"/>
    </w:pPr>
    <w:rPr>
      <w:rFonts w:ascii="仿宋_GB2312" w:hAnsi="宋体" w:eastAsia="仿宋_GB2312" w:cs="仿宋_GB2312"/>
      <w:kern w:val="0"/>
      <w:szCs w:val="21"/>
    </w:rPr>
  </w:style>
  <w:style w:type="paragraph" w:customStyle="1" w:styleId="120">
    <w:name w:val="正文dh"/>
    <w:basedOn w:val="1"/>
    <w:qFormat/>
    <w:uiPriority w:val="0"/>
    <w:pPr>
      <w:ind w:firstLine="482"/>
    </w:pPr>
  </w:style>
  <w:style w:type="paragraph" w:customStyle="1" w:styleId="121">
    <w:name w:val="报告正文"/>
    <w:basedOn w:val="1"/>
    <w:qFormat/>
    <w:uiPriority w:val="0"/>
    <w:pPr>
      <w:widowControl/>
      <w:suppressAutoHyphens/>
      <w:topLinePunct/>
      <w:adjustRightInd w:val="0"/>
      <w:snapToGrid w:val="0"/>
      <w:spacing w:line="360" w:lineRule="auto"/>
      <w:ind w:firstLine="200" w:firstLineChars="200"/>
    </w:pPr>
    <w:rPr>
      <w:rFonts w:eastAsia="Times New Roman"/>
      <w:kern w:val="0"/>
      <w:sz w:val="24"/>
      <w:szCs w:val="20"/>
    </w:rPr>
  </w:style>
  <w:style w:type="paragraph" w:customStyle="1" w:styleId="122">
    <w:name w:val="中文报告书样式"/>
    <w:basedOn w:val="1"/>
    <w:qFormat/>
    <w:uiPriority w:val="0"/>
    <w:pPr>
      <w:adjustRightInd w:val="0"/>
      <w:spacing w:line="420" w:lineRule="atLeast"/>
      <w:textAlignment w:val="baseline"/>
    </w:pPr>
    <w:rPr>
      <w:kern w:val="24"/>
      <w:sz w:val="24"/>
    </w:rPr>
  </w:style>
  <w:style w:type="paragraph" w:customStyle="1" w:styleId="123">
    <w:name w:val="农贸市场表格表头"/>
    <w:basedOn w:val="1"/>
    <w:qFormat/>
    <w:uiPriority w:val="0"/>
    <w:pPr>
      <w:jc w:val="center"/>
    </w:pPr>
    <w:rPr>
      <w:rFonts w:hAnsi="宋体" w:cs="仿宋_GB2312"/>
      <w:b/>
      <w:szCs w:val="21"/>
    </w:rPr>
  </w:style>
  <w:style w:type="paragraph" w:customStyle="1" w:styleId="124">
    <w:name w:val="农贸市场正文"/>
    <w:basedOn w:val="1"/>
    <w:qFormat/>
    <w:uiPriority w:val="0"/>
    <w:pPr>
      <w:spacing w:line="360" w:lineRule="auto"/>
      <w:ind w:firstLine="200" w:firstLineChars="200"/>
    </w:pPr>
    <w:rPr>
      <w:b/>
      <w:snapToGrid w:val="0"/>
      <w:color w:val="000000"/>
      <w:sz w:val="24"/>
    </w:rPr>
  </w:style>
  <w:style w:type="paragraph" w:customStyle="1" w:styleId="125">
    <w:name w:val="表内格式"/>
    <w:basedOn w:val="1"/>
    <w:qFormat/>
    <w:uiPriority w:val="0"/>
    <w:pPr>
      <w:spacing w:line="240" w:lineRule="atLeast"/>
      <w:jc w:val="center"/>
    </w:pPr>
    <w:rPr>
      <w:rFonts w:ascii="宋体" w:hAnsi="宋体"/>
    </w:rPr>
  </w:style>
  <w:style w:type="paragraph" w:customStyle="1" w:styleId="126">
    <w:name w:val="表、图名1"/>
    <w:basedOn w:val="1"/>
    <w:qFormat/>
    <w:uiPriority w:val="0"/>
    <w:pPr>
      <w:spacing w:line="460" w:lineRule="exact"/>
      <w:jc w:val="center"/>
    </w:pPr>
    <w:rPr>
      <w:rFonts w:eastAsia="黑体" w:cs="宋体"/>
      <w:sz w:val="24"/>
      <w:szCs w:val="20"/>
    </w:rPr>
  </w:style>
  <w:style w:type="paragraph" w:customStyle="1" w:styleId="127">
    <w:name w:val="段落1"/>
    <w:basedOn w:val="1"/>
    <w:qFormat/>
    <w:uiPriority w:val="0"/>
    <w:pPr>
      <w:spacing w:line="480" w:lineRule="exact"/>
      <w:ind w:firstLine="584" w:firstLineChars="200"/>
    </w:pPr>
    <w:rPr>
      <w:spacing w:val="6"/>
      <w:sz w:val="28"/>
    </w:rPr>
  </w:style>
  <w:style w:type="paragraph" w:customStyle="1" w:styleId="128">
    <w:name w:val="正文2002"/>
    <w:basedOn w:val="1"/>
    <w:qFormat/>
    <w:uiPriority w:val="0"/>
    <w:pPr>
      <w:spacing w:line="340" w:lineRule="exact"/>
      <w:jc w:val="center"/>
    </w:pPr>
  </w:style>
  <w:style w:type="paragraph" w:customStyle="1" w:styleId="129">
    <w:name w:val="正文 楷体"/>
    <w:basedOn w:val="1"/>
    <w:qFormat/>
    <w:uiPriority w:val="0"/>
    <w:pPr>
      <w:spacing w:line="500" w:lineRule="exact"/>
      <w:ind w:firstLine="200" w:firstLineChars="200"/>
    </w:pPr>
    <w:rPr>
      <w:rFonts w:ascii="楷体_GB2312" w:hAnsi="楷体_GB2312" w:eastAsia="楷体_GB2312" w:cs="宋体"/>
      <w:sz w:val="24"/>
    </w:rPr>
  </w:style>
  <w:style w:type="paragraph" w:customStyle="1" w:styleId="130">
    <w:name w:val="正文_1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31">
    <w:name w:val="2"/>
    <w:basedOn w:val="1"/>
    <w:next w:val="36"/>
    <w:qFormat/>
    <w:uiPriority w:val="0"/>
    <w:pPr>
      <w:ind w:firstLine="527" w:firstLineChars="200"/>
    </w:pPr>
    <w:rPr>
      <w:rFonts w:ascii="宋体" w:hAnsi="宋体" w:cs="宋体"/>
      <w:spacing w:val="5"/>
      <w:sz w:val="25"/>
      <w:szCs w:val="25"/>
    </w:rPr>
  </w:style>
  <w:style w:type="paragraph" w:customStyle="1" w:styleId="132">
    <w:name w:val="首行缩进"/>
    <w:basedOn w:val="1"/>
    <w:qFormat/>
    <w:uiPriority w:val="0"/>
    <w:pPr>
      <w:spacing w:line="400" w:lineRule="exact"/>
      <w:jc w:val="center"/>
    </w:pPr>
    <w:rPr>
      <w:rFonts w:eastAsia="黑体"/>
      <w:sz w:val="24"/>
    </w:rPr>
  </w:style>
  <w:style w:type="paragraph" w:customStyle="1" w:styleId="133">
    <w:name w:val="默认段落字体 Para Char"/>
    <w:basedOn w:val="1"/>
    <w:next w:val="1"/>
    <w:qFormat/>
    <w:uiPriority w:val="0"/>
    <w:pPr>
      <w:spacing w:line="360" w:lineRule="auto"/>
      <w:ind w:firstLine="200" w:firstLineChars="200"/>
    </w:pPr>
    <w:rPr>
      <w:rFonts w:ascii="宋体" w:hAnsi="宋体" w:eastAsia="等线" w:cs="宋体"/>
      <w:sz w:val="24"/>
    </w:rPr>
  </w:style>
  <w:style w:type="table" w:customStyle="1" w:styleId="134">
    <w:name w:val="报告书表格样式11"/>
    <w:basedOn w:val="43"/>
    <w:qFormat/>
    <w:uiPriority w:val="0"/>
    <w:pPr>
      <w:adjustRightInd w:val="0"/>
      <w:snapToGrid w:val="0"/>
      <w:spacing w:line="300" w:lineRule="exact"/>
      <w:jc w:val="center"/>
    </w:pPr>
    <w:rPr>
      <w:rFonts w:ascii="宋体" w:hAnsi="宋体" w:cs="宋体"/>
      <w:szCs w:val="21"/>
    </w:rPr>
    <w:tblPr>
      <w:jc w:val="center"/>
      <w:tblBorders>
        <w:top w:val="single" w:color="auto" w:sz="12" w:space="0"/>
        <w:bottom w:val="single" w:color="auto" w:sz="12" w:space="0"/>
        <w:insideH w:val="single" w:color="auto" w:sz="4" w:space="0"/>
        <w:insideV w:val="single" w:color="auto" w:sz="4" w:space="0"/>
      </w:tblBorders>
      <w:tblCellMar>
        <w:left w:w="28" w:type="dxa"/>
        <w:right w:w="28" w:type="dxa"/>
      </w:tblCellMar>
    </w:tblPr>
    <w:trPr>
      <w:jc w:val="center"/>
    </w:trPr>
    <w:tcPr>
      <w:vAlign w:val="center"/>
    </w:tcPr>
  </w:style>
  <w:style w:type="character" w:customStyle="1" w:styleId="135">
    <w:name w:val="lable"/>
    <w:qFormat/>
    <w:uiPriority w:val="0"/>
    <w:rPr>
      <w:sz w:val="24"/>
      <w:szCs w:val="24"/>
    </w:rPr>
  </w:style>
  <w:style w:type="character" w:customStyle="1" w:styleId="136">
    <w:name w:val="cur1"/>
    <w:qFormat/>
    <w:uiPriority w:val="0"/>
    <w:rPr>
      <w:color w:val="FFFFFF"/>
      <w:shd w:val="clear" w:color="auto" w:fill="2F6B98"/>
    </w:rPr>
  </w:style>
  <w:style w:type="character" w:customStyle="1" w:styleId="137">
    <w:name w:val="radio-btn"/>
    <w:qFormat/>
    <w:uiPriority w:val="0"/>
    <w:rPr>
      <w:sz w:val="21"/>
      <w:szCs w:val="21"/>
    </w:rPr>
  </w:style>
  <w:style w:type="character" w:customStyle="1" w:styleId="138">
    <w:name w:val="radio-btn1"/>
    <w:qFormat/>
    <w:uiPriority w:val="0"/>
    <w:rPr>
      <w:sz w:val="24"/>
      <w:szCs w:val="24"/>
    </w:rPr>
  </w:style>
  <w:style w:type="character" w:customStyle="1" w:styleId="139">
    <w:name w:val="radio-btn2"/>
    <w:qFormat/>
    <w:uiPriority w:val="0"/>
    <w:rPr>
      <w:sz w:val="24"/>
      <w:szCs w:val="24"/>
    </w:rPr>
  </w:style>
  <w:style w:type="character" w:customStyle="1" w:styleId="140">
    <w:name w:val="lishishuju"/>
    <w:qFormat/>
    <w:uiPriority w:val="0"/>
    <w:rPr>
      <w:b/>
      <w:bCs/>
      <w:color w:val="000052"/>
      <w:sz w:val="24"/>
      <w:szCs w:val="24"/>
      <w:bdr w:val="single" w:color="E3E3E3" w:sz="6" w:space="0"/>
    </w:rPr>
  </w:style>
  <w:style w:type="character" w:customStyle="1" w:styleId="141">
    <w:name w:val="znspantitle"/>
    <w:qFormat/>
    <w:uiPriority w:val="0"/>
    <w:rPr>
      <w:b/>
      <w:bCs/>
      <w:color w:val="333333"/>
    </w:rPr>
  </w:style>
  <w:style w:type="paragraph" w:customStyle="1" w:styleId="142">
    <w:name w:val="WPSOffice手动目录 1"/>
    <w:qFormat/>
    <w:uiPriority w:val="0"/>
    <w:rPr>
      <w:rFonts w:ascii="Times New Roman" w:hAnsi="Times New Roman" w:eastAsia="宋体" w:cs="Times New Roman"/>
      <w:lang w:val="en-US" w:eastAsia="zh-CN" w:bidi="ar-SA"/>
    </w:rPr>
  </w:style>
  <w:style w:type="paragraph" w:customStyle="1" w:styleId="143">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44">
    <w:name w:val="邵正文"/>
    <w:qFormat/>
    <w:uiPriority w:val="0"/>
    <w:pPr>
      <w:ind w:firstLine="200"/>
    </w:pPr>
    <w:rPr>
      <w:rFonts w:ascii="Times New Roman" w:hAnsi="Times New Roman" w:eastAsia="宋体" w:cs="宋体"/>
      <w:szCs w:val="24"/>
      <w:lang w:val="en-US" w:eastAsia="zh-CN" w:bidi="ar-SA"/>
    </w:rPr>
  </w:style>
  <w:style w:type="paragraph" w:customStyle="1" w:styleId="145">
    <w:name w:val="11awby表文字"/>
    <w:basedOn w:val="1"/>
    <w:link w:val="146"/>
    <w:qFormat/>
    <w:uiPriority w:val="0"/>
    <w:pPr>
      <w:topLinePunct/>
      <w:adjustRightInd w:val="0"/>
      <w:spacing w:line="240" w:lineRule="exact"/>
      <w:textAlignment w:val="baseline"/>
    </w:pPr>
    <w:rPr>
      <w:rFonts w:ascii="等线" w:hAnsi="等线" w:eastAsia="等线"/>
      <w:szCs w:val="22"/>
    </w:rPr>
  </w:style>
  <w:style w:type="character" w:customStyle="1" w:styleId="146">
    <w:name w:val="11awby表文字 字符"/>
    <w:link w:val="145"/>
    <w:qFormat/>
    <w:uiPriority w:val="0"/>
    <w:rPr>
      <w:rFonts w:ascii="等线" w:hAnsi="等线" w:eastAsia="等线"/>
      <w:kern w:val="2"/>
      <w:sz w:val="21"/>
      <w:szCs w:val="22"/>
    </w:rPr>
  </w:style>
  <w:style w:type="paragraph" w:customStyle="1" w:styleId="147">
    <w:name w:val="00.正文格式"/>
    <w:basedOn w:val="12"/>
    <w:link w:val="153"/>
    <w:autoRedefine/>
    <w:qFormat/>
    <w:uiPriority w:val="0"/>
    <w:pPr>
      <w:widowControl/>
      <w:spacing w:line="360" w:lineRule="auto"/>
      <w:ind w:firstLine="200"/>
      <w:jc w:val="left"/>
    </w:pPr>
    <w:rPr>
      <w:rFonts w:hAnsi="宋体"/>
      <w:color w:val="000000"/>
      <w:kern w:val="0"/>
      <w:sz w:val="24"/>
    </w:rPr>
  </w:style>
  <w:style w:type="paragraph" w:customStyle="1" w:styleId="148">
    <w:name w:val="正文首行缩进 Char"/>
    <w:basedOn w:val="1"/>
    <w:next w:val="1"/>
    <w:autoRedefine/>
    <w:qFormat/>
    <w:uiPriority w:val="0"/>
    <w:pPr>
      <w:spacing w:line="460" w:lineRule="exact"/>
      <w:ind w:firstLine="200" w:firstLineChars="200"/>
    </w:pPr>
    <w:rPr>
      <w:spacing w:val="8"/>
      <w:kern w:val="24"/>
      <w:sz w:val="24"/>
    </w:rPr>
  </w:style>
  <w:style w:type="paragraph" w:customStyle="1" w:styleId="149">
    <w:name w:val="L表名"/>
    <w:basedOn w:val="1"/>
    <w:autoRedefine/>
    <w:qFormat/>
    <w:uiPriority w:val="0"/>
    <w:pPr>
      <w:spacing w:line="360" w:lineRule="auto"/>
      <w:ind w:firstLine="420" w:firstLineChars="200"/>
      <w:jc w:val="center"/>
    </w:pPr>
    <w:rPr>
      <w:rFonts w:ascii="黑体" w:hAnsi="黑体" w:eastAsia="黑体"/>
      <w:snapToGrid w:val="0"/>
      <w:szCs w:val="21"/>
    </w:rPr>
  </w:style>
  <w:style w:type="paragraph" w:customStyle="1" w:styleId="150">
    <w:name w:val="MEL正文*"/>
    <w:basedOn w:val="1"/>
    <w:autoRedefine/>
    <w:qFormat/>
    <w:uiPriority w:val="0"/>
    <w:pPr>
      <w:spacing w:line="500" w:lineRule="exact"/>
      <w:ind w:firstLine="200" w:firstLineChars="200"/>
    </w:pPr>
    <w:rPr>
      <w:rFonts w:ascii="宋体" w:hAnsi="宋体"/>
    </w:rPr>
  </w:style>
  <w:style w:type="paragraph" w:customStyle="1" w:styleId="151">
    <w:name w:val="表格内容"/>
    <w:basedOn w:val="152"/>
    <w:next w:val="1"/>
    <w:autoRedefine/>
    <w:qFormat/>
    <w:uiPriority w:val="0"/>
    <w:pPr>
      <w:widowControl/>
      <w:suppressAutoHyphens/>
      <w:spacing w:line="320" w:lineRule="exact"/>
      <w:jc w:val="center"/>
    </w:pPr>
    <w:rPr>
      <w:color w:val="000000"/>
      <w:kern w:val="1"/>
      <w:szCs w:val="20"/>
      <w:lang w:eastAsia="ar-SA"/>
    </w:rPr>
  </w:style>
  <w:style w:type="paragraph" w:customStyle="1" w:styleId="152">
    <w:name w:val="WW-正文缩进"/>
    <w:basedOn w:val="1"/>
    <w:autoRedefine/>
    <w:qFormat/>
    <w:uiPriority w:val="0"/>
    <w:pPr>
      <w:spacing w:line="360" w:lineRule="auto"/>
      <w:ind w:firstLine="420"/>
    </w:pPr>
    <w:rPr>
      <w:sz w:val="28"/>
      <w:szCs w:val="20"/>
    </w:rPr>
  </w:style>
  <w:style w:type="character" w:customStyle="1" w:styleId="153">
    <w:name w:val="00.正文格式 Char"/>
    <w:link w:val="147"/>
    <w:qFormat/>
    <w:locked/>
    <w:uiPriority w:val="0"/>
    <w:rPr>
      <w:rFonts w:hAnsi="宋体"/>
      <w:color w:val="000000"/>
      <w:sz w:val="24"/>
      <w:szCs w:val="24"/>
    </w:rPr>
  </w:style>
  <w:style w:type="paragraph" w:customStyle="1" w:styleId="154">
    <w:name w:val="表、图名"/>
    <w:basedOn w:val="1"/>
    <w:autoRedefine/>
    <w:qFormat/>
    <w:uiPriority w:val="0"/>
    <w:pPr>
      <w:adjustRightInd w:val="0"/>
      <w:snapToGrid w:val="0"/>
      <w:jc w:val="center"/>
      <w:outlineLvl w:val="5"/>
    </w:pPr>
    <w:rPr>
      <w:rFonts w:eastAsia="黑体"/>
    </w:rPr>
  </w:style>
  <w:style w:type="paragraph" w:customStyle="1" w:styleId="155">
    <w:name w:val="表内容       .."/>
    <w:basedOn w:val="1"/>
    <w:autoRedefine/>
    <w:qFormat/>
    <w:uiPriority w:val="0"/>
    <w:pPr>
      <w:adjustRightInd w:val="0"/>
      <w:snapToGrid w:val="0"/>
      <w:spacing w:line="240" w:lineRule="exact"/>
      <w:ind w:right="-31" w:rightChars="-15"/>
      <w:jc w:val="center"/>
      <w:outlineLvl w:val="3"/>
    </w:pPr>
    <w:rPr>
      <w:sz w:val="18"/>
      <w:szCs w:val="18"/>
    </w:rPr>
  </w:style>
  <w:style w:type="character" w:customStyle="1" w:styleId="156">
    <w:name w:val="未处理的提及1"/>
    <w:qFormat/>
    <w:uiPriority w:val="99"/>
    <w:rPr>
      <w:color w:val="605E5C"/>
      <w:shd w:val="clear" w:color="auto" w:fill="E1DFDD"/>
    </w:rPr>
  </w:style>
  <w:style w:type="character" w:customStyle="1" w:styleId="157">
    <w:name w:val="正文文本 3 字符"/>
    <w:basedOn w:val="45"/>
    <w:link w:val="16"/>
    <w:qFormat/>
    <w:uiPriority w:val="0"/>
    <w:rPr>
      <w:kern w:val="2"/>
      <w:sz w:val="16"/>
      <w:szCs w:val="16"/>
    </w:rPr>
  </w:style>
  <w:style w:type="paragraph" w:customStyle="1" w:styleId="158">
    <w:name w:val="1 表头"/>
    <w:basedOn w:val="1"/>
    <w:autoRedefine/>
    <w:qFormat/>
    <w:uiPriority w:val="0"/>
    <w:pPr>
      <w:adjustRightInd w:val="0"/>
      <w:snapToGrid w:val="0"/>
      <w:jc w:val="center"/>
    </w:pPr>
    <w:rPr>
      <w:b/>
      <w:color w:val="000000"/>
      <w:sz w:val="24"/>
    </w:rPr>
  </w:style>
  <w:style w:type="character" w:customStyle="1" w:styleId="159">
    <w:name w:val="标题 字符"/>
    <w:basedOn w:val="45"/>
    <w:link w:val="41"/>
    <w:qFormat/>
    <w:uiPriority w:val="10"/>
    <w:rPr>
      <w:rFonts w:ascii="Cambria" w:hAnsi="Cambria"/>
      <w:b/>
      <w:bCs/>
      <w:kern w:val="2"/>
      <w:sz w:val="32"/>
      <w:szCs w:val="32"/>
    </w:rPr>
  </w:style>
  <w:style w:type="paragraph" w:customStyle="1" w:styleId="160">
    <w:name w:val="Table Text"/>
    <w:basedOn w:val="1"/>
    <w:autoRedefine/>
    <w:qFormat/>
    <w:uiPriority w:val="0"/>
    <w:pPr>
      <w:jc w:val="center"/>
    </w:pPr>
    <w:rPr>
      <w:rFonts w:ascii="宋体" w:hAnsi="宋体" w:eastAsia="黑体" w:cs="宋体"/>
    </w:rPr>
  </w:style>
  <w:style w:type="paragraph" w:customStyle="1" w:styleId="161">
    <w:name w:val="表、图名-"/>
    <w:basedOn w:val="1"/>
    <w:autoRedefine/>
    <w:qFormat/>
    <w:uiPriority w:val="0"/>
    <w:pPr>
      <w:adjustRightInd w:val="0"/>
      <w:snapToGrid w:val="0"/>
      <w:spacing w:line="360" w:lineRule="auto"/>
      <w:jc w:val="center"/>
      <w:textAlignment w:val="baseline"/>
    </w:pPr>
    <w:rPr>
      <w:rFonts w:ascii="Calibri" w:hAnsi="Calibri" w:eastAsia="黑体"/>
      <w:szCs w:val="22"/>
    </w:rPr>
  </w:style>
  <w:style w:type="paragraph" w:customStyle="1" w:styleId="162">
    <w:name w:val="正文文本-"/>
    <w:basedOn w:val="1"/>
    <w:autoRedefine/>
    <w:qFormat/>
    <w:uiPriority w:val="0"/>
    <w:pPr>
      <w:spacing w:line="360" w:lineRule="auto"/>
    </w:pPr>
    <w:rPr>
      <w:sz w:val="24"/>
    </w:rPr>
  </w:style>
  <w:style w:type="paragraph" w:customStyle="1" w:styleId="163">
    <w:name w:val="默认段落"/>
    <w:basedOn w:val="1"/>
    <w:autoRedefine/>
    <w:qFormat/>
    <w:uiPriority w:val="0"/>
    <w:pPr>
      <w:widowControl/>
      <w:spacing w:line="360" w:lineRule="auto"/>
      <w:ind w:firstLine="200" w:firstLineChars="200"/>
      <w:jc w:val="left"/>
    </w:pPr>
    <w:rPr>
      <w:rFonts w:ascii="仿宋_GB2312" w:eastAsia="仿宋_GB2312" w:cs="宋体"/>
      <w:kern w:val="0"/>
      <w:sz w:val="28"/>
    </w:rPr>
  </w:style>
  <w:style w:type="paragraph" w:customStyle="1" w:styleId="164">
    <w:name w:val="A-表格文字"/>
    <w:basedOn w:val="1"/>
    <w:next w:val="1"/>
    <w:autoRedefine/>
    <w:qFormat/>
    <w:uiPriority w:val="0"/>
    <w:pPr>
      <w:autoSpaceDE w:val="0"/>
      <w:autoSpaceDN w:val="0"/>
      <w:adjustRightInd w:val="0"/>
      <w:jc w:val="center"/>
      <w:textAlignment w:val="center"/>
    </w:pPr>
    <w:rPr>
      <w:kern w:val="0"/>
      <w:szCs w:val="21"/>
    </w:rPr>
  </w:style>
  <w:style w:type="paragraph" w:customStyle="1" w:styleId="165">
    <w:name w:val="Char Char Char Char Char Char Char Char Char1 Char"/>
    <w:basedOn w:val="1"/>
    <w:next w:val="166"/>
    <w:autoRedefine/>
    <w:qFormat/>
    <w:uiPriority w:val="0"/>
    <w:pPr>
      <w:spacing w:line="360" w:lineRule="auto"/>
      <w:ind w:firstLine="200" w:firstLineChars="200"/>
    </w:pPr>
    <w:rPr>
      <w:rFonts w:hAnsi="ˎ̥" w:cs="ˎ̥"/>
      <w:sz w:val="24"/>
    </w:rPr>
  </w:style>
  <w:style w:type="paragraph" w:customStyle="1" w:styleId="166">
    <w:name w:val="正文文本首行缩进1"/>
    <w:next w:val="1"/>
    <w:autoRedefine/>
    <w:qFormat/>
    <w:uiPriority w:val="0"/>
    <w:pPr>
      <w:widowControl w:val="0"/>
      <w:spacing w:after="120"/>
      <w:ind w:firstLine="420"/>
      <w:jc w:val="both"/>
    </w:pPr>
    <w:rPr>
      <w:rFonts w:ascii="Times New Roman" w:hAnsi="Times New Roman" w:eastAsia="宋体" w:cs="Times New Roman"/>
      <w:sz w:val="21"/>
      <w:szCs w:val="22"/>
      <w:lang w:val="en-US" w:eastAsia="zh-CN" w:bidi="ar-SA"/>
    </w:rPr>
  </w:style>
  <w:style w:type="paragraph" w:customStyle="1" w:styleId="167">
    <w:name w:val="Body Text First Indent1"/>
    <w:next w:val="1"/>
    <w:autoRedefine/>
    <w:qFormat/>
    <w:uiPriority w:val="0"/>
    <w:pPr>
      <w:widowControl w:val="0"/>
      <w:spacing w:after="120"/>
      <w:ind w:firstLine="420"/>
      <w:jc w:val="both"/>
    </w:pPr>
    <w:rPr>
      <w:rFonts w:ascii="Times New Roman" w:hAnsi="Times New Roman" w:eastAsia="宋体" w:cs="Times New Roman"/>
      <w:sz w:val="21"/>
      <w:szCs w:val="22"/>
      <w:lang w:val="en-US" w:eastAsia="zh-CN" w:bidi="ar-SA"/>
    </w:rPr>
  </w:style>
  <w:style w:type="paragraph" w:customStyle="1" w:styleId="168">
    <w:name w:val="正文格式"/>
    <w:basedOn w:val="18"/>
    <w:next w:val="169"/>
    <w:autoRedefine/>
    <w:qFormat/>
    <w:uiPriority w:val="0"/>
    <w:pPr>
      <w:widowControl w:val="0"/>
      <w:adjustRightInd w:val="0"/>
      <w:spacing w:before="0" w:after="0"/>
      <w:ind w:right="0" w:firstLine="200" w:firstLineChars="200"/>
    </w:pPr>
    <w:rPr>
      <w:rFonts w:ascii="Times New Roman" w:hAnsi="Times New Roman" w:cs="Times New Roman"/>
      <w:spacing w:val="0"/>
      <w:kern w:val="2"/>
      <w:sz w:val="24"/>
      <w:szCs w:val="22"/>
      <w:lang w:val="zh-CN"/>
    </w:rPr>
  </w:style>
  <w:style w:type="paragraph" w:customStyle="1" w:styleId="169">
    <w:name w:val="_Style 5"/>
    <w:basedOn w:val="1"/>
    <w:autoRedefine/>
    <w:qFormat/>
    <w:uiPriority w:val="0"/>
    <w:pPr>
      <w:ind w:firstLine="420"/>
    </w:pPr>
    <w:rPr>
      <w:rFonts w:ascii="Calibri" w:hAnsi="Calibri"/>
      <w:szCs w:val="22"/>
    </w:rPr>
  </w:style>
  <w:style w:type="paragraph" w:customStyle="1" w:styleId="170">
    <w:name w:val="样式1"/>
    <w:basedOn w:val="31"/>
    <w:next w:val="1"/>
    <w:autoRedefine/>
    <w:qFormat/>
    <w:uiPriority w:val="0"/>
    <w:pPr>
      <w:spacing w:before="340" w:after="340"/>
    </w:pPr>
    <w:rPr>
      <w:kern w:val="44"/>
      <w:sz w:val="44"/>
    </w:rPr>
  </w:style>
  <w:style w:type="paragraph" w:customStyle="1" w:styleId="171">
    <w:name w:val="MEL表字-书"/>
    <w:basedOn w:val="1"/>
    <w:autoRedefine/>
    <w:qFormat/>
    <w:uiPriority w:val="0"/>
    <w:pPr>
      <w:spacing w:line="300" w:lineRule="exact"/>
      <w:jc w:val="center"/>
    </w:pPr>
    <w:rPr>
      <w:rFonts w:ascii="宋体" w:hAnsi="宋体"/>
      <w:szCs w:val="21"/>
    </w:rPr>
  </w:style>
  <w:style w:type="paragraph" w:customStyle="1" w:styleId="172">
    <w:name w:val="L表内容       .."/>
    <w:basedOn w:val="1"/>
    <w:autoRedefine/>
    <w:qFormat/>
    <w:uiPriority w:val="0"/>
    <w:pPr>
      <w:adjustRightInd w:val="0"/>
      <w:snapToGrid w:val="0"/>
      <w:spacing w:line="280" w:lineRule="exact"/>
      <w:jc w:val="center"/>
      <w:textAlignment w:val="baseline"/>
    </w:pPr>
    <w:rPr>
      <w:szCs w:val="18"/>
    </w:rPr>
  </w:style>
  <w:style w:type="paragraph" w:customStyle="1" w:styleId="173">
    <w:name w:val="YJ正文*"/>
    <w:basedOn w:val="1"/>
    <w:autoRedefine/>
    <w:qFormat/>
    <w:uiPriority w:val="0"/>
    <w:pPr>
      <w:spacing w:line="500" w:lineRule="exact"/>
      <w:ind w:firstLine="200" w:firstLineChars="200"/>
    </w:pPr>
    <w:rPr>
      <w:rFonts w:ascii="宋体" w:hAnsi="宋体"/>
      <w:kern w:val="0"/>
      <w:sz w:val="24"/>
    </w:rPr>
  </w:style>
  <w:style w:type="paragraph" w:customStyle="1" w:styleId="174">
    <w:name w:val="表内容"/>
    <w:basedOn w:val="175"/>
    <w:link w:val="190"/>
    <w:autoRedefine/>
    <w:qFormat/>
    <w:uiPriority w:val="0"/>
  </w:style>
  <w:style w:type="paragraph" w:customStyle="1" w:styleId="175">
    <w:name w:val="我的表格"/>
    <w:basedOn w:val="1"/>
    <w:autoRedefine/>
    <w:qFormat/>
    <w:uiPriority w:val="0"/>
    <w:pPr>
      <w:adjustRightInd w:val="0"/>
      <w:spacing w:line="280" w:lineRule="exact"/>
      <w:jc w:val="center"/>
      <w:textAlignment w:val="baseline"/>
    </w:pPr>
  </w:style>
  <w:style w:type="paragraph" w:customStyle="1" w:styleId="176">
    <w:name w:val="正文-首行缩进"/>
    <w:basedOn w:val="1"/>
    <w:autoRedefine/>
    <w:qFormat/>
    <w:uiPriority w:val="0"/>
    <w:pPr>
      <w:adjustRightInd w:val="0"/>
      <w:snapToGrid w:val="0"/>
      <w:spacing w:line="360" w:lineRule="auto"/>
      <w:ind w:firstLine="200" w:firstLineChars="200"/>
    </w:pPr>
    <w:rPr>
      <w:rFonts w:ascii="宋体" w:hAnsi="宋体"/>
      <w:bCs/>
      <w:szCs w:val="25"/>
    </w:rPr>
  </w:style>
  <w:style w:type="paragraph" w:customStyle="1" w:styleId="177">
    <w:name w:val="正文 CDD"/>
    <w:basedOn w:val="1"/>
    <w:autoRedefine/>
    <w:qFormat/>
    <w:uiPriority w:val="0"/>
    <w:pPr>
      <w:spacing w:line="520" w:lineRule="exact"/>
      <w:ind w:firstLine="200" w:firstLineChars="200"/>
    </w:pPr>
    <w:rPr>
      <w:sz w:val="24"/>
    </w:rPr>
  </w:style>
  <w:style w:type="paragraph" w:customStyle="1" w:styleId="178">
    <w:name w:val="邵表头"/>
    <w:basedOn w:val="144"/>
    <w:next w:val="144"/>
    <w:autoRedefine/>
    <w:qFormat/>
    <w:uiPriority w:val="0"/>
    <w:pPr>
      <w:adjustRightInd w:val="0"/>
      <w:ind w:firstLine="0"/>
      <w:jc w:val="center"/>
    </w:pPr>
    <w:rPr>
      <w:rFonts w:eastAsia="黑体"/>
      <w:b/>
      <w:sz w:val="21"/>
      <w:szCs w:val="22"/>
    </w:rPr>
  </w:style>
  <w:style w:type="paragraph" w:customStyle="1" w:styleId="179">
    <w:name w:val="邵表内容"/>
    <w:basedOn w:val="144"/>
    <w:autoRedefine/>
    <w:qFormat/>
    <w:uiPriority w:val="0"/>
    <w:pPr>
      <w:adjustRightInd w:val="0"/>
      <w:ind w:firstLine="0"/>
      <w:jc w:val="center"/>
    </w:pPr>
    <w:rPr>
      <w:sz w:val="21"/>
    </w:rPr>
  </w:style>
  <w:style w:type="paragraph" w:customStyle="1" w:styleId="180">
    <w:name w:val="报告表正文"/>
    <w:basedOn w:val="1"/>
    <w:autoRedefine/>
    <w:qFormat/>
    <w:uiPriority w:val="0"/>
    <w:pPr>
      <w:adjustRightInd w:val="0"/>
      <w:spacing w:line="520" w:lineRule="exact"/>
      <w:ind w:firstLine="480" w:firstLineChars="200"/>
      <w:textAlignment w:val="baseline"/>
      <w:outlineLvl w:val="1"/>
    </w:pPr>
    <w:rPr>
      <w:szCs w:val="28"/>
    </w:rPr>
  </w:style>
  <w:style w:type="paragraph" w:customStyle="1" w:styleId="181">
    <w:name w:val="LSJ正文"/>
    <w:basedOn w:val="12"/>
    <w:autoRedefine/>
    <w:qFormat/>
    <w:uiPriority w:val="0"/>
    <w:pPr>
      <w:widowControl/>
      <w:spacing w:line="360" w:lineRule="auto"/>
      <w:ind w:firstLine="480"/>
      <w:jc w:val="left"/>
    </w:pPr>
    <w:rPr>
      <w:color w:val="000000"/>
      <w:kern w:val="0"/>
      <w:sz w:val="24"/>
    </w:rPr>
  </w:style>
  <w:style w:type="paragraph" w:customStyle="1" w:styleId="182">
    <w:name w:val="表格定"/>
    <w:basedOn w:val="151"/>
    <w:autoRedefine/>
    <w:qFormat/>
    <w:uiPriority w:val="0"/>
    <w:pPr>
      <w:keepLines/>
      <w:widowControl w:val="0"/>
      <w:autoSpaceDE w:val="0"/>
      <w:autoSpaceDN w:val="0"/>
      <w:adjustRightInd w:val="0"/>
      <w:snapToGrid w:val="0"/>
      <w:textAlignment w:val="center"/>
    </w:pPr>
    <w:rPr>
      <w:szCs w:val="21"/>
      <w:lang w:bidi="en-US"/>
    </w:rPr>
  </w:style>
  <w:style w:type="paragraph" w:customStyle="1" w:styleId="183">
    <w:name w:val="表内样式"/>
    <w:basedOn w:val="66"/>
    <w:autoRedefine/>
    <w:qFormat/>
    <w:uiPriority w:val="0"/>
    <w:pPr>
      <w:overflowPunct w:val="0"/>
      <w:spacing w:before="10" w:after="10" w:line="300" w:lineRule="atLeast"/>
      <w:ind w:left="0" w:firstLine="200" w:firstLineChars="200"/>
      <w:jc w:val="left"/>
    </w:pPr>
    <w:rPr>
      <w:rFonts w:hAnsi="宋体" w:eastAsia="仿宋_GB2312"/>
      <w:snapToGrid w:val="0"/>
    </w:rPr>
  </w:style>
  <w:style w:type="paragraph" w:customStyle="1" w:styleId="184">
    <w:name w:val="文本"/>
    <w:basedOn w:val="21"/>
    <w:autoRedefine/>
    <w:qFormat/>
    <w:uiPriority w:val="0"/>
    <w:pPr>
      <w:adjustRightInd w:val="0"/>
      <w:snapToGrid w:val="0"/>
      <w:spacing w:after="0" w:line="480" w:lineRule="exact"/>
      <w:ind w:right="210" w:rightChars="100" w:firstLine="480" w:firstLineChars="200"/>
    </w:pPr>
    <w:rPr>
      <w:rFonts w:ascii="仿宋_GB2312" w:eastAsia="仿宋_GB2312"/>
      <w:kern w:val="0"/>
      <w:sz w:val="24"/>
    </w:rPr>
  </w:style>
  <w:style w:type="paragraph" w:customStyle="1" w:styleId="185">
    <w:name w:val="ZM 表内格式"/>
    <w:autoRedefine/>
    <w:qFormat/>
    <w:uiPriority w:val="0"/>
    <w:pPr>
      <w:widowControl w:val="0"/>
      <w:adjustRightInd w:val="0"/>
      <w:snapToGrid w:val="0"/>
      <w:jc w:val="center"/>
      <w:textAlignment w:val="center"/>
    </w:pPr>
    <w:rPr>
      <w:rFonts w:ascii="宋体" w:hAnsi="Times New Roman" w:eastAsia="宋体" w:cs="Times New Roman"/>
      <w:kern w:val="2"/>
      <w:sz w:val="21"/>
      <w:szCs w:val="21"/>
      <w:lang w:val="en-US" w:eastAsia="zh-CN" w:bidi="ar-SA"/>
    </w:rPr>
  </w:style>
  <w:style w:type="paragraph" w:customStyle="1" w:styleId="186">
    <w:name w:val="1正文"/>
    <w:basedOn w:val="1"/>
    <w:autoRedefine/>
    <w:qFormat/>
    <w:uiPriority w:val="0"/>
    <w:pPr>
      <w:widowControl/>
      <w:spacing w:line="360" w:lineRule="auto"/>
      <w:ind w:firstLine="200" w:firstLineChars="200"/>
    </w:pPr>
    <w:rPr>
      <w:kern w:val="0"/>
      <w:sz w:val="24"/>
      <w:lang w:val="en-GB"/>
    </w:rPr>
  </w:style>
  <w:style w:type="paragraph" w:customStyle="1" w:styleId="187">
    <w:name w:val="表格居中"/>
    <w:next w:val="1"/>
    <w:autoRedefine/>
    <w:qFormat/>
    <w:uiPriority w:val="0"/>
    <w:pPr>
      <w:adjustRightInd w:val="0"/>
      <w:snapToGrid w:val="0"/>
      <w:textAlignment w:val="baseline"/>
    </w:pPr>
    <w:rPr>
      <w:rFonts w:ascii="Times New Roman" w:hAnsi="Times New Roman" w:eastAsia="宋体" w:cs="Times New Roman"/>
      <w:szCs w:val="21"/>
      <w:lang w:val="en-US" w:eastAsia="zh-CN" w:bidi="ar-SA"/>
    </w:rPr>
  </w:style>
  <w:style w:type="paragraph" w:customStyle="1" w:styleId="188">
    <w:name w:val="表格两端对齐"/>
    <w:basedOn w:val="1"/>
    <w:autoRedefine/>
    <w:qFormat/>
    <w:uiPriority w:val="0"/>
    <w:pPr>
      <w:adjustRightInd w:val="0"/>
      <w:snapToGrid w:val="0"/>
      <w:textAlignment w:val="baseline"/>
    </w:pPr>
    <w:rPr>
      <w:sz w:val="20"/>
      <w:szCs w:val="21"/>
    </w:rPr>
  </w:style>
  <w:style w:type="table" w:customStyle="1" w:styleId="189">
    <w:name w:val="Table Normal1"/>
    <w:semiHidden/>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character" w:customStyle="1" w:styleId="190">
    <w:name w:val="表内容 字符"/>
    <w:link w:val="174"/>
    <w:qFormat/>
    <w:uiPriority w:val="0"/>
    <w:rPr>
      <w:kern w:val="2"/>
      <w:sz w:val="21"/>
      <w:szCs w:val="24"/>
    </w:rPr>
  </w:style>
  <w:style w:type="paragraph" w:customStyle="1" w:styleId="191">
    <w:name w:val="00000a表格正文"/>
    <w:basedOn w:val="1"/>
    <w:qFormat/>
    <w:uiPriority w:val="0"/>
    <w:pPr>
      <w:autoSpaceDE w:val="0"/>
      <w:autoSpaceDN w:val="0"/>
      <w:spacing w:line="320" w:lineRule="atLeast"/>
      <w:jc w:val="left"/>
    </w:pPr>
    <w:rPr>
      <w:kern w:val="0"/>
      <w:sz w:val="22"/>
    </w:rPr>
  </w:style>
  <w:style w:type="character" w:customStyle="1" w:styleId="192">
    <w:name w:val="标题 1 字符"/>
    <w:link w:val="3"/>
    <w:qFormat/>
    <w:uiPriority w:val="9"/>
    <w:rPr>
      <w:rFonts w:eastAsia="黑体"/>
      <w:snapToGrid w:val="0"/>
      <w:kern w:val="44"/>
      <w:sz w:val="44"/>
      <w:szCs w:val="44"/>
    </w:rPr>
  </w:style>
  <w:style w:type="character" w:customStyle="1" w:styleId="193">
    <w:name w:val="标题 3 字符"/>
    <w:link w:val="5"/>
    <w:qFormat/>
    <w:uiPriority w:val="9"/>
    <w:rPr>
      <w:b/>
      <w:bCs/>
      <w:kern w:val="2"/>
      <w:sz w:val="32"/>
      <w:szCs w:val="32"/>
    </w:rPr>
  </w:style>
  <w:style w:type="character" w:customStyle="1" w:styleId="194">
    <w:name w:val="副标题 字符"/>
    <w:basedOn w:val="45"/>
    <w:link w:val="33"/>
    <w:qFormat/>
    <w:uiPriority w:val="11"/>
    <w:rPr>
      <w:rFonts w:ascii="等线 Light" w:hAnsi="等线 Light" w:eastAsia="等线 Light"/>
      <w:color w:val="595959"/>
      <w:spacing w:val="15"/>
      <w:sz w:val="28"/>
      <w:szCs w:val="28"/>
    </w:rPr>
  </w:style>
  <w:style w:type="paragraph" w:styleId="195">
    <w:name w:val="Quote"/>
    <w:basedOn w:val="1"/>
    <w:next w:val="1"/>
    <w:link w:val="196"/>
    <w:qFormat/>
    <w:uiPriority w:val="29"/>
    <w:pPr>
      <w:autoSpaceDE w:val="0"/>
      <w:autoSpaceDN w:val="0"/>
      <w:spacing w:before="160" w:after="160"/>
      <w:jc w:val="center"/>
    </w:pPr>
    <w:rPr>
      <w:rFonts w:ascii="宋体" w:hAnsi="宋体" w:cs="宋体"/>
      <w:i/>
      <w:iCs/>
      <w:color w:val="404040"/>
      <w:kern w:val="0"/>
      <w:sz w:val="22"/>
      <w:szCs w:val="22"/>
    </w:rPr>
  </w:style>
  <w:style w:type="character" w:customStyle="1" w:styleId="196">
    <w:name w:val="引用 字符"/>
    <w:basedOn w:val="45"/>
    <w:link w:val="195"/>
    <w:qFormat/>
    <w:uiPriority w:val="29"/>
    <w:rPr>
      <w:rFonts w:ascii="宋体" w:hAnsi="宋体" w:cs="宋体"/>
      <w:i/>
      <w:iCs/>
      <w:color w:val="404040"/>
      <w:sz w:val="22"/>
      <w:szCs w:val="22"/>
    </w:rPr>
  </w:style>
  <w:style w:type="character" w:customStyle="1" w:styleId="197">
    <w:name w:val="明显强调1"/>
    <w:qFormat/>
    <w:uiPriority w:val="21"/>
    <w:rPr>
      <w:i/>
      <w:iCs/>
      <w:color w:val="2E74B5"/>
    </w:rPr>
  </w:style>
  <w:style w:type="paragraph" w:styleId="198">
    <w:name w:val="Intense Quote"/>
    <w:basedOn w:val="1"/>
    <w:next w:val="1"/>
    <w:link w:val="199"/>
    <w:qFormat/>
    <w:uiPriority w:val="30"/>
    <w:pPr>
      <w:pBdr>
        <w:top w:val="single" w:color="2E74B5" w:sz="4" w:space="10"/>
        <w:bottom w:val="single" w:color="2E74B5" w:sz="4" w:space="10"/>
      </w:pBdr>
      <w:autoSpaceDE w:val="0"/>
      <w:autoSpaceDN w:val="0"/>
      <w:spacing w:before="360" w:after="360"/>
      <w:ind w:left="864" w:right="864"/>
      <w:jc w:val="center"/>
    </w:pPr>
    <w:rPr>
      <w:rFonts w:ascii="宋体" w:hAnsi="宋体" w:cs="宋体"/>
      <w:i/>
      <w:iCs/>
      <w:color w:val="2E74B5"/>
      <w:kern w:val="0"/>
      <w:sz w:val="22"/>
      <w:szCs w:val="22"/>
    </w:rPr>
  </w:style>
  <w:style w:type="character" w:customStyle="1" w:styleId="199">
    <w:name w:val="明显引用 字符"/>
    <w:basedOn w:val="45"/>
    <w:link w:val="198"/>
    <w:qFormat/>
    <w:uiPriority w:val="30"/>
    <w:rPr>
      <w:rFonts w:ascii="宋体" w:hAnsi="宋体" w:cs="宋体"/>
      <w:i/>
      <w:iCs/>
      <w:color w:val="2E74B5"/>
      <w:sz w:val="22"/>
      <w:szCs w:val="22"/>
    </w:rPr>
  </w:style>
  <w:style w:type="character" w:customStyle="1" w:styleId="200">
    <w:name w:val="明显参考1"/>
    <w:qFormat/>
    <w:uiPriority w:val="32"/>
    <w:rPr>
      <w:b/>
      <w:bCs/>
      <w:smallCaps/>
      <w:color w:val="2E74B5"/>
      <w:spacing w:val="5"/>
    </w:rPr>
  </w:style>
  <w:style w:type="character" w:customStyle="1" w:styleId="201">
    <w:name w:val="脚注文本 字符"/>
    <w:basedOn w:val="45"/>
    <w:link w:val="35"/>
    <w:qFormat/>
    <w:uiPriority w:val="0"/>
    <w:rPr>
      <w:kern w:val="2"/>
      <w:sz w:val="18"/>
      <w:szCs w:val="18"/>
    </w:rPr>
  </w:style>
  <w:style w:type="character" w:customStyle="1" w:styleId="202">
    <w:name w:val="宏文本 字符"/>
    <w:basedOn w:val="45"/>
    <w:link w:val="2"/>
    <w:qFormat/>
    <w:uiPriority w:val="0"/>
    <w:rPr>
      <w:rFonts w:ascii="Courier New" w:hAnsi="Courier New"/>
      <w:kern w:val="2"/>
      <w:sz w:val="24"/>
      <w:szCs w:val="24"/>
    </w:rPr>
  </w:style>
  <w:style w:type="character" w:customStyle="1" w:styleId="203">
    <w:name w:val="表头 Char"/>
    <w:qFormat/>
    <w:uiPriority w:val="0"/>
    <w:rPr>
      <w:b/>
      <w:color w:val="000000"/>
      <w:kern w:val="2"/>
      <w:sz w:val="24"/>
      <w:szCs w:val="24"/>
    </w:rPr>
  </w:style>
  <w:style w:type="paragraph" w:customStyle="1" w:styleId="204">
    <w:name w:val="样式 首行缩进:  2 字符1"/>
    <w:basedOn w:val="1"/>
    <w:qFormat/>
    <w:uiPriority w:val="0"/>
    <w:pPr>
      <w:spacing w:line="480" w:lineRule="exact"/>
      <w:ind w:firstLine="420" w:firstLineChars="200"/>
    </w:pPr>
    <w:rPr>
      <w:rFonts w:ascii="宋体"/>
      <w:kern w:val="0"/>
      <w:sz w:val="24"/>
      <w:szCs w:val="20"/>
    </w:rPr>
  </w:style>
  <w:style w:type="paragraph" w:customStyle="1" w:styleId="205">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206">
    <w:name w:val="xl58"/>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24"/>
    </w:rPr>
  </w:style>
  <w:style w:type="paragraph" w:customStyle="1" w:styleId="207">
    <w:name w:val="xl59"/>
    <w:basedOn w:val="1"/>
    <w:qFormat/>
    <w:uiPriority w:val="0"/>
    <w:pPr>
      <w:widowControl/>
      <w:spacing w:before="100" w:beforeAutospacing="1" w:after="100" w:afterAutospacing="1"/>
      <w:jc w:val="left"/>
      <w:textAlignment w:val="bottom"/>
    </w:pPr>
    <w:rPr>
      <w:rFonts w:ascii="宋体" w:hAnsi="宋体" w:cs="宋体"/>
      <w:kern w:val="0"/>
      <w:sz w:val="24"/>
    </w:rPr>
  </w:style>
  <w:style w:type="paragraph" w:customStyle="1" w:styleId="208">
    <w:name w:val="xl60"/>
    <w:basedOn w:val="1"/>
    <w:qFormat/>
    <w:uiPriority w:val="0"/>
    <w:pPr>
      <w:widowControl/>
      <w:spacing w:before="100" w:beforeAutospacing="1" w:after="100" w:afterAutospacing="1"/>
      <w:jc w:val="left"/>
      <w:textAlignment w:val="bottom"/>
    </w:pPr>
    <w:rPr>
      <w:rFonts w:ascii="宋体" w:hAnsi="宋体" w:cs="宋体"/>
      <w:kern w:val="0"/>
      <w:sz w:val="24"/>
    </w:rPr>
  </w:style>
  <w:style w:type="paragraph" w:customStyle="1" w:styleId="209">
    <w:name w:val="A表"/>
    <w:basedOn w:val="1"/>
    <w:qFormat/>
    <w:uiPriority w:val="0"/>
    <w:pPr>
      <w:spacing w:beforeLines="50"/>
      <w:jc w:val="center"/>
    </w:pPr>
    <w:rPr>
      <w:rFonts w:ascii="Times New Roman" w:hAnsi="Times New Roman" w:eastAsia="黑体"/>
      <w:color w:val="000000"/>
      <w:szCs w:val="24"/>
    </w:rPr>
  </w:style>
  <w:style w:type="paragraph" w:customStyle="1" w:styleId="210">
    <w:name w:val="表内居中"/>
    <w:autoRedefine/>
    <w:qFormat/>
    <w:uiPriority w:val="0"/>
    <w:pPr>
      <w:tabs>
        <w:tab w:val="right" w:leader="middleDot" w:pos="7938"/>
      </w:tabs>
      <w:adjustRightInd w:val="0"/>
      <w:snapToGrid w:val="0"/>
      <w:jc w:val="center"/>
    </w:pPr>
    <w:rPr>
      <w:rFonts w:ascii="仿宋_GB2312" w:hAnsi="Times New Roman" w:eastAsia="宋体" w:cs="Times New Roman"/>
      <w:iCs/>
      <w:sz w:val="21"/>
      <w:lang w:val="en-US" w:eastAsia="zh-CN" w:bidi="ar-SA"/>
    </w:rPr>
  </w:style>
  <w:style w:type="paragraph" w:customStyle="1" w:styleId="211">
    <w:name w:val="表内居左"/>
    <w:autoRedefine/>
    <w:qFormat/>
    <w:uiPriority w:val="0"/>
    <w:pPr>
      <w:adjustRightInd w:val="0"/>
      <w:snapToGrid w:val="0"/>
      <w:jc w:val="both"/>
    </w:pPr>
    <w:rPr>
      <w:rFonts w:ascii="宋体" w:hAnsi="Times New Roman" w:eastAsia="宋体" w:cs="Times New Roman"/>
      <w:sz w:val="21"/>
      <w:lang w:val="en-US" w:eastAsia="zh-CN" w:bidi="ar-SA"/>
    </w:rPr>
  </w:style>
  <w:style w:type="paragraph" w:customStyle="1" w:styleId="212">
    <w:name w:val="报告正文 + 首行缩进:  2 字符 Char"/>
    <w:basedOn w:val="1"/>
    <w:autoRedefine/>
    <w:qFormat/>
    <w:uiPriority w:val="0"/>
    <w:pPr>
      <w:spacing w:line="360" w:lineRule="auto"/>
      <w:ind w:firstLine="480"/>
    </w:pPr>
    <w:rPr>
      <w:rFonts w:cs="Times New Roman"/>
      <w:bCs/>
    </w:rPr>
  </w:style>
  <w:style w:type="paragraph" w:customStyle="1" w:styleId="213">
    <w:name w:val="图表内容"/>
    <w:basedOn w:val="1"/>
    <w:qFormat/>
    <w:uiPriority w:val="0"/>
    <w:pPr>
      <w:jc w:val="center"/>
    </w:pPr>
    <w:rPr>
      <w:kern w:val="0"/>
      <w:sz w:val="20"/>
      <w:szCs w:val="21"/>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microsoft.com/office/2006/relationships/keyMapCustomizations" Target="customizations.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9C5BB61-0A8C-4B7D-8833-264E744D8A18}">
  <ds:schemaRefs/>
</ds:datastoreItem>
</file>

<file path=docProps/app.xml><?xml version="1.0" encoding="utf-8"?>
<Properties xmlns="http://schemas.openxmlformats.org/officeDocument/2006/extended-properties" xmlns:vt="http://schemas.openxmlformats.org/officeDocument/2006/docPropsVTypes">
  <Template>Normal.dotm</Template>
  <Pages>103</Pages>
  <Words>115</Words>
  <Characters>123</Characters>
  <Lines>473</Lines>
  <Paragraphs>133</Paragraphs>
  <TotalTime>13</TotalTime>
  <ScaleCrop>false</ScaleCrop>
  <LinksUpToDate>false</LinksUpToDate>
  <CharactersWithSpaces>150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2026-06-09T02:38:00Z</dcterms:created>
  <dc:creator>lenovo</dc:creator>
  <cp:lastModifiedBy>ʚ</cp:lastModifiedBy>
  <cp:lastPrinted>2026-10-23T03:24:00Z</cp:lastPrinted>
  <dcterms:modified xsi:type="dcterms:W3CDTF">2026-10-27T10:52:54Z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FA76EE2034B745A0B6540910CAB6B3DD_13</vt:lpwstr>
  </property>
  <property fmtid="{D5CDD505-2E9C-101B-9397-08002B2CF9AE}" pid="4" name="KSOTemplateDocerSaveRecord">
    <vt:lpwstr>eyJoZGlkIjoiYTM2YWJkNGE2YjIwZGY3MTZmMWNjMzM3NzJjMGY0MTQiLCJ1c2VySWQiOiIyNzA0ODg2NzUifQ==</vt:lpwstr>
  </property>
</Properties>
</file>