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369730">
      <w:pPr>
        <w:spacing w:line="255" w:lineRule="auto"/>
        <w:rPr>
          <w:rFonts w:hint="default" w:ascii="Times New Roman" w:hAnsi="Times New Roman" w:cs="Times New Roman"/>
          <w:color w:val="auto"/>
          <w:sz w:val="21"/>
        </w:rPr>
      </w:pPr>
    </w:p>
    <w:p w14:paraId="655D0556">
      <w:pPr>
        <w:spacing w:line="255" w:lineRule="auto"/>
        <w:rPr>
          <w:rFonts w:hint="default" w:ascii="Times New Roman" w:hAnsi="Times New Roman" w:cs="Times New Roman"/>
          <w:color w:val="auto"/>
          <w:sz w:val="21"/>
        </w:rPr>
      </w:pPr>
    </w:p>
    <w:p w14:paraId="3228ED5C">
      <w:pPr>
        <w:spacing w:line="255" w:lineRule="auto"/>
        <w:rPr>
          <w:rFonts w:hint="default" w:ascii="Times New Roman" w:hAnsi="Times New Roman" w:cs="Times New Roman"/>
          <w:color w:val="auto"/>
          <w:sz w:val="21"/>
        </w:rPr>
      </w:pPr>
    </w:p>
    <w:p w14:paraId="4754B67B">
      <w:pPr>
        <w:spacing w:line="255" w:lineRule="auto"/>
        <w:rPr>
          <w:rFonts w:hint="default" w:ascii="Times New Roman" w:hAnsi="Times New Roman" w:cs="Times New Roman"/>
          <w:color w:val="auto"/>
          <w:sz w:val="21"/>
        </w:rPr>
      </w:pPr>
    </w:p>
    <w:p w14:paraId="174AC2F5">
      <w:pPr>
        <w:spacing w:line="256" w:lineRule="auto"/>
        <w:rPr>
          <w:rFonts w:hint="default" w:ascii="Times New Roman" w:hAnsi="Times New Roman" w:cs="Times New Roman"/>
          <w:color w:val="auto"/>
          <w:sz w:val="21"/>
        </w:rPr>
      </w:pPr>
    </w:p>
    <w:p w14:paraId="5A916FAA">
      <w:pPr>
        <w:spacing w:line="256" w:lineRule="auto"/>
        <w:rPr>
          <w:rFonts w:hint="default" w:ascii="Times New Roman" w:hAnsi="Times New Roman" w:cs="Times New Roman"/>
          <w:color w:val="auto"/>
          <w:sz w:val="21"/>
        </w:rPr>
      </w:pPr>
    </w:p>
    <w:p w14:paraId="7E488CBB">
      <w:pPr>
        <w:spacing w:line="256" w:lineRule="auto"/>
        <w:rPr>
          <w:rFonts w:hint="default" w:ascii="Times New Roman" w:hAnsi="Times New Roman" w:cs="Times New Roman"/>
          <w:color w:val="auto"/>
          <w:sz w:val="21"/>
        </w:rPr>
      </w:pPr>
    </w:p>
    <w:p w14:paraId="5D6E9613">
      <w:pPr>
        <w:spacing w:line="256" w:lineRule="auto"/>
        <w:rPr>
          <w:rFonts w:hint="default" w:ascii="Times New Roman" w:hAnsi="Times New Roman" w:cs="Times New Roman"/>
          <w:color w:val="auto"/>
          <w:sz w:val="21"/>
        </w:rPr>
      </w:pPr>
    </w:p>
    <w:p w14:paraId="3ECBE05B">
      <w:pPr>
        <w:spacing w:line="256" w:lineRule="auto"/>
        <w:rPr>
          <w:rFonts w:hint="default" w:ascii="Times New Roman" w:hAnsi="Times New Roman" w:cs="Times New Roman"/>
          <w:color w:val="auto"/>
          <w:sz w:val="21"/>
        </w:rPr>
      </w:pPr>
    </w:p>
    <w:p w14:paraId="35039865">
      <w:pPr>
        <w:spacing w:line="256" w:lineRule="auto"/>
        <w:rPr>
          <w:rFonts w:hint="default" w:ascii="Times New Roman" w:hAnsi="Times New Roman" w:cs="Times New Roman"/>
          <w:color w:val="auto"/>
          <w:sz w:val="21"/>
        </w:rPr>
      </w:pPr>
    </w:p>
    <w:p w14:paraId="534D46F5">
      <w:pPr>
        <w:keepNext w:val="0"/>
        <w:keepLines w:val="0"/>
        <w:pageBreakBefore w:val="0"/>
        <w:widowControl/>
        <w:kinsoku w:val="0"/>
        <w:wordWrap/>
        <w:overflowPunct/>
        <w:topLinePunct w:val="0"/>
        <w:autoSpaceDE w:val="0"/>
        <w:autoSpaceDN w:val="0"/>
        <w:bidi w:val="0"/>
        <w:adjustRightInd/>
        <w:snapToGrid/>
        <w:spacing w:line="240" w:lineRule="auto"/>
        <w:jc w:val="center"/>
        <w:textAlignment w:val="baseline"/>
        <w:rPr>
          <w:rFonts w:hint="default" w:ascii="Times New Roman" w:hAnsi="Times New Roman" w:eastAsia="微软雅黑" w:cs="Times New Roman"/>
          <w:color w:val="auto"/>
          <w:sz w:val="64"/>
          <w:szCs w:val="64"/>
        </w:rPr>
      </w:pPr>
      <w:r>
        <w:rPr>
          <w:rFonts w:hint="default" w:ascii="Times New Roman" w:hAnsi="Times New Roman" w:eastAsia="宋体" w:cs="Times New Roman"/>
          <w:b/>
          <w:bCs/>
          <w:color w:val="auto"/>
          <w:spacing w:val="8"/>
          <w:sz w:val="64"/>
          <w:szCs w:val="64"/>
        </w:rPr>
        <w:t>建设项目</w:t>
      </w:r>
      <w:r>
        <w:rPr>
          <w:rFonts w:hint="eastAsia" w:cs="Times New Roman"/>
          <w:b/>
          <w:bCs/>
          <w:color w:val="auto"/>
          <w:spacing w:val="8"/>
          <w:sz w:val="64"/>
          <w:szCs w:val="64"/>
          <w:lang w:val="en-US" w:eastAsia="zh-CN"/>
        </w:rPr>
        <w:t>生态</w:t>
      </w:r>
      <w:r>
        <w:rPr>
          <w:rFonts w:hint="default" w:ascii="Times New Roman" w:hAnsi="Times New Roman" w:eastAsia="宋体" w:cs="Times New Roman"/>
          <w:b/>
          <w:bCs/>
          <w:color w:val="auto"/>
          <w:spacing w:val="8"/>
          <w:sz w:val="64"/>
          <w:szCs w:val="64"/>
        </w:rPr>
        <w:t>环境影响报告</w:t>
      </w:r>
      <w:r>
        <w:rPr>
          <w:rFonts w:hint="default" w:ascii="Times New Roman" w:hAnsi="Times New Roman" w:eastAsia="宋体" w:cs="Times New Roman"/>
          <w:b/>
          <w:bCs/>
          <w:color w:val="auto"/>
          <w:spacing w:val="6"/>
          <w:sz w:val="64"/>
          <w:szCs w:val="64"/>
        </w:rPr>
        <w:t>表</w:t>
      </w:r>
    </w:p>
    <w:p w14:paraId="5F90DF77">
      <w:pPr>
        <w:spacing w:before="325" w:line="227" w:lineRule="auto"/>
        <w:ind w:left="2541"/>
        <w:rPr>
          <w:rFonts w:hint="default" w:ascii="Times New Roman" w:hAnsi="Times New Roman" w:eastAsia="楷体" w:cs="Times New Roman"/>
          <w:color w:val="auto"/>
          <w:sz w:val="47"/>
          <w:szCs w:val="47"/>
          <w:lang w:val="en-US" w:eastAsia="zh-CN"/>
        </w:rPr>
      </w:pPr>
      <w:r>
        <w:rPr>
          <w:rFonts w:hint="eastAsia" w:eastAsia="楷体" w:cs="Times New Roman"/>
          <w:color w:val="auto"/>
          <w:spacing w:val="35"/>
          <w:sz w:val="47"/>
          <w:szCs w:val="47"/>
          <w:lang w:eastAsia="zh-CN"/>
        </w:rPr>
        <w:t>（</w:t>
      </w:r>
      <w:r>
        <w:rPr>
          <w:rFonts w:hint="default" w:ascii="Times New Roman" w:hAnsi="Times New Roman" w:eastAsia="楷体" w:cs="Times New Roman"/>
          <w:color w:val="auto"/>
          <w:spacing w:val="34"/>
          <w:sz w:val="47"/>
          <w:szCs w:val="47"/>
        </w:rPr>
        <w:t>污染影响类</w:t>
      </w:r>
      <w:r>
        <w:rPr>
          <w:rFonts w:hint="eastAsia" w:eastAsia="楷体" w:cs="Times New Roman"/>
          <w:color w:val="auto"/>
          <w:spacing w:val="34"/>
          <w:sz w:val="47"/>
          <w:szCs w:val="47"/>
          <w:lang w:eastAsia="zh-CN"/>
        </w:rPr>
        <w:t>）</w:t>
      </w:r>
    </w:p>
    <w:p w14:paraId="5C54928B">
      <w:pPr>
        <w:spacing w:line="252" w:lineRule="auto"/>
        <w:rPr>
          <w:rFonts w:hint="default" w:ascii="Times New Roman" w:hAnsi="Times New Roman" w:cs="Times New Roman"/>
          <w:color w:val="auto"/>
          <w:sz w:val="21"/>
        </w:rPr>
      </w:pPr>
    </w:p>
    <w:p w14:paraId="7BAFD000">
      <w:pPr>
        <w:spacing w:line="252" w:lineRule="auto"/>
        <w:rPr>
          <w:rFonts w:hint="default" w:ascii="Times New Roman" w:hAnsi="Times New Roman" w:cs="Times New Roman"/>
          <w:color w:val="auto"/>
          <w:sz w:val="21"/>
        </w:rPr>
      </w:pPr>
    </w:p>
    <w:p w14:paraId="04B8EB1A">
      <w:pPr>
        <w:spacing w:line="252" w:lineRule="auto"/>
        <w:rPr>
          <w:rFonts w:hint="default" w:ascii="Times New Roman" w:hAnsi="Times New Roman" w:cs="Times New Roman"/>
          <w:color w:val="auto"/>
          <w:sz w:val="21"/>
        </w:rPr>
      </w:pPr>
    </w:p>
    <w:p w14:paraId="371B548F">
      <w:pPr>
        <w:spacing w:line="252" w:lineRule="auto"/>
        <w:rPr>
          <w:rFonts w:hint="default" w:ascii="Times New Roman" w:hAnsi="Times New Roman" w:cs="Times New Roman"/>
          <w:color w:val="auto"/>
          <w:sz w:val="21"/>
        </w:rPr>
      </w:pPr>
    </w:p>
    <w:p w14:paraId="012C965E">
      <w:pPr>
        <w:spacing w:line="252" w:lineRule="auto"/>
        <w:rPr>
          <w:rFonts w:hint="default" w:ascii="Times New Roman" w:hAnsi="Times New Roman" w:cs="Times New Roman"/>
          <w:color w:val="auto"/>
          <w:sz w:val="21"/>
        </w:rPr>
      </w:pPr>
    </w:p>
    <w:p w14:paraId="32313388">
      <w:pPr>
        <w:spacing w:line="252" w:lineRule="auto"/>
        <w:rPr>
          <w:rFonts w:hint="default" w:ascii="Times New Roman" w:hAnsi="Times New Roman" w:cs="Times New Roman"/>
          <w:color w:val="auto"/>
          <w:sz w:val="21"/>
        </w:rPr>
      </w:pPr>
    </w:p>
    <w:p w14:paraId="7A6C814C">
      <w:pPr>
        <w:spacing w:line="252" w:lineRule="auto"/>
        <w:rPr>
          <w:rFonts w:hint="default" w:ascii="Times New Roman" w:hAnsi="Times New Roman" w:cs="Times New Roman"/>
          <w:color w:val="auto"/>
          <w:sz w:val="21"/>
        </w:rPr>
      </w:pPr>
    </w:p>
    <w:p w14:paraId="393150D6">
      <w:pPr>
        <w:spacing w:line="252" w:lineRule="auto"/>
        <w:rPr>
          <w:rFonts w:hint="default" w:ascii="Times New Roman" w:hAnsi="Times New Roman" w:cs="Times New Roman"/>
          <w:color w:val="auto"/>
          <w:sz w:val="21"/>
        </w:rPr>
      </w:pPr>
    </w:p>
    <w:p w14:paraId="1A271838">
      <w:pPr>
        <w:spacing w:line="252" w:lineRule="auto"/>
        <w:rPr>
          <w:rFonts w:hint="default" w:ascii="Times New Roman" w:hAnsi="Times New Roman" w:cs="Times New Roman"/>
          <w:color w:val="auto"/>
          <w:sz w:val="21"/>
        </w:rPr>
      </w:pPr>
    </w:p>
    <w:p w14:paraId="49188559">
      <w:pPr>
        <w:spacing w:line="252" w:lineRule="auto"/>
        <w:rPr>
          <w:rFonts w:hint="default" w:ascii="Times New Roman" w:hAnsi="Times New Roman" w:cs="Times New Roman"/>
          <w:color w:val="auto"/>
          <w:sz w:val="21"/>
        </w:rPr>
      </w:pPr>
    </w:p>
    <w:p w14:paraId="7EEBDF6D">
      <w:pPr>
        <w:spacing w:line="253" w:lineRule="auto"/>
        <w:rPr>
          <w:rFonts w:hint="default" w:ascii="Times New Roman" w:hAnsi="Times New Roman" w:cs="Times New Roman"/>
          <w:color w:val="auto"/>
          <w:sz w:val="21"/>
        </w:rPr>
      </w:pPr>
    </w:p>
    <w:p w14:paraId="34E7A2AD">
      <w:pPr>
        <w:spacing w:line="253" w:lineRule="auto"/>
        <w:rPr>
          <w:rFonts w:hint="default" w:ascii="Times New Roman" w:hAnsi="Times New Roman" w:cs="Times New Roman"/>
          <w:color w:val="auto"/>
          <w:sz w:val="21"/>
        </w:rPr>
      </w:pPr>
    </w:p>
    <w:p w14:paraId="4A9E607D">
      <w:pPr>
        <w:spacing w:line="253" w:lineRule="auto"/>
        <w:rPr>
          <w:rFonts w:hint="default" w:ascii="Times New Roman" w:hAnsi="Times New Roman" w:cs="Times New Roman"/>
          <w:color w:val="auto"/>
          <w:sz w:val="21"/>
        </w:rPr>
      </w:pPr>
    </w:p>
    <w:p w14:paraId="25AC97AB">
      <w:pPr>
        <w:spacing w:before="114" w:line="296" w:lineRule="auto"/>
        <w:ind w:left="808" w:right="1145" w:firstLine="1"/>
        <w:jc w:val="left"/>
        <w:rPr>
          <w:rFonts w:hint="default" w:ascii="Times New Roman" w:hAnsi="Times New Roman" w:eastAsia="仿宋" w:cs="Times New Roman"/>
          <w:color w:val="auto"/>
          <w:sz w:val="35"/>
          <w:szCs w:val="35"/>
          <w:u w:val="single" w:color="auto"/>
        </w:rPr>
      </w:pPr>
      <w:r>
        <w:rPr>
          <w:rFonts w:hint="default" w:ascii="Times New Roman" w:hAnsi="Times New Roman" w:eastAsia="仿宋" w:cs="Times New Roman"/>
          <w:color w:val="auto"/>
          <w:spacing w:val="-10"/>
          <w:sz w:val="35"/>
          <w:szCs w:val="35"/>
        </w:rPr>
        <w:t>项目名称</w:t>
      </w:r>
      <w:r>
        <w:rPr>
          <w:rFonts w:hint="default" w:ascii="Times New Roman" w:hAnsi="Times New Roman" w:eastAsia="仿宋" w:cs="Times New Roman"/>
          <w:color w:val="auto"/>
          <w:spacing w:val="-6"/>
          <w:sz w:val="35"/>
          <w:szCs w:val="35"/>
        </w:rPr>
        <w:t>：</w:t>
      </w:r>
      <w:r>
        <w:rPr>
          <w:rFonts w:hint="eastAsia" w:eastAsia="仿宋" w:cs="Times New Roman"/>
          <w:color w:val="auto"/>
          <w:spacing w:val="-6"/>
          <w:sz w:val="35"/>
          <w:szCs w:val="35"/>
          <w:u w:val="single" w:color="auto"/>
          <w:lang w:val="en-US" w:eastAsia="zh-CN"/>
        </w:rPr>
        <w:t xml:space="preserve">     </w:t>
      </w:r>
      <w:r>
        <w:rPr>
          <w:rFonts w:hint="eastAsia" w:eastAsia="仿宋" w:cs="Times New Roman"/>
          <w:color w:val="auto"/>
          <w:spacing w:val="2"/>
          <w:sz w:val="35"/>
          <w:szCs w:val="35"/>
          <w:u w:val="single" w:color="auto"/>
          <w:lang w:val="en-US" w:eastAsia="zh-CN"/>
        </w:rPr>
        <w:t>库尔勒宠爱一生宠物医院</w:t>
      </w:r>
      <w:r>
        <w:rPr>
          <w:rFonts w:hint="default" w:ascii="Times New Roman" w:hAnsi="Times New Roman" w:eastAsia="仿宋" w:cs="Times New Roman"/>
          <w:color w:val="auto"/>
          <w:sz w:val="35"/>
          <w:szCs w:val="35"/>
          <w:u w:val="single" w:color="auto"/>
        </w:rPr>
        <w:t xml:space="preserve">  </w:t>
      </w:r>
      <w:r>
        <w:rPr>
          <w:rFonts w:hint="default" w:ascii="Times New Roman" w:hAnsi="Times New Roman" w:eastAsia="仿宋" w:cs="Times New Roman"/>
          <w:color w:val="auto"/>
          <w:spacing w:val="-5"/>
          <w:sz w:val="35"/>
          <w:szCs w:val="35"/>
          <w:u w:val="single" w:color="auto"/>
        </w:rPr>
        <w:t xml:space="preserve"> </w:t>
      </w:r>
      <w:r>
        <w:rPr>
          <w:rFonts w:hint="default" w:ascii="Times New Roman" w:hAnsi="Times New Roman" w:eastAsia="仿宋" w:cs="Times New Roman"/>
          <w:color w:val="auto"/>
          <w:sz w:val="35"/>
          <w:szCs w:val="35"/>
          <w:u w:val="single" w:color="auto"/>
        </w:rPr>
        <w:t xml:space="preserve"> </w:t>
      </w:r>
    </w:p>
    <w:p w14:paraId="7D4BF8E1">
      <w:pPr>
        <w:spacing w:before="114" w:line="296" w:lineRule="auto"/>
        <w:ind w:left="808" w:right="1145" w:firstLine="1"/>
        <w:jc w:val="left"/>
        <w:rPr>
          <w:rFonts w:hint="default" w:ascii="Times New Roman" w:hAnsi="Times New Roman" w:eastAsia="仿宋" w:cs="Times New Roman"/>
          <w:color w:val="auto"/>
          <w:spacing w:val="-10"/>
          <w:sz w:val="35"/>
          <w:szCs w:val="35"/>
          <w:u w:val="single"/>
        </w:rPr>
      </w:pPr>
      <w:r>
        <w:rPr>
          <w:rFonts w:hint="default" w:ascii="Times New Roman" w:hAnsi="Times New Roman" w:eastAsia="仿宋" w:cs="Times New Roman"/>
          <w:color w:val="auto"/>
          <w:spacing w:val="-10"/>
          <w:sz w:val="35"/>
          <w:szCs w:val="35"/>
        </w:rPr>
        <w:t>建设单位</w:t>
      </w:r>
      <w:r>
        <w:rPr>
          <w:rFonts w:hint="eastAsia" w:eastAsia="仿宋" w:cs="Times New Roman"/>
          <w:color w:val="auto"/>
          <w:spacing w:val="-10"/>
          <w:sz w:val="35"/>
          <w:szCs w:val="35"/>
          <w:lang w:eastAsia="zh-CN"/>
        </w:rPr>
        <w:t>（</w:t>
      </w:r>
      <w:r>
        <w:rPr>
          <w:rFonts w:hint="default" w:ascii="Times New Roman" w:hAnsi="Times New Roman" w:eastAsia="仿宋" w:cs="Times New Roman"/>
          <w:color w:val="auto"/>
          <w:spacing w:val="-10"/>
          <w:sz w:val="35"/>
          <w:szCs w:val="35"/>
        </w:rPr>
        <w:t>盖章</w:t>
      </w:r>
      <w:r>
        <w:rPr>
          <w:rFonts w:hint="eastAsia" w:eastAsia="仿宋" w:cs="Times New Roman"/>
          <w:color w:val="auto"/>
          <w:spacing w:val="-10"/>
          <w:sz w:val="35"/>
          <w:szCs w:val="35"/>
          <w:lang w:eastAsia="zh-CN"/>
        </w:rPr>
        <w:t>）</w:t>
      </w:r>
      <w:r>
        <w:rPr>
          <w:rFonts w:hint="default" w:ascii="Times New Roman" w:hAnsi="Times New Roman" w:eastAsia="仿宋" w:cs="Times New Roman"/>
          <w:color w:val="auto"/>
          <w:spacing w:val="-10"/>
          <w:sz w:val="35"/>
          <w:szCs w:val="35"/>
        </w:rPr>
        <w:t>：</w:t>
      </w:r>
      <w:r>
        <w:rPr>
          <w:rFonts w:hint="eastAsia" w:eastAsia="仿宋" w:cs="Times New Roman"/>
          <w:color w:val="auto"/>
          <w:spacing w:val="-10"/>
          <w:sz w:val="35"/>
          <w:szCs w:val="35"/>
          <w:u w:val="single"/>
          <w:lang w:val="en-US" w:eastAsia="zh-CN"/>
        </w:rPr>
        <w:t>库尔勒宠爱一生宠物医院</w:t>
      </w:r>
      <w:r>
        <w:rPr>
          <w:rFonts w:hint="default" w:ascii="Times New Roman" w:hAnsi="Times New Roman" w:eastAsia="仿宋" w:cs="Times New Roman"/>
          <w:color w:val="auto"/>
          <w:spacing w:val="-10"/>
          <w:sz w:val="35"/>
          <w:szCs w:val="35"/>
          <w:u w:val="single"/>
        </w:rPr>
        <w:t xml:space="preserve">  </w:t>
      </w:r>
      <w:r>
        <w:rPr>
          <w:rFonts w:hint="eastAsia" w:ascii="Times New Roman" w:hAnsi="Times New Roman" w:eastAsia="仿宋" w:cs="Times New Roman"/>
          <w:color w:val="auto"/>
          <w:spacing w:val="-10"/>
          <w:sz w:val="35"/>
          <w:szCs w:val="35"/>
          <w:u w:val="single"/>
          <w:lang w:val="en-US" w:eastAsia="zh-CN"/>
        </w:rPr>
        <w:t xml:space="preserve"> </w:t>
      </w:r>
      <w:r>
        <w:rPr>
          <w:rFonts w:hint="default" w:ascii="Times New Roman" w:hAnsi="Times New Roman" w:eastAsia="仿宋" w:cs="Times New Roman"/>
          <w:color w:val="auto"/>
          <w:spacing w:val="-10"/>
          <w:sz w:val="35"/>
          <w:szCs w:val="35"/>
          <w:u w:val="single"/>
        </w:rPr>
        <w:t xml:space="preserve">   </w:t>
      </w:r>
    </w:p>
    <w:p w14:paraId="72DAF973">
      <w:pPr>
        <w:spacing w:before="114" w:line="296" w:lineRule="auto"/>
        <w:ind w:left="808" w:right="1145" w:firstLine="1"/>
        <w:jc w:val="left"/>
        <w:rPr>
          <w:rFonts w:hint="default" w:ascii="Times New Roman" w:hAnsi="Times New Roman" w:eastAsia="仿宋" w:cs="Times New Roman"/>
          <w:color w:val="auto"/>
          <w:spacing w:val="-10"/>
          <w:sz w:val="35"/>
          <w:szCs w:val="35"/>
        </w:rPr>
      </w:pPr>
      <w:r>
        <w:rPr>
          <w:rFonts w:hint="default" w:ascii="Times New Roman" w:hAnsi="Times New Roman" w:eastAsia="仿宋" w:cs="Times New Roman"/>
          <w:color w:val="auto"/>
          <w:spacing w:val="-10"/>
          <w:sz w:val="35"/>
          <w:szCs w:val="35"/>
        </w:rPr>
        <w:t>编制日期：</w:t>
      </w:r>
      <w:r>
        <w:rPr>
          <w:rFonts w:hint="default" w:ascii="Times New Roman" w:hAnsi="Times New Roman" w:eastAsia="仿宋" w:cs="Times New Roman"/>
          <w:color w:val="auto"/>
          <w:spacing w:val="-10"/>
          <w:sz w:val="35"/>
          <w:szCs w:val="35"/>
          <w:u w:val="single"/>
        </w:rPr>
        <w:t xml:space="preserve">     </w:t>
      </w:r>
      <w:r>
        <w:rPr>
          <w:rFonts w:hint="eastAsia" w:eastAsia="仿宋" w:cs="Times New Roman"/>
          <w:color w:val="auto"/>
          <w:spacing w:val="-10"/>
          <w:sz w:val="35"/>
          <w:szCs w:val="35"/>
          <w:u w:val="single"/>
          <w:lang w:val="en-US" w:eastAsia="zh-CN"/>
        </w:rPr>
        <w:t xml:space="preserve">      </w:t>
      </w:r>
      <w:r>
        <w:rPr>
          <w:rFonts w:hint="default" w:ascii="Times New Roman" w:hAnsi="Times New Roman" w:eastAsia="仿宋" w:cs="Times New Roman"/>
          <w:color w:val="auto"/>
          <w:spacing w:val="-10"/>
          <w:sz w:val="35"/>
          <w:szCs w:val="35"/>
          <w:u w:val="single"/>
        </w:rPr>
        <w:t xml:space="preserve"> </w:t>
      </w:r>
      <w:r>
        <w:rPr>
          <w:rFonts w:hint="eastAsia" w:ascii="Times New Roman" w:hAnsi="Times New Roman" w:eastAsia="仿宋" w:cs="Times New Roman"/>
          <w:color w:val="auto"/>
          <w:spacing w:val="-10"/>
          <w:sz w:val="35"/>
          <w:szCs w:val="35"/>
          <w:u w:val="single"/>
          <w:lang w:val="en-US" w:eastAsia="zh-CN"/>
        </w:rPr>
        <w:t xml:space="preserve">  2026年</w:t>
      </w:r>
      <w:r>
        <w:rPr>
          <w:rFonts w:hint="eastAsia" w:eastAsia="仿宋" w:cs="Times New Roman"/>
          <w:color w:val="auto"/>
          <w:spacing w:val="-10"/>
          <w:sz w:val="35"/>
          <w:szCs w:val="35"/>
          <w:u w:val="single"/>
          <w:lang w:val="en-US" w:eastAsia="zh-CN"/>
        </w:rPr>
        <w:t>10</w:t>
      </w:r>
      <w:r>
        <w:rPr>
          <w:rFonts w:hint="eastAsia" w:ascii="Times New Roman" w:hAnsi="Times New Roman" w:eastAsia="仿宋" w:cs="Times New Roman"/>
          <w:color w:val="auto"/>
          <w:spacing w:val="-10"/>
          <w:sz w:val="35"/>
          <w:szCs w:val="35"/>
          <w:u w:val="single"/>
          <w:lang w:val="en-US" w:eastAsia="zh-CN"/>
        </w:rPr>
        <w:t>月</w:t>
      </w:r>
      <w:r>
        <w:rPr>
          <w:rFonts w:hint="default" w:ascii="Times New Roman" w:hAnsi="Times New Roman" w:eastAsia="仿宋" w:cs="Times New Roman"/>
          <w:color w:val="auto"/>
          <w:spacing w:val="-10"/>
          <w:sz w:val="35"/>
          <w:szCs w:val="35"/>
          <w:u w:val="single"/>
        </w:rPr>
        <w:t xml:space="preserve">          </w:t>
      </w:r>
    </w:p>
    <w:p w14:paraId="57E507A3">
      <w:pPr>
        <w:spacing w:line="254" w:lineRule="auto"/>
        <w:rPr>
          <w:rFonts w:hint="default" w:ascii="Times New Roman" w:hAnsi="Times New Roman" w:cs="Times New Roman"/>
          <w:color w:val="auto"/>
          <w:sz w:val="21"/>
        </w:rPr>
      </w:pPr>
    </w:p>
    <w:p w14:paraId="5F653D9D">
      <w:pPr>
        <w:spacing w:line="254" w:lineRule="auto"/>
        <w:rPr>
          <w:rFonts w:hint="default" w:ascii="Times New Roman" w:hAnsi="Times New Roman" w:cs="Times New Roman"/>
          <w:color w:val="auto"/>
          <w:sz w:val="21"/>
        </w:rPr>
      </w:pPr>
    </w:p>
    <w:p w14:paraId="015DAC5F">
      <w:pPr>
        <w:spacing w:line="254" w:lineRule="auto"/>
        <w:rPr>
          <w:rFonts w:hint="default" w:ascii="Times New Roman" w:hAnsi="Times New Roman" w:cs="Times New Roman"/>
          <w:color w:val="auto"/>
          <w:sz w:val="21"/>
        </w:rPr>
      </w:pPr>
    </w:p>
    <w:p w14:paraId="65C0B9E1">
      <w:pPr>
        <w:spacing w:line="254" w:lineRule="auto"/>
        <w:rPr>
          <w:rFonts w:hint="default" w:ascii="Times New Roman" w:hAnsi="Times New Roman" w:cs="Times New Roman"/>
          <w:color w:val="auto"/>
          <w:sz w:val="21"/>
        </w:rPr>
      </w:pPr>
    </w:p>
    <w:p w14:paraId="4793D024">
      <w:pPr>
        <w:spacing w:line="254" w:lineRule="auto"/>
        <w:rPr>
          <w:rFonts w:hint="default" w:ascii="Times New Roman" w:hAnsi="Times New Roman" w:cs="Times New Roman"/>
          <w:color w:val="auto"/>
          <w:sz w:val="21"/>
        </w:rPr>
      </w:pPr>
    </w:p>
    <w:p w14:paraId="2ED23D69">
      <w:pPr>
        <w:spacing w:line="255" w:lineRule="auto"/>
        <w:rPr>
          <w:rFonts w:hint="default" w:ascii="Times New Roman" w:hAnsi="Times New Roman" w:cs="Times New Roman"/>
          <w:color w:val="auto"/>
          <w:sz w:val="21"/>
        </w:rPr>
      </w:pPr>
    </w:p>
    <w:p w14:paraId="37C37800">
      <w:pPr>
        <w:spacing w:line="255" w:lineRule="auto"/>
        <w:rPr>
          <w:rFonts w:hint="default" w:ascii="Times New Roman" w:hAnsi="Times New Roman" w:cs="Times New Roman"/>
          <w:color w:val="auto"/>
          <w:sz w:val="21"/>
        </w:rPr>
      </w:pPr>
    </w:p>
    <w:p w14:paraId="34D5C321">
      <w:pPr>
        <w:spacing w:line="255" w:lineRule="auto"/>
        <w:rPr>
          <w:rFonts w:hint="default" w:ascii="Times New Roman" w:hAnsi="Times New Roman" w:cs="Times New Roman"/>
          <w:color w:val="auto"/>
          <w:sz w:val="21"/>
        </w:rPr>
      </w:pPr>
    </w:p>
    <w:p w14:paraId="7F67E2C8">
      <w:pPr>
        <w:spacing w:line="255" w:lineRule="auto"/>
        <w:rPr>
          <w:rFonts w:hint="default" w:ascii="Times New Roman" w:hAnsi="Times New Roman" w:cs="Times New Roman"/>
          <w:color w:val="auto"/>
          <w:sz w:val="21"/>
        </w:rPr>
      </w:pPr>
    </w:p>
    <w:p w14:paraId="0AE00470">
      <w:pPr>
        <w:spacing w:line="255" w:lineRule="auto"/>
        <w:rPr>
          <w:rFonts w:hint="default" w:ascii="Times New Roman" w:hAnsi="Times New Roman" w:cs="Times New Roman"/>
          <w:color w:val="auto"/>
          <w:sz w:val="21"/>
        </w:rPr>
      </w:pPr>
    </w:p>
    <w:p w14:paraId="44D163AE">
      <w:pPr>
        <w:spacing w:line="255" w:lineRule="auto"/>
        <w:rPr>
          <w:rFonts w:hint="default" w:ascii="Times New Roman" w:hAnsi="Times New Roman" w:cs="Times New Roman"/>
          <w:color w:val="auto"/>
          <w:sz w:val="21"/>
        </w:rPr>
      </w:pPr>
    </w:p>
    <w:p w14:paraId="74496629">
      <w:pPr>
        <w:spacing w:before="115" w:line="230" w:lineRule="auto"/>
        <w:ind w:left="1882"/>
        <w:rPr>
          <w:rFonts w:hint="default" w:ascii="Times New Roman" w:hAnsi="Times New Roman" w:eastAsia="楷体" w:cs="Times New Roman"/>
          <w:color w:val="auto"/>
          <w:sz w:val="35"/>
          <w:szCs w:val="35"/>
        </w:rPr>
      </w:pPr>
      <w:r>
        <w:rPr>
          <w:rFonts w:hint="default" w:ascii="Times New Roman" w:hAnsi="Times New Roman" w:eastAsia="楷体" w:cs="Times New Roman"/>
          <w:color w:val="auto"/>
          <w:spacing w:val="10"/>
          <w:sz w:val="35"/>
          <w:szCs w:val="35"/>
        </w:rPr>
        <w:t>中</w:t>
      </w:r>
      <w:r>
        <w:rPr>
          <w:rFonts w:hint="default" w:ascii="Times New Roman" w:hAnsi="Times New Roman" w:eastAsia="楷体" w:cs="Times New Roman"/>
          <w:color w:val="auto"/>
          <w:spacing w:val="8"/>
          <w:sz w:val="35"/>
          <w:szCs w:val="35"/>
        </w:rPr>
        <w:t>华</w:t>
      </w:r>
      <w:r>
        <w:rPr>
          <w:rFonts w:hint="default" w:ascii="Times New Roman" w:hAnsi="Times New Roman" w:eastAsia="楷体" w:cs="Times New Roman"/>
          <w:color w:val="auto"/>
          <w:spacing w:val="5"/>
          <w:sz w:val="35"/>
          <w:szCs w:val="35"/>
        </w:rPr>
        <w:t>人民共和国生态环境部制</w:t>
      </w:r>
    </w:p>
    <w:p w14:paraId="4CE1A16D">
      <w:pPr>
        <w:rPr>
          <w:rFonts w:hint="default" w:ascii="Times New Roman" w:hAnsi="Times New Roman" w:cs="Times New Roman"/>
          <w:color w:val="auto"/>
        </w:rPr>
        <w:sectPr>
          <w:footerReference r:id="rId5" w:type="default"/>
          <w:pgSz w:w="11906" w:h="16839"/>
          <w:pgMar w:top="1431" w:right="1530" w:bottom="1185" w:left="1785" w:header="0" w:footer="918" w:gutter="0"/>
          <w:cols w:space="720" w:num="1"/>
        </w:sectPr>
      </w:pPr>
    </w:p>
    <w:p w14:paraId="2A2F5AAC">
      <w:pPr>
        <w:pStyle w:val="25"/>
        <w:ind w:left="0" w:leftChars="0" w:firstLine="0" w:firstLineChars="0"/>
        <w:rPr>
          <w:rFonts w:hint="default" w:ascii="Times New Roman" w:hAnsi="Times New Roman" w:cs="Times New Roman"/>
          <w:color w:val="auto"/>
          <w:highlight w:val="none"/>
          <w:lang w:val="en-US" w:eastAsia="zh-CN"/>
        </w:rPr>
        <w:sectPr>
          <w:pgSz w:w="11906" w:h="16838"/>
          <w:pgMar w:top="1440" w:right="1800" w:bottom="1440" w:left="1800" w:header="851" w:footer="992" w:gutter="0"/>
          <w:cols w:space="425" w:num="1"/>
          <w:docGrid w:type="lines" w:linePitch="312" w:charSpace="0"/>
        </w:sectPr>
      </w:pPr>
    </w:p>
    <w:p w14:paraId="45D77B8F">
      <w:pPr>
        <w:pStyle w:val="2"/>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一、建设项目基本情况</w:t>
      </w:r>
    </w:p>
    <w:p w14:paraId="7B44A5F8">
      <w:pPr>
        <w:spacing w:line="240" w:lineRule="auto"/>
        <w:rPr>
          <w:rFonts w:hint="default" w:ascii="Times New Roman" w:hAnsi="Times New Roman" w:cs="Times New Roman"/>
          <w:color w:val="auto"/>
          <w:highlight w:val="none"/>
        </w:rPr>
      </w:pPr>
    </w:p>
    <w:tbl>
      <w:tblPr>
        <w:tblStyle w:val="28"/>
        <w:tblW w:w="887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00"/>
        <w:gridCol w:w="2082"/>
        <w:gridCol w:w="2426"/>
        <w:gridCol w:w="2766"/>
      </w:tblGrid>
      <w:tr w14:paraId="1A601D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3" w:hRule="atLeast"/>
        </w:trPr>
        <w:tc>
          <w:tcPr>
            <w:tcW w:w="1600" w:type="dxa"/>
            <w:tcBorders>
              <w:left w:val="single" w:color="000000" w:sz="6" w:space="0"/>
            </w:tcBorders>
            <w:vAlign w:val="center"/>
          </w:tcPr>
          <w:p w14:paraId="56410066">
            <w:pPr>
              <w:bidi w:val="0"/>
              <w:spacing w:line="240" w:lineRule="auto"/>
              <w:jc w:val="center"/>
              <w:rPr>
                <w:rFonts w:hint="default"/>
                <w:color w:val="auto"/>
                <w:highlight w:val="none"/>
              </w:rPr>
            </w:pPr>
            <w:r>
              <w:rPr>
                <w:rFonts w:hint="default"/>
                <w:color w:val="auto"/>
                <w:highlight w:val="none"/>
              </w:rPr>
              <w:t>建设项目名称</w:t>
            </w:r>
          </w:p>
        </w:tc>
        <w:tc>
          <w:tcPr>
            <w:tcW w:w="7274" w:type="dxa"/>
            <w:gridSpan w:val="3"/>
            <w:tcBorders>
              <w:right w:val="single" w:color="000000" w:sz="6" w:space="0"/>
            </w:tcBorders>
            <w:vAlign w:val="center"/>
          </w:tcPr>
          <w:p w14:paraId="646ADC84">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eastAsia"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eastAsia="zh-CN"/>
              </w:rPr>
              <w:t>库尔勒宠爱一生宠物医院</w:t>
            </w:r>
          </w:p>
        </w:tc>
      </w:tr>
      <w:tr w14:paraId="7714E0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1600" w:type="dxa"/>
            <w:tcBorders>
              <w:left w:val="single" w:color="000000" w:sz="6" w:space="0"/>
            </w:tcBorders>
            <w:vAlign w:val="center"/>
          </w:tcPr>
          <w:p w14:paraId="51186599">
            <w:pPr>
              <w:bidi w:val="0"/>
              <w:spacing w:line="240" w:lineRule="auto"/>
              <w:jc w:val="center"/>
              <w:rPr>
                <w:rFonts w:hint="default"/>
                <w:color w:val="auto"/>
                <w:highlight w:val="none"/>
              </w:rPr>
            </w:pPr>
            <w:r>
              <w:rPr>
                <w:rFonts w:hint="default"/>
                <w:color w:val="auto"/>
                <w:highlight w:val="none"/>
              </w:rPr>
              <w:t>项目代码</w:t>
            </w:r>
          </w:p>
        </w:tc>
        <w:tc>
          <w:tcPr>
            <w:tcW w:w="7274" w:type="dxa"/>
            <w:gridSpan w:val="3"/>
            <w:tcBorders>
              <w:right w:val="single" w:color="000000" w:sz="6" w:space="0"/>
            </w:tcBorders>
            <w:vAlign w:val="center"/>
          </w:tcPr>
          <w:p w14:paraId="123C6D74">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无</w:t>
            </w:r>
          </w:p>
        </w:tc>
      </w:tr>
      <w:tr w14:paraId="2A98F6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1600" w:type="dxa"/>
            <w:tcBorders>
              <w:left w:val="single" w:color="000000" w:sz="6" w:space="0"/>
            </w:tcBorders>
            <w:vAlign w:val="center"/>
          </w:tcPr>
          <w:p w14:paraId="67CE9CF6">
            <w:pPr>
              <w:bidi w:val="0"/>
              <w:spacing w:line="240" w:lineRule="auto"/>
              <w:jc w:val="center"/>
              <w:rPr>
                <w:rFonts w:hint="default"/>
                <w:color w:val="auto"/>
                <w:highlight w:val="none"/>
              </w:rPr>
            </w:pPr>
            <w:r>
              <w:rPr>
                <w:rFonts w:hint="default"/>
                <w:color w:val="auto"/>
                <w:highlight w:val="none"/>
              </w:rPr>
              <w:t>建设单位联系人</w:t>
            </w:r>
          </w:p>
        </w:tc>
        <w:tc>
          <w:tcPr>
            <w:tcW w:w="2082" w:type="dxa"/>
            <w:vAlign w:val="center"/>
          </w:tcPr>
          <w:p w14:paraId="79C65134">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highlight w:val="none"/>
                <w:lang w:eastAsia="zh-CN"/>
              </w:rPr>
            </w:pPr>
            <w:r>
              <w:rPr>
                <w:rFonts w:hint="eastAsia" w:cs="Times New Roman"/>
                <w:color w:val="auto"/>
                <w:sz w:val="24"/>
                <w:szCs w:val="24"/>
                <w:highlight w:val="none"/>
                <w:lang w:val="en-US" w:eastAsia="zh-CN"/>
              </w:rPr>
              <w:t>/</w:t>
            </w:r>
          </w:p>
        </w:tc>
        <w:tc>
          <w:tcPr>
            <w:tcW w:w="2426" w:type="dxa"/>
            <w:vAlign w:val="center"/>
          </w:tcPr>
          <w:p w14:paraId="281D6704">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7"/>
                <w:sz w:val="24"/>
                <w:szCs w:val="24"/>
                <w:highlight w:val="none"/>
              </w:rPr>
              <w:t>联系方式</w:t>
            </w:r>
          </w:p>
        </w:tc>
        <w:tc>
          <w:tcPr>
            <w:tcW w:w="2766" w:type="dxa"/>
            <w:tcBorders>
              <w:right w:val="single" w:color="000000" w:sz="6" w:space="0"/>
            </w:tcBorders>
            <w:vAlign w:val="center"/>
          </w:tcPr>
          <w:p w14:paraId="7037E197">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w:t>
            </w:r>
          </w:p>
        </w:tc>
      </w:tr>
      <w:tr w14:paraId="617923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1600" w:type="dxa"/>
            <w:tcBorders>
              <w:left w:val="single" w:color="000000" w:sz="6" w:space="0"/>
            </w:tcBorders>
            <w:vAlign w:val="center"/>
          </w:tcPr>
          <w:p w14:paraId="42D45FD3">
            <w:pPr>
              <w:bidi w:val="0"/>
              <w:spacing w:line="240" w:lineRule="auto"/>
              <w:jc w:val="center"/>
              <w:rPr>
                <w:rFonts w:hint="default"/>
                <w:color w:val="auto"/>
                <w:highlight w:val="none"/>
              </w:rPr>
            </w:pPr>
            <w:r>
              <w:rPr>
                <w:rFonts w:hint="default"/>
                <w:color w:val="auto"/>
                <w:highlight w:val="none"/>
              </w:rPr>
              <w:t>建设地点</w:t>
            </w:r>
          </w:p>
        </w:tc>
        <w:tc>
          <w:tcPr>
            <w:tcW w:w="7274" w:type="dxa"/>
            <w:gridSpan w:val="3"/>
            <w:tcBorders>
              <w:right w:val="single" w:color="000000" w:sz="6" w:space="0"/>
            </w:tcBorders>
            <w:vAlign w:val="center"/>
          </w:tcPr>
          <w:p w14:paraId="4658CE3A">
            <w:pPr>
              <w:keepNext w:val="0"/>
              <w:keepLines w:val="0"/>
              <w:pageBreakBefore w:val="0"/>
              <w:widowControl/>
              <w:tabs>
                <w:tab w:val="left" w:pos="425"/>
              </w:tabs>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w:t>
            </w:r>
          </w:p>
        </w:tc>
      </w:tr>
      <w:tr w14:paraId="5438F4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1600" w:type="dxa"/>
            <w:tcBorders>
              <w:left w:val="single" w:color="000000" w:sz="6" w:space="0"/>
            </w:tcBorders>
            <w:vAlign w:val="center"/>
          </w:tcPr>
          <w:p w14:paraId="18C0A5EA">
            <w:pPr>
              <w:bidi w:val="0"/>
              <w:spacing w:line="240" w:lineRule="auto"/>
              <w:jc w:val="center"/>
              <w:rPr>
                <w:rFonts w:hint="default"/>
                <w:color w:val="auto"/>
                <w:highlight w:val="none"/>
              </w:rPr>
            </w:pPr>
            <w:r>
              <w:rPr>
                <w:rFonts w:hint="default"/>
                <w:color w:val="auto"/>
                <w:highlight w:val="none"/>
              </w:rPr>
              <w:t>地理坐标</w:t>
            </w:r>
          </w:p>
        </w:tc>
        <w:tc>
          <w:tcPr>
            <w:tcW w:w="7274" w:type="dxa"/>
            <w:gridSpan w:val="3"/>
            <w:tcBorders>
              <w:right w:val="single" w:color="000000" w:sz="6" w:space="0"/>
            </w:tcBorders>
            <w:vAlign w:val="center"/>
          </w:tcPr>
          <w:p w14:paraId="25A9185D">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w:t>
            </w:r>
          </w:p>
        </w:tc>
      </w:tr>
      <w:tr w14:paraId="0952A7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2" w:hRule="atLeast"/>
        </w:trPr>
        <w:tc>
          <w:tcPr>
            <w:tcW w:w="1600" w:type="dxa"/>
            <w:tcBorders>
              <w:left w:val="single" w:color="000000" w:sz="6" w:space="0"/>
            </w:tcBorders>
            <w:vAlign w:val="center"/>
          </w:tcPr>
          <w:p w14:paraId="62369A6B">
            <w:pPr>
              <w:bidi w:val="0"/>
              <w:spacing w:line="240" w:lineRule="auto"/>
              <w:jc w:val="center"/>
              <w:rPr>
                <w:rFonts w:hint="default"/>
                <w:color w:val="auto"/>
                <w:highlight w:val="none"/>
              </w:rPr>
            </w:pPr>
            <w:r>
              <w:rPr>
                <w:rFonts w:hint="default"/>
                <w:color w:val="auto"/>
                <w:highlight w:val="none"/>
              </w:rPr>
              <w:t>国民经济</w:t>
            </w:r>
          </w:p>
          <w:p w14:paraId="1B4634B8">
            <w:pPr>
              <w:bidi w:val="0"/>
              <w:spacing w:line="240" w:lineRule="auto"/>
              <w:jc w:val="center"/>
              <w:rPr>
                <w:rFonts w:hint="default"/>
                <w:color w:val="auto"/>
                <w:highlight w:val="none"/>
              </w:rPr>
            </w:pPr>
            <w:r>
              <w:rPr>
                <w:rFonts w:hint="default"/>
                <w:color w:val="auto"/>
                <w:highlight w:val="none"/>
              </w:rPr>
              <w:t>行业类别</w:t>
            </w:r>
          </w:p>
        </w:tc>
        <w:tc>
          <w:tcPr>
            <w:tcW w:w="2082" w:type="dxa"/>
            <w:vAlign w:val="center"/>
          </w:tcPr>
          <w:p w14:paraId="0ACADB90">
            <w:pPr>
              <w:adjustRightInd w:val="0"/>
              <w:snapToGrid w:val="0"/>
              <w:spacing w:line="240" w:lineRule="auto"/>
              <w:ind w:firstLine="0" w:firstLineChars="0"/>
              <w:jc w:val="center"/>
              <w:rPr>
                <w:rFonts w:hint="default" w:ascii="Times New Roman" w:hAnsi="Times New Roman" w:cs="Times New Roman"/>
                <w:snapToGrid w:val="0"/>
                <w:color w:val="auto"/>
                <w:highlight w:val="none"/>
                <w:lang w:val="en-US" w:eastAsia="zh-CN"/>
              </w:rPr>
            </w:pPr>
            <w:r>
              <w:rPr>
                <w:rFonts w:hint="default" w:ascii="Times New Roman" w:hAnsi="Times New Roman" w:cs="Times New Roman"/>
                <w:snapToGrid w:val="0"/>
                <w:color w:val="auto"/>
                <w:highlight w:val="none"/>
                <w:lang w:val="en-US" w:eastAsia="zh-CN"/>
              </w:rPr>
              <w:t>O</w:t>
            </w:r>
            <w:r>
              <w:rPr>
                <w:rFonts w:hint="default" w:ascii="Times New Roman" w:hAnsi="Times New Roman" w:cs="Times New Roman"/>
                <w:snapToGrid w:val="0"/>
                <w:color w:val="auto"/>
                <w:highlight w:val="none"/>
                <w:lang w:eastAsia="zh-CN"/>
              </w:rPr>
              <w:t>8</w:t>
            </w:r>
            <w:r>
              <w:rPr>
                <w:rFonts w:hint="default" w:ascii="Times New Roman" w:hAnsi="Times New Roman" w:cs="Times New Roman"/>
                <w:snapToGrid w:val="0"/>
                <w:color w:val="auto"/>
                <w:highlight w:val="none"/>
                <w:lang w:val="en-US" w:eastAsia="zh-CN"/>
              </w:rPr>
              <w:t>222</w:t>
            </w:r>
          </w:p>
          <w:p w14:paraId="22219292">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highlight w:val="none"/>
              </w:rPr>
            </w:pPr>
            <w:r>
              <w:rPr>
                <w:rFonts w:hint="default" w:ascii="Times New Roman" w:hAnsi="Times New Roman" w:cs="Times New Roman"/>
                <w:snapToGrid w:val="0"/>
                <w:color w:val="auto"/>
                <w:highlight w:val="none"/>
                <w:lang w:val="en-US" w:eastAsia="zh-CN"/>
              </w:rPr>
              <w:t>宠物</w:t>
            </w:r>
            <w:r>
              <w:rPr>
                <w:rFonts w:hint="default" w:ascii="Times New Roman" w:hAnsi="Times New Roman" w:cs="Times New Roman"/>
                <w:snapToGrid w:val="0"/>
                <w:color w:val="auto"/>
                <w:highlight w:val="none"/>
                <w:lang w:eastAsia="zh-CN"/>
              </w:rPr>
              <w:t>医院</w:t>
            </w:r>
            <w:r>
              <w:rPr>
                <w:rFonts w:hint="default" w:ascii="Times New Roman" w:hAnsi="Times New Roman" w:cs="Times New Roman"/>
                <w:snapToGrid w:val="0"/>
                <w:color w:val="auto"/>
                <w:highlight w:val="none"/>
                <w:lang w:val="en-US" w:eastAsia="zh-CN"/>
              </w:rPr>
              <w:t>服务</w:t>
            </w:r>
          </w:p>
        </w:tc>
        <w:tc>
          <w:tcPr>
            <w:tcW w:w="2426" w:type="dxa"/>
            <w:vAlign w:val="center"/>
          </w:tcPr>
          <w:p w14:paraId="5FC4B159">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9"/>
                <w:position w:val="4"/>
                <w:sz w:val="24"/>
                <w:szCs w:val="24"/>
                <w:highlight w:val="none"/>
              </w:rPr>
              <w:t>建</w:t>
            </w:r>
            <w:r>
              <w:rPr>
                <w:rFonts w:hint="default" w:ascii="Times New Roman" w:hAnsi="Times New Roman" w:eastAsia="宋体" w:cs="Times New Roman"/>
                <w:color w:val="auto"/>
                <w:spacing w:val="6"/>
                <w:position w:val="4"/>
                <w:sz w:val="24"/>
                <w:szCs w:val="24"/>
                <w:highlight w:val="none"/>
              </w:rPr>
              <w:t>设项目</w:t>
            </w:r>
          </w:p>
          <w:p w14:paraId="57064753">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8"/>
                <w:sz w:val="24"/>
                <w:szCs w:val="24"/>
                <w:highlight w:val="none"/>
              </w:rPr>
              <w:t>行</w:t>
            </w:r>
            <w:r>
              <w:rPr>
                <w:rFonts w:hint="default" w:ascii="Times New Roman" w:hAnsi="Times New Roman" w:eastAsia="宋体" w:cs="Times New Roman"/>
                <w:color w:val="auto"/>
                <w:spacing w:val="6"/>
                <w:sz w:val="24"/>
                <w:szCs w:val="24"/>
                <w:highlight w:val="none"/>
              </w:rPr>
              <w:t>业类别</w:t>
            </w:r>
          </w:p>
        </w:tc>
        <w:tc>
          <w:tcPr>
            <w:tcW w:w="2766" w:type="dxa"/>
            <w:tcBorders>
              <w:right w:val="single" w:color="000000" w:sz="6" w:space="0"/>
            </w:tcBorders>
            <w:vAlign w:val="center"/>
          </w:tcPr>
          <w:p w14:paraId="5567A46C">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val="0"/>
                <w:bCs w:val="0"/>
                <w:color w:val="auto"/>
                <w:sz w:val="24"/>
                <w:szCs w:val="24"/>
                <w:highlight w:val="none"/>
              </w:rPr>
              <w:t>五十、社会事业与服务业</w:t>
            </w:r>
            <w:r>
              <w:rPr>
                <w:rFonts w:hint="default" w:ascii="Times New Roman" w:hAnsi="Times New Roman" w:eastAsia="TimesNewRomanPSMT" w:cs="Times New Roman"/>
                <w:b w:val="0"/>
                <w:bCs w:val="0"/>
                <w:color w:val="auto"/>
                <w:sz w:val="24"/>
                <w:szCs w:val="24"/>
                <w:highlight w:val="none"/>
              </w:rPr>
              <w:t>123</w:t>
            </w:r>
            <w:r>
              <w:rPr>
                <w:rFonts w:hint="default" w:ascii="Times New Roman" w:hAnsi="Times New Roman" w:eastAsia="宋体"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rPr>
              <w:t>动物医院</w:t>
            </w:r>
          </w:p>
        </w:tc>
      </w:tr>
      <w:tr w14:paraId="02352C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39" w:hRule="atLeast"/>
        </w:trPr>
        <w:tc>
          <w:tcPr>
            <w:tcW w:w="1600" w:type="dxa"/>
            <w:tcBorders>
              <w:left w:val="single" w:color="000000" w:sz="6" w:space="0"/>
            </w:tcBorders>
            <w:vAlign w:val="center"/>
          </w:tcPr>
          <w:p w14:paraId="3D79C68E">
            <w:pPr>
              <w:bidi w:val="0"/>
              <w:spacing w:line="240" w:lineRule="auto"/>
              <w:jc w:val="center"/>
              <w:rPr>
                <w:rFonts w:hint="default"/>
                <w:color w:val="auto"/>
                <w:highlight w:val="none"/>
              </w:rPr>
            </w:pPr>
            <w:r>
              <w:rPr>
                <w:rFonts w:hint="default"/>
                <w:color w:val="auto"/>
                <w:highlight w:val="none"/>
              </w:rPr>
              <w:t>建设性质</w:t>
            </w:r>
          </w:p>
        </w:tc>
        <w:tc>
          <w:tcPr>
            <w:tcW w:w="2082" w:type="dxa"/>
            <w:vAlign w:val="center"/>
          </w:tcPr>
          <w:p w14:paraId="252F87DE">
            <w:pPr>
              <w:keepNext w:val="0"/>
              <w:keepLines w:val="0"/>
              <w:pageBreakBefore w:val="0"/>
              <w:widowControl/>
              <w:kinsoku w:val="0"/>
              <w:wordWrap/>
              <w:overflowPunct/>
              <w:topLinePunct w:val="0"/>
              <w:autoSpaceDE w:val="0"/>
              <w:autoSpaceDN w:val="0"/>
              <w:bidi w:val="0"/>
              <w:adjustRightInd/>
              <w:snapToGrid/>
              <w:spacing w:line="240" w:lineRule="auto"/>
              <w:ind w:left="0"/>
              <w:jc w:val="left"/>
              <w:textAlignment w:val="baseline"/>
              <w:rPr>
                <w:rFonts w:hint="default" w:ascii="Times New Roman" w:hAnsi="Times New Roman" w:eastAsia="宋体" w:cs="Times New Roman"/>
                <w:color w:val="auto"/>
                <w:sz w:val="24"/>
                <w:szCs w:val="24"/>
                <w:highlight w:val="none"/>
              </w:rPr>
            </w:pPr>
            <w:r>
              <w:rPr>
                <w:rFonts w:hint="eastAsia" w:cs="Times New Roman"/>
                <w:color w:val="auto"/>
                <w:spacing w:val="-1"/>
                <w:sz w:val="24"/>
                <w:szCs w:val="24"/>
                <w:highlight w:val="none"/>
                <w:lang w:eastAsia="zh-CN"/>
              </w:rPr>
              <w:t>☑</w:t>
            </w:r>
            <w:r>
              <w:rPr>
                <w:rFonts w:hint="default" w:ascii="Times New Roman" w:hAnsi="Times New Roman" w:eastAsia="宋体" w:cs="Times New Roman"/>
                <w:color w:val="auto"/>
                <w:spacing w:val="4"/>
                <w:sz w:val="24"/>
                <w:szCs w:val="24"/>
                <w:highlight w:val="none"/>
              </w:rPr>
              <w:t>新建</w:t>
            </w:r>
            <w:r>
              <w:rPr>
                <w:rFonts w:hint="eastAsia" w:cs="Times New Roman"/>
                <w:color w:val="auto"/>
                <w:spacing w:val="4"/>
                <w:sz w:val="24"/>
                <w:szCs w:val="24"/>
                <w:highlight w:val="none"/>
                <w:lang w:eastAsia="zh-CN"/>
              </w:rPr>
              <w:t>（</w:t>
            </w:r>
            <w:r>
              <w:rPr>
                <w:rFonts w:hint="default" w:ascii="Times New Roman" w:hAnsi="Times New Roman" w:eastAsia="宋体" w:cs="Times New Roman"/>
                <w:color w:val="auto"/>
                <w:spacing w:val="4"/>
                <w:sz w:val="24"/>
                <w:szCs w:val="24"/>
                <w:highlight w:val="none"/>
              </w:rPr>
              <w:t>迁建</w:t>
            </w:r>
            <w:r>
              <w:rPr>
                <w:rFonts w:hint="eastAsia" w:cs="Times New Roman"/>
                <w:color w:val="auto"/>
                <w:spacing w:val="4"/>
                <w:sz w:val="24"/>
                <w:szCs w:val="24"/>
                <w:highlight w:val="none"/>
                <w:lang w:eastAsia="zh-CN"/>
              </w:rPr>
              <w:t>）</w:t>
            </w:r>
          </w:p>
          <w:p w14:paraId="6B1A4DF7">
            <w:pPr>
              <w:keepNext w:val="0"/>
              <w:keepLines w:val="0"/>
              <w:pageBreakBefore w:val="0"/>
              <w:widowControl/>
              <w:kinsoku w:val="0"/>
              <w:wordWrap/>
              <w:overflowPunct/>
              <w:topLinePunct w:val="0"/>
              <w:autoSpaceDE w:val="0"/>
              <w:autoSpaceDN w:val="0"/>
              <w:bidi w:val="0"/>
              <w:adjustRightInd/>
              <w:snapToGrid/>
              <w:spacing w:line="240" w:lineRule="auto"/>
              <w:ind w:left="0"/>
              <w:jc w:val="left"/>
              <w:textAlignment w:val="baseline"/>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1"/>
                <w:sz w:val="24"/>
                <w:szCs w:val="24"/>
                <w:highlight w:val="none"/>
              </w:rPr>
              <w:t>□</w:t>
            </w:r>
            <w:r>
              <w:rPr>
                <w:rFonts w:hint="default" w:ascii="Times New Roman" w:hAnsi="Times New Roman" w:eastAsia="宋体" w:cs="Times New Roman"/>
                <w:color w:val="auto"/>
                <w:sz w:val="24"/>
                <w:szCs w:val="24"/>
                <w:highlight w:val="none"/>
              </w:rPr>
              <w:t>改建</w:t>
            </w:r>
          </w:p>
          <w:p w14:paraId="67FCC307">
            <w:pPr>
              <w:keepNext w:val="0"/>
              <w:keepLines w:val="0"/>
              <w:pageBreakBefore w:val="0"/>
              <w:widowControl/>
              <w:kinsoku w:val="0"/>
              <w:wordWrap/>
              <w:overflowPunct/>
              <w:topLinePunct w:val="0"/>
              <w:autoSpaceDE w:val="0"/>
              <w:autoSpaceDN w:val="0"/>
              <w:bidi w:val="0"/>
              <w:adjustRightInd/>
              <w:snapToGrid/>
              <w:spacing w:line="240" w:lineRule="auto"/>
              <w:ind w:left="0"/>
              <w:jc w:val="left"/>
              <w:textAlignment w:val="baseline"/>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1"/>
                <w:sz w:val="24"/>
                <w:szCs w:val="24"/>
                <w:highlight w:val="none"/>
              </w:rPr>
              <w:t>□</w:t>
            </w:r>
            <w:r>
              <w:rPr>
                <w:rFonts w:hint="default" w:ascii="Times New Roman" w:hAnsi="Times New Roman" w:eastAsia="宋体" w:cs="Times New Roman"/>
                <w:color w:val="auto"/>
                <w:sz w:val="24"/>
                <w:szCs w:val="24"/>
                <w:highlight w:val="none"/>
              </w:rPr>
              <w:t>扩建</w:t>
            </w:r>
          </w:p>
          <w:p w14:paraId="34D5FEED">
            <w:pPr>
              <w:keepNext w:val="0"/>
              <w:keepLines w:val="0"/>
              <w:pageBreakBefore w:val="0"/>
              <w:widowControl/>
              <w:kinsoku w:val="0"/>
              <w:wordWrap/>
              <w:overflowPunct/>
              <w:topLinePunct w:val="0"/>
              <w:autoSpaceDE w:val="0"/>
              <w:autoSpaceDN w:val="0"/>
              <w:bidi w:val="0"/>
              <w:adjustRightInd/>
              <w:snapToGrid/>
              <w:spacing w:line="240" w:lineRule="auto"/>
              <w:ind w:left="0"/>
              <w:jc w:val="left"/>
              <w:textAlignment w:val="baseline"/>
              <w:rPr>
                <w:rFonts w:hint="default" w:ascii="Times New Roman" w:hAnsi="Times New Roman" w:eastAsia="宋体" w:cs="Times New Roman"/>
                <w:color w:val="auto"/>
                <w:sz w:val="24"/>
                <w:szCs w:val="24"/>
                <w:highlight w:val="none"/>
              </w:rPr>
            </w:pPr>
            <w:r>
              <w:rPr>
                <w:rFonts w:hint="default" w:ascii="Times New Roman" w:hAnsi="Times New Roman" w:cs="Times New Roman"/>
                <w:color w:val="auto"/>
                <w:spacing w:val="4"/>
                <w:sz w:val="24"/>
                <w:szCs w:val="24"/>
                <w:highlight w:val="none"/>
                <w:lang w:eastAsia="zh-CN"/>
              </w:rPr>
              <w:t>□</w:t>
            </w:r>
            <w:r>
              <w:rPr>
                <w:rFonts w:hint="default" w:ascii="Times New Roman" w:hAnsi="Times New Roman" w:eastAsia="宋体" w:cs="Times New Roman"/>
                <w:color w:val="auto"/>
                <w:spacing w:val="4"/>
                <w:sz w:val="24"/>
                <w:szCs w:val="24"/>
                <w:highlight w:val="none"/>
              </w:rPr>
              <w:t>技术改</w:t>
            </w:r>
            <w:r>
              <w:rPr>
                <w:rFonts w:hint="default" w:ascii="Times New Roman" w:hAnsi="Times New Roman" w:eastAsia="宋体" w:cs="Times New Roman"/>
                <w:color w:val="auto"/>
                <w:spacing w:val="3"/>
                <w:sz w:val="24"/>
                <w:szCs w:val="24"/>
                <w:highlight w:val="none"/>
              </w:rPr>
              <w:t>造</w:t>
            </w:r>
          </w:p>
        </w:tc>
        <w:tc>
          <w:tcPr>
            <w:tcW w:w="2426" w:type="dxa"/>
            <w:vAlign w:val="center"/>
          </w:tcPr>
          <w:p w14:paraId="289025B2">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9"/>
                <w:position w:val="4"/>
                <w:sz w:val="24"/>
                <w:szCs w:val="24"/>
                <w:highlight w:val="none"/>
              </w:rPr>
              <w:t>建</w:t>
            </w:r>
            <w:r>
              <w:rPr>
                <w:rFonts w:hint="default" w:ascii="Times New Roman" w:hAnsi="Times New Roman" w:eastAsia="宋体" w:cs="Times New Roman"/>
                <w:color w:val="auto"/>
                <w:spacing w:val="6"/>
                <w:position w:val="4"/>
                <w:sz w:val="24"/>
                <w:szCs w:val="24"/>
                <w:highlight w:val="none"/>
              </w:rPr>
              <w:t>设项目</w:t>
            </w:r>
          </w:p>
          <w:p w14:paraId="4AAC1CB6">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1"/>
                <w:sz w:val="24"/>
                <w:szCs w:val="24"/>
                <w:highlight w:val="none"/>
              </w:rPr>
              <w:t>申报</w:t>
            </w:r>
            <w:r>
              <w:rPr>
                <w:rFonts w:hint="default" w:ascii="Times New Roman" w:hAnsi="Times New Roman" w:eastAsia="宋体" w:cs="Times New Roman"/>
                <w:color w:val="auto"/>
                <w:sz w:val="24"/>
                <w:szCs w:val="24"/>
                <w:highlight w:val="none"/>
              </w:rPr>
              <w:t>情形</w:t>
            </w:r>
          </w:p>
        </w:tc>
        <w:tc>
          <w:tcPr>
            <w:tcW w:w="2766" w:type="dxa"/>
            <w:tcBorders>
              <w:right w:val="single" w:color="000000" w:sz="6" w:space="0"/>
            </w:tcBorders>
            <w:vAlign w:val="center"/>
          </w:tcPr>
          <w:p w14:paraId="149B8BCD">
            <w:pPr>
              <w:keepNext w:val="0"/>
              <w:keepLines w:val="0"/>
              <w:pageBreakBefore w:val="0"/>
              <w:widowControl/>
              <w:kinsoku w:val="0"/>
              <w:wordWrap/>
              <w:overflowPunct/>
              <w:topLinePunct w:val="0"/>
              <w:autoSpaceDE w:val="0"/>
              <w:autoSpaceDN w:val="0"/>
              <w:bidi w:val="0"/>
              <w:adjustRightInd/>
              <w:snapToGrid/>
              <w:spacing w:line="240" w:lineRule="auto"/>
              <w:ind w:left="0"/>
              <w:jc w:val="left"/>
              <w:textAlignment w:val="baseline"/>
              <w:rPr>
                <w:rFonts w:hint="default" w:ascii="Times New Roman" w:hAnsi="Times New Roman" w:eastAsia="宋体" w:cs="Times New Roman"/>
                <w:color w:val="auto"/>
                <w:sz w:val="24"/>
                <w:szCs w:val="24"/>
                <w:highlight w:val="none"/>
              </w:rPr>
            </w:pPr>
            <w:r>
              <w:rPr>
                <w:rFonts w:hint="default" w:ascii="Times New Roman" w:hAnsi="Times New Roman" w:cs="Times New Roman"/>
                <w:color w:val="auto"/>
                <w:spacing w:val="11"/>
                <w:sz w:val="24"/>
                <w:szCs w:val="24"/>
                <w:highlight w:val="none"/>
                <w:lang w:eastAsia="zh-CN"/>
              </w:rPr>
              <w:t>☑</w:t>
            </w:r>
            <w:r>
              <w:rPr>
                <w:rFonts w:hint="default" w:ascii="Times New Roman" w:hAnsi="Times New Roman" w:eastAsia="宋体" w:cs="Times New Roman"/>
                <w:color w:val="auto"/>
                <w:spacing w:val="16"/>
                <w:sz w:val="24"/>
                <w:szCs w:val="24"/>
                <w:highlight w:val="none"/>
              </w:rPr>
              <w:t>首</w:t>
            </w:r>
            <w:r>
              <w:rPr>
                <w:rFonts w:hint="default" w:ascii="Times New Roman" w:hAnsi="Times New Roman" w:eastAsia="宋体" w:cs="Times New Roman"/>
                <w:color w:val="auto"/>
                <w:spacing w:val="12"/>
                <w:sz w:val="24"/>
                <w:szCs w:val="24"/>
                <w:highlight w:val="none"/>
              </w:rPr>
              <w:t>次申报项目</w:t>
            </w:r>
          </w:p>
          <w:p w14:paraId="3B4AB9BF">
            <w:pPr>
              <w:keepNext w:val="0"/>
              <w:keepLines w:val="0"/>
              <w:pageBreakBefore w:val="0"/>
              <w:widowControl/>
              <w:kinsoku w:val="0"/>
              <w:wordWrap/>
              <w:overflowPunct/>
              <w:topLinePunct w:val="0"/>
              <w:autoSpaceDE w:val="0"/>
              <w:autoSpaceDN w:val="0"/>
              <w:bidi w:val="0"/>
              <w:adjustRightInd/>
              <w:snapToGrid/>
              <w:spacing w:line="240" w:lineRule="auto"/>
              <w:ind w:left="0" w:right="110" w:firstLine="11"/>
              <w:jc w:val="left"/>
              <w:textAlignment w:val="baseline"/>
              <w:rPr>
                <w:rFonts w:hint="default" w:ascii="Times New Roman" w:hAnsi="Times New Roman" w:eastAsia="宋体" w:cs="Times New Roman"/>
                <w:color w:val="auto"/>
                <w:spacing w:val="7"/>
                <w:sz w:val="24"/>
                <w:szCs w:val="24"/>
                <w:highlight w:val="none"/>
              </w:rPr>
            </w:pPr>
            <w:r>
              <w:rPr>
                <w:rFonts w:hint="default" w:ascii="Times New Roman" w:hAnsi="Times New Roman" w:eastAsia="宋体" w:cs="Times New Roman"/>
                <w:color w:val="auto"/>
                <w:spacing w:val="11"/>
                <w:sz w:val="24"/>
                <w:szCs w:val="24"/>
                <w:highlight w:val="none"/>
              </w:rPr>
              <w:t>□</w:t>
            </w:r>
            <w:r>
              <w:rPr>
                <w:rFonts w:hint="default" w:ascii="Times New Roman" w:hAnsi="Times New Roman" w:eastAsia="宋体" w:cs="Times New Roman"/>
                <w:color w:val="auto"/>
                <w:spacing w:val="7"/>
                <w:sz w:val="24"/>
                <w:szCs w:val="24"/>
                <w:highlight w:val="none"/>
              </w:rPr>
              <w:t>不予批准后再次申报项目</w:t>
            </w:r>
          </w:p>
          <w:p w14:paraId="7A93F5A3">
            <w:pPr>
              <w:keepNext w:val="0"/>
              <w:keepLines w:val="0"/>
              <w:pageBreakBefore w:val="0"/>
              <w:widowControl/>
              <w:kinsoku w:val="0"/>
              <w:wordWrap/>
              <w:overflowPunct/>
              <w:topLinePunct w:val="0"/>
              <w:autoSpaceDE w:val="0"/>
              <w:autoSpaceDN w:val="0"/>
              <w:bidi w:val="0"/>
              <w:adjustRightInd/>
              <w:snapToGrid/>
              <w:spacing w:line="240" w:lineRule="auto"/>
              <w:ind w:left="0" w:right="110" w:firstLine="11"/>
              <w:jc w:val="left"/>
              <w:textAlignment w:val="baseline"/>
              <w:rPr>
                <w:rFonts w:hint="default" w:ascii="Times New Roman" w:hAnsi="Times New Roman" w:eastAsia="宋体" w:cs="Times New Roman"/>
                <w:color w:val="auto"/>
                <w:spacing w:val="11"/>
                <w:sz w:val="24"/>
                <w:szCs w:val="24"/>
                <w:highlight w:val="none"/>
              </w:rPr>
            </w:pPr>
            <w:r>
              <w:rPr>
                <w:rFonts w:hint="default" w:ascii="Times New Roman" w:hAnsi="Times New Roman" w:eastAsia="宋体" w:cs="Times New Roman"/>
                <w:color w:val="auto"/>
                <w:spacing w:val="11"/>
                <w:sz w:val="24"/>
                <w:szCs w:val="24"/>
                <w:highlight w:val="none"/>
              </w:rPr>
              <w:t>□</w:t>
            </w:r>
            <w:r>
              <w:rPr>
                <w:rFonts w:hint="default" w:ascii="Times New Roman" w:hAnsi="Times New Roman" w:eastAsia="宋体" w:cs="Times New Roman"/>
                <w:color w:val="auto"/>
                <w:spacing w:val="12"/>
                <w:sz w:val="24"/>
                <w:szCs w:val="24"/>
                <w:highlight w:val="none"/>
              </w:rPr>
              <w:t>超五年重新审核项</w:t>
            </w:r>
            <w:r>
              <w:rPr>
                <w:rFonts w:hint="default" w:ascii="Times New Roman" w:hAnsi="Times New Roman" w:eastAsia="宋体" w:cs="Times New Roman"/>
                <w:color w:val="auto"/>
                <w:spacing w:val="11"/>
                <w:sz w:val="24"/>
                <w:szCs w:val="24"/>
                <w:highlight w:val="none"/>
              </w:rPr>
              <w:t>目</w:t>
            </w:r>
          </w:p>
          <w:p w14:paraId="1171B511">
            <w:pPr>
              <w:keepNext w:val="0"/>
              <w:keepLines w:val="0"/>
              <w:pageBreakBefore w:val="0"/>
              <w:widowControl/>
              <w:kinsoku w:val="0"/>
              <w:wordWrap/>
              <w:overflowPunct/>
              <w:topLinePunct w:val="0"/>
              <w:autoSpaceDE w:val="0"/>
              <w:autoSpaceDN w:val="0"/>
              <w:bidi w:val="0"/>
              <w:adjustRightInd/>
              <w:snapToGrid/>
              <w:spacing w:line="240" w:lineRule="auto"/>
              <w:ind w:left="0" w:right="110" w:firstLine="11"/>
              <w:jc w:val="left"/>
              <w:textAlignment w:val="baseline"/>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8"/>
                <w:sz w:val="24"/>
                <w:szCs w:val="24"/>
                <w:highlight w:val="none"/>
              </w:rPr>
              <w:t>□重大变动</w:t>
            </w:r>
            <w:r>
              <w:rPr>
                <w:rFonts w:hint="eastAsia" w:cs="Times New Roman"/>
                <w:color w:val="auto"/>
                <w:spacing w:val="8"/>
                <w:sz w:val="24"/>
                <w:szCs w:val="24"/>
                <w:highlight w:val="none"/>
                <w:lang w:val="en-US" w:eastAsia="zh-CN"/>
              </w:rPr>
              <w:t xml:space="preserve"> </w:t>
            </w:r>
            <w:r>
              <w:rPr>
                <w:rFonts w:hint="default" w:ascii="Times New Roman" w:hAnsi="Times New Roman" w:eastAsia="宋体" w:cs="Times New Roman"/>
                <w:color w:val="auto"/>
                <w:spacing w:val="8"/>
                <w:sz w:val="24"/>
                <w:szCs w:val="24"/>
                <w:highlight w:val="none"/>
              </w:rPr>
              <w:t>重新报批项目</w:t>
            </w:r>
          </w:p>
        </w:tc>
      </w:tr>
      <w:tr w14:paraId="5680A4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2" w:hRule="atLeast"/>
        </w:trPr>
        <w:tc>
          <w:tcPr>
            <w:tcW w:w="1600" w:type="dxa"/>
            <w:tcBorders>
              <w:left w:val="single" w:color="000000" w:sz="6" w:space="0"/>
            </w:tcBorders>
            <w:vAlign w:val="center"/>
          </w:tcPr>
          <w:p w14:paraId="52A0F412">
            <w:pPr>
              <w:bidi w:val="0"/>
              <w:spacing w:line="240" w:lineRule="auto"/>
              <w:jc w:val="center"/>
              <w:rPr>
                <w:rFonts w:hint="default"/>
                <w:color w:val="auto"/>
                <w:highlight w:val="none"/>
              </w:rPr>
            </w:pPr>
            <w:r>
              <w:rPr>
                <w:rFonts w:hint="default"/>
                <w:color w:val="auto"/>
                <w:highlight w:val="none"/>
              </w:rPr>
              <w:t>项目审批</w:t>
            </w:r>
            <w:r>
              <w:rPr>
                <w:rFonts w:hint="eastAsia"/>
                <w:color w:val="auto"/>
                <w:highlight w:val="none"/>
                <w:lang w:eastAsia="zh-CN"/>
              </w:rPr>
              <w:t>（</w:t>
            </w:r>
            <w:r>
              <w:rPr>
                <w:rFonts w:hint="default"/>
                <w:color w:val="auto"/>
                <w:highlight w:val="none"/>
              </w:rPr>
              <w:t>核准/备案</w:t>
            </w:r>
            <w:r>
              <w:rPr>
                <w:rFonts w:hint="eastAsia"/>
                <w:color w:val="auto"/>
                <w:highlight w:val="none"/>
                <w:lang w:eastAsia="zh-CN"/>
              </w:rPr>
              <w:t>）</w:t>
            </w:r>
            <w:r>
              <w:rPr>
                <w:rFonts w:hint="default"/>
                <w:color w:val="auto"/>
                <w:highlight w:val="none"/>
              </w:rPr>
              <w:t>部门</w:t>
            </w:r>
            <w:r>
              <w:rPr>
                <w:rFonts w:hint="eastAsia"/>
                <w:color w:val="auto"/>
                <w:highlight w:val="none"/>
                <w:lang w:eastAsia="zh-CN"/>
              </w:rPr>
              <w:t>（</w:t>
            </w:r>
            <w:r>
              <w:rPr>
                <w:rFonts w:hint="default"/>
                <w:color w:val="auto"/>
                <w:highlight w:val="none"/>
              </w:rPr>
              <w:t>选填</w:t>
            </w:r>
            <w:r>
              <w:rPr>
                <w:rFonts w:hint="eastAsia"/>
                <w:color w:val="auto"/>
                <w:highlight w:val="none"/>
                <w:lang w:eastAsia="zh-CN"/>
              </w:rPr>
              <w:t>）</w:t>
            </w:r>
          </w:p>
        </w:tc>
        <w:tc>
          <w:tcPr>
            <w:tcW w:w="2082" w:type="dxa"/>
            <w:vAlign w:val="center"/>
          </w:tcPr>
          <w:p w14:paraId="06335EB9">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w:t>
            </w:r>
          </w:p>
        </w:tc>
        <w:tc>
          <w:tcPr>
            <w:tcW w:w="2426" w:type="dxa"/>
            <w:vAlign w:val="center"/>
          </w:tcPr>
          <w:p w14:paraId="31EB87E7">
            <w:pPr>
              <w:keepNext w:val="0"/>
              <w:keepLines w:val="0"/>
              <w:pageBreakBefore w:val="0"/>
              <w:widowControl/>
              <w:kinsoku w:val="0"/>
              <w:wordWrap/>
              <w:overflowPunct/>
              <w:topLinePunct w:val="0"/>
              <w:autoSpaceDE w:val="0"/>
              <w:autoSpaceDN w:val="0"/>
              <w:bidi w:val="0"/>
              <w:adjustRightInd/>
              <w:snapToGrid/>
              <w:spacing w:line="240" w:lineRule="auto"/>
              <w:ind w:left="0" w:right="175" w:firstLine="159"/>
              <w:jc w:val="center"/>
              <w:textAlignment w:val="baseline"/>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7"/>
                <w:sz w:val="24"/>
                <w:szCs w:val="24"/>
                <w:highlight w:val="none"/>
              </w:rPr>
              <w:t>项目审批</w:t>
            </w:r>
            <w:r>
              <w:rPr>
                <w:rFonts w:hint="eastAsia" w:cs="Times New Roman"/>
                <w:color w:val="auto"/>
                <w:spacing w:val="7"/>
                <w:sz w:val="24"/>
                <w:szCs w:val="24"/>
                <w:highlight w:val="none"/>
                <w:lang w:eastAsia="zh-CN"/>
              </w:rPr>
              <w:t>（</w:t>
            </w:r>
            <w:r>
              <w:rPr>
                <w:rFonts w:hint="default" w:ascii="Times New Roman" w:hAnsi="Times New Roman" w:eastAsia="宋体" w:cs="Times New Roman"/>
                <w:color w:val="auto"/>
                <w:spacing w:val="7"/>
                <w:sz w:val="24"/>
                <w:szCs w:val="24"/>
                <w:highlight w:val="none"/>
              </w:rPr>
              <w:t>核准</w:t>
            </w:r>
            <w:r>
              <w:rPr>
                <w:rFonts w:hint="default" w:ascii="Times New Roman" w:hAnsi="Times New Roman" w:eastAsia="宋体" w:cs="Times New Roman"/>
                <w:color w:val="auto"/>
                <w:spacing w:val="5"/>
                <w:sz w:val="24"/>
                <w:szCs w:val="24"/>
                <w:highlight w:val="none"/>
              </w:rPr>
              <w:t>/</w:t>
            </w:r>
            <w:r>
              <w:rPr>
                <w:rFonts w:hint="default" w:ascii="Times New Roman" w:hAnsi="Times New Roman" w:eastAsia="宋体" w:cs="Times New Roman"/>
                <w:color w:val="auto"/>
                <w:spacing w:val="9"/>
                <w:sz w:val="24"/>
                <w:szCs w:val="24"/>
                <w:highlight w:val="none"/>
              </w:rPr>
              <w:t>备</w:t>
            </w:r>
            <w:r>
              <w:rPr>
                <w:rFonts w:hint="default" w:ascii="Times New Roman" w:hAnsi="Times New Roman" w:eastAsia="宋体" w:cs="Times New Roman"/>
                <w:color w:val="auto"/>
                <w:spacing w:val="5"/>
                <w:sz w:val="24"/>
                <w:szCs w:val="24"/>
                <w:highlight w:val="none"/>
              </w:rPr>
              <w:t>案</w:t>
            </w:r>
            <w:r>
              <w:rPr>
                <w:rFonts w:hint="eastAsia" w:cs="Times New Roman"/>
                <w:color w:val="auto"/>
                <w:spacing w:val="5"/>
                <w:sz w:val="24"/>
                <w:szCs w:val="24"/>
                <w:highlight w:val="none"/>
                <w:lang w:eastAsia="zh-CN"/>
              </w:rPr>
              <w:t>）</w:t>
            </w:r>
            <w:r>
              <w:rPr>
                <w:rFonts w:hint="default" w:ascii="Times New Roman" w:hAnsi="Times New Roman" w:eastAsia="宋体" w:cs="Times New Roman"/>
                <w:color w:val="auto"/>
                <w:spacing w:val="5"/>
                <w:sz w:val="24"/>
                <w:szCs w:val="24"/>
                <w:highlight w:val="none"/>
              </w:rPr>
              <w:t>文号</w:t>
            </w:r>
            <w:r>
              <w:rPr>
                <w:rFonts w:hint="eastAsia" w:cs="Times New Roman"/>
                <w:color w:val="auto"/>
                <w:spacing w:val="5"/>
                <w:sz w:val="24"/>
                <w:szCs w:val="24"/>
                <w:highlight w:val="none"/>
                <w:lang w:eastAsia="zh-CN"/>
              </w:rPr>
              <w:t>（</w:t>
            </w:r>
            <w:r>
              <w:rPr>
                <w:rFonts w:hint="default" w:ascii="Times New Roman" w:hAnsi="Times New Roman" w:eastAsia="宋体" w:cs="Times New Roman"/>
                <w:color w:val="auto"/>
                <w:spacing w:val="5"/>
                <w:sz w:val="24"/>
                <w:szCs w:val="24"/>
                <w:highlight w:val="none"/>
              </w:rPr>
              <w:t>选填</w:t>
            </w:r>
            <w:r>
              <w:rPr>
                <w:rFonts w:hint="eastAsia" w:cs="Times New Roman"/>
                <w:color w:val="auto"/>
                <w:spacing w:val="5"/>
                <w:sz w:val="24"/>
                <w:szCs w:val="24"/>
                <w:highlight w:val="none"/>
                <w:lang w:eastAsia="zh-CN"/>
              </w:rPr>
              <w:t>）</w:t>
            </w:r>
          </w:p>
        </w:tc>
        <w:tc>
          <w:tcPr>
            <w:tcW w:w="2766" w:type="dxa"/>
            <w:tcBorders>
              <w:right w:val="single" w:color="000000" w:sz="6" w:space="0"/>
            </w:tcBorders>
            <w:vAlign w:val="center"/>
          </w:tcPr>
          <w:p w14:paraId="2241E69F">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w:t>
            </w:r>
          </w:p>
        </w:tc>
      </w:tr>
      <w:tr w14:paraId="361575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1600" w:type="dxa"/>
            <w:tcBorders>
              <w:left w:val="single" w:color="000000" w:sz="6" w:space="0"/>
            </w:tcBorders>
            <w:vAlign w:val="center"/>
          </w:tcPr>
          <w:p w14:paraId="71354012">
            <w:pPr>
              <w:bidi w:val="0"/>
              <w:spacing w:line="240" w:lineRule="auto"/>
              <w:jc w:val="center"/>
              <w:rPr>
                <w:rFonts w:hint="default"/>
                <w:color w:val="auto"/>
                <w:highlight w:val="none"/>
              </w:rPr>
            </w:pPr>
            <w:r>
              <w:rPr>
                <w:rFonts w:hint="default"/>
                <w:color w:val="auto"/>
                <w:highlight w:val="none"/>
              </w:rPr>
              <w:t>总投资</w:t>
            </w:r>
            <w:r>
              <w:rPr>
                <w:rFonts w:hint="eastAsia"/>
                <w:color w:val="auto"/>
                <w:highlight w:val="none"/>
                <w:lang w:eastAsia="zh-CN"/>
              </w:rPr>
              <w:t>（</w:t>
            </w:r>
            <w:r>
              <w:rPr>
                <w:rFonts w:hint="default"/>
                <w:color w:val="auto"/>
                <w:highlight w:val="none"/>
              </w:rPr>
              <w:t>万元</w:t>
            </w:r>
            <w:r>
              <w:rPr>
                <w:rFonts w:hint="eastAsia"/>
                <w:color w:val="auto"/>
                <w:highlight w:val="none"/>
                <w:lang w:eastAsia="zh-CN"/>
              </w:rPr>
              <w:t>）</w:t>
            </w:r>
          </w:p>
        </w:tc>
        <w:tc>
          <w:tcPr>
            <w:tcW w:w="2082" w:type="dxa"/>
            <w:vAlign w:val="center"/>
          </w:tcPr>
          <w:p w14:paraId="7C46E6E3">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15</w:t>
            </w:r>
          </w:p>
        </w:tc>
        <w:tc>
          <w:tcPr>
            <w:tcW w:w="2426" w:type="dxa"/>
            <w:vAlign w:val="center"/>
          </w:tcPr>
          <w:p w14:paraId="45CAED94">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12"/>
                <w:sz w:val="24"/>
                <w:szCs w:val="24"/>
                <w:highlight w:val="none"/>
              </w:rPr>
              <w:t>环</w:t>
            </w:r>
            <w:r>
              <w:rPr>
                <w:rFonts w:hint="default" w:ascii="Times New Roman" w:hAnsi="Times New Roman" w:eastAsia="宋体" w:cs="Times New Roman"/>
                <w:color w:val="auto"/>
                <w:spacing w:val="6"/>
                <w:sz w:val="24"/>
                <w:szCs w:val="24"/>
                <w:highlight w:val="none"/>
              </w:rPr>
              <w:t>保投资</w:t>
            </w:r>
            <w:r>
              <w:rPr>
                <w:rFonts w:hint="eastAsia" w:cs="Times New Roman"/>
                <w:color w:val="auto"/>
                <w:spacing w:val="6"/>
                <w:sz w:val="24"/>
                <w:szCs w:val="24"/>
                <w:highlight w:val="none"/>
                <w:lang w:eastAsia="zh-CN"/>
              </w:rPr>
              <w:t>（</w:t>
            </w:r>
            <w:r>
              <w:rPr>
                <w:rFonts w:hint="default" w:ascii="Times New Roman" w:hAnsi="Times New Roman" w:eastAsia="宋体" w:cs="Times New Roman"/>
                <w:color w:val="auto"/>
                <w:spacing w:val="6"/>
                <w:sz w:val="24"/>
                <w:szCs w:val="24"/>
                <w:highlight w:val="none"/>
              </w:rPr>
              <w:t>万元</w:t>
            </w:r>
            <w:r>
              <w:rPr>
                <w:rFonts w:hint="eastAsia" w:cs="Times New Roman"/>
                <w:color w:val="auto"/>
                <w:spacing w:val="6"/>
                <w:sz w:val="24"/>
                <w:szCs w:val="24"/>
                <w:highlight w:val="none"/>
                <w:lang w:eastAsia="zh-CN"/>
              </w:rPr>
              <w:t>）</w:t>
            </w:r>
          </w:p>
        </w:tc>
        <w:tc>
          <w:tcPr>
            <w:tcW w:w="2766" w:type="dxa"/>
            <w:tcBorders>
              <w:right w:val="single" w:color="000000" w:sz="6" w:space="0"/>
            </w:tcBorders>
            <w:vAlign w:val="center"/>
          </w:tcPr>
          <w:p w14:paraId="21F79FDD">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5</w:t>
            </w:r>
          </w:p>
        </w:tc>
      </w:tr>
      <w:tr w14:paraId="58DC6A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1600" w:type="dxa"/>
            <w:tcBorders>
              <w:left w:val="single" w:color="000000" w:sz="6" w:space="0"/>
            </w:tcBorders>
            <w:vAlign w:val="center"/>
          </w:tcPr>
          <w:p w14:paraId="2410F714">
            <w:pPr>
              <w:bidi w:val="0"/>
              <w:spacing w:line="240" w:lineRule="auto"/>
              <w:jc w:val="center"/>
              <w:rPr>
                <w:rFonts w:hint="default"/>
                <w:color w:val="auto"/>
                <w:highlight w:val="none"/>
              </w:rPr>
            </w:pPr>
            <w:r>
              <w:rPr>
                <w:rFonts w:hint="default"/>
                <w:color w:val="auto"/>
                <w:highlight w:val="none"/>
              </w:rPr>
              <w:t>环保投资占比</w:t>
            </w:r>
            <w:r>
              <w:rPr>
                <w:rFonts w:hint="eastAsia"/>
                <w:color w:val="auto"/>
                <w:highlight w:val="none"/>
                <w:lang w:eastAsia="zh-CN"/>
              </w:rPr>
              <w:t>（</w:t>
            </w:r>
            <w:r>
              <w:rPr>
                <w:rFonts w:hint="default"/>
                <w:color w:val="auto"/>
                <w:highlight w:val="none"/>
              </w:rPr>
              <w:t>%</w:t>
            </w:r>
            <w:r>
              <w:rPr>
                <w:rFonts w:hint="eastAsia"/>
                <w:color w:val="auto"/>
                <w:highlight w:val="none"/>
                <w:lang w:eastAsia="zh-CN"/>
              </w:rPr>
              <w:t>）</w:t>
            </w:r>
          </w:p>
        </w:tc>
        <w:tc>
          <w:tcPr>
            <w:tcW w:w="2082" w:type="dxa"/>
            <w:vAlign w:val="center"/>
          </w:tcPr>
          <w:p w14:paraId="65FB41E5">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33.3</w:t>
            </w:r>
            <w:r>
              <w:rPr>
                <w:rFonts w:hint="default" w:ascii="Times New Roman" w:hAnsi="Times New Roman" w:cs="Times New Roman"/>
                <w:color w:val="auto"/>
                <w:sz w:val="24"/>
                <w:szCs w:val="24"/>
                <w:highlight w:val="none"/>
                <w:lang w:val="en-US" w:eastAsia="zh-CN"/>
              </w:rPr>
              <w:t>%</w:t>
            </w:r>
          </w:p>
        </w:tc>
        <w:tc>
          <w:tcPr>
            <w:tcW w:w="2426" w:type="dxa"/>
            <w:vAlign w:val="center"/>
          </w:tcPr>
          <w:p w14:paraId="2A777505">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9"/>
                <w:sz w:val="24"/>
                <w:szCs w:val="24"/>
                <w:highlight w:val="none"/>
              </w:rPr>
              <w:t>施</w:t>
            </w:r>
            <w:r>
              <w:rPr>
                <w:rFonts w:hint="default" w:ascii="Times New Roman" w:hAnsi="Times New Roman" w:eastAsia="宋体" w:cs="Times New Roman"/>
                <w:color w:val="auto"/>
                <w:spacing w:val="7"/>
                <w:sz w:val="24"/>
                <w:szCs w:val="24"/>
                <w:highlight w:val="none"/>
              </w:rPr>
              <w:t>工工期</w:t>
            </w:r>
          </w:p>
        </w:tc>
        <w:tc>
          <w:tcPr>
            <w:tcW w:w="2766" w:type="dxa"/>
            <w:tcBorders>
              <w:right w:val="single" w:color="000000" w:sz="6" w:space="0"/>
            </w:tcBorders>
            <w:vAlign w:val="center"/>
          </w:tcPr>
          <w:p w14:paraId="6C72D720">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1个月</w:t>
            </w:r>
          </w:p>
        </w:tc>
      </w:tr>
      <w:tr w14:paraId="1AE09A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43" w:hRule="atLeast"/>
        </w:trPr>
        <w:tc>
          <w:tcPr>
            <w:tcW w:w="1600" w:type="dxa"/>
            <w:tcBorders>
              <w:left w:val="single" w:color="000000" w:sz="6" w:space="0"/>
            </w:tcBorders>
            <w:vAlign w:val="center"/>
          </w:tcPr>
          <w:p w14:paraId="76E4EB64">
            <w:pPr>
              <w:bidi w:val="0"/>
              <w:spacing w:line="240" w:lineRule="auto"/>
              <w:jc w:val="center"/>
              <w:rPr>
                <w:rFonts w:hint="default"/>
                <w:color w:val="auto"/>
                <w:highlight w:val="none"/>
              </w:rPr>
            </w:pPr>
            <w:r>
              <w:rPr>
                <w:rFonts w:hint="default"/>
                <w:color w:val="auto"/>
                <w:highlight w:val="none"/>
              </w:rPr>
              <w:t>是否开工建设</w:t>
            </w:r>
          </w:p>
        </w:tc>
        <w:tc>
          <w:tcPr>
            <w:tcW w:w="2082" w:type="dxa"/>
            <w:vAlign w:val="center"/>
          </w:tcPr>
          <w:p w14:paraId="1856CCE7">
            <w:pPr>
              <w:keepNext w:val="0"/>
              <w:keepLines w:val="0"/>
              <w:pageBreakBefore w:val="0"/>
              <w:widowControl/>
              <w:kinsoku w:val="0"/>
              <w:wordWrap/>
              <w:overflowPunct/>
              <w:topLinePunct w:val="0"/>
              <w:autoSpaceDE w:val="0"/>
              <w:autoSpaceDN w:val="0"/>
              <w:bidi w:val="0"/>
              <w:adjustRightInd/>
              <w:snapToGrid/>
              <w:spacing w:line="240" w:lineRule="auto"/>
              <w:ind w:left="0"/>
              <w:jc w:val="left"/>
              <w:textAlignment w:val="baseline"/>
              <w:rPr>
                <w:rFonts w:hint="default" w:ascii="Times New Roman" w:hAnsi="Times New Roman" w:eastAsia="宋体" w:cs="Times New Roman"/>
                <w:color w:val="auto"/>
                <w:sz w:val="24"/>
                <w:szCs w:val="24"/>
                <w:highlight w:val="none"/>
                <w:lang w:eastAsia="zh-CN"/>
              </w:rPr>
            </w:pPr>
            <w:r>
              <w:rPr>
                <w:rFonts w:hint="default" w:ascii="Times New Roman" w:hAnsi="Times New Roman" w:cs="Times New Roman"/>
                <w:color w:val="auto"/>
                <w:spacing w:val="11"/>
                <w:sz w:val="24"/>
                <w:szCs w:val="24"/>
                <w:highlight w:val="none"/>
                <w:lang w:eastAsia="zh-CN"/>
              </w:rPr>
              <w:t>☑</w:t>
            </w:r>
            <w:r>
              <w:rPr>
                <w:rFonts w:hint="default" w:ascii="Times New Roman" w:hAnsi="Times New Roman" w:eastAsia="宋体" w:cs="Times New Roman"/>
                <w:color w:val="auto"/>
                <w:spacing w:val="27"/>
                <w:position w:val="4"/>
                <w:sz w:val="24"/>
                <w:szCs w:val="24"/>
                <w:highlight w:val="none"/>
              </w:rPr>
              <w:t>否</w:t>
            </w:r>
            <w:r>
              <w:rPr>
                <w:rFonts w:hint="default" w:ascii="Times New Roman" w:hAnsi="Times New Roman" w:cs="Times New Roman"/>
                <w:color w:val="auto"/>
                <w:spacing w:val="27"/>
                <w:position w:val="4"/>
                <w:sz w:val="24"/>
                <w:szCs w:val="24"/>
                <w:highlight w:val="none"/>
                <w:lang w:eastAsia="zh-CN"/>
              </w:rPr>
              <w:t>：</w:t>
            </w:r>
          </w:p>
          <w:p w14:paraId="3D58A0D9">
            <w:pPr>
              <w:keepNext w:val="0"/>
              <w:keepLines w:val="0"/>
              <w:pageBreakBefore w:val="0"/>
              <w:widowControl/>
              <w:kinsoku w:val="0"/>
              <w:wordWrap/>
              <w:overflowPunct/>
              <w:topLinePunct w:val="0"/>
              <w:autoSpaceDE w:val="0"/>
              <w:autoSpaceDN w:val="0"/>
              <w:bidi w:val="0"/>
              <w:adjustRightInd/>
              <w:snapToGrid/>
              <w:spacing w:line="240" w:lineRule="auto"/>
              <w:ind w:left="0"/>
              <w:jc w:val="left"/>
              <w:textAlignment w:val="baseline"/>
              <w:rPr>
                <w:rFonts w:hint="default" w:ascii="Times New Roman" w:hAnsi="Times New Roman" w:eastAsia="宋体" w:cs="Times New Roman"/>
                <w:color w:val="auto"/>
                <w:sz w:val="24"/>
                <w:szCs w:val="24"/>
                <w:highlight w:val="none"/>
              </w:rPr>
            </w:pPr>
            <w:r>
              <w:rPr>
                <w:rFonts w:hint="eastAsia" w:cs="Times New Roman"/>
                <w:color w:val="auto"/>
                <w:spacing w:val="11"/>
                <w:sz w:val="24"/>
                <w:szCs w:val="24"/>
                <w:highlight w:val="none"/>
                <w:lang w:eastAsia="zh-CN"/>
              </w:rPr>
              <w:t>□</w:t>
            </w:r>
            <w:r>
              <w:rPr>
                <w:rFonts w:hint="default" w:ascii="Times New Roman" w:hAnsi="Times New Roman" w:eastAsia="宋体" w:cs="Times New Roman"/>
                <w:color w:val="auto"/>
                <w:spacing w:val="14"/>
                <w:sz w:val="24"/>
                <w:szCs w:val="24"/>
                <w:highlight w:val="none"/>
              </w:rPr>
              <w:t>是</w:t>
            </w:r>
            <w:r>
              <w:rPr>
                <w:rFonts w:hint="default" w:ascii="Times New Roman" w:hAnsi="Times New Roman" w:eastAsia="宋体" w:cs="Times New Roman"/>
                <w:color w:val="auto"/>
                <w:spacing w:val="13"/>
                <w:sz w:val="24"/>
                <w:szCs w:val="24"/>
                <w:highlight w:val="none"/>
              </w:rPr>
              <w:t>：</w:t>
            </w:r>
          </w:p>
        </w:tc>
        <w:tc>
          <w:tcPr>
            <w:tcW w:w="2426" w:type="dxa"/>
            <w:vAlign w:val="center"/>
          </w:tcPr>
          <w:p w14:paraId="0803932A">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2"/>
                <w:position w:val="4"/>
                <w:sz w:val="24"/>
                <w:szCs w:val="24"/>
                <w:highlight w:val="none"/>
              </w:rPr>
              <w:t>用地</w:t>
            </w:r>
            <w:r>
              <w:rPr>
                <w:rFonts w:hint="eastAsia" w:cs="Times New Roman"/>
                <w:color w:val="auto"/>
                <w:spacing w:val="-2"/>
                <w:position w:val="4"/>
                <w:sz w:val="24"/>
                <w:szCs w:val="24"/>
                <w:highlight w:val="none"/>
                <w:lang w:eastAsia="zh-CN"/>
              </w:rPr>
              <w:t>（</w:t>
            </w:r>
            <w:r>
              <w:rPr>
                <w:rFonts w:hint="default" w:ascii="Times New Roman" w:hAnsi="Times New Roman" w:eastAsia="宋体" w:cs="Times New Roman"/>
                <w:color w:val="auto"/>
                <w:spacing w:val="-1"/>
                <w:position w:val="4"/>
                <w:sz w:val="24"/>
                <w:szCs w:val="24"/>
                <w:highlight w:val="none"/>
              </w:rPr>
              <w:t>用海</w:t>
            </w:r>
            <w:r>
              <w:rPr>
                <w:rFonts w:hint="eastAsia" w:cs="Times New Roman"/>
                <w:color w:val="auto"/>
                <w:spacing w:val="-1"/>
                <w:position w:val="4"/>
                <w:sz w:val="24"/>
                <w:szCs w:val="24"/>
                <w:highlight w:val="none"/>
                <w:lang w:eastAsia="zh-CN"/>
              </w:rPr>
              <w:t>）</w:t>
            </w:r>
          </w:p>
          <w:p w14:paraId="316E8824">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5"/>
                <w:sz w:val="24"/>
                <w:szCs w:val="24"/>
                <w:highlight w:val="none"/>
              </w:rPr>
              <w:t>面积</w:t>
            </w:r>
            <w:r>
              <w:rPr>
                <w:rFonts w:hint="eastAsia" w:cs="Times New Roman"/>
                <w:color w:val="auto"/>
                <w:spacing w:val="-5"/>
                <w:sz w:val="24"/>
                <w:szCs w:val="24"/>
                <w:highlight w:val="none"/>
                <w:lang w:eastAsia="zh-CN"/>
              </w:rPr>
              <w:t>（</w:t>
            </w:r>
            <w:r>
              <w:rPr>
                <w:rFonts w:hint="default" w:ascii="Times New Roman" w:hAnsi="Times New Roman" w:eastAsia="宋体" w:cs="Times New Roman"/>
                <w:color w:val="auto"/>
                <w:spacing w:val="-5"/>
                <w:sz w:val="24"/>
                <w:szCs w:val="24"/>
                <w:highlight w:val="none"/>
              </w:rPr>
              <w:t>m</w:t>
            </w:r>
            <w:r>
              <w:rPr>
                <w:rFonts w:hint="default" w:ascii="Times New Roman" w:hAnsi="Times New Roman" w:cs="Times New Roman"/>
                <w:color w:val="auto"/>
                <w:spacing w:val="-5"/>
                <w:sz w:val="24"/>
                <w:szCs w:val="24"/>
                <w:highlight w:val="none"/>
                <w:vertAlign w:val="superscript"/>
                <w:lang w:val="en-US" w:eastAsia="zh-CN"/>
              </w:rPr>
              <w:t>2</w:t>
            </w:r>
            <w:r>
              <w:rPr>
                <w:rFonts w:hint="eastAsia" w:cs="Times New Roman"/>
                <w:color w:val="auto"/>
                <w:spacing w:val="-5"/>
                <w:sz w:val="24"/>
                <w:szCs w:val="24"/>
                <w:highlight w:val="none"/>
                <w:vertAlign w:val="superscript"/>
                <w:lang w:val="en-US" w:eastAsia="zh-CN"/>
              </w:rPr>
              <w:t>）</w:t>
            </w:r>
          </w:p>
        </w:tc>
        <w:tc>
          <w:tcPr>
            <w:tcW w:w="2766" w:type="dxa"/>
            <w:tcBorders>
              <w:right w:val="single" w:color="000000" w:sz="6" w:space="0"/>
            </w:tcBorders>
            <w:vAlign w:val="center"/>
          </w:tcPr>
          <w:p w14:paraId="69013F2A">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162.75</w:t>
            </w:r>
          </w:p>
        </w:tc>
      </w:tr>
      <w:tr w14:paraId="5316B6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4" w:hRule="atLeast"/>
        </w:trPr>
        <w:tc>
          <w:tcPr>
            <w:tcW w:w="1600" w:type="dxa"/>
            <w:tcBorders>
              <w:left w:val="single" w:color="000000" w:sz="6" w:space="0"/>
            </w:tcBorders>
            <w:vAlign w:val="center"/>
          </w:tcPr>
          <w:p w14:paraId="05FDE48E">
            <w:pPr>
              <w:bidi w:val="0"/>
              <w:spacing w:line="240" w:lineRule="auto"/>
              <w:jc w:val="center"/>
              <w:rPr>
                <w:rFonts w:hint="default"/>
                <w:color w:val="auto"/>
                <w:highlight w:val="none"/>
              </w:rPr>
            </w:pPr>
            <w:r>
              <w:rPr>
                <w:rFonts w:hint="default"/>
                <w:color w:val="auto"/>
                <w:highlight w:val="none"/>
              </w:rPr>
              <w:t>专项评价设置情况</w:t>
            </w:r>
          </w:p>
        </w:tc>
        <w:tc>
          <w:tcPr>
            <w:tcW w:w="7274" w:type="dxa"/>
            <w:gridSpan w:val="3"/>
            <w:tcBorders>
              <w:right w:val="single" w:color="000000" w:sz="6" w:space="0"/>
            </w:tcBorders>
            <w:vAlign w:val="center"/>
          </w:tcPr>
          <w:p w14:paraId="73E5A65B">
            <w:pPr>
              <w:widowControl w:val="0"/>
              <w:snapToGrid w:val="0"/>
              <w:spacing w:line="240" w:lineRule="auto"/>
              <w:ind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cs="Times New Roman"/>
                <w:color w:val="auto"/>
                <w:highlight w:val="none"/>
                <w:lang w:eastAsia="zh-CN"/>
              </w:rPr>
              <w:t>无</w:t>
            </w:r>
          </w:p>
        </w:tc>
      </w:tr>
      <w:tr w14:paraId="39B595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4" w:hRule="atLeast"/>
        </w:trPr>
        <w:tc>
          <w:tcPr>
            <w:tcW w:w="1600" w:type="dxa"/>
            <w:tcBorders>
              <w:left w:val="single" w:color="000000" w:sz="6" w:space="0"/>
            </w:tcBorders>
            <w:vAlign w:val="center"/>
          </w:tcPr>
          <w:p w14:paraId="32E66ADF">
            <w:pPr>
              <w:bidi w:val="0"/>
              <w:spacing w:line="240" w:lineRule="auto"/>
              <w:jc w:val="center"/>
              <w:rPr>
                <w:rFonts w:hint="default"/>
                <w:color w:val="auto"/>
                <w:highlight w:val="none"/>
              </w:rPr>
            </w:pPr>
            <w:r>
              <w:rPr>
                <w:rFonts w:hint="default"/>
                <w:color w:val="auto"/>
                <w:highlight w:val="none"/>
              </w:rPr>
              <w:t>规划情况</w:t>
            </w:r>
          </w:p>
        </w:tc>
        <w:tc>
          <w:tcPr>
            <w:tcW w:w="7274" w:type="dxa"/>
            <w:gridSpan w:val="3"/>
            <w:tcBorders>
              <w:right w:val="single" w:color="000000" w:sz="6" w:space="0"/>
            </w:tcBorders>
            <w:vAlign w:val="center"/>
          </w:tcPr>
          <w:p w14:paraId="523281DC">
            <w:pPr>
              <w:widowControl w:val="0"/>
              <w:snapToGrid w:val="0"/>
              <w:spacing w:line="240" w:lineRule="auto"/>
              <w:ind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cs="Times New Roman"/>
                <w:color w:val="auto"/>
                <w:highlight w:val="none"/>
                <w:lang w:val="en-US" w:eastAsia="zh-CN"/>
              </w:rPr>
              <w:t>无</w:t>
            </w:r>
          </w:p>
        </w:tc>
      </w:tr>
      <w:tr w14:paraId="44776D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89" w:hRule="atLeast"/>
        </w:trPr>
        <w:tc>
          <w:tcPr>
            <w:tcW w:w="1600" w:type="dxa"/>
            <w:tcBorders>
              <w:left w:val="single" w:color="000000" w:sz="6" w:space="0"/>
            </w:tcBorders>
            <w:vAlign w:val="center"/>
          </w:tcPr>
          <w:p w14:paraId="39E48F87">
            <w:pPr>
              <w:bidi w:val="0"/>
              <w:spacing w:line="240" w:lineRule="auto"/>
              <w:jc w:val="center"/>
              <w:rPr>
                <w:rFonts w:hint="default"/>
                <w:color w:val="auto"/>
                <w:highlight w:val="none"/>
              </w:rPr>
            </w:pPr>
            <w:r>
              <w:rPr>
                <w:rFonts w:hint="default"/>
                <w:color w:val="auto"/>
                <w:highlight w:val="none"/>
              </w:rPr>
              <w:t>规划环境影响</w:t>
            </w:r>
          </w:p>
          <w:p w14:paraId="6398F45E">
            <w:pPr>
              <w:bidi w:val="0"/>
              <w:spacing w:line="240" w:lineRule="auto"/>
              <w:jc w:val="center"/>
              <w:rPr>
                <w:rFonts w:hint="default"/>
                <w:color w:val="auto"/>
                <w:highlight w:val="none"/>
              </w:rPr>
            </w:pPr>
            <w:r>
              <w:rPr>
                <w:rFonts w:hint="default"/>
                <w:color w:val="auto"/>
                <w:highlight w:val="none"/>
              </w:rPr>
              <w:t>评价情况</w:t>
            </w:r>
          </w:p>
        </w:tc>
        <w:tc>
          <w:tcPr>
            <w:tcW w:w="7274" w:type="dxa"/>
            <w:gridSpan w:val="3"/>
            <w:tcBorders>
              <w:right w:val="single" w:color="000000" w:sz="6" w:space="0"/>
            </w:tcBorders>
            <w:vAlign w:val="center"/>
          </w:tcPr>
          <w:p w14:paraId="32AF2817">
            <w:pPr>
              <w:snapToGrid w:val="0"/>
              <w:spacing w:line="460" w:lineRule="exact"/>
              <w:ind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cs="Times New Roman"/>
                <w:color w:val="auto"/>
                <w:highlight w:val="none"/>
                <w:lang w:eastAsia="zh-CN"/>
              </w:rPr>
              <w:t>无</w:t>
            </w:r>
          </w:p>
        </w:tc>
      </w:tr>
      <w:tr w14:paraId="0F8272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58" w:hRule="atLeast"/>
        </w:trPr>
        <w:tc>
          <w:tcPr>
            <w:tcW w:w="1600" w:type="dxa"/>
            <w:tcBorders>
              <w:left w:val="single" w:color="000000" w:sz="6" w:space="0"/>
            </w:tcBorders>
            <w:vAlign w:val="center"/>
          </w:tcPr>
          <w:p w14:paraId="76DF2FAD">
            <w:pPr>
              <w:bidi w:val="0"/>
              <w:spacing w:line="240" w:lineRule="auto"/>
              <w:jc w:val="center"/>
              <w:rPr>
                <w:rFonts w:hint="default"/>
                <w:color w:val="auto"/>
                <w:highlight w:val="none"/>
              </w:rPr>
            </w:pPr>
            <w:r>
              <w:rPr>
                <w:rFonts w:hint="default"/>
                <w:color w:val="auto"/>
                <w:highlight w:val="none"/>
              </w:rPr>
              <w:t>规划及规划环境影响评价符合性分析</w:t>
            </w:r>
          </w:p>
        </w:tc>
        <w:tc>
          <w:tcPr>
            <w:tcW w:w="7274" w:type="dxa"/>
            <w:gridSpan w:val="3"/>
            <w:tcBorders>
              <w:right w:val="single" w:color="000000" w:sz="6" w:space="0"/>
            </w:tcBorders>
            <w:shd w:val="clear" w:color="auto" w:fill="auto"/>
            <w:vAlign w:val="center"/>
          </w:tcPr>
          <w:p w14:paraId="7ED88D2F">
            <w:pPr>
              <w:widowControl w:val="0"/>
              <w:snapToGrid w:val="0"/>
              <w:spacing w:line="240" w:lineRule="auto"/>
              <w:ind w:firstLine="0" w:firstLineChars="0"/>
              <w:jc w:val="center"/>
              <w:rPr>
                <w:rFonts w:hint="default" w:ascii="Times New Roman" w:hAnsi="Times New Roman" w:eastAsia="宋体" w:cs="Times New Roman"/>
                <w:snapToGrid w:val="0"/>
                <w:color w:val="auto"/>
                <w:kern w:val="0"/>
                <w:sz w:val="24"/>
                <w:szCs w:val="24"/>
                <w:highlight w:val="none"/>
              </w:rPr>
            </w:pPr>
            <w:r>
              <w:rPr>
                <w:rFonts w:hint="default" w:ascii="Times New Roman" w:hAnsi="Times New Roman" w:cs="Times New Roman"/>
                <w:color w:val="auto"/>
                <w:highlight w:val="none"/>
                <w:lang w:eastAsia="zh-CN"/>
              </w:rPr>
              <w:t>无</w:t>
            </w:r>
          </w:p>
        </w:tc>
      </w:tr>
      <w:tr w14:paraId="16C6F8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0" w:hRule="atLeast"/>
        </w:trPr>
        <w:tc>
          <w:tcPr>
            <w:tcW w:w="1600" w:type="dxa"/>
            <w:tcBorders>
              <w:left w:val="single" w:color="000000" w:sz="6" w:space="0"/>
            </w:tcBorders>
            <w:vAlign w:val="center"/>
          </w:tcPr>
          <w:p w14:paraId="0058BD3E">
            <w:pPr>
              <w:bidi w:val="0"/>
              <w:spacing w:line="240" w:lineRule="auto"/>
              <w:jc w:val="center"/>
              <w:rPr>
                <w:rFonts w:hint="default"/>
                <w:color w:val="auto"/>
                <w:highlight w:val="none"/>
              </w:rPr>
            </w:pPr>
            <w:r>
              <w:rPr>
                <w:rFonts w:hint="default"/>
                <w:color w:val="auto"/>
                <w:highlight w:val="none"/>
              </w:rPr>
              <w:t>其他符合性分析</w:t>
            </w:r>
          </w:p>
        </w:tc>
        <w:tc>
          <w:tcPr>
            <w:tcW w:w="7274" w:type="dxa"/>
            <w:gridSpan w:val="3"/>
            <w:tcBorders>
              <w:right w:val="single" w:color="000000" w:sz="6" w:space="0"/>
            </w:tcBorders>
            <w:vAlign w:val="center"/>
          </w:tcPr>
          <w:p w14:paraId="2C8054C5">
            <w:pPr>
              <w:pStyle w:val="3"/>
              <w:bidi w:val="0"/>
              <w:spacing w:line="360" w:lineRule="auto"/>
              <w:rPr>
                <w:rFonts w:hint="default" w:ascii="Times New Roman" w:hAnsi="Times New Roman" w:cs="Times New Roman"/>
                <w:color w:val="auto"/>
                <w:sz w:val="28"/>
                <w:szCs w:val="21"/>
                <w:highlight w:val="none"/>
                <w:lang w:eastAsia="zh-CN"/>
              </w:rPr>
            </w:pPr>
            <w:r>
              <w:rPr>
                <w:rFonts w:hint="default" w:ascii="Times New Roman" w:hAnsi="Times New Roman" w:cs="Times New Roman"/>
                <w:color w:val="auto"/>
                <w:sz w:val="28"/>
                <w:szCs w:val="21"/>
                <w:highlight w:val="none"/>
                <w:lang w:eastAsia="zh-CN"/>
              </w:rPr>
              <w:t>1、项目产业政策符合性</w:t>
            </w:r>
          </w:p>
          <w:p w14:paraId="1B043744">
            <w:pPr>
              <w:autoSpaceDE w:val="0"/>
              <w:autoSpaceDN w:val="0"/>
              <w:adjustRightInd w:val="0"/>
              <w:snapToGrid w:val="0"/>
              <w:spacing w:line="360" w:lineRule="auto"/>
              <w:ind w:firstLine="480"/>
              <w:rPr>
                <w:rFonts w:hint="default" w:ascii="Times New Roman" w:hAnsi="Times New Roman" w:eastAsia="宋体" w:cs="Times New Roman"/>
                <w:snapToGrid w:val="0"/>
                <w:color w:val="auto"/>
                <w:szCs w:val="21"/>
                <w:highlight w:val="none"/>
                <w:lang w:eastAsia="zh-CN"/>
              </w:rPr>
            </w:pPr>
            <w:r>
              <w:rPr>
                <w:rFonts w:hint="default" w:ascii="Times New Roman" w:hAnsi="Times New Roman" w:eastAsia="宋体" w:cs="Times New Roman"/>
                <w:b w:val="0"/>
                <w:bCs w:val="0"/>
                <w:color w:val="auto"/>
                <w:sz w:val="24"/>
                <w:szCs w:val="24"/>
                <w:highlight w:val="none"/>
              </w:rPr>
              <w:t>根据《国民经济行业分类与代码》（</w:t>
            </w:r>
            <w:r>
              <w:rPr>
                <w:rFonts w:hint="default" w:ascii="Times New Roman" w:hAnsi="Times New Roman" w:eastAsia="TimesNewRomanPSMT" w:cs="Times New Roman"/>
                <w:b w:val="0"/>
                <w:bCs w:val="0"/>
                <w:color w:val="auto"/>
                <w:sz w:val="24"/>
                <w:szCs w:val="24"/>
                <w:highlight w:val="none"/>
              </w:rPr>
              <w:t>GB4754-2017</w:t>
            </w:r>
            <w:r>
              <w:rPr>
                <w:rFonts w:hint="default" w:ascii="Times New Roman" w:hAnsi="Times New Roman" w:eastAsia="宋体" w:cs="Times New Roman"/>
                <w:b w:val="0"/>
                <w:bCs w:val="0"/>
                <w:color w:val="auto"/>
                <w:sz w:val="24"/>
                <w:szCs w:val="24"/>
                <w:highlight w:val="none"/>
              </w:rPr>
              <w:t>），本项目属于</w:t>
            </w:r>
            <w:r>
              <w:rPr>
                <w:rFonts w:hint="eastAsia" w:cs="Times New Roman"/>
                <w:b w:val="0"/>
                <w:bCs w:val="0"/>
                <w:color w:val="auto"/>
                <w:sz w:val="24"/>
                <w:szCs w:val="24"/>
                <w:highlight w:val="none"/>
                <w:lang w:eastAsia="zh-CN"/>
              </w:rPr>
              <w:t>“</w:t>
            </w:r>
            <w:r>
              <w:rPr>
                <w:rFonts w:hint="default" w:ascii="Times New Roman" w:hAnsi="Times New Roman" w:cs="Times New Roman"/>
                <w:snapToGrid w:val="0"/>
                <w:color w:val="auto"/>
                <w:highlight w:val="none"/>
                <w:lang w:val="en-US" w:eastAsia="zh-CN"/>
              </w:rPr>
              <w:t>O</w:t>
            </w:r>
            <w:r>
              <w:rPr>
                <w:rFonts w:hint="default" w:ascii="Times New Roman" w:hAnsi="Times New Roman" w:eastAsia="TimesNewRomanPSMT" w:cs="Times New Roman"/>
                <w:b w:val="0"/>
                <w:bCs w:val="0"/>
                <w:color w:val="auto"/>
                <w:sz w:val="24"/>
                <w:szCs w:val="24"/>
                <w:highlight w:val="none"/>
              </w:rPr>
              <w:t xml:space="preserve">8222 </w:t>
            </w:r>
            <w:r>
              <w:rPr>
                <w:rFonts w:hint="default" w:ascii="Times New Roman" w:hAnsi="Times New Roman" w:eastAsia="宋体" w:cs="Times New Roman"/>
                <w:b w:val="0"/>
                <w:bCs w:val="0"/>
                <w:color w:val="auto"/>
                <w:sz w:val="24"/>
                <w:szCs w:val="24"/>
                <w:highlight w:val="none"/>
              </w:rPr>
              <w:t>宠物医院服务</w:t>
            </w:r>
            <w:r>
              <w:rPr>
                <w:rFonts w:hint="eastAsia" w:cs="Times New Roman"/>
                <w:b w:val="0"/>
                <w:bCs w:val="0"/>
                <w:color w:val="auto"/>
                <w:sz w:val="24"/>
                <w:szCs w:val="24"/>
                <w:highlight w:val="none"/>
                <w:lang w:eastAsia="zh-CN"/>
              </w:rPr>
              <w:t>”</w:t>
            </w:r>
            <w:r>
              <w:rPr>
                <w:rFonts w:hint="default" w:ascii="Times New Roman" w:hAnsi="Times New Roman" w:eastAsia="宋体" w:cs="Times New Roman"/>
                <w:b w:val="0"/>
                <w:bCs w:val="0"/>
                <w:color w:val="auto"/>
                <w:sz w:val="24"/>
                <w:szCs w:val="24"/>
                <w:highlight w:val="none"/>
              </w:rPr>
              <w:t>。根据《产业结构调整指导目录（</w:t>
            </w:r>
            <w:r>
              <w:rPr>
                <w:rFonts w:hint="default" w:ascii="Times New Roman" w:hAnsi="Times New Roman" w:eastAsia="TimesNewRomanPSMT" w:cs="Times New Roman"/>
                <w:b w:val="0"/>
                <w:bCs w:val="0"/>
                <w:color w:val="auto"/>
                <w:sz w:val="24"/>
                <w:szCs w:val="24"/>
                <w:highlight w:val="none"/>
              </w:rPr>
              <w:t xml:space="preserve">2024 </w:t>
            </w:r>
            <w:r>
              <w:rPr>
                <w:rFonts w:hint="default" w:ascii="Times New Roman" w:hAnsi="Times New Roman" w:eastAsia="宋体" w:cs="Times New Roman"/>
                <w:b w:val="0"/>
                <w:bCs w:val="0"/>
                <w:color w:val="auto"/>
                <w:sz w:val="24"/>
                <w:szCs w:val="24"/>
                <w:highlight w:val="none"/>
              </w:rPr>
              <w:t>年本）》，本项目不在</w:t>
            </w:r>
            <w:r>
              <w:rPr>
                <w:rFonts w:hint="eastAsia" w:cs="Times New Roman"/>
                <w:b w:val="0"/>
                <w:bCs w:val="0"/>
                <w:color w:val="auto"/>
                <w:sz w:val="24"/>
                <w:szCs w:val="24"/>
                <w:highlight w:val="none"/>
                <w:lang w:eastAsia="zh-CN"/>
              </w:rPr>
              <w:t>“</w:t>
            </w:r>
            <w:r>
              <w:rPr>
                <w:rFonts w:hint="default" w:ascii="Times New Roman" w:hAnsi="Times New Roman" w:eastAsia="宋体" w:cs="Times New Roman"/>
                <w:b w:val="0"/>
                <w:bCs w:val="0"/>
                <w:color w:val="auto"/>
                <w:sz w:val="24"/>
                <w:szCs w:val="24"/>
                <w:highlight w:val="none"/>
              </w:rPr>
              <w:t>鼓励类</w:t>
            </w:r>
            <w:r>
              <w:rPr>
                <w:rFonts w:hint="eastAsia" w:cs="Times New Roman"/>
                <w:b w:val="0"/>
                <w:bCs w:val="0"/>
                <w:color w:val="auto"/>
                <w:sz w:val="24"/>
                <w:szCs w:val="24"/>
                <w:highlight w:val="none"/>
                <w:lang w:eastAsia="zh-CN"/>
              </w:rPr>
              <w:t>”“</w:t>
            </w:r>
            <w:r>
              <w:rPr>
                <w:rFonts w:hint="default" w:ascii="Times New Roman" w:hAnsi="Times New Roman" w:eastAsia="宋体" w:cs="Times New Roman"/>
                <w:b w:val="0"/>
                <w:bCs w:val="0"/>
                <w:color w:val="auto"/>
                <w:sz w:val="24"/>
                <w:szCs w:val="24"/>
                <w:highlight w:val="none"/>
              </w:rPr>
              <w:t>限制类</w:t>
            </w:r>
            <w:r>
              <w:rPr>
                <w:rFonts w:hint="eastAsia" w:cs="Times New Roman"/>
                <w:b w:val="0"/>
                <w:bCs w:val="0"/>
                <w:color w:val="auto"/>
                <w:sz w:val="24"/>
                <w:szCs w:val="24"/>
                <w:highlight w:val="none"/>
                <w:lang w:eastAsia="zh-CN"/>
              </w:rPr>
              <w:t>”“</w:t>
            </w:r>
            <w:r>
              <w:rPr>
                <w:rFonts w:hint="default" w:ascii="Times New Roman" w:hAnsi="Times New Roman" w:eastAsia="宋体" w:cs="Times New Roman"/>
                <w:b w:val="0"/>
                <w:bCs w:val="0"/>
                <w:color w:val="auto"/>
                <w:sz w:val="24"/>
                <w:szCs w:val="24"/>
                <w:highlight w:val="none"/>
              </w:rPr>
              <w:t>淘汰类</w:t>
            </w:r>
            <w:r>
              <w:rPr>
                <w:rFonts w:hint="eastAsia" w:cs="Times New Roman"/>
                <w:b w:val="0"/>
                <w:bCs w:val="0"/>
                <w:color w:val="auto"/>
                <w:sz w:val="24"/>
                <w:szCs w:val="24"/>
                <w:highlight w:val="none"/>
                <w:lang w:eastAsia="zh-CN"/>
              </w:rPr>
              <w:t>”</w:t>
            </w:r>
            <w:r>
              <w:rPr>
                <w:rFonts w:hint="default" w:ascii="Times New Roman" w:hAnsi="Times New Roman" w:eastAsia="宋体" w:cs="Times New Roman"/>
                <w:b w:val="0"/>
                <w:bCs w:val="0"/>
                <w:color w:val="auto"/>
                <w:sz w:val="24"/>
                <w:szCs w:val="24"/>
                <w:highlight w:val="none"/>
              </w:rPr>
              <w:t>之列，故本项目为允许类，对照《市场准入负面清单（2025年版）》</w:t>
            </w:r>
            <w:r>
              <w:rPr>
                <w:rFonts w:hint="eastAsia" w:cs="Times New Roman"/>
                <w:b w:val="0"/>
                <w:bCs w:val="0"/>
                <w:color w:val="auto"/>
                <w:sz w:val="24"/>
                <w:szCs w:val="24"/>
                <w:highlight w:val="none"/>
                <w:lang w:eastAsia="zh-CN"/>
              </w:rPr>
              <w:t>，本项目不在负面清单内。</w:t>
            </w:r>
            <w:r>
              <w:rPr>
                <w:rFonts w:hint="default" w:ascii="Times New Roman" w:hAnsi="Times New Roman" w:eastAsia="宋体" w:cs="Times New Roman"/>
                <w:b w:val="0"/>
                <w:bCs w:val="0"/>
                <w:color w:val="auto"/>
                <w:sz w:val="24"/>
                <w:szCs w:val="24"/>
                <w:highlight w:val="none"/>
              </w:rPr>
              <w:t>符合</w:t>
            </w:r>
            <w:r>
              <w:rPr>
                <w:rFonts w:hint="default" w:ascii="Times New Roman" w:hAnsi="Times New Roman" w:eastAsia="宋体" w:cs="Times New Roman"/>
                <w:b w:val="0"/>
                <w:bCs w:val="0"/>
                <w:color w:val="auto"/>
                <w:sz w:val="24"/>
                <w:szCs w:val="24"/>
                <w:highlight w:val="none"/>
                <w:lang w:val="en-US" w:eastAsia="zh-CN"/>
              </w:rPr>
              <w:t>国家产业政策</w:t>
            </w:r>
            <w:r>
              <w:rPr>
                <w:rFonts w:hint="default" w:ascii="Times New Roman" w:hAnsi="Times New Roman" w:eastAsia="宋体" w:cs="Times New Roman"/>
                <w:snapToGrid w:val="0"/>
                <w:color w:val="auto"/>
                <w:szCs w:val="21"/>
                <w:highlight w:val="none"/>
                <w:lang w:eastAsia="zh-CN"/>
              </w:rPr>
              <w:t>。</w:t>
            </w:r>
          </w:p>
          <w:p w14:paraId="1839C1C3">
            <w:pPr>
              <w:pStyle w:val="3"/>
              <w:bidi w:val="0"/>
              <w:rPr>
                <w:rFonts w:hint="default" w:ascii="Times New Roman" w:hAnsi="Times New Roman" w:cs="Times New Roman"/>
                <w:color w:val="auto"/>
                <w:sz w:val="28"/>
                <w:szCs w:val="21"/>
                <w:highlight w:val="none"/>
                <w:lang w:eastAsia="zh-CN"/>
              </w:rPr>
            </w:pPr>
            <w:r>
              <w:rPr>
                <w:rFonts w:hint="default" w:ascii="Times New Roman" w:hAnsi="Times New Roman" w:cs="Times New Roman"/>
                <w:color w:val="auto"/>
                <w:sz w:val="28"/>
                <w:szCs w:val="21"/>
                <w:highlight w:val="none"/>
                <w:lang w:eastAsia="zh-CN"/>
              </w:rPr>
              <w:t>2、</w:t>
            </w:r>
            <w:r>
              <w:rPr>
                <w:rFonts w:hint="eastAsia" w:cs="Times New Roman"/>
                <w:color w:val="auto"/>
                <w:sz w:val="28"/>
                <w:szCs w:val="21"/>
                <w:highlight w:val="none"/>
                <w:lang w:eastAsia="zh-CN"/>
              </w:rPr>
              <w:t>“</w:t>
            </w:r>
            <w:r>
              <w:rPr>
                <w:rFonts w:hint="default" w:ascii="Times New Roman" w:hAnsi="Times New Roman" w:cs="Times New Roman"/>
                <w:color w:val="auto"/>
                <w:sz w:val="28"/>
                <w:szCs w:val="21"/>
                <w:highlight w:val="none"/>
                <w:vertAlign w:val="baseline"/>
                <w:lang w:val="en-US" w:eastAsia="zh-CN"/>
              </w:rPr>
              <w:t>生态环境分区管控要求</w:t>
            </w:r>
            <w:r>
              <w:rPr>
                <w:rFonts w:hint="eastAsia" w:cs="Times New Roman"/>
                <w:color w:val="auto"/>
                <w:sz w:val="28"/>
                <w:szCs w:val="21"/>
                <w:highlight w:val="none"/>
                <w:lang w:eastAsia="zh-CN"/>
              </w:rPr>
              <w:t>”</w:t>
            </w:r>
            <w:r>
              <w:rPr>
                <w:rFonts w:hint="default" w:ascii="Times New Roman" w:hAnsi="Times New Roman" w:cs="Times New Roman"/>
                <w:color w:val="auto"/>
                <w:sz w:val="28"/>
                <w:szCs w:val="21"/>
                <w:highlight w:val="none"/>
                <w:lang w:eastAsia="zh-CN"/>
              </w:rPr>
              <w:t>符合性分析</w:t>
            </w:r>
          </w:p>
          <w:p w14:paraId="73F3DBEE">
            <w:pPr>
              <w:pStyle w:val="4"/>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2.1、与《新疆维吾尔自治区生态环境分区管控动态更新成果》（新环环评发〔2024</w:t>
            </w:r>
            <w:r>
              <w:rPr>
                <w:rFonts w:hint="default" w:ascii="Times New Roman" w:hAnsi="Times New Roman" w:eastAsia="宋体" w:cs="Times New Roman"/>
                <w:color w:val="auto"/>
                <w:highlight w:val="none"/>
                <w:lang w:eastAsia="zh-CN"/>
              </w:rPr>
              <w:t>〕</w:t>
            </w:r>
            <w:r>
              <w:rPr>
                <w:rFonts w:hint="default" w:ascii="Times New Roman" w:hAnsi="Times New Roman" w:cs="Times New Roman"/>
                <w:color w:val="auto"/>
                <w:highlight w:val="none"/>
                <w:lang w:eastAsia="zh-CN"/>
              </w:rPr>
              <w:t>157号）符合性分析</w:t>
            </w:r>
          </w:p>
          <w:p w14:paraId="7C9AADA2">
            <w:pPr>
              <w:pStyle w:val="29"/>
              <w:bidi w:val="0"/>
              <w:ind w:left="0" w:leftChars="0" w:firstLine="0" w:firstLineChars="0"/>
              <w:jc w:val="center"/>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表1-1   项目与《新疆维吾尔自治区生态环境分区管控动态更新成果》相符性分析</w:t>
            </w:r>
          </w:p>
          <w:tbl>
            <w:tblPr>
              <w:tblStyle w:val="19"/>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3431"/>
              <w:gridCol w:w="2975"/>
            </w:tblGrid>
            <w:tr w14:paraId="75EB1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9" w:type="pct"/>
                  <w:tcBorders>
                    <w:tl2br w:val="nil"/>
                    <w:tr2bl w:val="nil"/>
                  </w:tcBorders>
                  <w:noWrap w:val="0"/>
                  <w:vAlign w:val="center"/>
                </w:tcPr>
                <w:p w14:paraId="4E645480">
                  <w:pPr>
                    <w:pStyle w:val="43"/>
                    <w:widowControl w:val="0"/>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内容</w:t>
                  </w:r>
                </w:p>
              </w:tc>
              <w:tc>
                <w:tcPr>
                  <w:tcW w:w="2367" w:type="pct"/>
                  <w:tcBorders>
                    <w:tl2br w:val="nil"/>
                    <w:tr2bl w:val="nil"/>
                  </w:tcBorders>
                  <w:noWrap w:val="0"/>
                  <w:vAlign w:val="center"/>
                </w:tcPr>
                <w:p w14:paraId="6253C56F">
                  <w:pPr>
                    <w:pStyle w:val="43"/>
                    <w:widowControl w:val="0"/>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要求</w:t>
                  </w:r>
                </w:p>
              </w:tc>
              <w:tc>
                <w:tcPr>
                  <w:tcW w:w="2052" w:type="pct"/>
                  <w:tcBorders>
                    <w:tl2br w:val="nil"/>
                    <w:tr2bl w:val="nil"/>
                  </w:tcBorders>
                  <w:noWrap w:val="0"/>
                  <w:vAlign w:val="center"/>
                </w:tcPr>
                <w:p w14:paraId="4998A075">
                  <w:pPr>
                    <w:pStyle w:val="43"/>
                    <w:widowControl w:val="0"/>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符合性</w:t>
                  </w:r>
                </w:p>
              </w:tc>
            </w:tr>
            <w:tr w14:paraId="58735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9" w:type="pct"/>
                  <w:tcBorders>
                    <w:tl2br w:val="nil"/>
                    <w:tr2bl w:val="nil"/>
                  </w:tcBorders>
                  <w:noWrap w:val="0"/>
                  <w:vAlign w:val="center"/>
                </w:tcPr>
                <w:p w14:paraId="1094CB30">
                  <w:pPr>
                    <w:pStyle w:val="43"/>
                    <w:widowControl w:val="0"/>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空间布局约束</w:t>
                  </w:r>
                </w:p>
              </w:tc>
              <w:tc>
                <w:tcPr>
                  <w:tcW w:w="2367" w:type="pct"/>
                  <w:tcBorders>
                    <w:tl2br w:val="nil"/>
                    <w:tr2bl w:val="nil"/>
                  </w:tcBorders>
                  <w:noWrap w:val="0"/>
                  <w:vAlign w:val="center"/>
                </w:tcPr>
                <w:p w14:paraId="3F115430">
                  <w:pPr>
                    <w:pStyle w:val="43"/>
                    <w:widowControl w:val="0"/>
                    <w:bidi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禁止新建、扩建《产业结构调整指导目录</w:t>
                  </w:r>
                  <w:r>
                    <w:rPr>
                      <w:rFonts w:hint="default" w:ascii="Times New Roman" w:hAnsi="Times New Roman" w:cs="Times New Roman"/>
                      <w:color w:val="auto"/>
                      <w:highlight w:val="none"/>
                      <w:lang w:val="en-US" w:eastAsia="zh-CN"/>
                    </w:rPr>
                    <w:t>（</w:t>
                  </w:r>
                  <w:r>
                    <w:rPr>
                      <w:rFonts w:hint="default" w:ascii="Times New Roman" w:hAnsi="Times New Roman" w:eastAsia="宋体" w:cs="Times New Roman"/>
                      <w:color w:val="auto"/>
                      <w:highlight w:val="none"/>
                      <w:lang w:val="en-US" w:eastAsia="zh-CN"/>
                    </w:rPr>
                    <w:t>2024年本</w:t>
                  </w:r>
                  <w:r>
                    <w:rPr>
                      <w:rFonts w:hint="default" w:ascii="Times New Roman" w:hAnsi="Times New Roman" w:cs="Times New Roman"/>
                      <w:color w:val="auto"/>
                      <w:highlight w:val="none"/>
                      <w:lang w:val="en-US" w:eastAsia="zh-CN"/>
                    </w:rPr>
                    <w:t>）</w:t>
                  </w:r>
                  <w:r>
                    <w:rPr>
                      <w:rFonts w:hint="default" w:ascii="Times New Roman" w:hAnsi="Times New Roman" w:eastAsia="宋体" w:cs="Times New Roman"/>
                      <w:color w:val="auto"/>
                      <w:highlight w:val="none"/>
                      <w:lang w:val="en-US" w:eastAsia="zh-CN"/>
                    </w:rPr>
                    <w:t>》中淘汰类项目。禁止引入《市场准入负面清单</w:t>
                  </w:r>
                  <w:r>
                    <w:rPr>
                      <w:rFonts w:hint="default" w:ascii="Times New Roman" w:hAnsi="Times New Roman" w:cs="Times New Roman"/>
                      <w:color w:val="auto"/>
                      <w:highlight w:val="none"/>
                      <w:lang w:val="en-US" w:eastAsia="zh-CN"/>
                    </w:rPr>
                    <w:t>（</w:t>
                  </w:r>
                  <w:r>
                    <w:rPr>
                      <w:rFonts w:hint="default" w:ascii="Times New Roman" w:hAnsi="Times New Roman" w:eastAsia="宋体" w:cs="Times New Roman"/>
                      <w:color w:val="auto"/>
                      <w:highlight w:val="none"/>
                      <w:lang w:val="en-US" w:eastAsia="zh-CN"/>
                    </w:rPr>
                    <w:t>2022年版</w:t>
                  </w:r>
                  <w:r>
                    <w:rPr>
                      <w:rFonts w:hint="default" w:ascii="Times New Roman" w:hAnsi="Times New Roman" w:cs="Times New Roman"/>
                      <w:color w:val="auto"/>
                      <w:highlight w:val="none"/>
                      <w:lang w:val="en-US" w:eastAsia="zh-CN"/>
                    </w:rPr>
                    <w:t>）</w:t>
                  </w:r>
                  <w:r>
                    <w:rPr>
                      <w:rFonts w:hint="default" w:ascii="Times New Roman" w:hAnsi="Times New Roman" w:eastAsia="宋体" w:cs="Times New Roman"/>
                      <w:color w:val="auto"/>
                      <w:highlight w:val="none"/>
                      <w:lang w:val="en-US" w:eastAsia="zh-CN"/>
                    </w:rPr>
                    <w:t>》禁止准入类事项。</w:t>
                  </w:r>
                </w:p>
              </w:tc>
              <w:tc>
                <w:tcPr>
                  <w:tcW w:w="2052" w:type="pct"/>
                  <w:tcBorders>
                    <w:tl2br w:val="nil"/>
                    <w:tr2bl w:val="nil"/>
                  </w:tcBorders>
                  <w:noWrap w:val="0"/>
                  <w:vAlign w:val="center"/>
                </w:tcPr>
                <w:p w14:paraId="7A3D7A17">
                  <w:pPr>
                    <w:pStyle w:val="43"/>
                    <w:widowControl w:val="0"/>
                    <w:bidi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根据《产业结构调整指导目录（2024年本）》的有关规定，本项目不在</w:t>
                  </w:r>
                  <w:r>
                    <w:rPr>
                      <w:rFonts w:hint="eastAsia" w:cs="Times New Roman"/>
                      <w:color w:val="auto"/>
                      <w:highlight w:val="none"/>
                      <w:lang w:val="en-US" w:eastAsia="zh-CN"/>
                    </w:rPr>
                    <w:t>“</w:t>
                  </w:r>
                  <w:r>
                    <w:rPr>
                      <w:rFonts w:hint="default" w:ascii="Times New Roman" w:hAnsi="Times New Roman" w:eastAsia="宋体" w:cs="Times New Roman"/>
                      <w:color w:val="auto"/>
                      <w:highlight w:val="none"/>
                      <w:lang w:val="en-US" w:eastAsia="zh-CN"/>
                    </w:rPr>
                    <w:t>鼓励类</w:t>
                  </w:r>
                  <w:r>
                    <w:rPr>
                      <w:rFonts w:hint="eastAsia" w:cs="Times New Roman"/>
                      <w:color w:val="auto"/>
                      <w:highlight w:val="none"/>
                      <w:lang w:val="en-US" w:eastAsia="zh-CN"/>
                    </w:rPr>
                    <w:t>”“</w:t>
                  </w:r>
                  <w:r>
                    <w:rPr>
                      <w:rFonts w:hint="default" w:ascii="Times New Roman" w:hAnsi="Times New Roman" w:eastAsia="宋体" w:cs="Times New Roman"/>
                      <w:color w:val="auto"/>
                      <w:highlight w:val="none"/>
                      <w:lang w:val="en-US" w:eastAsia="zh-CN"/>
                    </w:rPr>
                    <w:t>限制类</w:t>
                  </w:r>
                  <w:r>
                    <w:rPr>
                      <w:rFonts w:hint="eastAsia" w:cs="Times New Roman"/>
                      <w:color w:val="auto"/>
                      <w:highlight w:val="none"/>
                      <w:lang w:val="en-US" w:eastAsia="zh-CN"/>
                    </w:rPr>
                    <w:t>”“</w:t>
                  </w:r>
                  <w:r>
                    <w:rPr>
                      <w:rFonts w:hint="default" w:ascii="Times New Roman" w:hAnsi="Times New Roman" w:eastAsia="宋体" w:cs="Times New Roman"/>
                      <w:color w:val="auto"/>
                      <w:highlight w:val="none"/>
                      <w:lang w:val="en-US" w:eastAsia="zh-CN"/>
                    </w:rPr>
                    <w:t>淘汰类</w:t>
                  </w:r>
                  <w:r>
                    <w:rPr>
                      <w:rFonts w:hint="eastAsia" w:cs="Times New Roman"/>
                      <w:color w:val="auto"/>
                      <w:highlight w:val="none"/>
                      <w:lang w:val="en-US" w:eastAsia="zh-CN"/>
                    </w:rPr>
                    <w:t>”</w:t>
                  </w:r>
                  <w:r>
                    <w:rPr>
                      <w:rFonts w:hint="default" w:ascii="Times New Roman" w:hAnsi="Times New Roman" w:eastAsia="宋体" w:cs="Times New Roman"/>
                      <w:color w:val="auto"/>
                      <w:highlight w:val="none"/>
                      <w:lang w:val="en-US" w:eastAsia="zh-CN"/>
                    </w:rPr>
                    <w:t>之列，故本项目为允许类，符合国家产业政策</w:t>
                  </w:r>
                  <w:r>
                    <w:rPr>
                      <w:rFonts w:hint="eastAsia" w:cs="Times New Roman"/>
                      <w:color w:val="auto"/>
                      <w:highlight w:val="none"/>
                      <w:lang w:val="en-US" w:eastAsia="zh-CN"/>
                    </w:rPr>
                    <w:t>；对照《市场准入负面清单（2025年版）》，本项目不在负面清单内</w:t>
                  </w:r>
                </w:p>
              </w:tc>
            </w:tr>
            <w:tr w14:paraId="686EF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9" w:type="pct"/>
                  <w:vMerge w:val="restart"/>
                  <w:tcBorders>
                    <w:tl2br w:val="nil"/>
                    <w:tr2bl w:val="nil"/>
                  </w:tcBorders>
                  <w:noWrap w:val="0"/>
                  <w:vAlign w:val="center"/>
                </w:tcPr>
                <w:p w14:paraId="778C1985">
                  <w:pPr>
                    <w:pStyle w:val="43"/>
                    <w:widowControl w:val="0"/>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限制开发建设的活动</w:t>
                  </w:r>
                </w:p>
              </w:tc>
              <w:tc>
                <w:tcPr>
                  <w:tcW w:w="2367" w:type="pct"/>
                  <w:tcBorders>
                    <w:tl2br w:val="nil"/>
                    <w:tr2bl w:val="nil"/>
                  </w:tcBorders>
                  <w:noWrap w:val="0"/>
                  <w:vAlign w:val="center"/>
                </w:tcPr>
                <w:p w14:paraId="31415CBB">
                  <w:pPr>
                    <w:pStyle w:val="43"/>
                    <w:widowControl w:val="0"/>
                    <w:bidi w:val="0"/>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bCs/>
                      <w:color w:val="auto"/>
                      <w:szCs w:val="21"/>
                      <w:highlight w:val="none"/>
                    </w:rPr>
                    <w:t>严格控制缺水地区、水污染严重区域和敏感区域高耗水、高污染行业发展。</w:t>
                  </w:r>
                </w:p>
              </w:tc>
              <w:tc>
                <w:tcPr>
                  <w:tcW w:w="2052" w:type="pct"/>
                  <w:tcBorders>
                    <w:tl2br w:val="nil"/>
                    <w:tr2bl w:val="nil"/>
                  </w:tcBorders>
                  <w:noWrap w:val="0"/>
                  <w:vAlign w:val="center"/>
                </w:tcPr>
                <w:p w14:paraId="306BC8F0">
                  <w:pPr>
                    <w:pStyle w:val="43"/>
                    <w:widowControl w:val="0"/>
                    <w:bidi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本项目不属于高耗水、高污染项目，</w:t>
                  </w:r>
                  <w:r>
                    <w:rPr>
                      <w:rFonts w:hint="default" w:ascii="Times New Roman" w:hAnsi="Times New Roman" w:eastAsia="宋体" w:cs="Times New Roman"/>
                      <w:snapToGrid w:val="0"/>
                      <w:color w:val="auto"/>
                      <w:sz w:val="21"/>
                      <w:szCs w:val="21"/>
                      <w:highlight w:val="none"/>
                      <w:lang w:eastAsia="zh-CN"/>
                    </w:rPr>
                    <w:t>本项目用水量较少，且来源于市政给水，对区域水资源总量影响不大，项目建成后通过内部管理、污染治理等多方面采取合理可行的防治措施，以</w:t>
                  </w:r>
                  <w:r>
                    <w:rPr>
                      <w:rFonts w:hint="eastAsia" w:cs="Times New Roman"/>
                      <w:snapToGrid w:val="0"/>
                      <w:color w:val="auto"/>
                      <w:sz w:val="21"/>
                      <w:szCs w:val="21"/>
                      <w:highlight w:val="none"/>
                      <w:lang w:eastAsia="zh-CN"/>
                    </w:rPr>
                    <w:t>“</w:t>
                  </w:r>
                  <w:r>
                    <w:rPr>
                      <w:rFonts w:hint="default" w:ascii="Times New Roman" w:hAnsi="Times New Roman" w:eastAsia="宋体" w:cs="Times New Roman"/>
                      <w:snapToGrid w:val="0"/>
                      <w:color w:val="auto"/>
                      <w:sz w:val="21"/>
                      <w:szCs w:val="21"/>
                      <w:highlight w:val="none"/>
                      <w:lang w:eastAsia="zh-CN"/>
                    </w:rPr>
                    <w:t>节能、降耗、减污</w:t>
                  </w:r>
                  <w:r>
                    <w:rPr>
                      <w:rFonts w:hint="eastAsia" w:cs="Times New Roman"/>
                      <w:snapToGrid w:val="0"/>
                      <w:color w:val="auto"/>
                      <w:sz w:val="21"/>
                      <w:szCs w:val="21"/>
                      <w:highlight w:val="none"/>
                      <w:lang w:eastAsia="zh-CN"/>
                    </w:rPr>
                    <w:t>”</w:t>
                  </w:r>
                  <w:r>
                    <w:rPr>
                      <w:rFonts w:hint="default" w:ascii="Times New Roman" w:hAnsi="Times New Roman" w:eastAsia="宋体" w:cs="Times New Roman"/>
                      <w:snapToGrid w:val="0"/>
                      <w:color w:val="auto"/>
                      <w:sz w:val="21"/>
                      <w:szCs w:val="21"/>
                      <w:highlight w:val="none"/>
                      <w:lang w:eastAsia="zh-CN"/>
                    </w:rPr>
                    <w:t>为目的，有效控制污染。</w:t>
                  </w:r>
                </w:p>
              </w:tc>
            </w:tr>
            <w:tr w14:paraId="44B7B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9" w:type="pct"/>
                  <w:vMerge w:val="continue"/>
                  <w:tcBorders>
                    <w:tl2br w:val="nil"/>
                    <w:tr2bl w:val="nil"/>
                  </w:tcBorders>
                  <w:noWrap w:val="0"/>
                  <w:vAlign w:val="center"/>
                </w:tcPr>
                <w:p w14:paraId="4E72BBE0">
                  <w:pPr>
                    <w:pStyle w:val="43"/>
                    <w:widowControl w:val="0"/>
                    <w:bidi w:val="0"/>
                    <w:jc w:val="center"/>
                    <w:rPr>
                      <w:rFonts w:hint="default" w:ascii="Times New Roman" w:hAnsi="Times New Roman" w:cs="Times New Roman"/>
                      <w:color w:val="auto"/>
                      <w:highlight w:val="none"/>
                      <w:lang w:val="en-US" w:eastAsia="zh-CN"/>
                    </w:rPr>
                  </w:pPr>
                </w:p>
              </w:tc>
              <w:tc>
                <w:tcPr>
                  <w:tcW w:w="2367" w:type="pct"/>
                  <w:tcBorders>
                    <w:tl2br w:val="nil"/>
                    <w:tr2bl w:val="nil"/>
                  </w:tcBorders>
                  <w:noWrap w:val="0"/>
                  <w:vAlign w:val="center"/>
                </w:tcPr>
                <w:p w14:paraId="110D9E5E">
                  <w:pPr>
                    <w:pStyle w:val="43"/>
                    <w:widowControl w:val="0"/>
                    <w:bidi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建设项目用地原则上不得占用永久基本农田，确需占用永久基本农田的建设项目须符合《中华人民共和国基本农田保护条例》中相关要求，占用耕地、林地或草地的建设项目须按照国家、自治区相关补偿要求进行补偿。</w:t>
                  </w:r>
                </w:p>
              </w:tc>
              <w:tc>
                <w:tcPr>
                  <w:tcW w:w="2052" w:type="pct"/>
                  <w:tcBorders>
                    <w:tl2br w:val="nil"/>
                    <w:tr2bl w:val="nil"/>
                  </w:tcBorders>
                  <w:noWrap w:val="0"/>
                  <w:vAlign w:val="center"/>
                </w:tcPr>
                <w:p w14:paraId="6B7BBC35">
                  <w:pPr>
                    <w:pStyle w:val="43"/>
                    <w:widowControl w:val="0"/>
                    <w:bidi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本项目不占用基本农田，项目租赁商铺，不新增占地。</w:t>
                  </w:r>
                </w:p>
              </w:tc>
            </w:tr>
            <w:tr w14:paraId="365AC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9" w:type="pct"/>
                  <w:vMerge w:val="continue"/>
                  <w:tcBorders>
                    <w:tl2br w:val="nil"/>
                    <w:tr2bl w:val="nil"/>
                  </w:tcBorders>
                  <w:noWrap w:val="0"/>
                  <w:vAlign w:val="center"/>
                </w:tcPr>
                <w:p w14:paraId="7DAF3C09">
                  <w:pPr>
                    <w:pStyle w:val="43"/>
                    <w:widowControl w:val="0"/>
                    <w:bidi w:val="0"/>
                    <w:jc w:val="center"/>
                    <w:rPr>
                      <w:rFonts w:hint="default" w:ascii="Times New Roman" w:hAnsi="Times New Roman" w:cs="Times New Roman"/>
                      <w:color w:val="auto"/>
                      <w:highlight w:val="none"/>
                      <w:lang w:val="en-US" w:eastAsia="zh-CN"/>
                    </w:rPr>
                  </w:pPr>
                </w:p>
              </w:tc>
              <w:tc>
                <w:tcPr>
                  <w:tcW w:w="2367" w:type="pct"/>
                  <w:tcBorders>
                    <w:tl2br w:val="nil"/>
                    <w:tr2bl w:val="nil"/>
                  </w:tcBorders>
                  <w:noWrap w:val="0"/>
                  <w:vAlign w:val="center"/>
                </w:tcPr>
                <w:p w14:paraId="5AFC7AB1">
                  <w:pPr>
                    <w:pStyle w:val="43"/>
                    <w:widowControl w:val="0"/>
                    <w:bidi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bCs/>
                      <w:color w:val="auto"/>
                      <w:sz w:val="21"/>
                      <w:szCs w:val="21"/>
                      <w:highlight w:val="none"/>
                    </w:rPr>
                    <w:t>严格管控自然保护地范围内非生态活动，稳妥推进核心区内居民、耕地有序退出，矿权依法依规退出。</w:t>
                  </w:r>
                </w:p>
              </w:tc>
              <w:tc>
                <w:tcPr>
                  <w:tcW w:w="2052" w:type="pct"/>
                  <w:tcBorders>
                    <w:tl2br w:val="nil"/>
                    <w:tr2bl w:val="nil"/>
                  </w:tcBorders>
                  <w:noWrap w:val="0"/>
                  <w:vAlign w:val="center"/>
                </w:tcPr>
                <w:p w14:paraId="5FB71F28">
                  <w:pPr>
                    <w:pStyle w:val="43"/>
                    <w:widowControl w:val="0"/>
                    <w:bidi w:val="0"/>
                    <w:jc w:val="center"/>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本项目不属于</w:t>
                  </w:r>
                  <w:r>
                    <w:rPr>
                      <w:rFonts w:hint="default" w:ascii="Times New Roman" w:hAnsi="Times New Roman" w:cs="Times New Roman"/>
                      <w:bCs/>
                      <w:color w:val="auto"/>
                      <w:sz w:val="21"/>
                      <w:szCs w:val="21"/>
                      <w:highlight w:val="none"/>
                    </w:rPr>
                    <w:t>自然保护地范围内</w:t>
                  </w:r>
                </w:p>
              </w:tc>
            </w:tr>
            <w:tr w14:paraId="5D6CC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9" w:type="pct"/>
                  <w:tcBorders>
                    <w:tl2br w:val="nil"/>
                    <w:tr2bl w:val="nil"/>
                  </w:tcBorders>
                  <w:noWrap w:val="0"/>
                  <w:vAlign w:val="center"/>
                </w:tcPr>
                <w:p w14:paraId="2AC3EB9E">
                  <w:pPr>
                    <w:pStyle w:val="43"/>
                    <w:widowControl w:val="0"/>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污染物排放管控</w:t>
                  </w:r>
                </w:p>
              </w:tc>
              <w:tc>
                <w:tcPr>
                  <w:tcW w:w="2367" w:type="pct"/>
                  <w:tcBorders>
                    <w:tl2br w:val="nil"/>
                    <w:tr2bl w:val="nil"/>
                  </w:tcBorders>
                  <w:noWrap w:val="0"/>
                  <w:vAlign w:val="center"/>
                </w:tcPr>
                <w:p w14:paraId="2C1739A8">
                  <w:pPr>
                    <w:pStyle w:val="43"/>
                    <w:widowControl w:val="0"/>
                    <w:bidi w:val="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新、改、扩建重点行业建设项目应符合</w:t>
                  </w:r>
                  <w:r>
                    <w:rPr>
                      <w:rFonts w:hint="eastAsia"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三线一单</w:t>
                  </w:r>
                  <w:r>
                    <w:rPr>
                      <w:rFonts w:hint="eastAsia"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、产业政策、区域环评、规划环评和行业环境准入管控要求。重点区域的新、改、扩建重点行业建设项目应遵循重点重金属污染物排放</w:t>
                  </w:r>
                  <w:r>
                    <w:rPr>
                      <w:rFonts w:hint="eastAsia"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减量替代</w:t>
                  </w:r>
                  <w:r>
                    <w:rPr>
                      <w:rFonts w:hint="eastAsia"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原则。</w:t>
                  </w:r>
                </w:p>
              </w:tc>
              <w:tc>
                <w:tcPr>
                  <w:tcW w:w="2052" w:type="pct"/>
                  <w:tcBorders>
                    <w:tl2br w:val="nil"/>
                    <w:tr2bl w:val="nil"/>
                  </w:tcBorders>
                  <w:noWrap w:val="0"/>
                  <w:vAlign w:val="center"/>
                </w:tcPr>
                <w:p w14:paraId="7751DB0E">
                  <w:pPr>
                    <w:pStyle w:val="43"/>
                    <w:widowControl w:val="0"/>
                    <w:bidi w:val="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本项目建设符合</w:t>
                  </w:r>
                  <w:r>
                    <w:rPr>
                      <w:rFonts w:hint="eastAsia"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三线一单</w:t>
                  </w:r>
                  <w:r>
                    <w:rPr>
                      <w:rFonts w:hint="eastAsia"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、产业政策和行业环境准入管控要求。</w:t>
                  </w:r>
                </w:p>
              </w:tc>
            </w:tr>
            <w:tr w14:paraId="0E0A9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7" w:hRule="atLeast"/>
                <w:jc w:val="center"/>
              </w:trPr>
              <w:tc>
                <w:tcPr>
                  <w:tcW w:w="579" w:type="pct"/>
                  <w:tcBorders>
                    <w:tl2br w:val="nil"/>
                    <w:tr2bl w:val="nil"/>
                  </w:tcBorders>
                  <w:noWrap w:val="0"/>
                  <w:vAlign w:val="center"/>
                </w:tcPr>
                <w:p w14:paraId="5A23E9FA">
                  <w:pPr>
                    <w:pStyle w:val="43"/>
                    <w:widowControl w:val="0"/>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环境风险防控</w:t>
                  </w:r>
                </w:p>
              </w:tc>
              <w:tc>
                <w:tcPr>
                  <w:tcW w:w="2367" w:type="pct"/>
                  <w:tcBorders>
                    <w:tl2br w:val="nil"/>
                    <w:tr2bl w:val="nil"/>
                  </w:tcBorders>
                  <w:noWrap w:val="0"/>
                  <w:vAlign w:val="center"/>
                </w:tcPr>
                <w:p w14:paraId="7656C401">
                  <w:pPr>
                    <w:pStyle w:val="43"/>
                    <w:widowControl w:val="0"/>
                    <w:bidi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强化生态环境应急管理。实施企业突发生态环境应急预案电子化备案，完成县级以上政府突发环境事件应急预案修编。完善区域和企业应急处置物资储备系统，结合新疆各地特征污染物的特性，加强应急物资储备及应急物资信息化建设，掌握社会应急物资储备动态信息，妥善应对各类突发生态环境事件。加强应急监测装备配置，定期开展应急演练，增强实战能力。</w:t>
                  </w:r>
                </w:p>
              </w:tc>
              <w:tc>
                <w:tcPr>
                  <w:tcW w:w="2052" w:type="pct"/>
                  <w:tcBorders>
                    <w:tl2br w:val="nil"/>
                    <w:tr2bl w:val="nil"/>
                  </w:tcBorders>
                  <w:noWrap w:val="0"/>
                  <w:vAlign w:val="center"/>
                </w:tcPr>
                <w:p w14:paraId="6CD4B2DA">
                  <w:pPr>
                    <w:pStyle w:val="43"/>
                    <w:widowControl w:val="0"/>
                    <w:bidi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本项目环评建议进行突发环境事件应急预案的编制与备案</w:t>
                  </w:r>
                </w:p>
              </w:tc>
            </w:tr>
            <w:tr w14:paraId="2AD3E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4" w:hRule="atLeast"/>
                <w:jc w:val="center"/>
              </w:trPr>
              <w:tc>
                <w:tcPr>
                  <w:tcW w:w="579" w:type="pct"/>
                  <w:tcBorders>
                    <w:tl2br w:val="nil"/>
                    <w:tr2bl w:val="nil"/>
                  </w:tcBorders>
                  <w:noWrap w:val="0"/>
                  <w:vAlign w:val="center"/>
                </w:tcPr>
                <w:p w14:paraId="5B1AFB3D">
                  <w:pPr>
                    <w:pStyle w:val="43"/>
                    <w:widowControl w:val="0"/>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资源利用要求</w:t>
                  </w:r>
                </w:p>
              </w:tc>
              <w:tc>
                <w:tcPr>
                  <w:tcW w:w="2367" w:type="pct"/>
                  <w:tcBorders>
                    <w:tl2br w:val="nil"/>
                    <w:tr2bl w:val="nil"/>
                  </w:tcBorders>
                  <w:noWrap w:val="0"/>
                  <w:vAlign w:val="center"/>
                </w:tcPr>
                <w:p w14:paraId="41AD4705">
                  <w:pPr>
                    <w:pStyle w:val="43"/>
                    <w:widowControl w:val="0"/>
                    <w:bidi w:val="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加强固体废物源头减量、资源化利用和无害化处置，最大限度减少填埋量。推进工业固体废物精细化、名录化环境管理，促进大宗工业固废综合利用、主要农业废弃物全量利用。加快构建废旧物资回收和循环利用体系，健全强制报废制度和废旧家电、消费电子等耐用消费品回收处理体系，推行生产企业</w:t>
                  </w:r>
                  <w:r>
                    <w:rPr>
                      <w:rFonts w:hint="eastAsia"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逆向回收</w:t>
                  </w:r>
                  <w:r>
                    <w:rPr>
                      <w:rFonts w:hint="eastAsia"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模式。以尾矿和共伴生矿、煤矸石、炉渣、粉煤灰、脱硫石膏、冶炼渣、建筑垃圾等为重点，持续推进固体废物综合利用和环境整治不断提高大宗固体废物资源化利用水平。推行生活垃圾分类，加快建设县</w:t>
                  </w:r>
                  <w:r>
                    <w:rPr>
                      <w:rFonts w:hint="eastAsia"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市</w:t>
                  </w:r>
                  <w:r>
                    <w:rPr>
                      <w:rFonts w:hint="eastAsia"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生活垃圾处理设施，到2025年，全疆城市生活垃圾无害化处理率达到99%以上。</w:t>
                  </w:r>
                </w:p>
              </w:tc>
              <w:tc>
                <w:tcPr>
                  <w:tcW w:w="2052" w:type="pct"/>
                  <w:tcBorders>
                    <w:tl2br w:val="nil"/>
                    <w:tr2bl w:val="nil"/>
                  </w:tcBorders>
                  <w:noWrap w:val="0"/>
                  <w:vAlign w:val="center"/>
                </w:tcPr>
                <w:p w14:paraId="2B404B88">
                  <w:pPr>
                    <w:pStyle w:val="43"/>
                    <w:widowControl w:val="0"/>
                    <w:bidi w:val="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本项目</w:t>
                  </w:r>
                  <w:r>
                    <w:rPr>
                      <w:rFonts w:hint="default" w:ascii="Times New Roman" w:hAnsi="Times New Roman" w:eastAsia="宋体" w:cs="Times New Roman"/>
                      <w:color w:val="auto"/>
                      <w:sz w:val="21"/>
                      <w:szCs w:val="21"/>
                      <w:highlight w:val="none"/>
                      <w:lang w:val="en-US" w:eastAsia="zh-CN"/>
                    </w:rPr>
                    <w:t>医疗废物、患病宠物排泄物及猫砂、废紫外线灯管集中收集后交由具有资质的单位进行处置；医疗废水处理设施废渣，委托有资质单位定期清捞与处置，不在项目区贮存；输液瓶（袋）集中收集暂存于储物间，定期交由再生资源回收单位；动物毛发及</w:t>
                  </w:r>
                  <w:r>
                    <w:rPr>
                      <w:rFonts w:hint="eastAsia" w:cs="Times New Roman"/>
                      <w:color w:val="auto"/>
                      <w:sz w:val="21"/>
                      <w:szCs w:val="21"/>
                      <w:highlight w:val="none"/>
                      <w:lang w:val="en-US" w:eastAsia="zh-CN"/>
                    </w:rPr>
                    <w:t>健康</w:t>
                  </w:r>
                  <w:r>
                    <w:rPr>
                      <w:rFonts w:hint="default" w:ascii="Times New Roman" w:hAnsi="Times New Roman" w:eastAsia="宋体" w:cs="Times New Roman"/>
                      <w:color w:val="auto"/>
                      <w:sz w:val="21"/>
                      <w:szCs w:val="21"/>
                      <w:highlight w:val="none"/>
                      <w:lang w:val="en-US" w:eastAsia="zh-CN"/>
                    </w:rPr>
                    <w:t>宠物粪便及猫砂与生活垃圾一起分类集中收集后统一由环卫部门定时清运至垃圾填埋场集中处置。</w:t>
                  </w:r>
                </w:p>
              </w:tc>
            </w:tr>
          </w:tbl>
          <w:p w14:paraId="43BA67C9">
            <w:pPr>
              <w:pStyle w:val="4"/>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2.2、与《巴音郭楞蒙古自治州“三线一单”生态环境分区管控方案（2023年）》符合性分析</w:t>
            </w:r>
          </w:p>
          <w:p w14:paraId="12081CC4">
            <w:pPr>
              <w:pStyle w:val="29"/>
              <w:bidi w:val="0"/>
              <w:ind w:left="0" w:leftChars="0" w:firstLine="0" w:firstLineChars="0"/>
              <w:jc w:val="center"/>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rPr>
              <w:t>表1</w:t>
            </w:r>
            <w:r>
              <w:rPr>
                <w:rFonts w:hint="default" w:ascii="Times New Roman" w:hAnsi="Times New Roman" w:cs="Times New Roman"/>
                <w:color w:val="auto"/>
                <w:sz w:val="21"/>
                <w:szCs w:val="21"/>
                <w:highlight w:val="none"/>
                <w:lang w:val="en-US" w:eastAsia="zh-CN"/>
              </w:rPr>
              <w:t xml:space="preserve">-2   </w:t>
            </w:r>
            <w:r>
              <w:rPr>
                <w:rFonts w:hint="default" w:ascii="Times New Roman" w:hAnsi="Times New Roman" w:cs="Times New Roman"/>
                <w:color w:val="auto"/>
                <w:sz w:val="21"/>
                <w:szCs w:val="21"/>
                <w:highlight w:val="none"/>
              </w:rPr>
              <w:t>生态环境准入清单信息</w:t>
            </w:r>
          </w:p>
          <w:tbl>
            <w:tblPr>
              <w:tblStyle w:val="19"/>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83"/>
              <w:gridCol w:w="3068"/>
              <w:gridCol w:w="2100"/>
            </w:tblGrid>
            <w:tr w14:paraId="7F7AA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6" w:type="pct"/>
                  <w:vAlign w:val="center"/>
                </w:tcPr>
                <w:p w14:paraId="7B8085FC">
                  <w:pPr>
                    <w:keepNext w:val="0"/>
                    <w:keepLines w:val="0"/>
                    <w:pageBreakBefore w:val="0"/>
                    <w:widowControl w:val="0"/>
                    <w:numPr>
                      <w:ilvl w:val="0"/>
                      <w:numId w:val="0"/>
                    </w:numPr>
                    <w:kinsoku/>
                    <w:wordWrap/>
                    <w:overflowPunct/>
                    <w:topLinePunct w:val="0"/>
                    <w:autoSpaceDE w:val="0"/>
                    <w:autoSpaceDN w:val="0"/>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snapToGrid w:val="0"/>
                      <w:color w:val="auto"/>
                      <w:spacing w:val="-3"/>
                      <w:kern w:val="0"/>
                      <w:sz w:val="21"/>
                      <w:szCs w:val="21"/>
                      <w:highlight w:val="none"/>
                      <w:lang w:val="en-US" w:eastAsia="zh-CN" w:bidi="ar-SA"/>
                    </w:rPr>
                  </w:pPr>
                  <w:r>
                    <w:rPr>
                      <w:rFonts w:hint="default" w:ascii="Times New Roman" w:hAnsi="Times New Roman" w:eastAsia="宋体" w:cs="Times New Roman"/>
                      <w:snapToGrid w:val="0"/>
                      <w:color w:val="auto"/>
                      <w:spacing w:val="-3"/>
                      <w:kern w:val="0"/>
                      <w:sz w:val="21"/>
                      <w:szCs w:val="21"/>
                      <w:highlight w:val="none"/>
                      <w:lang w:val="en-US" w:eastAsia="zh-CN" w:bidi="ar-SA"/>
                    </w:rPr>
                    <w:t>单元编码</w:t>
                  </w:r>
                </w:p>
              </w:tc>
              <w:tc>
                <w:tcPr>
                  <w:tcW w:w="2115" w:type="pct"/>
                  <w:vAlign w:val="center"/>
                </w:tcPr>
                <w:p w14:paraId="71E8B1B4">
                  <w:pPr>
                    <w:keepNext w:val="0"/>
                    <w:keepLines w:val="0"/>
                    <w:pageBreakBefore w:val="0"/>
                    <w:widowControl w:val="0"/>
                    <w:numPr>
                      <w:ilvl w:val="0"/>
                      <w:numId w:val="0"/>
                    </w:numPr>
                    <w:kinsoku/>
                    <w:wordWrap/>
                    <w:overflowPunct/>
                    <w:topLinePunct w:val="0"/>
                    <w:autoSpaceDE w:val="0"/>
                    <w:autoSpaceDN w:val="0"/>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snapToGrid w:val="0"/>
                      <w:color w:val="auto"/>
                      <w:spacing w:val="-3"/>
                      <w:kern w:val="0"/>
                      <w:sz w:val="21"/>
                      <w:szCs w:val="21"/>
                      <w:highlight w:val="none"/>
                      <w:lang w:val="en-US" w:eastAsia="zh-CN" w:bidi="ar-SA"/>
                    </w:rPr>
                  </w:pPr>
                  <w:r>
                    <w:rPr>
                      <w:rFonts w:hint="default" w:ascii="Times New Roman" w:hAnsi="Times New Roman" w:eastAsia="宋体" w:cs="Times New Roman"/>
                      <w:snapToGrid w:val="0"/>
                      <w:color w:val="auto"/>
                      <w:spacing w:val="-3"/>
                      <w:kern w:val="0"/>
                      <w:sz w:val="21"/>
                      <w:szCs w:val="21"/>
                      <w:highlight w:val="none"/>
                      <w:lang w:val="en-US" w:eastAsia="zh-CN" w:bidi="ar-SA"/>
                    </w:rPr>
                    <w:t>单元名称</w:t>
                  </w:r>
                </w:p>
              </w:tc>
              <w:tc>
                <w:tcPr>
                  <w:tcW w:w="1448" w:type="pct"/>
                  <w:vAlign w:val="center"/>
                </w:tcPr>
                <w:p w14:paraId="57B83F9D">
                  <w:pPr>
                    <w:keepNext w:val="0"/>
                    <w:keepLines w:val="0"/>
                    <w:pageBreakBefore w:val="0"/>
                    <w:widowControl w:val="0"/>
                    <w:numPr>
                      <w:ilvl w:val="0"/>
                      <w:numId w:val="0"/>
                    </w:numPr>
                    <w:kinsoku/>
                    <w:wordWrap/>
                    <w:overflowPunct/>
                    <w:topLinePunct w:val="0"/>
                    <w:autoSpaceDE w:val="0"/>
                    <w:autoSpaceDN w:val="0"/>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snapToGrid w:val="0"/>
                      <w:color w:val="auto"/>
                      <w:spacing w:val="-3"/>
                      <w:kern w:val="0"/>
                      <w:sz w:val="21"/>
                      <w:szCs w:val="21"/>
                      <w:highlight w:val="none"/>
                      <w:lang w:val="en-US" w:eastAsia="zh-CN" w:bidi="ar-SA"/>
                    </w:rPr>
                  </w:pPr>
                  <w:r>
                    <w:rPr>
                      <w:rFonts w:hint="default" w:ascii="Times New Roman" w:hAnsi="Times New Roman" w:eastAsia="宋体" w:cs="Times New Roman"/>
                      <w:snapToGrid w:val="0"/>
                      <w:color w:val="auto"/>
                      <w:spacing w:val="-3"/>
                      <w:kern w:val="0"/>
                      <w:sz w:val="21"/>
                      <w:szCs w:val="21"/>
                      <w:highlight w:val="none"/>
                      <w:lang w:val="en-US" w:eastAsia="zh-CN" w:bidi="ar-SA"/>
                    </w:rPr>
                    <w:t>单元属性</w:t>
                  </w:r>
                </w:p>
              </w:tc>
            </w:tr>
            <w:tr w14:paraId="51E01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6" w:type="pct"/>
                  <w:vAlign w:val="center"/>
                </w:tcPr>
                <w:p w14:paraId="50EF1BE0">
                  <w:pPr>
                    <w:keepNext w:val="0"/>
                    <w:keepLines w:val="0"/>
                    <w:pageBreakBefore w:val="0"/>
                    <w:widowControl w:val="0"/>
                    <w:numPr>
                      <w:ilvl w:val="0"/>
                      <w:numId w:val="0"/>
                    </w:numPr>
                    <w:kinsoku/>
                    <w:wordWrap/>
                    <w:overflowPunct/>
                    <w:topLinePunct w:val="0"/>
                    <w:autoSpaceDE w:val="0"/>
                    <w:autoSpaceDN w:val="0"/>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snapToGrid w:val="0"/>
                      <w:color w:val="auto"/>
                      <w:spacing w:val="-3"/>
                      <w:kern w:val="0"/>
                      <w:sz w:val="21"/>
                      <w:szCs w:val="21"/>
                      <w:highlight w:val="none"/>
                      <w:lang w:val="en-US" w:eastAsia="zh-CN" w:bidi="ar-SA"/>
                    </w:rPr>
                  </w:pPr>
                  <w:r>
                    <w:rPr>
                      <w:rFonts w:hint="default" w:ascii="Times New Roman" w:hAnsi="Times New Roman" w:eastAsia="宋体" w:cs="Times New Roman"/>
                      <w:snapToGrid w:val="0"/>
                      <w:color w:val="auto"/>
                      <w:spacing w:val="-3"/>
                      <w:kern w:val="0"/>
                      <w:sz w:val="21"/>
                      <w:szCs w:val="21"/>
                      <w:highlight w:val="none"/>
                      <w:lang w:val="en-US" w:eastAsia="zh-CN" w:bidi="ar-SA"/>
                    </w:rPr>
                    <w:t>ZH65280120011</w:t>
                  </w:r>
                </w:p>
              </w:tc>
              <w:tc>
                <w:tcPr>
                  <w:tcW w:w="2115" w:type="pct"/>
                  <w:vAlign w:val="center"/>
                </w:tcPr>
                <w:p w14:paraId="52C05BBB">
                  <w:pPr>
                    <w:keepNext w:val="0"/>
                    <w:keepLines w:val="0"/>
                    <w:pageBreakBefore w:val="0"/>
                    <w:widowControl w:val="0"/>
                    <w:numPr>
                      <w:ilvl w:val="0"/>
                      <w:numId w:val="0"/>
                    </w:numPr>
                    <w:kinsoku/>
                    <w:wordWrap/>
                    <w:overflowPunct/>
                    <w:topLinePunct w:val="0"/>
                    <w:autoSpaceDE w:val="0"/>
                    <w:autoSpaceDN w:val="0"/>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snapToGrid w:val="0"/>
                      <w:color w:val="auto"/>
                      <w:spacing w:val="-3"/>
                      <w:kern w:val="0"/>
                      <w:sz w:val="21"/>
                      <w:szCs w:val="21"/>
                      <w:highlight w:val="none"/>
                      <w:lang w:val="en-US" w:eastAsia="zh-CN" w:bidi="ar-SA"/>
                    </w:rPr>
                  </w:pPr>
                  <w:r>
                    <w:rPr>
                      <w:rFonts w:hint="default" w:ascii="Times New Roman" w:hAnsi="Times New Roman" w:eastAsia="宋体" w:cs="Times New Roman"/>
                      <w:snapToGrid w:val="0"/>
                      <w:color w:val="auto"/>
                      <w:spacing w:val="-3"/>
                      <w:kern w:val="0"/>
                      <w:sz w:val="21"/>
                      <w:szCs w:val="21"/>
                      <w:highlight w:val="none"/>
                      <w:lang w:val="en-US" w:eastAsia="zh-CN" w:bidi="ar-SA"/>
                    </w:rPr>
                    <w:t>库尔勒市城区地下水禁采区</w:t>
                  </w:r>
                </w:p>
              </w:tc>
              <w:tc>
                <w:tcPr>
                  <w:tcW w:w="1448" w:type="pct"/>
                  <w:vAlign w:val="center"/>
                </w:tcPr>
                <w:p w14:paraId="77ABB7C3">
                  <w:pPr>
                    <w:keepNext w:val="0"/>
                    <w:keepLines w:val="0"/>
                    <w:pageBreakBefore w:val="0"/>
                    <w:widowControl w:val="0"/>
                    <w:numPr>
                      <w:ilvl w:val="0"/>
                      <w:numId w:val="0"/>
                    </w:numPr>
                    <w:kinsoku/>
                    <w:wordWrap/>
                    <w:overflowPunct/>
                    <w:topLinePunct w:val="0"/>
                    <w:autoSpaceDE w:val="0"/>
                    <w:autoSpaceDN w:val="0"/>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snapToGrid w:val="0"/>
                      <w:color w:val="auto"/>
                      <w:spacing w:val="-3"/>
                      <w:kern w:val="0"/>
                      <w:sz w:val="21"/>
                      <w:szCs w:val="21"/>
                      <w:highlight w:val="none"/>
                      <w:lang w:val="en-US" w:eastAsia="zh-CN" w:bidi="ar-SA"/>
                    </w:rPr>
                  </w:pPr>
                  <w:r>
                    <w:rPr>
                      <w:rFonts w:hint="default" w:ascii="Times New Roman" w:hAnsi="Times New Roman" w:eastAsia="宋体" w:cs="Times New Roman"/>
                      <w:snapToGrid w:val="0"/>
                      <w:color w:val="auto"/>
                      <w:spacing w:val="-3"/>
                      <w:kern w:val="0"/>
                      <w:sz w:val="21"/>
                      <w:szCs w:val="21"/>
                      <w:highlight w:val="none"/>
                      <w:lang w:val="en-US" w:eastAsia="zh-CN" w:bidi="ar-SA"/>
                    </w:rPr>
                    <w:t>重点管控单元</w:t>
                  </w:r>
                </w:p>
              </w:tc>
            </w:tr>
          </w:tbl>
          <w:p w14:paraId="024DEDC0">
            <w:pPr>
              <w:pStyle w:val="29"/>
              <w:bidi w:val="0"/>
              <w:ind w:left="0" w:leftChars="0" w:firstLine="0" w:firstLineChars="0"/>
              <w:jc w:val="center"/>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表1-</w:t>
            </w:r>
            <w:r>
              <w:rPr>
                <w:rFonts w:hint="default" w:ascii="Times New Roman" w:hAnsi="Times New Roman" w:cs="Times New Roman"/>
                <w:color w:val="auto"/>
                <w:highlight w:val="none"/>
                <w:lang w:val="en-US" w:eastAsia="zh-CN"/>
              </w:rPr>
              <w:t xml:space="preserve">3 </w:t>
            </w:r>
            <w:r>
              <w:rPr>
                <w:rFonts w:hint="default" w:ascii="Times New Roman" w:hAnsi="Times New Roman" w:cs="Times New Roman"/>
                <w:color w:val="auto"/>
                <w:highlight w:val="none"/>
                <w:lang w:eastAsia="zh-CN"/>
              </w:rPr>
              <w:t>项目与《巴音郭楞蒙古自治州</w:t>
            </w:r>
            <w:r>
              <w:rPr>
                <w:rFonts w:hint="default" w:ascii="Times New Roman" w:hAnsi="Times New Roman" w:cs="Times New Roman"/>
                <w:color w:val="auto"/>
                <w:highlight w:val="none"/>
                <w:lang w:val="en-US" w:eastAsia="zh-CN"/>
              </w:rPr>
              <w:t>生态环境准入清单</w:t>
            </w:r>
            <w:r>
              <w:rPr>
                <w:rFonts w:hint="default" w:ascii="Times New Roman" w:hAnsi="Times New Roman" w:cs="Times New Roman"/>
                <w:color w:val="auto"/>
                <w:highlight w:val="none"/>
                <w:lang w:eastAsia="zh-CN"/>
              </w:rPr>
              <w:t>》相符性分析</w:t>
            </w:r>
          </w:p>
          <w:tbl>
            <w:tblPr>
              <w:tblStyle w:val="18"/>
              <w:tblW w:w="4955"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03"/>
              <w:gridCol w:w="410"/>
              <w:gridCol w:w="3493"/>
              <w:gridCol w:w="1662"/>
            </w:tblGrid>
            <w:tr w14:paraId="5813E1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7" w:type="pct"/>
                  <w:tcBorders>
                    <w:tl2br w:val="nil"/>
                    <w:tr2bl w:val="nil"/>
                  </w:tcBorders>
                  <w:noWrap w:val="0"/>
                  <w:vAlign w:val="center"/>
                </w:tcPr>
                <w:p w14:paraId="5155470F">
                  <w:pPr>
                    <w:pStyle w:val="30"/>
                    <w:bidi w:val="0"/>
                    <w:spacing w:line="240" w:lineRule="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环境管控单元名称</w:t>
                  </w:r>
                </w:p>
              </w:tc>
              <w:tc>
                <w:tcPr>
                  <w:tcW w:w="2722" w:type="pct"/>
                  <w:gridSpan w:val="2"/>
                  <w:tcBorders>
                    <w:tl2br w:val="nil"/>
                    <w:tr2bl w:val="nil"/>
                  </w:tcBorders>
                  <w:noWrap w:val="0"/>
                  <w:vAlign w:val="center"/>
                </w:tcPr>
                <w:p w14:paraId="2056E6BB">
                  <w:pPr>
                    <w:pStyle w:val="30"/>
                    <w:bidi w:val="0"/>
                    <w:spacing w:line="240" w:lineRule="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要求</w:t>
                  </w:r>
                </w:p>
              </w:tc>
              <w:tc>
                <w:tcPr>
                  <w:tcW w:w="1159" w:type="pct"/>
                  <w:tcBorders>
                    <w:tl2br w:val="nil"/>
                    <w:tr2bl w:val="nil"/>
                  </w:tcBorders>
                  <w:noWrap w:val="0"/>
                  <w:vAlign w:val="center"/>
                </w:tcPr>
                <w:p w14:paraId="108759B0">
                  <w:pPr>
                    <w:pStyle w:val="30"/>
                    <w:bidi w:val="0"/>
                    <w:spacing w:line="240" w:lineRule="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本项目情况</w:t>
                  </w:r>
                </w:p>
              </w:tc>
            </w:tr>
            <w:tr w14:paraId="298A85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7" w:type="pct"/>
                  <w:vMerge w:val="restart"/>
                  <w:tcBorders>
                    <w:tl2br w:val="nil"/>
                    <w:tr2bl w:val="nil"/>
                  </w:tcBorders>
                  <w:noWrap w:val="0"/>
                  <w:vAlign w:val="center"/>
                </w:tcPr>
                <w:p w14:paraId="2FD1CCA4">
                  <w:pPr>
                    <w:pStyle w:val="30"/>
                    <w:bidi w:val="0"/>
                    <w:spacing w:line="240" w:lineRule="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snapToGrid w:val="0"/>
                      <w:color w:val="auto"/>
                      <w:spacing w:val="-3"/>
                      <w:kern w:val="0"/>
                      <w:sz w:val="21"/>
                      <w:szCs w:val="21"/>
                      <w:highlight w:val="none"/>
                      <w:lang w:val="en-US" w:eastAsia="zh-CN" w:bidi="ar-SA"/>
                    </w:rPr>
                    <w:t>ZH65280120011</w:t>
                  </w:r>
                  <w:r>
                    <w:rPr>
                      <w:rFonts w:hint="default" w:ascii="Times New Roman" w:hAnsi="Times New Roman" w:eastAsia="宋体" w:cs="Times New Roman"/>
                      <w:color w:val="auto"/>
                      <w:highlight w:val="none"/>
                      <w:lang w:val="en-US" w:eastAsia="zh-CN"/>
                    </w:rPr>
                    <w:t>/</w:t>
                  </w:r>
                  <w:r>
                    <w:rPr>
                      <w:rFonts w:hint="default" w:ascii="Times New Roman" w:hAnsi="Times New Roman" w:eastAsia="宋体" w:cs="Times New Roman"/>
                      <w:snapToGrid w:val="0"/>
                      <w:color w:val="auto"/>
                      <w:spacing w:val="-3"/>
                      <w:kern w:val="0"/>
                      <w:sz w:val="21"/>
                      <w:szCs w:val="21"/>
                      <w:highlight w:val="none"/>
                      <w:lang w:val="en-US" w:eastAsia="zh-CN" w:bidi="ar-SA"/>
                    </w:rPr>
                    <w:t>库尔勒市城区地下水禁采区</w:t>
                  </w:r>
                  <w:r>
                    <w:rPr>
                      <w:rFonts w:hint="default" w:ascii="Times New Roman" w:hAnsi="Times New Roman" w:eastAsia="宋体" w:cs="Times New Roman"/>
                      <w:color w:val="auto"/>
                      <w:highlight w:val="none"/>
                      <w:lang w:val="en-US" w:eastAsia="zh-CN"/>
                    </w:rPr>
                    <w:t>/重点管控单元</w:t>
                  </w:r>
                </w:p>
              </w:tc>
              <w:tc>
                <w:tcPr>
                  <w:tcW w:w="285" w:type="pct"/>
                  <w:tcBorders>
                    <w:tl2br w:val="nil"/>
                    <w:tr2bl w:val="nil"/>
                  </w:tcBorders>
                  <w:noWrap w:val="0"/>
                  <w:vAlign w:val="center"/>
                </w:tcPr>
                <w:p w14:paraId="481C883C">
                  <w:pPr>
                    <w:pStyle w:val="30"/>
                    <w:bidi w:val="0"/>
                    <w:spacing w:line="240" w:lineRule="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空间布局约束</w:t>
                  </w:r>
                </w:p>
              </w:tc>
              <w:tc>
                <w:tcPr>
                  <w:tcW w:w="2436" w:type="pct"/>
                  <w:tcBorders>
                    <w:tl2br w:val="nil"/>
                    <w:tr2bl w:val="nil"/>
                  </w:tcBorders>
                  <w:noWrap w:val="0"/>
                  <w:vAlign w:val="center"/>
                </w:tcPr>
                <w:p w14:paraId="1F889ABA">
                  <w:pPr>
                    <w:pStyle w:val="30"/>
                    <w:bidi w:val="0"/>
                    <w:spacing w:line="240" w:lineRule="auto"/>
                    <w:jc w:val="left"/>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1.除城乡生活饮用水或者战略储备、旱灾、火灾、地震等应急需要取水外，原有的地下水取水工程全部限期封停。</w:t>
                  </w:r>
                </w:p>
                <w:p w14:paraId="28F7ED51">
                  <w:pPr>
                    <w:pStyle w:val="30"/>
                    <w:bidi w:val="0"/>
                    <w:spacing w:line="240" w:lineRule="auto"/>
                    <w:jc w:val="left"/>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2.县级以上人民政府水行政主管部门应当会同有关部门制定封停方案，经本级人民政府批准后实施。</w:t>
                  </w:r>
                </w:p>
              </w:tc>
              <w:tc>
                <w:tcPr>
                  <w:tcW w:w="1159" w:type="pct"/>
                  <w:tcBorders>
                    <w:tl2br w:val="nil"/>
                    <w:tr2bl w:val="nil"/>
                  </w:tcBorders>
                  <w:noWrap w:val="0"/>
                  <w:vAlign w:val="center"/>
                </w:tcPr>
                <w:p w14:paraId="51429F1A">
                  <w:pPr>
                    <w:pStyle w:val="30"/>
                    <w:bidi w:val="0"/>
                    <w:spacing w:line="240" w:lineRule="auto"/>
                    <w:rPr>
                      <w:rFonts w:hint="default" w:ascii="Times New Roman" w:hAnsi="Times New Roman" w:eastAsia="宋体" w:cs="Times New Roman"/>
                      <w:color w:val="auto"/>
                      <w:highlight w:val="none"/>
                      <w:lang w:val="en-US" w:eastAsia="zh-CN"/>
                    </w:rPr>
                  </w:pPr>
                  <w:r>
                    <w:rPr>
                      <w:rFonts w:hint="eastAsia" w:cs="Times New Roman"/>
                      <w:snapToGrid w:val="0"/>
                      <w:color w:val="auto"/>
                      <w:sz w:val="21"/>
                      <w:szCs w:val="21"/>
                      <w:highlight w:val="none"/>
                      <w:lang w:val="en-US" w:eastAsia="zh-CN"/>
                    </w:rPr>
                    <w:t>1.</w:t>
                  </w:r>
                  <w:r>
                    <w:rPr>
                      <w:rFonts w:hint="default" w:ascii="Times New Roman" w:hAnsi="Times New Roman" w:eastAsia="宋体" w:cs="Times New Roman"/>
                      <w:snapToGrid w:val="0"/>
                      <w:color w:val="auto"/>
                      <w:sz w:val="21"/>
                      <w:szCs w:val="21"/>
                      <w:highlight w:val="none"/>
                      <w:lang w:eastAsia="zh-CN"/>
                    </w:rPr>
                    <w:t>本项目用水量较少，且来源于市政给水</w:t>
                  </w:r>
                  <w:r>
                    <w:rPr>
                      <w:rFonts w:hint="default" w:ascii="Times New Roman" w:hAnsi="Times New Roman" w:eastAsia="宋体" w:cs="Times New Roman"/>
                      <w:color w:val="auto"/>
                      <w:highlight w:val="none"/>
                      <w:lang w:val="en-US" w:eastAsia="zh-CN"/>
                    </w:rPr>
                    <w:t>。</w:t>
                  </w:r>
                </w:p>
                <w:p w14:paraId="768E13AF">
                  <w:pPr>
                    <w:pStyle w:val="30"/>
                    <w:bidi w:val="0"/>
                    <w:spacing w:line="240" w:lineRule="auto"/>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2.不涉及</w:t>
                  </w:r>
                </w:p>
              </w:tc>
            </w:tr>
            <w:tr w14:paraId="10781C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7" w:type="pct"/>
                  <w:vMerge w:val="continue"/>
                  <w:tcBorders>
                    <w:tl2br w:val="nil"/>
                    <w:tr2bl w:val="nil"/>
                  </w:tcBorders>
                  <w:noWrap w:val="0"/>
                  <w:vAlign w:val="center"/>
                </w:tcPr>
                <w:p w14:paraId="13FEDFFC">
                  <w:pPr>
                    <w:pStyle w:val="30"/>
                    <w:bidi w:val="0"/>
                    <w:spacing w:line="240" w:lineRule="auto"/>
                    <w:rPr>
                      <w:rFonts w:hint="default" w:ascii="Times New Roman" w:hAnsi="Times New Roman" w:eastAsia="宋体" w:cs="Times New Roman"/>
                      <w:color w:val="auto"/>
                      <w:highlight w:val="none"/>
                      <w:lang w:val="en-US" w:eastAsia="zh-CN"/>
                    </w:rPr>
                  </w:pPr>
                </w:p>
              </w:tc>
              <w:tc>
                <w:tcPr>
                  <w:tcW w:w="285" w:type="pct"/>
                  <w:tcBorders>
                    <w:tl2br w:val="nil"/>
                    <w:tr2bl w:val="nil"/>
                  </w:tcBorders>
                  <w:noWrap w:val="0"/>
                  <w:vAlign w:val="center"/>
                </w:tcPr>
                <w:p w14:paraId="65649B00">
                  <w:pPr>
                    <w:pStyle w:val="30"/>
                    <w:bidi w:val="0"/>
                    <w:spacing w:line="240" w:lineRule="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污染物排放管控</w:t>
                  </w:r>
                </w:p>
              </w:tc>
              <w:tc>
                <w:tcPr>
                  <w:tcW w:w="2436" w:type="pct"/>
                  <w:tcBorders>
                    <w:tl2br w:val="nil"/>
                    <w:tr2bl w:val="nil"/>
                  </w:tcBorders>
                  <w:noWrap w:val="0"/>
                  <w:vAlign w:val="center"/>
                </w:tcPr>
                <w:p w14:paraId="09464AD6">
                  <w:pPr>
                    <w:pStyle w:val="30"/>
                    <w:bidi w:val="0"/>
                    <w:spacing w:line="240" w:lineRule="auto"/>
                    <w:jc w:val="left"/>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禁止私设暗管或者利用渗井、渗坑和裂隙排放、倾倒含有毒污染物的废水、含病原体的污水和其他废弃物。禁止利用无防渗漏措施的沟渠、坑塘等输送或者存贮含有毒污染物的废水、含病原体的污水和其他废弃物。</w:t>
                  </w:r>
                </w:p>
                <w:p w14:paraId="6E56BE3B">
                  <w:pPr>
                    <w:pStyle w:val="30"/>
                    <w:bidi w:val="0"/>
                    <w:spacing w:line="240" w:lineRule="auto"/>
                    <w:jc w:val="left"/>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2.禁止向地表及水体排放、倾倒下列物质：（一）油类、酸液、碱液或者剧毒废液及未达标的工业及生活废水；（二）放射性固体废物或者含有高放射性和中放射性物质的废水；（三）工业废渣、城镇垃圾和其他废弃物。</w:t>
                  </w:r>
                </w:p>
                <w:p w14:paraId="19B277A5">
                  <w:pPr>
                    <w:pStyle w:val="30"/>
                    <w:bidi w:val="0"/>
                    <w:spacing w:line="240" w:lineRule="auto"/>
                    <w:jc w:val="left"/>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3.建设单位建设危险废物堆存场、垃圾填埋场、矿山渣场（含尾矿）、储灰场、加油站、贮存有毒有害物质的场所应当按照有关规定落实有关水污染防治措施，制定防渗处理方案，并按照规定定时向环境保护主管部门和水行政主管部门报告水质监测数据。禁止将含有汞、镉、砷、铬、铅、氰化物、黄磷等可溶性剧毒废渣及难降解有机物或者含油废弃物直接埋入地下。</w:t>
                  </w:r>
                </w:p>
                <w:p w14:paraId="62F4DDA0">
                  <w:pPr>
                    <w:pStyle w:val="30"/>
                    <w:bidi w:val="0"/>
                    <w:spacing w:line="240" w:lineRule="auto"/>
                    <w:jc w:val="left"/>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4.工矿企业应当优先利用基坑水、矿坑水和疏干水。无法全部利用的，应当处理达标后排放。</w:t>
                  </w:r>
                </w:p>
                <w:p w14:paraId="6CBA6E7D">
                  <w:pPr>
                    <w:pStyle w:val="30"/>
                    <w:bidi w:val="0"/>
                    <w:spacing w:line="240" w:lineRule="auto"/>
                    <w:jc w:val="left"/>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5.人工回灌补给地下水，不得恶化地下水水质。</w:t>
                  </w:r>
                </w:p>
                <w:p w14:paraId="4397AAE1">
                  <w:pPr>
                    <w:pStyle w:val="30"/>
                    <w:bidi w:val="0"/>
                    <w:spacing w:line="240" w:lineRule="auto"/>
                    <w:jc w:val="left"/>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6.定期调查评估集中式地下水型饮用水水源补给区等区域环境状况，严格控制地下水富集区污染物排放。组织实施地下水监测工程建设，建立较完整的地下水监测网。定期评估地下水环境安全隐患，检查重点工业企业周边地下水污染状况，并定期公布污染地下水的企业名单。</w:t>
                  </w:r>
                </w:p>
              </w:tc>
              <w:tc>
                <w:tcPr>
                  <w:tcW w:w="1159" w:type="pct"/>
                  <w:tcBorders>
                    <w:tl2br w:val="nil"/>
                    <w:tr2bl w:val="nil"/>
                  </w:tcBorders>
                  <w:noWrap w:val="0"/>
                  <w:vAlign w:val="center"/>
                </w:tcPr>
                <w:p w14:paraId="2C1E4B3C">
                  <w:pPr>
                    <w:pStyle w:val="30"/>
                    <w:bidi w:val="0"/>
                    <w:spacing w:line="240" w:lineRule="auto"/>
                    <w:rPr>
                      <w:rFonts w:hint="eastAsia" w:cs="Times New Roman"/>
                      <w:color w:val="auto"/>
                      <w:highlight w:val="none"/>
                      <w:lang w:val="en-US" w:eastAsia="zh-CN"/>
                    </w:rPr>
                  </w:pPr>
                  <w:r>
                    <w:rPr>
                      <w:rFonts w:hint="eastAsia" w:cs="Times New Roman"/>
                      <w:color w:val="auto"/>
                      <w:highlight w:val="none"/>
                      <w:lang w:val="en-US" w:eastAsia="zh-CN"/>
                    </w:rPr>
                    <w:t>1.</w:t>
                  </w:r>
                  <w:r>
                    <w:rPr>
                      <w:rFonts w:hint="default" w:ascii="Times New Roman" w:hAnsi="Times New Roman" w:eastAsia="宋体" w:cs="Times New Roman"/>
                      <w:color w:val="auto"/>
                      <w:highlight w:val="none"/>
                      <w:lang w:val="en-US" w:eastAsia="zh-CN"/>
                    </w:rPr>
                    <w:t>本项目医疗废水</w:t>
                  </w:r>
                  <w:r>
                    <w:rPr>
                      <w:rFonts w:hint="eastAsia" w:cs="Times New Roman"/>
                      <w:color w:val="auto"/>
                      <w:highlight w:val="none"/>
                      <w:lang w:val="en-US" w:eastAsia="zh-CN"/>
                    </w:rPr>
                    <w:t>、清洗消毒废水</w:t>
                  </w:r>
                  <w:r>
                    <w:rPr>
                      <w:rFonts w:hint="default" w:ascii="Times New Roman" w:hAnsi="Times New Roman" w:eastAsia="宋体" w:cs="Times New Roman"/>
                      <w:color w:val="auto"/>
                      <w:highlight w:val="none"/>
                      <w:lang w:val="en-US" w:eastAsia="zh-CN"/>
                    </w:rPr>
                    <w:t>经一体化污水处理设备预处理达到</w:t>
                  </w:r>
                  <w:r>
                    <w:rPr>
                      <w:rFonts w:hint="eastAsia" w:cs="Times New Roman"/>
                      <w:color w:val="auto"/>
                      <w:highlight w:val="none"/>
                      <w:lang w:val="en-US" w:eastAsia="zh-CN"/>
                    </w:rPr>
                    <w:t>《医疗机构水污染物排放标准》</w:t>
                  </w:r>
                  <w:r>
                    <w:rPr>
                      <w:rFonts w:hint="eastAsia" w:cs="Times New Roman"/>
                      <w:color w:val="auto"/>
                      <w:lang w:eastAsia="zh-CN"/>
                    </w:rPr>
                    <w:t>（GB 18466-2005，含2026年修改单）</w:t>
                  </w:r>
                  <w:r>
                    <w:rPr>
                      <w:rFonts w:hint="eastAsia" w:cs="Times New Roman"/>
                      <w:color w:val="auto"/>
                      <w:highlight w:val="none"/>
                      <w:lang w:val="en-US" w:eastAsia="zh-CN"/>
                    </w:rPr>
                    <w:t>表2中预处理</w:t>
                  </w:r>
                  <w:r>
                    <w:rPr>
                      <w:rFonts w:hint="default" w:ascii="Times New Roman" w:hAnsi="Times New Roman" w:eastAsia="宋体" w:cs="Times New Roman"/>
                      <w:color w:val="auto"/>
                      <w:highlight w:val="none"/>
                      <w:lang w:val="en-US" w:eastAsia="zh-CN"/>
                    </w:rPr>
                    <w:t>标准限值后与生活污水</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洗浴废水</w:t>
                  </w:r>
                  <w:r>
                    <w:rPr>
                      <w:rFonts w:hint="default" w:ascii="Times New Roman" w:hAnsi="Times New Roman" w:eastAsia="宋体" w:cs="Times New Roman"/>
                      <w:color w:val="auto"/>
                      <w:highlight w:val="none"/>
                      <w:lang w:val="en-US" w:eastAsia="zh-CN"/>
                    </w:rPr>
                    <w:t>一同排入市政污水管网</w:t>
                  </w:r>
                  <w:r>
                    <w:rPr>
                      <w:rFonts w:hint="eastAsia" w:cs="Times New Roman"/>
                      <w:color w:val="auto"/>
                      <w:highlight w:val="none"/>
                      <w:lang w:val="en-US" w:eastAsia="zh-CN"/>
                    </w:rPr>
                    <w:t>；</w:t>
                  </w:r>
                </w:p>
                <w:p w14:paraId="30E15AD7">
                  <w:pPr>
                    <w:pStyle w:val="30"/>
                    <w:bidi w:val="0"/>
                    <w:spacing w:line="240" w:lineRule="auto"/>
                    <w:rPr>
                      <w:rFonts w:hint="default" w:cs="Times New Roman"/>
                      <w:color w:val="auto"/>
                      <w:highlight w:val="none"/>
                      <w:lang w:val="en-US" w:eastAsia="zh-CN"/>
                    </w:rPr>
                  </w:pPr>
                  <w:r>
                    <w:rPr>
                      <w:rFonts w:hint="eastAsia" w:cs="Times New Roman"/>
                      <w:color w:val="auto"/>
                      <w:highlight w:val="none"/>
                      <w:lang w:val="en-US" w:eastAsia="zh-CN"/>
                    </w:rPr>
                    <w:t>2.不涉及；</w:t>
                  </w:r>
                </w:p>
                <w:p w14:paraId="16E432FE">
                  <w:pPr>
                    <w:pStyle w:val="30"/>
                    <w:bidi w:val="0"/>
                    <w:spacing w:line="240" w:lineRule="auto"/>
                    <w:rPr>
                      <w:rFonts w:hint="default" w:cs="Times New Roman"/>
                      <w:color w:val="auto"/>
                      <w:highlight w:val="none"/>
                      <w:lang w:val="en-US" w:eastAsia="zh-CN"/>
                    </w:rPr>
                  </w:pPr>
                  <w:r>
                    <w:rPr>
                      <w:rFonts w:hint="eastAsia" w:cs="Times New Roman"/>
                      <w:color w:val="auto"/>
                      <w:highlight w:val="none"/>
                      <w:lang w:val="en-US" w:eastAsia="zh-CN"/>
                    </w:rPr>
                    <w:t>3.医疗废物贮存间</w:t>
                  </w:r>
                  <w:r>
                    <w:rPr>
                      <w:rFonts w:hint="default" w:ascii="Times New Roman" w:hAnsi="Times New Roman" w:cs="Times New Roman"/>
                      <w:color w:val="auto"/>
                      <w:highlight w:val="none"/>
                      <w:lang w:eastAsia="zh-CN"/>
                    </w:rPr>
                    <w:t>采取重点防渗</w:t>
                  </w:r>
                  <w:r>
                    <w:rPr>
                      <w:rFonts w:hint="eastAsia" w:cs="Times New Roman"/>
                      <w:color w:val="auto"/>
                      <w:highlight w:val="none"/>
                      <w:lang w:eastAsia="zh-CN"/>
                    </w:rPr>
                    <w:t>，</w:t>
                  </w:r>
                  <w:r>
                    <w:rPr>
                      <w:rFonts w:hint="default" w:ascii="Times New Roman" w:hAnsi="Times New Roman" w:cs="Times New Roman"/>
                      <w:color w:val="auto"/>
                      <w:highlight w:val="none"/>
                      <w:lang w:eastAsia="zh-CN"/>
                    </w:rPr>
                    <w:t>四周壁及裙角与地面防渗层连成整体；底部铺设300mm粘土层压实平整，粘土层上铺设HDPE-GCL复合防渗系统（2mm厚的高密度聚乙烯膜、300g/m</w:t>
                  </w:r>
                  <w:r>
                    <w:rPr>
                      <w:rFonts w:hint="default" w:ascii="Times New Roman" w:hAnsi="Times New Roman" w:cs="Times New Roman"/>
                      <w:color w:val="auto"/>
                      <w:highlight w:val="none"/>
                      <w:vertAlign w:val="superscript"/>
                      <w:lang w:eastAsia="zh-CN"/>
                    </w:rPr>
                    <w:t>2</w:t>
                  </w:r>
                  <w:r>
                    <w:rPr>
                      <w:rFonts w:hint="default" w:ascii="Times New Roman" w:hAnsi="Times New Roman" w:cs="Times New Roman"/>
                      <w:color w:val="auto"/>
                      <w:highlight w:val="none"/>
                      <w:lang w:eastAsia="zh-CN"/>
                    </w:rPr>
                    <w:t>土工织物膨润土垫），上部外加耐腐蚀混凝土15cm（保护层）防渗，</w:t>
                  </w:r>
                  <w:r>
                    <w:rPr>
                      <w:rFonts w:hint="default" w:ascii="Times New Roman" w:hAnsi="Times New Roman" w:cs="Times New Roman"/>
                      <w:color w:val="auto"/>
                      <w:highlight w:val="none"/>
                    </w:rPr>
                    <w:t>渗透系数≤10</w:t>
                  </w:r>
                  <w:r>
                    <w:rPr>
                      <w:rFonts w:hint="default" w:ascii="Times New Roman" w:hAnsi="Times New Roman" w:cs="Times New Roman"/>
                      <w:color w:val="auto"/>
                      <w:highlight w:val="none"/>
                      <w:vertAlign w:val="superscript"/>
                      <w:lang w:val="en-US" w:eastAsia="zh-CN"/>
                    </w:rPr>
                    <w:t>-10</w:t>
                  </w:r>
                  <w:r>
                    <w:rPr>
                      <w:rFonts w:hint="default" w:ascii="Times New Roman" w:hAnsi="Times New Roman" w:cs="Times New Roman"/>
                      <w:color w:val="auto"/>
                      <w:highlight w:val="none"/>
                      <w:lang w:val="en-US" w:eastAsia="zh-CN"/>
                    </w:rPr>
                    <w:t>cm/s</w:t>
                  </w:r>
                  <w:r>
                    <w:rPr>
                      <w:rFonts w:hint="eastAsia" w:cs="Times New Roman"/>
                      <w:color w:val="auto"/>
                      <w:highlight w:val="none"/>
                      <w:lang w:val="en-US" w:eastAsia="zh-CN"/>
                    </w:rPr>
                    <w:t>；生活垃圾</w:t>
                  </w:r>
                  <w:r>
                    <w:rPr>
                      <w:rFonts w:hint="default"/>
                      <w:color w:val="auto"/>
                      <w:highlight w:val="none"/>
                      <w:lang w:val="en-US" w:eastAsia="zh-CN"/>
                    </w:rPr>
                    <w:t>集中收集至垃圾桶后，由环卫部门统一收运处置</w:t>
                  </w:r>
                  <w:r>
                    <w:rPr>
                      <w:rFonts w:hint="eastAsia"/>
                      <w:color w:val="auto"/>
                      <w:highlight w:val="none"/>
                      <w:lang w:val="en-US" w:eastAsia="zh-CN"/>
                    </w:rPr>
                    <w:t>；</w:t>
                  </w:r>
                </w:p>
                <w:p w14:paraId="090C90FF">
                  <w:pPr>
                    <w:pStyle w:val="30"/>
                    <w:bidi w:val="0"/>
                    <w:spacing w:line="240" w:lineRule="auto"/>
                    <w:rPr>
                      <w:rFonts w:hint="eastAsia" w:cs="Times New Roman"/>
                      <w:color w:val="auto"/>
                      <w:highlight w:val="none"/>
                      <w:lang w:val="en-US" w:eastAsia="zh-CN"/>
                    </w:rPr>
                  </w:pPr>
                  <w:r>
                    <w:rPr>
                      <w:rFonts w:hint="eastAsia" w:cs="Times New Roman"/>
                      <w:color w:val="auto"/>
                      <w:highlight w:val="none"/>
                      <w:lang w:val="en-US" w:eastAsia="zh-CN"/>
                    </w:rPr>
                    <w:t>4.不涉及；</w:t>
                  </w:r>
                </w:p>
                <w:p w14:paraId="266B9FF8">
                  <w:pPr>
                    <w:pStyle w:val="30"/>
                    <w:bidi w:val="0"/>
                    <w:spacing w:line="240" w:lineRule="auto"/>
                    <w:rPr>
                      <w:rFonts w:hint="default" w:cs="Times New Roman"/>
                      <w:color w:val="auto"/>
                      <w:highlight w:val="none"/>
                      <w:lang w:val="en-US" w:eastAsia="zh-CN"/>
                    </w:rPr>
                  </w:pPr>
                  <w:r>
                    <w:rPr>
                      <w:rFonts w:hint="eastAsia" w:cs="Times New Roman"/>
                      <w:color w:val="auto"/>
                      <w:highlight w:val="none"/>
                      <w:lang w:val="en-US" w:eastAsia="zh-CN"/>
                    </w:rPr>
                    <w:t>5.不涉及；</w:t>
                  </w:r>
                </w:p>
                <w:p w14:paraId="403CF47B">
                  <w:pPr>
                    <w:pStyle w:val="30"/>
                    <w:bidi w:val="0"/>
                    <w:spacing w:line="240" w:lineRule="auto"/>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6.不涉及。</w:t>
                  </w:r>
                </w:p>
              </w:tc>
            </w:tr>
            <w:tr w14:paraId="62B725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7" w:type="pct"/>
                  <w:vMerge w:val="continue"/>
                  <w:tcBorders>
                    <w:tl2br w:val="nil"/>
                    <w:tr2bl w:val="nil"/>
                  </w:tcBorders>
                  <w:noWrap w:val="0"/>
                  <w:vAlign w:val="center"/>
                </w:tcPr>
                <w:p w14:paraId="0198C1CE">
                  <w:pPr>
                    <w:pStyle w:val="30"/>
                    <w:bidi w:val="0"/>
                    <w:spacing w:line="240" w:lineRule="auto"/>
                    <w:rPr>
                      <w:rFonts w:hint="default" w:ascii="Times New Roman" w:hAnsi="Times New Roman" w:eastAsia="宋体" w:cs="Times New Roman"/>
                      <w:color w:val="auto"/>
                      <w:highlight w:val="none"/>
                      <w:lang w:val="en-US" w:eastAsia="zh-CN"/>
                    </w:rPr>
                  </w:pPr>
                </w:p>
              </w:tc>
              <w:tc>
                <w:tcPr>
                  <w:tcW w:w="285" w:type="pct"/>
                  <w:tcBorders>
                    <w:tl2br w:val="nil"/>
                    <w:tr2bl w:val="nil"/>
                  </w:tcBorders>
                  <w:noWrap w:val="0"/>
                  <w:vAlign w:val="center"/>
                </w:tcPr>
                <w:p w14:paraId="7F56DE21">
                  <w:pPr>
                    <w:pStyle w:val="30"/>
                    <w:bidi w:val="0"/>
                    <w:spacing w:line="240" w:lineRule="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环境风险防控</w:t>
                  </w:r>
                </w:p>
              </w:tc>
              <w:tc>
                <w:tcPr>
                  <w:tcW w:w="2436" w:type="pct"/>
                  <w:tcBorders>
                    <w:tl2br w:val="nil"/>
                    <w:tr2bl w:val="nil"/>
                  </w:tcBorders>
                  <w:noWrap w:val="0"/>
                  <w:vAlign w:val="center"/>
                </w:tcPr>
                <w:p w14:paraId="56B41675">
                  <w:pPr>
                    <w:pStyle w:val="30"/>
                    <w:bidi w:val="0"/>
                    <w:spacing w:line="240" w:lineRule="auto"/>
                    <w:jc w:val="left"/>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应当统筹规划、合理布局地下水监测站网，加强地下水监测能力建设，组织做好地下水水位、水量、水质、水温等地下水动态监测工作，及时采集、传输、处理、储存监测数据，定期向社会公布监测结果。建成常规监测、移动监测、动态预警监测三位一体的水环境质量监测网络。</w:t>
                  </w:r>
                </w:p>
              </w:tc>
              <w:tc>
                <w:tcPr>
                  <w:tcW w:w="1159" w:type="pct"/>
                  <w:tcBorders>
                    <w:tl2br w:val="nil"/>
                    <w:tr2bl w:val="nil"/>
                  </w:tcBorders>
                  <w:noWrap w:val="0"/>
                  <w:vAlign w:val="center"/>
                </w:tcPr>
                <w:p w14:paraId="789A45A1">
                  <w:pPr>
                    <w:pStyle w:val="30"/>
                    <w:bidi w:val="0"/>
                    <w:spacing w:line="240" w:lineRule="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本项目</w:t>
                  </w:r>
                  <w:r>
                    <w:rPr>
                      <w:rFonts w:hint="eastAsia" w:cs="Times New Roman"/>
                      <w:color w:val="auto"/>
                      <w:highlight w:val="none"/>
                      <w:lang w:val="en-US" w:eastAsia="zh-CN"/>
                    </w:rPr>
                    <w:t>为</w:t>
                  </w:r>
                  <w:r>
                    <w:rPr>
                      <w:rFonts w:hint="default" w:ascii="Times New Roman" w:hAnsi="Times New Roman" w:cs="Times New Roman"/>
                      <w:snapToGrid w:val="0"/>
                      <w:color w:val="auto"/>
                      <w:highlight w:val="none"/>
                      <w:lang w:val="en-US" w:eastAsia="zh-CN"/>
                    </w:rPr>
                    <w:t>宠物</w:t>
                  </w:r>
                  <w:r>
                    <w:rPr>
                      <w:rFonts w:hint="default" w:ascii="Times New Roman" w:hAnsi="Times New Roman" w:cs="Times New Roman"/>
                      <w:snapToGrid w:val="0"/>
                      <w:color w:val="auto"/>
                      <w:highlight w:val="none"/>
                      <w:lang w:eastAsia="zh-CN"/>
                    </w:rPr>
                    <w:t>医院</w:t>
                  </w:r>
                  <w:r>
                    <w:rPr>
                      <w:rFonts w:hint="default" w:ascii="Times New Roman" w:hAnsi="Times New Roman" w:cs="Times New Roman"/>
                      <w:snapToGrid w:val="0"/>
                      <w:color w:val="auto"/>
                      <w:highlight w:val="none"/>
                      <w:lang w:val="en-US" w:eastAsia="zh-CN"/>
                    </w:rPr>
                    <w:t>服务</w:t>
                  </w:r>
                  <w:r>
                    <w:rPr>
                      <w:rFonts w:hint="default" w:ascii="Times New Roman" w:hAnsi="Times New Roman" w:eastAsia="宋体" w:cs="Times New Roman"/>
                      <w:color w:val="auto"/>
                      <w:highlight w:val="none"/>
                      <w:lang w:val="en-US" w:eastAsia="zh-CN"/>
                    </w:rPr>
                    <w:t>，</w:t>
                  </w:r>
                  <w:r>
                    <w:rPr>
                      <w:rFonts w:hint="eastAsia" w:cs="Times New Roman"/>
                      <w:color w:val="auto"/>
                      <w:highlight w:val="none"/>
                      <w:lang w:val="en-US" w:eastAsia="zh-CN"/>
                    </w:rPr>
                    <w:t>用水</w:t>
                  </w:r>
                  <w:r>
                    <w:rPr>
                      <w:rFonts w:hint="default"/>
                      <w:color w:val="auto"/>
                      <w:highlight w:val="none"/>
                      <w:lang w:val="en-US" w:eastAsia="zh-CN"/>
                    </w:rPr>
                    <w:t>由市政供水管网供应</w:t>
                  </w:r>
                  <w:r>
                    <w:rPr>
                      <w:rFonts w:hint="eastAsia"/>
                      <w:color w:val="auto"/>
                      <w:highlight w:val="none"/>
                      <w:lang w:val="en-US" w:eastAsia="zh-CN"/>
                    </w:rPr>
                    <w:t>，用水量较小</w:t>
                  </w:r>
                  <w:r>
                    <w:rPr>
                      <w:rFonts w:hint="eastAsia" w:ascii="Times New Roman" w:hAnsi="Times New Roman" w:cs="Times New Roman"/>
                      <w:color w:val="auto"/>
                      <w:highlight w:val="none"/>
                      <w:lang w:val="en-US" w:eastAsia="zh-CN"/>
                    </w:rPr>
                    <w:t>。</w:t>
                  </w:r>
                </w:p>
              </w:tc>
            </w:tr>
            <w:tr w14:paraId="4EB3B6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7" w:type="pct"/>
                  <w:vMerge w:val="continue"/>
                  <w:tcBorders>
                    <w:tl2br w:val="nil"/>
                    <w:tr2bl w:val="nil"/>
                  </w:tcBorders>
                  <w:noWrap w:val="0"/>
                  <w:vAlign w:val="center"/>
                </w:tcPr>
                <w:p w14:paraId="2220F788">
                  <w:pPr>
                    <w:pStyle w:val="30"/>
                    <w:bidi w:val="0"/>
                    <w:spacing w:line="240" w:lineRule="auto"/>
                    <w:rPr>
                      <w:rFonts w:hint="default" w:ascii="Times New Roman" w:hAnsi="Times New Roman" w:eastAsia="宋体" w:cs="Times New Roman"/>
                      <w:color w:val="auto"/>
                      <w:highlight w:val="none"/>
                      <w:lang w:val="en-US" w:eastAsia="zh-CN"/>
                    </w:rPr>
                  </w:pPr>
                </w:p>
              </w:tc>
              <w:tc>
                <w:tcPr>
                  <w:tcW w:w="285" w:type="pct"/>
                  <w:tcBorders>
                    <w:tl2br w:val="nil"/>
                    <w:tr2bl w:val="nil"/>
                  </w:tcBorders>
                  <w:noWrap w:val="0"/>
                  <w:vAlign w:val="center"/>
                </w:tcPr>
                <w:p w14:paraId="299489B3">
                  <w:pPr>
                    <w:pStyle w:val="30"/>
                    <w:bidi w:val="0"/>
                    <w:spacing w:line="240" w:lineRule="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资源利用效率</w:t>
                  </w:r>
                </w:p>
              </w:tc>
              <w:tc>
                <w:tcPr>
                  <w:tcW w:w="2436" w:type="pct"/>
                  <w:tcBorders>
                    <w:tl2br w:val="nil"/>
                    <w:tr2bl w:val="nil"/>
                  </w:tcBorders>
                  <w:noWrap w:val="0"/>
                  <w:vAlign w:val="center"/>
                </w:tcPr>
                <w:p w14:paraId="484C4A05">
                  <w:pPr>
                    <w:pStyle w:val="30"/>
                    <w:bidi w:val="0"/>
                    <w:spacing w:line="240" w:lineRule="auto"/>
                    <w:jc w:val="left"/>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1.编制重点超采区域地下水压采方案，禁止工农业生产及服务业新增取用地下水。</w:t>
                  </w:r>
                </w:p>
                <w:p w14:paraId="22B94EE0">
                  <w:pPr>
                    <w:pStyle w:val="30"/>
                    <w:bidi w:val="0"/>
                    <w:spacing w:line="240" w:lineRule="auto"/>
                    <w:jc w:val="left"/>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2.大力发展高效节水，加强水源置换。</w:t>
                  </w:r>
                </w:p>
              </w:tc>
              <w:tc>
                <w:tcPr>
                  <w:tcW w:w="1159" w:type="pct"/>
                  <w:tcBorders>
                    <w:tl2br w:val="nil"/>
                    <w:tr2bl w:val="nil"/>
                  </w:tcBorders>
                  <w:noWrap w:val="0"/>
                  <w:vAlign w:val="center"/>
                </w:tcPr>
                <w:p w14:paraId="5AF4F58E">
                  <w:pPr>
                    <w:pStyle w:val="30"/>
                    <w:bidi w:val="0"/>
                    <w:spacing w:line="240" w:lineRule="auto"/>
                    <w:rPr>
                      <w:rFonts w:hint="eastAsia"/>
                      <w:color w:val="auto"/>
                      <w:highlight w:val="none"/>
                      <w:lang w:val="en-US" w:eastAsia="zh-CN"/>
                    </w:rPr>
                  </w:pPr>
                  <w:r>
                    <w:rPr>
                      <w:rFonts w:hint="eastAsia"/>
                      <w:color w:val="auto"/>
                      <w:highlight w:val="none"/>
                      <w:lang w:val="en-US" w:eastAsia="zh-CN"/>
                    </w:rPr>
                    <w:t>1.</w:t>
                  </w:r>
                  <w:r>
                    <w:rPr>
                      <w:rFonts w:hint="default"/>
                      <w:color w:val="auto"/>
                      <w:highlight w:val="none"/>
                      <w:lang w:val="zh-CN" w:eastAsia="zh-CN"/>
                    </w:rPr>
                    <w:t>本项目</w:t>
                  </w:r>
                  <w:r>
                    <w:rPr>
                      <w:rFonts w:hint="eastAsia"/>
                      <w:color w:val="auto"/>
                      <w:highlight w:val="none"/>
                      <w:lang w:val="en-US" w:eastAsia="zh-CN"/>
                    </w:rPr>
                    <w:t>不开采地下水；</w:t>
                  </w:r>
                </w:p>
                <w:p w14:paraId="2A728ACE">
                  <w:pPr>
                    <w:pStyle w:val="30"/>
                    <w:bidi w:val="0"/>
                    <w:spacing w:line="240" w:lineRule="auto"/>
                    <w:rPr>
                      <w:rFonts w:hint="default" w:ascii="Times New Roman" w:hAnsi="Times New Roman" w:eastAsia="宋体" w:cs="Times New Roman"/>
                      <w:color w:val="auto"/>
                      <w:highlight w:val="none"/>
                      <w:lang w:val="en-US" w:eastAsia="zh-CN"/>
                    </w:rPr>
                  </w:pPr>
                  <w:r>
                    <w:rPr>
                      <w:rFonts w:hint="eastAsia"/>
                      <w:color w:val="auto"/>
                      <w:highlight w:val="none"/>
                      <w:lang w:val="en-US" w:eastAsia="zh-CN"/>
                    </w:rPr>
                    <w:t>2.</w:t>
                  </w:r>
                  <w:r>
                    <w:rPr>
                      <w:rFonts w:hint="default"/>
                      <w:color w:val="auto"/>
                      <w:highlight w:val="none"/>
                      <w:lang w:val="zh-CN" w:eastAsia="zh-CN"/>
                    </w:rPr>
                    <w:t>项目设备选型均为节水、节电设备，</w:t>
                  </w:r>
                  <w:r>
                    <w:rPr>
                      <w:rFonts w:hint="eastAsia"/>
                      <w:color w:val="auto"/>
                      <w:highlight w:val="none"/>
                      <w:lang w:val="zh-CN" w:eastAsia="zh-CN"/>
                    </w:rPr>
                    <w:t>提高</w:t>
                  </w:r>
                  <w:r>
                    <w:rPr>
                      <w:rFonts w:hint="default"/>
                      <w:color w:val="auto"/>
                      <w:highlight w:val="none"/>
                      <w:lang w:val="zh-CN" w:eastAsia="zh-CN"/>
                    </w:rPr>
                    <w:t>资源利用效率。</w:t>
                  </w:r>
                </w:p>
              </w:tc>
            </w:tr>
          </w:tbl>
          <w:p w14:paraId="5CD1B788">
            <w:pPr>
              <w:autoSpaceDE w:val="0"/>
              <w:autoSpaceDN w:val="0"/>
              <w:adjustRightInd w:val="0"/>
              <w:snapToGrid w:val="0"/>
              <w:spacing w:line="460" w:lineRule="exact"/>
              <w:ind w:firstLine="480"/>
              <w:rPr>
                <w:rFonts w:hint="default" w:ascii="Times New Roman" w:hAnsi="Times New Roman" w:eastAsia="宋体" w:cs="Times New Roman"/>
                <w:snapToGrid w:val="0"/>
                <w:color w:val="auto"/>
                <w:szCs w:val="21"/>
                <w:highlight w:val="none"/>
                <w:lang w:val="en-US" w:eastAsia="zh-CN"/>
              </w:rPr>
            </w:pPr>
            <w:r>
              <w:rPr>
                <w:rFonts w:hint="default" w:ascii="Times New Roman" w:hAnsi="Times New Roman" w:eastAsia="宋体" w:cs="Times New Roman"/>
                <w:snapToGrid w:val="0"/>
                <w:color w:val="auto"/>
                <w:szCs w:val="21"/>
                <w:highlight w:val="none"/>
                <w:lang w:val="en-US" w:eastAsia="zh-CN"/>
              </w:rPr>
              <w:t>由上表可知，本项目符合《巴音郭楞蒙古自治州“三线一单”生态环境分区管控方案（2023年）》的要求。</w:t>
            </w:r>
          </w:p>
          <w:p w14:paraId="5FF158AE">
            <w:pPr>
              <w:pStyle w:val="3"/>
              <w:bidi w:val="0"/>
              <w:spacing w:line="360" w:lineRule="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3、</w:t>
            </w:r>
            <w:r>
              <w:rPr>
                <w:rFonts w:hint="default" w:ascii="Times New Roman" w:hAnsi="Times New Roman" w:cs="Times New Roman"/>
                <w:color w:val="auto"/>
                <w:highlight w:val="none"/>
              </w:rPr>
              <w:t>与《新疆维吾尔自治区动物诊疗机构管理（技术）规范》符合性分析</w:t>
            </w:r>
          </w:p>
          <w:p w14:paraId="52D4CE1B">
            <w:pPr>
              <w:pStyle w:val="31"/>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项目与《新疆维吾尔自治区动物诊疗机构管理（技术）规范》符合性分析见下表。</w:t>
            </w:r>
          </w:p>
          <w:p w14:paraId="2F2CBF94">
            <w:pPr>
              <w:pStyle w:val="29"/>
              <w:bidi w:val="0"/>
              <w:ind w:left="0" w:leftChars="0" w:firstLine="0" w:firstLineChars="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eastAsia="zh-CN"/>
              </w:rPr>
              <w:t>表</w:t>
            </w:r>
            <w:r>
              <w:rPr>
                <w:rFonts w:hint="default" w:ascii="Times New Roman" w:hAnsi="Times New Roman" w:cs="Times New Roman"/>
                <w:color w:val="auto"/>
                <w:highlight w:val="none"/>
                <w:lang w:val="en-US" w:eastAsia="zh-CN"/>
              </w:rPr>
              <w:t>1-</w:t>
            </w:r>
            <w:r>
              <w:rPr>
                <w:rFonts w:hint="eastAsia" w:cs="Times New Roman"/>
                <w:color w:val="auto"/>
                <w:highlight w:val="none"/>
                <w:lang w:val="en-US" w:eastAsia="zh-CN"/>
              </w:rPr>
              <w:t>3</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lang w:eastAsia="zh-CN"/>
              </w:rPr>
              <w:t>与《新疆维吾尔自治区动物诊疗机构管理（技术）规范》 符合性分析一览表</w:t>
            </w:r>
          </w:p>
          <w:tbl>
            <w:tblPr>
              <w:tblStyle w:val="1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23"/>
              <w:gridCol w:w="3389"/>
              <w:gridCol w:w="538"/>
            </w:tblGrid>
            <w:tr w14:paraId="0981D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291" w:type="pct"/>
                  <w:noWrap w:val="0"/>
                  <w:vAlign w:val="center"/>
                </w:tcPr>
                <w:p w14:paraId="7A8B9B29">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监管制度内容</w:t>
                  </w:r>
                </w:p>
              </w:tc>
              <w:tc>
                <w:tcPr>
                  <w:tcW w:w="2337" w:type="pct"/>
                  <w:noWrap w:val="0"/>
                  <w:vAlign w:val="center"/>
                </w:tcPr>
                <w:p w14:paraId="572F2762">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w:t>
                  </w:r>
                </w:p>
              </w:tc>
              <w:tc>
                <w:tcPr>
                  <w:tcW w:w="371" w:type="pct"/>
                  <w:noWrap w:val="0"/>
                  <w:vAlign w:val="center"/>
                </w:tcPr>
                <w:p w14:paraId="743A8F7B">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符合性</w:t>
                  </w:r>
                </w:p>
              </w:tc>
            </w:tr>
            <w:tr w14:paraId="53D13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291" w:type="pct"/>
                  <w:noWrap w:val="0"/>
                  <w:vAlign w:val="center"/>
                </w:tcPr>
                <w:p w14:paraId="671F9340">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动物医院使用面积应在150平方米以上，有相对独立的隔离室、诊疗室、普通病处置室和传染病处置室、住院室、手术室、相关检验室、器具清洗消毒室、器械药品室、办公室等工作室。</w:t>
                  </w:r>
                </w:p>
              </w:tc>
              <w:tc>
                <w:tcPr>
                  <w:tcW w:w="2337" w:type="pct"/>
                  <w:noWrap w:val="0"/>
                  <w:vAlign w:val="center"/>
                </w:tcPr>
                <w:p w14:paraId="30C3D4B5">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本项目使用面积</w:t>
                  </w:r>
                  <w:r>
                    <w:rPr>
                      <w:rFonts w:hint="eastAsia" w:cs="Times New Roman"/>
                      <w:color w:val="auto"/>
                      <w:highlight w:val="none"/>
                      <w:lang w:val="en-US" w:eastAsia="zh-CN"/>
                    </w:rPr>
                    <w:t>162.75</w:t>
                  </w:r>
                  <w:r>
                    <w:rPr>
                      <w:rFonts w:hint="default" w:ascii="Times New Roman" w:hAnsi="Times New Roman" w:cs="Times New Roman"/>
                      <w:color w:val="auto"/>
                      <w:highlight w:val="none"/>
                      <w:lang w:val="en-US" w:eastAsia="zh-CN"/>
                    </w:rPr>
                    <w:t>m</w:t>
                  </w:r>
                  <w:r>
                    <w:rPr>
                      <w:rFonts w:hint="default" w:ascii="Times New Roman" w:hAnsi="Times New Roman" w:cs="Times New Roman"/>
                      <w:color w:val="auto"/>
                      <w:highlight w:val="none"/>
                      <w:vertAlign w:val="superscript"/>
                      <w:lang w:val="en-US" w:eastAsia="zh-CN"/>
                    </w:rPr>
                    <w:t>2</w:t>
                  </w:r>
                  <w:r>
                    <w:rPr>
                      <w:rFonts w:hint="default" w:ascii="Times New Roman" w:hAnsi="Times New Roman" w:cs="Times New Roman"/>
                      <w:color w:val="auto"/>
                      <w:highlight w:val="none"/>
                      <w:lang w:val="en-US" w:eastAsia="zh-CN"/>
                    </w:rPr>
                    <w:t>，设有独立的隔离室、诊疗室、手术室、住院室、</w:t>
                  </w:r>
                  <w:r>
                    <w:rPr>
                      <w:rFonts w:hint="eastAsia" w:cs="Times New Roman"/>
                      <w:color w:val="auto"/>
                      <w:highlight w:val="none"/>
                      <w:lang w:val="en-US" w:eastAsia="zh-CN"/>
                    </w:rPr>
                    <w:t>住院部</w:t>
                  </w:r>
                  <w:r>
                    <w:rPr>
                      <w:rFonts w:hint="default" w:ascii="Times New Roman" w:hAnsi="Times New Roman" w:cs="Times New Roman"/>
                      <w:color w:val="auto"/>
                      <w:highlight w:val="none"/>
                      <w:lang w:val="en-US" w:eastAsia="zh-CN"/>
                    </w:rPr>
                    <w:t>、</w:t>
                  </w:r>
                  <w:r>
                    <w:rPr>
                      <w:rFonts w:hint="eastAsia" w:cs="Times New Roman"/>
                      <w:color w:val="auto"/>
                      <w:highlight w:val="none"/>
                      <w:lang w:val="en-US" w:eastAsia="zh-CN"/>
                    </w:rPr>
                    <w:t>化</w:t>
                  </w:r>
                  <w:r>
                    <w:rPr>
                      <w:rFonts w:hint="default" w:ascii="Times New Roman" w:hAnsi="Times New Roman" w:cs="Times New Roman"/>
                      <w:color w:val="auto"/>
                      <w:highlight w:val="none"/>
                      <w:lang w:val="en-US" w:eastAsia="zh-CN"/>
                    </w:rPr>
                    <w:t>验室、消毒室、药房、办公室等工作室等，详见平面布置图。</w:t>
                  </w:r>
                </w:p>
              </w:tc>
              <w:tc>
                <w:tcPr>
                  <w:tcW w:w="371" w:type="pct"/>
                  <w:noWrap w:val="0"/>
                  <w:vAlign w:val="center"/>
                </w:tcPr>
                <w:p w14:paraId="354DD6B3">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符合</w:t>
                  </w:r>
                </w:p>
              </w:tc>
            </w:tr>
            <w:tr w14:paraId="05D1B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291" w:type="pct"/>
                  <w:noWrap w:val="0"/>
                  <w:vAlign w:val="center"/>
                </w:tcPr>
                <w:p w14:paraId="67664596">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动物诊疗机构应有固定的营业场所，环境应整洁，距动物饲养、交易场所200米以上，距离动物屠宰和动物产品经营、加工，以及药品生产等场所3000米以上，并符合动物防疫要求。</w:t>
                  </w:r>
                </w:p>
              </w:tc>
              <w:tc>
                <w:tcPr>
                  <w:tcW w:w="2337" w:type="pct"/>
                  <w:noWrap w:val="0"/>
                  <w:vAlign w:val="center"/>
                </w:tcPr>
                <w:p w14:paraId="3EBD4C86">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本</w:t>
                  </w:r>
                  <w:r>
                    <w:rPr>
                      <w:rFonts w:hint="default" w:ascii="Times New Roman" w:hAnsi="Times New Roman" w:cs="Times New Roman"/>
                      <w:color w:val="auto"/>
                      <w:highlight w:val="none"/>
                      <w:lang w:val="en-US" w:eastAsia="zh-CN"/>
                    </w:rPr>
                    <w:t>项目租赁沿街配套商业楼，所在200m范围内不存在动物饲养、交易场所；本项目3000m范围内无动物屠宰场和动物产品经营、加工以及药品生产等场所，符合动物防疫要求。</w:t>
                  </w:r>
                </w:p>
              </w:tc>
              <w:tc>
                <w:tcPr>
                  <w:tcW w:w="371" w:type="pct"/>
                  <w:noWrap w:val="0"/>
                  <w:vAlign w:val="center"/>
                </w:tcPr>
                <w:p w14:paraId="4909816E">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符合</w:t>
                  </w:r>
                </w:p>
              </w:tc>
            </w:tr>
            <w:tr w14:paraId="3EC1B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291" w:type="pct"/>
                  <w:noWrap w:val="0"/>
                  <w:vAlign w:val="center"/>
                </w:tcPr>
                <w:p w14:paraId="14F239D7">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动物诊疗场所设有独立的出入口，出入口不得设在居民住宅楼内或者院内，不应与同一建筑物的其他用户共用通道。</w:t>
                  </w:r>
                </w:p>
              </w:tc>
              <w:tc>
                <w:tcPr>
                  <w:tcW w:w="2337" w:type="pct"/>
                  <w:noWrap w:val="0"/>
                  <w:vAlign w:val="center"/>
                </w:tcPr>
                <w:p w14:paraId="590B6711">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本项目具有独立的出入口，出入口未设在居民住宅楼内或者院内，并且未与同一建筑物的其他用户共用通道。</w:t>
                  </w:r>
                </w:p>
              </w:tc>
              <w:tc>
                <w:tcPr>
                  <w:tcW w:w="371" w:type="pct"/>
                  <w:noWrap w:val="0"/>
                  <w:vAlign w:val="center"/>
                </w:tcPr>
                <w:p w14:paraId="37BA15C4">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符合</w:t>
                  </w:r>
                </w:p>
              </w:tc>
            </w:tr>
            <w:tr w14:paraId="12AB1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9" w:hRule="atLeast"/>
              </w:trPr>
              <w:tc>
                <w:tcPr>
                  <w:tcW w:w="2291" w:type="pct"/>
                  <w:noWrap w:val="0"/>
                  <w:vAlign w:val="center"/>
                </w:tcPr>
                <w:p w14:paraId="7E280384">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动物诊疗机构应具备暂存污水、污物、病死动物及其它医疗废弃物的防止二次污染的用具，存放处应有明显标志。</w:t>
                  </w:r>
                </w:p>
              </w:tc>
              <w:tc>
                <w:tcPr>
                  <w:tcW w:w="2337" w:type="pct"/>
                  <w:noWrap w:val="0"/>
                  <w:vAlign w:val="center"/>
                </w:tcPr>
                <w:p w14:paraId="4F8557B0">
                  <w:pPr>
                    <w:pStyle w:val="30"/>
                    <w:widowControl w:val="0"/>
                    <w:bidi w:val="0"/>
                    <w:rPr>
                      <w:rFonts w:hint="default" w:ascii="Times New Roman" w:hAnsi="Times New Roman" w:cs="Times New Roman"/>
                      <w:color w:val="auto"/>
                      <w:highlight w:val="none"/>
                      <w:lang w:val="en-US" w:eastAsia="zh-CN"/>
                    </w:rPr>
                  </w:pPr>
                  <w:bookmarkStart w:id="0" w:name="OLE_LINK83"/>
                  <w:bookmarkStart w:id="1" w:name="OLE_LINK17"/>
                  <w:r>
                    <w:rPr>
                      <w:rFonts w:hint="default" w:ascii="Times New Roman" w:hAnsi="Times New Roman" w:cs="Times New Roman"/>
                      <w:color w:val="auto"/>
                      <w:highlight w:val="none"/>
                      <w:lang w:val="en-US" w:eastAsia="zh-CN"/>
                    </w:rPr>
                    <w:t>本项目医疗废水</w:t>
                  </w:r>
                  <w:r>
                    <w:rPr>
                      <w:rFonts w:hint="eastAsia" w:cs="Times New Roman"/>
                      <w:color w:val="auto"/>
                      <w:highlight w:val="none"/>
                      <w:lang w:val="en-US" w:eastAsia="zh-CN"/>
                    </w:rPr>
                    <w:t>、清洗消毒废水</w:t>
                  </w:r>
                  <w:r>
                    <w:rPr>
                      <w:rFonts w:hint="default" w:ascii="Times New Roman" w:hAnsi="Times New Roman" w:cs="Times New Roman"/>
                      <w:color w:val="auto"/>
                      <w:highlight w:val="none"/>
                      <w:lang w:val="en-US" w:eastAsia="zh-CN"/>
                    </w:rPr>
                    <w:t>经一体化污水处理设备预处理后与生活污水</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洗浴废水一同排入市政污水管网；</w:t>
                  </w:r>
                  <w:bookmarkEnd w:id="0"/>
                  <w:bookmarkEnd w:id="1"/>
                  <w:r>
                    <w:rPr>
                      <w:rFonts w:hint="default" w:ascii="Times New Roman" w:hAnsi="Times New Roman" w:cs="Times New Roman"/>
                      <w:color w:val="auto"/>
                      <w:highlight w:val="none"/>
                      <w:lang w:val="en-US" w:eastAsia="zh-CN"/>
                    </w:rPr>
                    <w:t>医疗废物分类暂存于医疗废物贮存间，并加贴危险标志，委托有资质的单位定期处置。</w:t>
                  </w:r>
                </w:p>
              </w:tc>
              <w:tc>
                <w:tcPr>
                  <w:tcW w:w="371" w:type="pct"/>
                  <w:noWrap w:val="0"/>
                  <w:vAlign w:val="center"/>
                </w:tcPr>
                <w:p w14:paraId="3A3DE8D3">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符合</w:t>
                  </w:r>
                </w:p>
              </w:tc>
            </w:tr>
          </w:tbl>
          <w:p w14:paraId="0F98823B">
            <w:pPr>
              <w:pStyle w:val="3"/>
              <w:numPr>
                <w:ilvl w:val="0"/>
                <w:numId w:val="1"/>
              </w:num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与《医疗废物管理条例》符合性分析</w:t>
            </w:r>
          </w:p>
          <w:p w14:paraId="33168422">
            <w:pPr>
              <w:pStyle w:val="31"/>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本项目与《医疗废物管理条例》符合性分析见下表。</w:t>
            </w:r>
          </w:p>
          <w:p w14:paraId="0983A163">
            <w:pPr>
              <w:pStyle w:val="29"/>
              <w:bidi w:val="0"/>
              <w:ind w:left="0" w:leftChars="0"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eastAsia="zh-CN"/>
              </w:rPr>
              <w:t>表</w:t>
            </w:r>
            <w:r>
              <w:rPr>
                <w:rFonts w:hint="default" w:ascii="Times New Roman" w:hAnsi="Times New Roman" w:cs="Times New Roman"/>
                <w:color w:val="auto"/>
                <w:highlight w:val="none"/>
                <w:lang w:val="en-US" w:eastAsia="zh-CN"/>
              </w:rPr>
              <w:t>1-</w:t>
            </w:r>
            <w:r>
              <w:rPr>
                <w:rFonts w:hint="eastAsia" w:cs="Times New Roman"/>
                <w:color w:val="auto"/>
                <w:highlight w:val="none"/>
                <w:lang w:val="en-US" w:eastAsia="zh-CN"/>
              </w:rPr>
              <w:t>4</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lang w:eastAsia="zh-CN"/>
              </w:rPr>
              <w:t>与《</w:t>
            </w:r>
            <w:r>
              <w:rPr>
                <w:rFonts w:hint="default" w:ascii="Times New Roman" w:hAnsi="Times New Roman" w:cs="Times New Roman"/>
                <w:color w:val="auto"/>
                <w:highlight w:val="none"/>
                <w:lang w:val="en-US" w:eastAsia="zh-CN"/>
              </w:rPr>
              <w:t>医疗废物管理条例</w:t>
            </w:r>
            <w:r>
              <w:rPr>
                <w:rFonts w:hint="default" w:ascii="Times New Roman" w:hAnsi="Times New Roman" w:cs="Times New Roman"/>
                <w:color w:val="auto"/>
                <w:highlight w:val="none"/>
                <w:lang w:eastAsia="zh-CN"/>
              </w:rPr>
              <w:t>》符合性分析一览表</w:t>
            </w:r>
          </w:p>
          <w:tbl>
            <w:tblPr>
              <w:tblStyle w:val="1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46"/>
              <w:gridCol w:w="2753"/>
              <w:gridCol w:w="751"/>
            </w:tblGrid>
            <w:tr w14:paraId="20067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82" w:type="pct"/>
                  <w:noWrap w:val="0"/>
                  <w:vAlign w:val="center"/>
                </w:tcPr>
                <w:p w14:paraId="79A88F87">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管理条例内容</w:t>
                  </w:r>
                </w:p>
              </w:tc>
              <w:tc>
                <w:tcPr>
                  <w:tcW w:w="1898" w:type="pct"/>
                  <w:noWrap w:val="0"/>
                  <w:vAlign w:val="center"/>
                </w:tcPr>
                <w:p w14:paraId="253249A3">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w:t>
                  </w:r>
                </w:p>
              </w:tc>
              <w:tc>
                <w:tcPr>
                  <w:tcW w:w="518" w:type="pct"/>
                  <w:noWrap w:val="0"/>
                  <w:vAlign w:val="center"/>
                </w:tcPr>
                <w:p w14:paraId="13976894">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符合性</w:t>
                  </w:r>
                </w:p>
              </w:tc>
            </w:tr>
            <w:tr w14:paraId="4C4B8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82" w:type="pct"/>
                  <w:noWrap w:val="0"/>
                  <w:vAlign w:val="center"/>
                </w:tcPr>
                <w:p w14:paraId="50C678DA">
                  <w:pPr>
                    <w:pStyle w:val="30"/>
                    <w:widowControl w:val="0"/>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t>医疗卫生机构应当及时收集本单位产生的医疗废物，并按照类别分置于防渗漏、防锐器穿透的专用包装物或者密闭的容器内。医疗废物专用包装物、容器，应当有明显的警示标识和警示说明。医疗废物专用包装物、容器的标准和警示标识 的规定，由国务院卫生行政主管部门和环境保护行政主管部门共同制定。</w:t>
                  </w:r>
                </w:p>
              </w:tc>
              <w:tc>
                <w:tcPr>
                  <w:tcW w:w="1898" w:type="pct"/>
                  <w:noWrap w:val="0"/>
                  <w:vAlign w:val="center"/>
                </w:tcPr>
                <w:p w14:paraId="1341AFD6">
                  <w:pPr>
                    <w:pStyle w:val="30"/>
                    <w:widowControl w:val="0"/>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t>本项目产生的医疗废物分类暂存于</w:t>
                  </w:r>
                  <w:r>
                    <w:rPr>
                      <w:rFonts w:hint="default" w:ascii="Times New Roman" w:hAnsi="Times New Roman" w:cs="Times New Roman"/>
                      <w:color w:val="auto"/>
                      <w:highlight w:val="none"/>
                      <w:lang w:eastAsia="zh-CN"/>
                    </w:rPr>
                    <w:t>医疗废物贮存间</w:t>
                  </w:r>
                  <w:r>
                    <w:rPr>
                      <w:rFonts w:hint="default" w:ascii="Times New Roman" w:hAnsi="Times New Roman" w:cs="Times New Roman"/>
                      <w:color w:val="auto"/>
                      <w:highlight w:val="none"/>
                    </w:rPr>
                    <w:t>，并加贴危险标志，委托有资质的单位定期处置</w:t>
                  </w:r>
                  <w:r>
                    <w:rPr>
                      <w:rFonts w:hint="default" w:ascii="Times New Roman" w:hAnsi="Times New Roman" w:cs="Times New Roman"/>
                      <w:color w:val="auto"/>
                      <w:highlight w:val="none"/>
                      <w:lang w:eastAsia="zh-CN"/>
                    </w:rPr>
                    <w:t>。</w:t>
                  </w:r>
                </w:p>
              </w:tc>
              <w:tc>
                <w:tcPr>
                  <w:tcW w:w="518" w:type="pct"/>
                  <w:noWrap w:val="0"/>
                  <w:vAlign w:val="center"/>
                </w:tcPr>
                <w:p w14:paraId="709002C9">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符合</w:t>
                  </w:r>
                </w:p>
              </w:tc>
            </w:tr>
            <w:tr w14:paraId="0016E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82" w:type="pct"/>
                  <w:noWrap w:val="0"/>
                  <w:vAlign w:val="center"/>
                </w:tcPr>
                <w:p w14:paraId="33651E6B">
                  <w:pPr>
                    <w:pStyle w:val="30"/>
                    <w:widowControl w:val="0"/>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t>医疗卫生机构应当建立医疗废物的暂时贮存设施、设备，不得露天存放医疗废物；医疗废物暂时贮存的时间不得超过 2 天；医疗废物的暂时贮存设施、设备，应当远离医疗区、食品加工区和人员活动区以及生活垃圾存放场所，并设置明显的 警示标识和防渗漏、防鼠、 防蚊蝇、防蟑螂、防盗以及预防儿童接触等安全措施； 医疗废物的暂时贮存设施、 设备应当定期消毒和清洁；</w:t>
                  </w:r>
                </w:p>
              </w:tc>
              <w:tc>
                <w:tcPr>
                  <w:tcW w:w="1898" w:type="pct"/>
                  <w:noWrap w:val="0"/>
                  <w:vAlign w:val="center"/>
                </w:tcPr>
                <w:p w14:paraId="0C733CA7">
                  <w:pPr>
                    <w:pStyle w:val="30"/>
                    <w:widowControl w:val="0"/>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本项目在</w:t>
                  </w:r>
                  <w:r>
                    <w:rPr>
                      <w:rFonts w:hint="eastAsia" w:cs="Times New Roman"/>
                      <w:color w:val="auto"/>
                      <w:highlight w:val="none"/>
                      <w:lang w:val="en-US" w:eastAsia="zh-CN"/>
                    </w:rPr>
                    <w:t>负</w:t>
                  </w:r>
                  <w:r>
                    <w:rPr>
                      <w:rFonts w:hint="default" w:ascii="Times New Roman" w:hAnsi="Times New Roman" w:cs="Times New Roman"/>
                      <w:color w:val="auto"/>
                      <w:highlight w:val="none"/>
                      <w:lang w:eastAsia="zh-CN"/>
                    </w:rPr>
                    <w:t>一层设有专门的医疗废物贮存间，</w:t>
                  </w:r>
                  <w:r>
                    <w:rPr>
                      <w:rFonts w:hint="default" w:ascii="Times New Roman" w:hAnsi="Times New Roman" w:cs="Times New Roman"/>
                      <w:color w:val="auto"/>
                      <w:highlight w:val="none"/>
                      <w:lang w:val="en-US" w:eastAsia="zh-CN"/>
                    </w:rPr>
                    <w:t>占地</w:t>
                  </w:r>
                  <w:r>
                    <w:rPr>
                      <w:rFonts w:hint="default" w:ascii="Times New Roman" w:hAnsi="Times New Roman" w:cs="Times New Roman"/>
                      <w:color w:val="auto"/>
                      <w:highlight w:val="none"/>
                      <w:lang w:eastAsia="zh-CN"/>
                    </w:rPr>
                    <w:t>面积</w:t>
                  </w:r>
                  <w:r>
                    <w:rPr>
                      <w:rFonts w:hint="eastAsia" w:cs="Times New Roman"/>
                      <w:color w:val="auto"/>
                      <w:highlight w:val="none"/>
                      <w:lang w:val="en-US" w:eastAsia="zh-CN"/>
                    </w:rPr>
                    <w:t>2.5m</w:t>
                  </w:r>
                  <w:r>
                    <w:rPr>
                      <w:rFonts w:hint="eastAsia" w:cs="Times New Roman"/>
                      <w:color w:val="auto"/>
                      <w:highlight w:val="none"/>
                      <w:vertAlign w:val="superscript"/>
                      <w:lang w:val="en-US" w:eastAsia="zh-CN"/>
                    </w:rPr>
                    <w:t>2</w:t>
                  </w:r>
                  <w:r>
                    <w:rPr>
                      <w:rFonts w:hint="default" w:ascii="Times New Roman" w:hAnsi="Times New Roman" w:cs="Times New Roman"/>
                      <w:color w:val="auto"/>
                      <w:highlight w:val="none"/>
                      <w:lang w:eastAsia="zh-CN"/>
                    </w:rPr>
                    <w:t>，医疗废物暂存于带盖封闭的桶内，桶上贴上标签，详细标明危险废物的名称、质量、</w:t>
                  </w:r>
                  <w:r>
                    <w:rPr>
                      <w:rFonts w:hint="eastAsia" w:cs="Times New Roman"/>
                      <w:color w:val="auto"/>
                      <w:highlight w:val="none"/>
                      <w:lang w:eastAsia="zh-CN"/>
                    </w:rPr>
                    <w:t>成分</w:t>
                  </w:r>
                  <w:r>
                    <w:rPr>
                      <w:rFonts w:hint="default" w:ascii="Times New Roman" w:hAnsi="Times New Roman" w:cs="Times New Roman"/>
                      <w:color w:val="auto"/>
                      <w:highlight w:val="none"/>
                      <w:lang w:eastAsia="zh-CN"/>
                    </w:rPr>
                    <w:t>、特性；暂存间内设置危废识别标志，建立危险废物管理台账。与医疗区、食品加工区及人员活动区、生活垃圾存放区保持距离。</w:t>
                  </w:r>
                </w:p>
              </w:tc>
              <w:tc>
                <w:tcPr>
                  <w:tcW w:w="518" w:type="pct"/>
                  <w:noWrap w:val="0"/>
                  <w:vAlign w:val="center"/>
                </w:tcPr>
                <w:p w14:paraId="5128C7EA">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符合</w:t>
                  </w:r>
                </w:p>
              </w:tc>
            </w:tr>
            <w:tr w14:paraId="314E9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82" w:type="pct"/>
                  <w:noWrap w:val="0"/>
                  <w:vAlign w:val="center"/>
                </w:tcPr>
                <w:p w14:paraId="1D937AA6">
                  <w:pPr>
                    <w:pStyle w:val="30"/>
                    <w:widowControl w:val="0"/>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t>医疗卫生机构应当使用</w:t>
                  </w:r>
                  <w:r>
                    <w:rPr>
                      <w:rFonts w:hint="default" w:ascii="Times New Roman" w:hAnsi="Times New Roman" w:cs="Times New Roman"/>
                      <w:color w:val="auto"/>
                      <w:highlight w:val="none"/>
                      <w:lang w:val="en-US" w:eastAsia="zh-CN"/>
                    </w:rPr>
                    <w:t>防渗</w:t>
                  </w:r>
                  <w:r>
                    <w:rPr>
                      <w:rFonts w:hint="default" w:ascii="Times New Roman" w:hAnsi="Times New Roman" w:cs="Times New Roman"/>
                      <w:color w:val="auto"/>
                      <w:highlight w:val="none"/>
                    </w:rPr>
                    <w:t>漏、防遗撒的专用运送工具，按照本单位确定的内部医疗废物运送时间、路线， 将医疗废物收集、运送至暂时贮存地点；运送工具使用后应当在医疗卫生机构内指定的地点及时消毒和清洁。</w:t>
                  </w:r>
                </w:p>
              </w:tc>
              <w:tc>
                <w:tcPr>
                  <w:tcW w:w="1898" w:type="pct"/>
                  <w:noWrap w:val="0"/>
                  <w:vAlign w:val="center"/>
                </w:tcPr>
                <w:p w14:paraId="42408A59">
                  <w:pPr>
                    <w:pStyle w:val="30"/>
                    <w:widowControl w:val="0"/>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t>本项目产生的医疗废物分类暂存于</w:t>
                  </w:r>
                  <w:r>
                    <w:rPr>
                      <w:rFonts w:hint="default" w:ascii="Times New Roman" w:hAnsi="Times New Roman" w:cs="Times New Roman"/>
                      <w:color w:val="auto"/>
                      <w:highlight w:val="none"/>
                      <w:lang w:eastAsia="zh-CN"/>
                    </w:rPr>
                    <w:t>医疗废物贮存间</w:t>
                  </w:r>
                  <w:r>
                    <w:rPr>
                      <w:rFonts w:hint="default" w:ascii="Times New Roman" w:hAnsi="Times New Roman" w:cs="Times New Roman"/>
                      <w:color w:val="auto"/>
                      <w:highlight w:val="none"/>
                    </w:rPr>
                    <w:t>，并加贴危险标志，委托有资质的单位定期处置。</w:t>
                  </w:r>
                </w:p>
              </w:tc>
              <w:tc>
                <w:tcPr>
                  <w:tcW w:w="518" w:type="pct"/>
                  <w:noWrap w:val="0"/>
                  <w:vAlign w:val="center"/>
                </w:tcPr>
                <w:p w14:paraId="2E3C604F">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符合</w:t>
                  </w:r>
                </w:p>
              </w:tc>
            </w:tr>
            <w:tr w14:paraId="4519A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82" w:type="pct"/>
                  <w:noWrap w:val="0"/>
                  <w:vAlign w:val="center"/>
                </w:tcPr>
                <w:p w14:paraId="2C43A3AB">
                  <w:pPr>
                    <w:pStyle w:val="30"/>
                    <w:widowControl w:val="0"/>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t>医疗卫生机构应当根据就近集中处置的原则，及时将医疗废物交由医疗废物集中处置单位处置。医疗废物中病原体的培养基、标本和菌种、毒种保存液等高危险废物，</w:t>
                  </w:r>
                  <w:r>
                    <w:rPr>
                      <w:rFonts w:hint="default" w:ascii="Times New Roman" w:hAnsi="Times New Roman" w:cs="Times New Roman"/>
                      <w:color w:val="auto"/>
                      <w:highlight w:val="none"/>
                      <w:lang w:eastAsia="zh-CN"/>
                    </w:rPr>
                    <w:t>在</w:t>
                  </w:r>
                  <w:r>
                    <w:rPr>
                      <w:rFonts w:hint="default" w:ascii="Times New Roman" w:hAnsi="Times New Roman" w:cs="Times New Roman"/>
                      <w:color w:val="auto"/>
                      <w:highlight w:val="none"/>
                    </w:rPr>
                    <w:t>医疗废物集中处置单位处置前应当就地消毒。</w:t>
                  </w:r>
                </w:p>
              </w:tc>
              <w:tc>
                <w:tcPr>
                  <w:tcW w:w="1898" w:type="pct"/>
                  <w:noWrap w:val="0"/>
                  <w:vAlign w:val="center"/>
                </w:tcPr>
                <w:p w14:paraId="659B5C81">
                  <w:pPr>
                    <w:pStyle w:val="30"/>
                    <w:widowControl w:val="0"/>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t>本项目医疗废物交由医疗废物集中处置单位处理；宠物医院内</w:t>
                  </w:r>
                  <w:r>
                    <w:rPr>
                      <w:rFonts w:hint="default" w:ascii="Times New Roman" w:hAnsi="Times New Roman" w:cs="Times New Roman"/>
                      <w:color w:val="auto"/>
                      <w:highlight w:val="none"/>
                      <w:lang w:eastAsia="zh-CN"/>
                    </w:rPr>
                    <w:t>医疗废物贮存间</w:t>
                  </w:r>
                  <w:r>
                    <w:rPr>
                      <w:rFonts w:hint="default" w:ascii="Times New Roman" w:hAnsi="Times New Roman" w:cs="Times New Roman"/>
                      <w:color w:val="auto"/>
                      <w:highlight w:val="none"/>
                    </w:rPr>
                    <w:t>使用紫外灯进行日常杀菌消毒，废紫外线灯管</w:t>
                  </w:r>
                  <w:r>
                    <w:rPr>
                      <w:rFonts w:hint="default" w:ascii="Times New Roman" w:hAnsi="Times New Roman" w:cs="Times New Roman"/>
                      <w:color w:val="auto"/>
                      <w:highlight w:val="none"/>
                      <w:lang w:val="en-US" w:eastAsia="zh-CN"/>
                    </w:rPr>
                    <w:t>和医疗废物</w:t>
                  </w:r>
                  <w:r>
                    <w:rPr>
                      <w:rFonts w:hint="default" w:ascii="Times New Roman" w:hAnsi="Times New Roman" w:cs="Times New Roman"/>
                      <w:color w:val="auto"/>
                      <w:highlight w:val="none"/>
                    </w:rPr>
                    <w:t>暂存于</w:t>
                  </w:r>
                  <w:r>
                    <w:rPr>
                      <w:rFonts w:hint="default" w:ascii="Times New Roman" w:hAnsi="Times New Roman" w:cs="Times New Roman"/>
                      <w:color w:val="auto"/>
                      <w:highlight w:val="none"/>
                      <w:lang w:eastAsia="zh-CN"/>
                    </w:rPr>
                    <w:t>医疗废物贮存间</w:t>
                  </w:r>
                  <w:r>
                    <w:rPr>
                      <w:rFonts w:hint="default" w:ascii="Times New Roman" w:hAnsi="Times New Roman" w:cs="Times New Roman"/>
                      <w:color w:val="auto"/>
                      <w:highlight w:val="none"/>
                    </w:rPr>
                    <w:t>内</w:t>
                  </w:r>
                  <w:r>
                    <w:rPr>
                      <w:rFonts w:hint="default" w:ascii="Times New Roman" w:hAnsi="Times New Roman" w:cs="Times New Roman"/>
                      <w:color w:val="auto"/>
                      <w:highlight w:val="none"/>
                      <w:lang w:val="en-US" w:eastAsia="zh-CN"/>
                    </w:rPr>
                    <w:t>分区贮存</w:t>
                  </w:r>
                  <w:r>
                    <w:rPr>
                      <w:rFonts w:hint="default" w:ascii="Times New Roman" w:hAnsi="Times New Roman" w:cs="Times New Roman"/>
                      <w:color w:val="auto"/>
                      <w:highlight w:val="none"/>
                    </w:rPr>
                    <w:t>，委托有资质的单位定期处置。</w:t>
                  </w:r>
                </w:p>
              </w:tc>
              <w:tc>
                <w:tcPr>
                  <w:tcW w:w="518" w:type="pct"/>
                  <w:noWrap w:val="0"/>
                  <w:vAlign w:val="center"/>
                </w:tcPr>
                <w:p w14:paraId="76A887AA">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符合</w:t>
                  </w:r>
                </w:p>
              </w:tc>
            </w:tr>
            <w:tr w14:paraId="3AD90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82" w:type="pct"/>
                  <w:noWrap w:val="0"/>
                  <w:vAlign w:val="center"/>
                </w:tcPr>
                <w:p w14:paraId="03633637">
                  <w:pPr>
                    <w:pStyle w:val="30"/>
                    <w:widowControl w:val="0"/>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t>医疗卫生机构产生的污水、 传染病病人或者疑似传染病病人的排泄物，应当按照国家规定严格消毒；达到国家规定的排放标准后，方可排入污水处理系统。</w:t>
                  </w:r>
                </w:p>
              </w:tc>
              <w:tc>
                <w:tcPr>
                  <w:tcW w:w="1898" w:type="pct"/>
                  <w:noWrap w:val="0"/>
                  <w:vAlign w:val="center"/>
                </w:tcPr>
                <w:p w14:paraId="2ECCB53C">
                  <w:pPr>
                    <w:pStyle w:val="30"/>
                    <w:widowControl w:val="0"/>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t>本项目医疗废水</w:t>
                  </w:r>
                  <w:r>
                    <w:rPr>
                      <w:rFonts w:hint="eastAsia" w:cs="Times New Roman"/>
                      <w:color w:val="auto"/>
                      <w:highlight w:val="none"/>
                      <w:lang w:eastAsia="zh-CN"/>
                    </w:rPr>
                    <w:t>、</w:t>
                  </w:r>
                  <w:r>
                    <w:rPr>
                      <w:rFonts w:hint="eastAsia" w:cs="Times New Roman"/>
                      <w:color w:val="auto"/>
                      <w:highlight w:val="none"/>
                      <w:lang w:val="en-US" w:eastAsia="zh-CN"/>
                    </w:rPr>
                    <w:t>清洗消毒废水</w:t>
                  </w:r>
                  <w:r>
                    <w:rPr>
                      <w:rFonts w:hint="default" w:ascii="Times New Roman" w:hAnsi="Times New Roman" w:cs="Times New Roman"/>
                      <w:color w:val="auto"/>
                      <w:highlight w:val="none"/>
                    </w:rPr>
                    <w:t>收集后经医疗废水处理设备处理</w:t>
                  </w:r>
                  <w:r>
                    <w:rPr>
                      <w:rFonts w:hint="eastAsia" w:cs="Times New Roman"/>
                      <w:color w:val="auto"/>
                      <w:highlight w:val="none"/>
                      <w:lang w:eastAsia="zh-CN"/>
                    </w:rPr>
                    <w:t>“滤筛+氯片</w:t>
                  </w:r>
                  <w:r>
                    <w:rPr>
                      <w:rFonts w:hint="default" w:ascii="Times New Roman" w:hAnsi="Times New Roman" w:cs="Times New Roman"/>
                      <w:color w:val="auto"/>
                      <w:highlight w:val="none"/>
                    </w:rPr>
                    <w:t>消毒</w:t>
                  </w:r>
                  <w:r>
                    <w:rPr>
                      <w:rFonts w:hint="eastAsia" w:cs="Times New Roman"/>
                      <w:color w:val="auto"/>
                      <w:highlight w:val="none"/>
                      <w:lang w:eastAsia="zh-CN"/>
                    </w:rPr>
                    <w:t>”</w:t>
                  </w:r>
                  <w:r>
                    <w:rPr>
                      <w:rFonts w:hint="default" w:ascii="Times New Roman" w:hAnsi="Times New Roman" w:cs="Times New Roman"/>
                      <w:color w:val="auto"/>
                      <w:highlight w:val="none"/>
                    </w:rPr>
                    <w:t>后与动物美容废水、生活污水一起排入市政下水管网。</w:t>
                  </w:r>
                </w:p>
              </w:tc>
              <w:tc>
                <w:tcPr>
                  <w:tcW w:w="518" w:type="pct"/>
                  <w:noWrap w:val="0"/>
                  <w:vAlign w:val="center"/>
                </w:tcPr>
                <w:p w14:paraId="0764B65F">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符合</w:t>
                  </w:r>
                </w:p>
              </w:tc>
            </w:tr>
          </w:tbl>
          <w:p w14:paraId="76022501">
            <w:pPr>
              <w:pStyle w:val="3"/>
              <w:bidi w:val="0"/>
              <w:spacing w:line="360" w:lineRule="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5</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与</w:t>
            </w:r>
            <w:r>
              <w:rPr>
                <w:rFonts w:hint="default" w:ascii="Times New Roman" w:hAnsi="Times New Roman" w:cs="Times New Roman"/>
                <w:color w:val="auto"/>
                <w:highlight w:val="none"/>
                <w:lang w:eastAsia="zh-CN"/>
              </w:rPr>
              <w:t>《关于深入打好污染防治攻坚战的实施方案》</w:t>
            </w:r>
            <w:r>
              <w:rPr>
                <w:rFonts w:hint="default" w:ascii="Times New Roman" w:hAnsi="Times New Roman" w:cs="Times New Roman"/>
                <w:color w:val="auto"/>
                <w:highlight w:val="none"/>
                <w:lang w:val="en-US" w:eastAsia="zh-CN"/>
              </w:rPr>
              <w:t>相符性分析</w:t>
            </w:r>
          </w:p>
          <w:p w14:paraId="5960EBD4">
            <w:pPr>
              <w:autoSpaceDE w:val="0"/>
              <w:autoSpaceDN w:val="0"/>
              <w:adjustRightInd w:val="0"/>
              <w:snapToGrid w:val="0"/>
              <w:spacing w:line="360" w:lineRule="auto"/>
              <w:ind w:firstLine="480"/>
              <w:rPr>
                <w:rFonts w:hint="default" w:ascii="Times New Roman" w:hAnsi="Times New Roman" w:cs="Times New Roman"/>
                <w:color w:val="auto"/>
                <w:spacing w:val="6"/>
                <w:sz w:val="24"/>
                <w:szCs w:val="24"/>
                <w:highlight w:val="none"/>
                <w:lang w:val="en-US" w:eastAsia="zh-CN"/>
              </w:rPr>
            </w:pPr>
            <w:r>
              <w:rPr>
                <w:rFonts w:hint="default" w:ascii="Times New Roman" w:hAnsi="Times New Roman" w:cs="Times New Roman"/>
                <w:color w:val="auto"/>
                <w:spacing w:val="6"/>
                <w:sz w:val="24"/>
                <w:szCs w:val="24"/>
                <w:highlight w:val="none"/>
                <w:lang w:val="en-US" w:eastAsia="zh-CN"/>
              </w:rPr>
              <w:t>《关于深入打好污染防治攻坚战的实施方案》提出</w:t>
            </w:r>
            <w:r>
              <w:rPr>
                <w:rFonts w:hint="eastAsia" w:cs="Times New Roman"/>
                <w:color w:val="auto"/>
                <w:spacing w:val="6"/>
                <w:sz w:val="24"/>
                <w:szCs w:val="24"/>
                <w:highlight w:val="none"/>
                <w:lang w:val="en-US" w:eastAsia="zh-CN"/>
              </w:rPr>
              <w:t>“</w:t>
            </w:r>
            <w:r>
              <w:rPr>
                <w:rFonts w:hint="default" w:ascii="Times New Roman" w:hAnsi="Times New Roman" w:cs="Times New Roman"/>
                <w:color w:val="auto"/>
                <w:spacing w:val="6"/>
                <w:sz w:val="24"/>
                <w:szCs w:val="24"/>
                <w:highlight w:val="none"/>
                <w:lang w:val="en-US" w:eastAsia="zh-CN"/>
              </w:rPr>
              <w:t>加强生态环境分区管控。贯彻落实《新疆维吾尔自治区国土空间规划（2021—2035年）》《新疆维吾尔自治区</w:t>
            </w:r>
            <w:r>
              <w:rPr>
                <w:rFonts w:hint="eastAsia" w:cs="Times New Roman"/>
                <w:color w:val="auto"/>
                <w:spacing w:val="6"/>
                <w:sz w:val="24"/>
                <w:szCs w:val="24"/>
                <w:highlight w:val="none"/>
                <w:lang w:val="en-US" w:eastAsia="zh-CN"/>
              </w:rPr>
              <w:t>“</w:t>
            </w:r>
            <w:r>
              <w:rPr>
                <w:rFonts w:hint="default" w:ascii="Times New Roman" w:hAnsi="Times New Roman" w:cs="Times New Roman"/>
                <w:color w:val="auto"/>
                <w:spacing w:val="6"/>
                <w:sz w:val="24"/>
                <w:szCs w:val="24"/>
                <w:highlight w:val="none"/>
                <w:lang w:val="en-US" w:eastAsia="zh-CN"/>
              </w:rPr>
              <w:t>三线一单</w:t>
            </w:r>
            <w:r>
              <w:rPr>
                <w:rFonts w:hint="eastAsia" w:cs="Times New Roman"/>
                <w:color w:val="auto"/>
                <w:spacing w:val="6"/>
                <w:sz w:val="24"/>
                <w:szCs w:val="24"/>
                <w:highlight w:val="none"/>
                <w:lang w:val="en-US" w:eastAsia="zh-CN"/>
              </w:rPr>
              <w:t>”</w:t>
            </w:r>
            <w:r>
              <w:rPr>
                <w:rFonts w:hint="default" w:ascii="Times New Roman" w:hAnsi="Times New Roman" w:cs="Times New Roman"/>
                <w:color w:val="auto"/>
                <w:spacing w:val="6"/>
                <w:sz w:val="24"/>
                <w:szCs w:val="24"/>
                <w:highlight w:val="none"/>
                <w:lang w:val="en-US" w:eastAsia="zh-CN"/>
              </w:rPr>
              <w:t>生态环境分区管控方案》相关要求，将生态保护红线、环境质量底线、资源利用上线的硬约束落实到环境管控单元。建立差别化的生态环境准入清单，加强</w:t>
            </w:r>
            <w:r>
              <w:rPr>
                <w:rFonts w:hint="eastAsia" w:cs="Times New Roman"/>
                <w:color w:val="auto"/>
                <w:spacing w:val="6"/>
                <w:sz w:val="24"/>
                <w:szCs w:val="24"/>
                <w:highlight w:val="none"/>
                <w:lang w:val="en-US" w:eastAsia="zh-CN"/>
              </w:rPr>
              <w:t>“</w:t>
            </w:r>
            <w:r>
              <w:rPr>
                <w:rFonts w:hint="default" w:ascii="Times New Roman" w:hAnsi="Times New Roman" w:cs="Times New Roman"/>
                <w:color w:val="auto"/>
                <w:spacing w:val="6"/>
                <w:sz w:val="24"/>
                <w:szCs w:val="24"/>
                <w:highlight w:val="none"/>
                <w:lang w:val="en-US" w:eastAsia="zh-CN"/>
              </w:rPr>
              <w:t>三线一单</w:t>
            </w:r>
            <w:r>
              <w:rPr>
                <w:rFonts w:hint="eastAsia" w:cs="Times New Roman"/>
                <w:color w:val="auto"/>
                <w:spacing w:val="6"/>
                <w:sz w:val="24"/>
                <w:szCs w:val="24"/>
                <w:highlight w:val="none"/>
                <w:lang w:val="en-US" w:eastAsia="zh-CN"/>
              </w:rPr>
              <w:t>”</w:t>
            </w:r>
            <w:r>
              <w:rPr>
                <w:rFonts w:hint="default" w:ascii="Times New Roman" w:hAnsi="Times New Roman" w:cs="Times New Roman"/>
                <w:color w:val="auto"/>
                <w:spacing w:val="6"/>
                <w:sz w:val="24"/>
                <w:szCs w:val="24"/>
                <w:highlight w:val="none"/>
                <w:lang w:val="en-US" w:eastAsia="zh-CN"/>
              </w:rPr>
              <w:t>成果在政策制定、环境准入、园区管理、监管执法等方面的应用。健全以环评制度为主体的源头预防体系，严格规划环评审查和项目环评准入，开展重大经济技术政策的生态环境影响分析和重大生态环境政策的社会经济影响评估。严密防控环境风险。开展涉危险废物涉重金属企业、化工园区等重点领域环境风险调查评估和隐患排查，严格落实重点行业、重点重金属污染物减排要求，加强重点行业重金属污染综合治理。推动疆内危险废物处置能力与产废情况总体匹配，推进兵地统筹，实现兵地间、区域间危险废物转移无缝衔接。</w:t>
            </w:r>
            <w:r>
              <w:rPr>
                <w:rFonts w:hint="eastAsia" w:cs="Times New Roman"/>
                <w:color w:val="auto"/>
                <w:spacing w:val="6"/>
                <w:sz w:val="24"/>
                <w:szCs w:val="24"/>
                <w:highlight w:val="none"/>
                <w:lang w:val="en-US" w:eastAsia="zh-CN"/>
              </w:rPr>
              <w:t>”</w:t>
            </w:r>
          </w:p>
          <w:p w14:paraId="7992E809">
            <w:pPr>
              <w:autoSpaceDE w:val="0"/>
              <w:autoSpaceDN w:val="0"/>
              <w:adjustRightInd w:val="0"/>
              <w:snapToGrid w:val="0"/>
              <w:spacing w:line="360" w:lineRule="auto"/>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w:t>
            </w:r>
            <w:r>
              <w:rPr>
                <w:rFonts w:hint="default" w:ascii="Times New Roman" w:hAnsi="Times New Roman" w:cs="Times New Roman"/>
                <w:color w:val="auto"/>
                <w:highlight w:val="none"/>
                <w:lang w:val="en-US" w:eastAsia="zh-CN"/>
              </w:rPr>
              <w:t>不属于重点行业，项目内</w:t>
            </w:r>
            <w:r>
              <w:rPr>
                <w:rFonts w:hint="default" w:ascii="Times New Roman" w:hAnsi="Times New Roman" w:cs="Times New Roman"/>
                <w:color w:val="auto"/>
                <w:highlight w:val="none"/>
              </w:rPr>
              <w:t>医疗废物交由医疗废物集中处置单位处理；宠物医院内</w:t>
            </w:r>
            <w:r>
              <w:rPr>
                <w:rFonts w:hint="default" w:ascii="Times New Roman" w:hAnsi="Times New Roman" w:cs="Times New Roman"/>
                <w:color w:val="auto"/>
                <w:highlight w:val="none"/>
                <w:lang w:eastAsia="zh-CN"/>
              </w:rPr>
              <w:t>医疗废物贮存间</w:t>
            </w:r>
            <w:r>
              <w:rPr>
                <w:rFonts w:hint="default" w:ascii="Times New Roman" w:hAnsi="Times New Roman" w:cs="Times New Roman"/>
                <w:color w:val="auto"/>
                <w:highlight w:val="none"/>
              </w:rPr>
              <w:t>使用紫外灯进行日常杀菌消毒，废紫外线灯管</w:t>
            </w:r>
            <w:r>
              <w:rPr>
                <w:rFonts w:hint="default" w:ascii="Times New Roman" w:hAnsi="Times New Roman" w:cs="Times New Roman"/>
                <w:color w:val="auto"/>
                <w:highlight w:val="none"/>
                <w:lang w:val="en-US" w:eastAsia="zh-CN"/>
              </w:rPr>
              <w:t>和医疗废物</w:t>
            </w:r>
            <w:r>
              <w:rPr>
                <w:rFonts w:hint="default" w:ascii="Times New Roman" w:hAnsi="Times New Roman" w:cs="Times New Roman"/>
                <w:color w:val="auto"/>
                <w:highlight w:val="none"/>
              </w:rPr>
              <w:t>暂存于</w:t>
            </w:r>
            <w:r>
              <w:rPr>
                <w:rFonts w:hint="default" w:ascii="Times New Roman" w:hAnsi="Times New Roman" w:cs="Times New Roman"/>
                <w:color w:val="auto"/>
                <w:highlight w:val="none"/>
                <w:lang w:eastAsia="zh-CN"/>
              </w:rPr>
              <w:t>医疗废物贮存间</w:t>
            </w:r>
            <w:r>
              <w:rPr>
                <w:rFonts w:hint="default" w:ascii="Times New Roman" w:hAnsi="Times New Roman" w:cs="Times New Roman"/>
                <w:color w:val="auto"/>
                <w:highlight w:val="none"/>
              </w:rPr>
              <w:t>内</w:t>
            </w:r>
            <w:r>
              <w:rPr>
                <w:rFonts w:hint="default" w:ascii="Times New Roman" w:hAnsi="Times New Roman" w:cs="Times New Roman"/>
                <w:color w:val="auto"/>
                <w:highlight w:val="none"/>
                <w:lang w:val="en-US" w:eastAsia="zh-CN"/>
              </w:rPr>
              <w:t>分区贮存</w:t>
            </w:r>
            <w:r>
              <w:rPr>
                <w:rFonts w:hint="default" w:ascii="Times New Roman" w:hAnsi="Times New Roman" w:cs="Times New Roman"/>
                <w:color w:val="auto"/>
                <w:highlight w:val="none"/>
              </w:rPr>
              <w:t>，委托有资质的单位定期处置。</w:t>
            </w:r>
          </w:p>
          <w:p w14:paraId="6033DB2C">
            <w:pPr>
              <w:pStyle w:val="3"/>
              <w:bidi w:val="0"/>
              <w:spacing w:line="360" w:lineRule="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6</w:t>
            </w:r>
            <w:r>
              <w:rPr>
                <w:rFonts w:hint="default" w:ascii="Times New Roman" w:hAnsi="Times New Roman" w:cs="Times New Roman"/>
                <w:color w:val="auto"/>
                <w:highlight w:val="none"/>
                <w:lang w:eastAsia="zh-CN"/>
              </w:rPr>
              <w:t>、与《动物诊疗机构管理办法》（农业农村部令2022年第5号）符合性</w:t>
            </w:r>
            <w:r>
              <w:rPr>
                <w:rFonts w:hint="default" w:ascii="Times New Roman" w:hAnsi="Times New Roman" w:cs="Times New Roman"/>
                <w:color w:val="auto"/>
                <w:highlight w:val="none"/>
                <w:lang w:val="en-US" w:eastAsia="zh-CN"/>
              </w:rPr>
              <w:t>分析</w:t>
            </w:r>
          </w:p>
          <w:p w14:paraId="58D42F39">
            <w:pPr>
              <w:pStyle w:val="29"/>
              <w:bidi w:val="0"/>
              <w:ind w:left="0" w:leftChars="0"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eastAsia="zh-CN"/>
              </w:rPr>
              <w:t>表</w:t>
            </w:r>
            <w:r>
              <w:rPr>
                <w:rFonts w:hint="default" w:ascii="Times New Roman" w:hAnsi="Times New Roman" w:cs="Times New Roman"/>
                <w:color w:val="auto"/>
                <w:highlight w:val="none"/>
                <w:lang w:val="en-US" w:eastAsia="zh-CN"/>
              </w:rPr>
              <w:t xml:space="preserve">1-5   </w:t>
            </w:r>
            <w:r>
              <w:rPr>
                <w:rFonts w:hint="default" w:ascii="Times New Roman" w:hAnsi="Times New Roman" w:cs="Times New Roman"/>
                <w:color w:val="auto"/>
                <w:highlight w:val="none"/>
                <w:lang w:eastAsia="zh-CN"/>
              </w:rPr>
              <w:t>与《动物诊疗机构管理办法》符合性分析一览表</w:t>
            </w:r>
          </w:p>
          <w:tbl>
            <w:tblPr>
              <w:tblStyle w:val="1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33"/>
              <w:gridCol w:w="2866"/>
              <w:gridCol w:w="751"/>
            </w:tblGrid>
            <w:tr w14:paraId="7565D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5" w:type="pct"/>
                  <w:noWrap w:val="0"/>
                  <w:vAlign w:val="center"/>
                </w:tcPr>
                <w:p w14:paraId="6A9F34FF">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管理条例内容</w:t>
                  </w:r>
                </w:p>
              </w:tc>
              <w:tc>
                <w:tcPr>
                  <w:tcW w:w="1976" w:type="pct"/>
                  <w:noWrap w:val="0"/>
                  <w:vAlign w:val="center"/>
                </w:tcPr>
                <w:p w14:paraId="631C4CCB">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w:t>
                  </w:r>
                </w:p>
              </w:tc>
              <w:tc>
                <w:tcPr>
                  <w:tcW w:w="517" w:type="pct"/>
                  <w:noWrap w:val="0"/>
                  <w:vAlign w:val="center"/>
                </w:tcPr>
                <w:p w14:paraId="5B21E8EF">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符合性</w:t>
                  </w:r>
                </w:p>
              </w:tc>
            </w:tr>
            <w:tr w14:paraId="28633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5" w:type="pct"/>
                  <w:noWrap w:val="0"/>
                  <w:vAlign w:val="center"/>
                </w:tcPr>
                <w:p w14:paraId="466B78EB">
                  <w:pPr>
                    <w:pStyle w:val="30"/>
                    <w:widowControl w:val="0"/>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第五条国家实行动物诊疗许可制度。从事动物诊疗活动的机构，应当取得动物诊疗许可证，并在规定的诊疗范围内开展动物诊疗活动。</w:t>
                  </w:r>
                </w:p>
              </w:tc>
              <w:tc>
                <w:tcPr>
                  <w:tcW w:w="1976" w:type="pct"/>
                  <w:noWrap w:val="0"/>
                  <w:vAlign w:val="center"/>
                </w:tcPr>
                <w:p w14:paraId="479086FD">
                  <w:pPr>
                    <w:pStyle w:val="30"/>
                    <w:widowControl w:val="0"/>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项目建设完成后，建设单位将按照规定办理动物诊疗许可证并按规定的诊疗范围开展诊疗活动。</w:t>
                  </w:r>
                </w:p>
              </w:tc>
              <w:tc>
                <w:tcPr>
                  <w:tcW w:w="517" w:type="pct"/>
                  <w:noWrap w:val="0"/>
                  <w:vAlign w:val="center"/>
                </w:tcPr>
                <w:p w14:paraId="6DB68E8B">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符合</w:t>
                  </w:r>
                </w:p>
              </w:tc>
            </w:tr>
            <w:tr w14:paraId="382D1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3"/>
                  <w:noWrap w:val="0"/>
                  <w:vAlign w:val="center"/>
                </w:tcPr>
                <w:p w14:paraId="3016093B">
                  <w:pPr>
                    <w:pStyle w:val="30"/>
                    <w:widowControl w:val="0"/>
                    <w:bidi w:val="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第六条从事动物诊疗活动的机构，应当具备下列条件：</w:t>
                  </w:r>
                </w:p>
              </w:tc>
            </w:tr>
            <w:tr w14:paraId="61BA2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5" w:type="pct"/>
                  <w:noWrap w:val="0"/>
                  <w:vAlign w:val="center"/>
                </w:tcPr>
                <w:p w14:paraId="0CB08BE2">
                  <w:pPr>
                    <w:pStyle w:val="30"/>
                    <w:widowControl w:val="0"/>
                    <w:bidi w:val="0"/>
                    <w:rPr>
                      <w:rFonts w:hint="default" w:ascii="Times New Roman" w:hAnsi="Times New Roman" w:cs="Times New Roman"/>
                      <w:color w:val="auto"/>
                      <w:highlight w:val="none"/>
                    </w:rPr>
                  </w:pPr>
                  <w:r>
                    <w:rPr>
                      <w:rFonts w:hint="eastAsia" w:cs="Times New Roman"/>
                      <w:color w:val="auto"/>
                      <w:highlight w:val="none"/>
                      <w:lang w:eastAsia="zh-CN"/>
                    </w:rPr>
                    <w:t>（一）</w:t>
                  </w:r>
                  <w:r>
                    <w:rPr>
                      <w:rFonts w:hint="default" w:ascii="Times New Roman" w:hAnsi="Times New Roman" w:cs="Times New Roman"/>
                      <w:color w:val="auto"/>
                      <w:highlight w:val="none"/>
                    </w:rPr>
                    <w:t>有固定的动物诊疗场所，且动物诊疗场所使用面积符合省、自治区、直辖市人民政府兽医主管部门的规定；</w:t>
                  </w:r>
                </w:p>
              </w:tc>
              <w:tc>
                <w:tcPr>
                  <w:tcW w:w="1976" w:type="pct"/>
                  <w:noWrap w:val="0"/>
                  <w:vAlign w:val="center"/>
                </w:tcPr>
                <w:p w14:paraId="7A074027">
                  <w:pPr>
                    <w:pStyle w:val="30"/>
                    <w:widowControl w:val="0"/>
                    <w:bidi w:val="0"/>
                    <w:rPr>
                      <w:rFonts w:hint="default" w:ascii="Times New Roman" w:hAnsi="Times New Roman" w:eastAsia="宋体" w:cs="Times New Roman"/>
                      <w:bCs/>
                      <w:snapToGrid w:val="0"/>
                      <w:color w:val="auto"/>
                      <w:spacing w:val="8"/>
                      <w:kern w:val="0"/>
                      <w:sz w:val="21"/>
                      <w:szCs w:val="72"/>
                      <w:highlight w:val="none"/>
                      <w:lang w:eastAsia="zh-CN"/>
                    </w:rPr>
                  </w:pPr>
                  <w:r>
                    <w:rPr>
                      <w:rFonts w:hint="default" w:ascii="Times New Roman" w:hAnsi="Times New Roman" w:eastAsia="宋体" w:cs="Times New Roman"/>
                      <w:bCs/>
                      <w:snapToGrid w:val="0"/>
                      <w:color w:val="auto"/>
                      <w:spacing w:val="8"/>
                      <w:kern w:val="0"/>
                      <w:sz w:val="21"/>
                      <w:szCs w:val="72"/>
                      <w:highlight w:val="none"/>
                      <w:lang w:eastAsia="zh-CN"/>
                    </w:rPr>
                    <w:t>项目诊疗场所使用面积符合相关部门的规定。</w:t>
                  </w:r>
                </w:p>
              </w:tc>
              <w:tc>
                <w:tcPr>
                  <w:tcW w:w="517" w:type="pct"/>
                  <w:noWrap w:val="0"/>
                  <w:vAlign w:val="center"/>
                </w:tcPr>
                <w:p w14:paraId="07850053">
                  <w:pPr>
                    <w:widowControl w:val="0"/>
                    <w:bidi w:val="0"/>
                    <w:rPr>
                      <w:rFonts w:hint="default" w:ascii="Times New Roman" w:hAnsi="Times New Roman" w:eastAsia="宋体" w:cs="Times New Roman"/>
                      <w:bCs/>
                      <w:snapToGrid w:val="0"/>
                      <w:color w:val="auto"/>
                      <w:spacing w:val="8"/>
                      <w:kern w:val="0"/>
                      <w:sz w:val="21"/>
                      <w:szCs w:val="72"/>
                      <w:highlight w:val="none"/>
                      <w:lang w:val="en-US" w:eastAsia="zh-CN"/>
                    </w:rPr>
                  </w:pPr>
                  <w:r>
                    <w:rPr>
                      <w:rFonts w:hint="default" w:ascii="Times New Roman" w:hAnsi="Times New Roman" w:eastAsia="宋体" w:cs="Times New Roman"/>
                      <w:bCs/>
                      <w:snapToGrid w:val="0"/>
                      <w:color w:val="auto"/>
                      <w:spacing w:val="8"/>
                      <w:kern w:val="0"/>
                      <w:sz w:val="21"/>
                      <w:szCs w:val="72"/>
                      <w:highlight w:val="none"/>
                      <w:lang w:val="en-US" w:eastAsia="zh-CN"/>
                    </w:rPr>
                    <w:t>符合</w:t>
                  </w:r>
                </w:p>
              </w:tc>
            </w:tr>
            <w:tr w14:paraId="00376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5" w:type="pct"/>
                  <w:noWrap w:val="0"/>
                  <w:vAlign w:val="center"/>
                </w:tcPr>
                <w:p w14:paraId="760803E7">
                  <w:pPr>
                    <w:pStyle w:val="30"/>
                    <w:widowControl w:val="0"/>
                    <w:bidi w:val="0"/>
                    <w:rPr>
                      <w:rFonts w:hint="default" w:ascii="Times New Roman" w:hAnsi="Times New Roman" w:cs="Times New Roman"/>
                      <w:color w:val="auto"/>
                      <w:highlight w:val="none"/>
                    </w:rPr>
                  </w:pPr>
                  <w:r>
                    <w:rPr>
                      <w:rFonts w:hint="eastAsia" w:ascii="Times New Roman" w:hAnsi="Times New Roman" w:cs="Times New Roman"/>
                      <w:color w:val="auto"/>
                      <w:highlight w:val="none"/>
                      <w:lang w:eastAsia="zh-CN"/>
                    </w:rPr>
                    <w:t>（</w:t>
                  </w:r>
                  <w:r>
                    <w:rPr>
                      <w:rFonts w:hint="default" w:ascii="Times New Roman" w:hAnsi="Times New Roman" w:cs="Times New Roman"/>
                      <w:color w:val="auto"/>
                      <w:highlight w:val="none"/>
                    </w:rPr>
                    <w:t>二</w:t>
                  </w:r>
                  <w:r>
                    <w:rPr>
                      <w:rFonts w:hint="eastAsia" w:cs="Times New Roman"/>
                      <w:color w:val="auto"/>
                      <w:highlight w:val="none"/>
                      <w:lang w:eastAsia="zh-CN"/>
                    </w:rPr>
                    <w:t>）</w:t>
                  </w:r>
                  <w:r>
                    <w:rPr>
                      <w:rFonts w:hint="default" w:ascii="Times New Roman" w:hAnsi="Times New Roman" w:cs="Times New Roman"/>
                      <w:color w:val="auto"/>
                      <w:highlight w:val="none"/>
                    </w:rPr>
                    <w:t>动物诊疗场所选址距离动物饲养场、动物屠宰加工场所、经营动物的集贸市场不少于200m；</w:t>
                  </w:r>
                </w:p>
              </w:tc>
              <w:tc>
                <w:tcPr>
                  <w:tcW w:w="1976" w:type="pct"/>
                  <w:noWrap w:val="0"/>
                  <w:vAlign w:val="center"/>
                </w:tcPr>
                <w:p w14:paraId="66FBEDD9">
                  <w:pPr>
                    <w:pStyle w:val="30"/>
                    <w:widowControl w:val="0"/>
                    <w:bidi w:val="0"/>
                    <w:rPr>
                      <w:rFonts w:hint="default" w:ascii="Times New Roman" w:hAnsi="Times New Roman" w:eastAsia="宋体" w:cs="Times New Roman"/>
                      <w:bCs/>
                      <w:snapToGrid w:val="0"/>
                      <w:color w:val="auto"/>
                      <w:spacing w:val="8"/>
                      <w:kern w:val="0"/>
                      <w:sz w:val="21"/>
                      <w:szCs w:val="72"/>
                      <w:highlight w:val="none"/>
                      <w:lang w:eastAsia="zh-CN"/>
                    </w:rPr>
                  </w:pPr>
                  <w:r>
                    <w:rPr>
                      <w:rFonts w:hint="default" w:ascii="Times New Roman" w:hAnsi="Times New Roman" w:eastAsia="宋体" w:cs="Times New Roman"/>
                      <w:bCs/>
                      <w:snapToGrid w:val="0"/>
                      <w:color w:val="auto"/>
                      <w:spacing w:val="8"/>
                      <w:kern w:val="0"/>
                      <w:sz w:val="21"/>
                      <w:szCs w:val="72"/>
                      <w:highlight w:val="none"/>
                      <w:lang w:eastAsia="zh-CN"/>
                    </w:rPr>
                    <w:t>经现场踏勘，项目周围200m 内无动物饲养场、动物屠宰加工场所、经营动物的集贸市场。</w:t>
                  </w:r>
                </w:p>
              </w:tc>
              <w:tc>
                <w:tcPr>
                  <w:tcW w:w="517" w:type="pct"/>
                  <w:noWrap w:val="0"/>
                  <w:vAlign w:val="center"/>
                </w:tcPr>
                <w:p w14:paraId="575E38E4">
                  <w:pPr>
                    <w:widowControl w:val="0"/>
                    <w:bidi w:val="0"/>
                    <w:rPr>
                      <w:rFonts w:hint="default" w:ascii="Times New Roman" w:hAnsi="Times New Roman" w:eastAsia="宋体" w:cs="Times New Roman"/>
                      <w:bCs/>
                      <w:snapToGrid w:val="0"/>
                      <w:color w:val="auto"/>
                      <w:spacing w:val="8"/>
                      <w:kern w:val="0"/>
                      <w:sz w:val="21"/>
                      <w:szCs w:val="72"/>
                      <w:highlight w:val="none"/>
                      <w:lang w:val="en-US" w:eastAsia="zh-CN"/>
                    </w:rPr>
                  </w:pPr>
                  <w:r>
                    <w:rPr>
                      <w:rFonts w:hint="default" w:ascii="Times New Roman" w:hAnsi="Times New Roman" w:eastAsia="宋体" w:cs="Times New Roman"/>
                      <w:bCs/>
                      <w:snapToGrid w:val="0"/>
                      <w:color w:val="auto"/>
                      <w:spacing w:val="8"/>
                      <w:kern w:val="0"/>
                      <w:sz w:val="21"/>
                      <w:szCs w:val="72"/>
                      <w:highlight w:val="none"/>
                      <w:lang w:val="en-US" w:eastAsia="zh-CN"/>
                    </w:rPr>
                    <w:t>符合</w:t>
                  </w:r>
                </w:p>
              </w:tc>
            </w:tr>
            <w:tr w14:paraId="373CB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5" w:type="pct"/>
                  <w:noWrap w:val="0"/>
                  <w:vAlign w:val="center"/>
                </w:tcPr>
                <w:p w14:paraId="2ACE86A5">
                  <w:pPr>
                    <w:pStyle w:val="30"/>
                    <w:widowControl w:val="0"/>
                    <w:bidi w:val="0"/>
                    <w:rPr>
                      <w:rFonts w:hint="default" w:ascii="Times New Roman" w:hAnsi="Times New Roman" w:cs="Times New Roman"/>
                      <w:color w:val="auto"/>
                      <w:highlight w:val="none"/>
                    </w:rPr>
                  </w:pPr>
                  <w:r>
                    <w:rPr>
                      <w:rFonts w:hint="eastAsia" w:cs="Times New Roman"/>
                      <w:color w:val="auto"/>
                      <w:highlight w:val="none"/>
                      <w:lang w:eastAsia="zh-CN"/>
                    </w:rPr>
                    <w:t>（三）</w:t>
                  </w:r>
                  <w:r>
                    <w:rPr>
                      <w:rFonts w:hint="default" w:ascii="Times New Roman" w:hAnsi="Times New Roman" w:cs="Times New Roman"/>
                      <w:color w:val="auto"/>
                      <w:highlight w:val="none"/>
                    </w:rPr>
                    <w:t>动物诊疗场所设有独立的出入口，出入口不得设在居民住宅楼内或者院内，不得与同一建筑物的其他用户共用通道；</w:t>
                  </w:r>
                </w:p>
              </w:tc>
              <w:tc>
                <w:tcPr>
                  <w:tcW w:w="1976" w:type="pct"/>
                  <w:noWrap w:val="0"/>
                  <w:vAlign w:val="center"/>
                </w:tcPr>
                <w:p w14:paraId="4C661530">
                  <w:pPr>
                    <w:pStyle w:val="30"/>
                    <w:widowControl w:val="0"/>
                    <w:bidi w:val="0"/>
                    <w:rPr>
                      <w:rFonts w:hint="default" w:ascii="Times New Roman" w:hAnsi="Times New Roman" w:eastAsia="宋体" w:cs="Times New Roman"/>
                      <w:bCs/>
                      <w:snapToGrid w:val="0"/>
                      <w:color w:val="auto"/>
                      <w:spacing w:val="8"/>
                      <w:kern w:val="0"/>
                      <w:sz w:val="21"/>
                      <w:szCs w:val="72"/>
                      <w:highlight w:val="none"/>
                      <w:lang w:eastAsia="zh-CN"/>
                    </w:rPr>
                  </w:pPr>
                  <w:r>
                    <w:rPr>
                      <w:rFonts w:hint="default" w:ascii="Times New Roman" w:hAnsi="Times New Roman" w:eastAsia="宋体" w:cs="Times New Roman"/>
                      <w:bCs/>
                      <w:snapToGrid w:val="0"/>
                      <w:color w:val="auto"/>
                      <w:spacing w:val="8"/>
                      <w:kern w:val="0"/>
                      <w:sz w:val="21"/>
                      <w:szCs w:val="72"/>
                      <w:highlight w:val="none"/>
                      <w:lang w:eastAsia="zh-CN"/>
                    </w:rPr>
                    <w:t>经现场踏勘，项目周围200m 内无动物饲养场、动物屠宰加工场所、经营动物的集贸市场户共用通道。</w:t>
                  </w:r>
                </w:p>
              </w:tc>
              <w:tc>
                <w:tcPr>
                  <w:tcW w:w="517" w:type="pct"/>
                  <w:noWrap w:val="0"/>
                  <w:vAlign w:val="center"/>
                </w:tcPr>
                <w:p w14:paraId="0A982CDF">
                  <w:pPr>
                    <w:widowControl w:val="0"/>
                    <w:bidi w:val="0"/>
                    <w:rPr>
                      <w:rFonts w:hint="default" w:ascii="Times New Roman" w:hAnsi="Times New Roman" w:eastAsia="宋体" w:cs="Times New Roman"/>
                      <w:bCs/>
                      <w:snapToGrid w:val="0"/>
                      <w:color w:val="auto"/>
                      <w:spacing w:val="8"/>
                      <w:kern w:val="0"/>
                      <w:sz w:val="21"/>
                      <w:szCs w:val="72"/>
                      <w:highlight w:val="none"/>
                      <w:lang w:val="en-US" w:eastAsia="zh-CN"/>
                    </w:rPr>
                  </w:pPr>
                  <w:r>
                    <w:rPr>
                      <w:rFonts w:hint="default" w:ascii="Times New Roman" w:hAnsi="Times New Roman" w:eastAsia="宋体" w:cs="Times New Roman"/>
                      <w:bCs/>
                      <w:snapToGrid w:val="0"/>
                      <w:color w:val="auto"/>
                      <w:spacing w:val="8"/>
                      <w:kern w:val="0"/>
                      <w:sz w:val="21"/>
                      <w:szCs w:val="72"/>
                      <w:highlight w:val="none"/>
                      <w:lang w:val="en-US" w:eastAsia="zh-CN"/>
                    </w:rPr>
                    <w:t>符合</w:t>
                  </w:r>
                </w:p>
              </w:tc>
            </w:tr>
            <w:tr w14:paraId="18601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5" w:type="pct"/>
                  <w:noWrap w:val="0"/>
                  <w:vAlign w:val="center"/>
                </w:tcPr>
                <w:p w14:paraId="7DA2B0BA">
                  <w:pPr>
                    <w:pStyle w:val="30"/>
                    <w:widowControl w:val="0"/>
                    <w:bidi w:val="0"/>
                    <w:rPr>
                      <w:rFonts w:hint="default" w:ascii="Times New Roman" w:hAnsi="Times New Roman" w:cs="Times New Roman"/>
                      <w:color w:val="auto"/>
                      <w:highlight w:val="none"/>
                    </w:rPr>
                  </w:pPr>
                  <w:r>
                    <w:rPr>
                      <w:rFonts w:hint="eastAsia" w:cs="Times New Roman"/>
                      <w:color w:val="auto"/>
                      <w:highlight w:val="none"/>
                      <w:lang w:eastAsia="zh-CN"/>
                    </w:rPr>
                    <w:t>（四）</w:t>
                  </w:r>
                  <w:r>
                    <w:rPr>
                      <w:rFonts w:hint="default" w:ascii="Times New Roman" w:hAnsi="Times New Roman" w:cs="Times New Roman"/>
                      <w:color w:val="auto"/>
                      <w:highlight w:val="none"/>
                    </w:rPr>
                    <w:t>具有布局合理的诊疗室、隔离室、药房等功能区；</w:t>
                  </w:r>
                </w:p>
              </w:tc>
              <w:tc>
                <w:tcPr>
                  <w:tcW w:w="1976" w:type="pct"/>
                  <w:noWrap w:val="0"/>
                  <w:vAlign w:val="center"/>
                </w:tcPr>
                <w:p w14:paraId="18A2B3BC">
                  <w:pPr>
                    <w:pStyle w:val="30"/>
                    <w:widowControl w:val="0"/>
                    <w:bidi w:val="0"/>
                    <w:rPr>
                      <w:rFonts w:hint="default" w:ascii="Times New Roman" w:hAnsi="Times New Roman" w:eastAsia="宋体" w:cs="Times New Roman"/>
                      <w:bCs/>
                      <w:snapToGrid w:val="0"/>
                      <w:color w:val="auto"/>
                      <w:spacing w:val="8"/>
                      <w:kern w:val="0"/>
                      <w:sz w:val="21"/>
                      <w:szCs w:val="72"/>
                      <w:highlight w:val="none"/>
                      <w:lang w:eastAsia="zh-CN"/>
                    </w:rPr>
                  </w:pPr>
                  <w:r>
                    <w:rPr>
                      <w:rFonts w:hint="eastAsia" w:ascii="Times New Roman" w:hAnsi="Times New Roman" w:eastAsia="宋体" w:cs="Times New Roman"/>
                      <w:bCs/>
                      <w:snapToGrid w:val="0"/>
                      <w:color w:val="auto"/>
                      <w:spacing w:val="8"/>
                      <w:kern w:val="0"/>
                      <w:sz w:val="21"/>
                      <w:szCs w:val="72"/>
                      <w:highlight w:val="none"/>
                      <w:lang w:eastAsia="zh-CN"/>
                    </w:rPr>
                    <w:t>项目具有布局合理的诊室、药房、隔离室等功能区。</w:t>
                  </w:r>
                </w:p>
              </w:tc>
              <w:tc>
                <w:tcPr>
                  <w:tcW w:w="517" w:type="pct"/>
                  <w:noWrap w:val="0"/>
                  <w:vAlign w:val="center"/>
                </w:tcPr>
                <w:p w14:paraId="7EDCB452">
                  <w:pPr>
                    <w:widowControl w:val="0"/>
                    <w:bidi w:val="0"/>
                    <w:rPr>
                      <w:rFonts w:hint="default" w:ascii="Times New Roman" w:hAnsi="Times New Roman" w:eastAsia="宋体" w:cs="Times New Roman"/>
                      <w:bCs/>
                      <w:snapToGrid w:val="0"/>
                      <w:color w:val="auto"/>
                      <w:spacing w:val="8"/>
                      <w:kern w:val="0"/>
                      <w:sz w:val="21"/>
                      <w:szCs w:val="72"/>
                      <w:highlight w:val="none"/>
                      <w:lang w:val="en-US" w:eastAsia="zh-CN"/>
                    </w:rPr>
                  </w:pPr>
                  <w:r>
                    <w:rPr>
                      <w:rFonts w:hint="default" w:ascii="Times New Roman" w:hAnsi="Times New Roman" w:eastAsia="宋体" w:cs="Times New Roman"/>
                      <w:bCs/>
                      <w:snapToGrid w:val="0"/>
                      <w:color w:val="auto"/>
                      <w:spacing w:val="8"/>
                      <w:kern w:val="0"/>
                      <w:sz w:val="21"/>
                      <w:szCs w:val="72"/>
                      <w:highlight w:val="none"/>
                      <w:lang w:val="en-US" w:eastAsia="zh-CN"/>
                    </w:rPr>
                    <w:t>符合</w:t>
                  </w:r>
                </w:p>
              </w:tc>
            </w:tr>
            <w:tr w14:paraId="276D1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5" w:type="pct"/>
                  <w:noWrap w:val="0"/>
                  <w:vAlign w:val="center"/>
                </w:tcPr>
                <w:p w14:paraId="466CF3FE">
                  <w:pPr>
                    <w:pStyle w:val="30"/>
                    <w:widowControl w:val="0"/>
                    <w:bidi w:val="0"/>
                    <w:rPr>
                      <w:rFonts w:hint="default" w:ascii="Times New Roman" w:hAnsi="Times New Roman" w:cs="Times New Roman"/>
                      <w:color w:val="auto"/>
                      <w:highlight w:val="none"/>
                    </w:rPr>
                  </w:pPr>
                  <w:r>
                    <w:rPr>
                      <w:rFonts w:hint="eastAsia" w:cs="Times New Roman"/>
                      <w:color w:val="auto"/>
                      <w:highlight w:val="none"/>
                      <w:lang w:eastAsia="zh-CN"/>
                    </w:rPr>
                    <w:t>（五）</w:t>
                  </w:r>
                  <w:r>
                    <w:rPr>
                      <w:rFonts w:hint="default" w:ascii="Times New Roman" w:hAnsi="Times New Roman" w:cs="Times New Roman"/>
                      <w:color w:val="auto"/>
                      <w:highlight w:val="none"/>
                    </w:rPr>
                    <w:t>具有诊断、消毒、冷藏、常规化验、污水处理等器械设备；</w:t>
                  </w:r>
                </w:p>
              </w:tc>
              <w:tc>
                <w:tcPr>
                  <w:tcW w:w="1976" w:type="pct"/>
                  <w:noWrap w:val="0"/>
                  <w:vAlign w:val="center"/>
                </w:tcPr>
                <w:p w14:paraId="4B8D7315">
                  <w:pPr>
                    <w:pStyle w:val="30"/>
                    <w:widowControl w:val="0"/>
                    <w:bidi w:val="0"/>
                    <w:rPr>
                      <w:rFonts w:hint="default" w:ascii="Times New Roman" w:hAnsi="Times New Roman" w:eastAsia="宋体" w:cs="Times New Roman"/>
                      <w:bCs/>
                      <w:snapToGrid w:val="0"/>
                      <w:color w:val="auto"/>
                      <w:spacing w:val="8"/>
                      <w:kern w:val="0"/>
                      <w:sz w:val="21"/>
                      <w:szCs w:val="72"/>
                      <w:highlight w:val="none"/>
                      <w:lang w:eastAsia="zh-CN"/>
                    </w:rPr>
                  </w:pPr>
                  <w:r>
                    <w:rPr>
                      <w:rFonts w:hint="eastAsia" w:ascii="Times New Roman" w:hAnsi="Times New Roman" w:eastAsia="宋体" w:cs="Times New Roman"/>
                      <w:bCs/>
                      <w:snapToGrid w:val="0"/>
                      <w:color w:val="auto"/>
                      <w:spacing w:val="8"/>
                      <w:kern w:val="0"/>
                      <w:sz w:val="21"/>
                      <w:szCs w:val="72"/>
                      <w:highlight w:val="none"/>
                      <w:lang w:eastAsia="zh-CN"/>
                    </w:rPr>
                    <w:t>项目建设完成后，建设单位将按规定采购设置诊断、消毒、冷藏、常规化验、污水处理等器械设备。</w:t>
                  </w:r>
                </w:p>
              </w:tc>
              <w:tc>
                <w:tcPr>
                  <w:tcW w:w="517" w:type="pct"/>
                  <w:noWrap w:val="0"/>
                  <w:vAlign w:val="center"/>
                </w:tcPr>
                <w:p w14:paraId="156EC946">
                  <w:pPr>
                    <w:widowControl w:val="0"/>
                    <w:bidi w:val="0"/>
                    <w:rPr>
                      <w:rFonts w:hint="default" w:ascii="Times New Roman" w:hAnsi="Times New Roman" w:eastAsia="宋体" w:cs="Times New Roman"/>
                      <w:bCs/>
                      <w:snapToGrid w:val="0"/>
                      <w:color w:val="auto"/>
                      <w:spacing w:val="8"/>
                      <w:kern w:val="0"/>
                      <w:sz w:val="21"/>
                      <w:szCs w:val="72"/>
                      <w:highlight w:val="none"/>
                      <w:lang w:val="en-US" w:eastAsia="zh-CN"/>
                    </w:rPr>
                  </w:pPr>
                  <w:r>
                    <w:rPr>
                      <w:rFonts w:hint="default" w:ascii="Times New Roman" w:hAnsi="Times New Roman" w:eastAsia="宋体" w:cs="Times New Roman"/>
                      <w:bCs/>
                      <w:snapToGrid w:val="0"/>
                      <w:color w:val="auto"/>
                      <w:spacing w:val="8"/>
                      <w:kern w:val="0"/>
                      <w:sz w:val="21"/>
                      <w:szCs w:val="72"/>
                      <w:highlight w:val="none"/>
                      <w:lang w:val="en-US" w:eastAsia="zh-CN"/>
                    </w:rPr>
                    <w:t>符合</w:t>
                  </w:r>
                </w:p>
              </w:tc>
            </w:tr>
            <w:tr w14:paraId="1E7D1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5" w:type="pct"/>
                  <w:noWrap w:val="0"/>
                  <w:vAlign w:val="center"/>
                </w:tcPr>
                <w:p w14:paraId="777D1649">
                  <w:pPr>
                    <w:pStyle w:val="30"/>
                    <w:widowControl w:val="0"/>
                    <w:bidi w:val="0"/>
                    <w:rPr>
                      <w:rFonts w:hint="default" w:ascii="Times New Roman" w:hAnsi="Times New Roman" w:cs="Times New Roman"/>
                      <w:color w:val="auto"/>
                      <w:highlight w:val="none"/>
                    </w:rPr>
                  </w:pPr>
                  <w:r>
                    <w:rPr>
                      <w:rFonts w:hint="eastAsia" w:cs="Times New Roman"/>
                      <w:color w:val="auto"/>
                      <w:highlight w:val="none"/>
                      <w:lang w:eastAsia="zh-CN"/>
                    </w:rPr>
                    <w:t>（六）</w:t>
                  </w:r>
                  <w:r>
                    <w:rPr>
                      <w:rFonts w:hint="default" w:ascii="Times New Roman" w:hAnsi="Times New Roman" w:cs="Times New Roman"/>
                      <w:color w:val="auto"/>
                      <w:highlight w:val="none"/>
                    </w:rPr>
                    <w:t>具有诊疗废弃物暂存处理设施，并</w:t>
                  </w:r>
                </w:p>
                <w:p w14:paraId="718D1E80">
                  <w:pPr>
                    <w:pStyle w:val="30"/>
                    <w:widowControl w:val="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委托专业处理机构处理；</w:t>
                  </w:r>
                </w:p>
              </w:tc>
              <w:tc>
                <w:tcPr>
                  <w:tcW w:w="1976" w:type="pct"/>
                  <w:noWrap w:val="0"/>
                  <w:vAlign w:val="center"/>
                </w:tcPr>
                <w:p w14:paraId="3C5D06AD">
                  <w:pPr>
                    <w:pStyle w:val="30"/>
                    <w:widowControl w:val="0"/>
                    <w:bidi w:val="0"/>
                    <w:rPr>
                      <w:rFonts w:hint="default" w:ascii="Times New Roman" w:hAnsi="Times New Roman" w:eastAsia="宋体" w:cs="Times New Roman"/>
                      <w:bCs/>
                      <w:snapToGrid w:val="0"/>
                      <w:color w:val="auto"/>
                      <w:spacing w:val="8"/>
                      <w:kern w:val="0"/>
                      <w:sz w:val="21"/>
                      <w:szCs w:val="72"/>
                      <w:highlight w:val="none"/>
                      <w:lang w:eastAsia="zh-CN"/>
                    </w:rPr>
                  </w:pPr>
                  <w:r>
                    <w:rPr>
                      <w:rFonts w:hint="eastAsia" w:ascii="Times New Roman" w:hAnsi="Times New Roman" w:eastAsia="宋体" w:cs="Times New Roman"/>
                      <w:bCs/>
                      <w:snapToGrid w:val="0"/>
                      <w:color w:val="auto"/>
                      <w:spacing w:val="8"/>
                      <w:kern w:val="0"/>
                      <w:sz w:val="21"/>
                      <w:szCs w:val="72"/>
                      <w:highlight w:val="none"/>
                      <w:lang w:eastAsia="zh-CN"/>
                    </w:rPr>
                    <w:t>项目产生的诊疗废弃物分类收集后暂存于医废暂存间，然后委托有资质单位定期清运处置。</w:t>
                  </w:r>
                </w:p>
              </w:tc>
              <w:tc>
                <w:tcPr>
                  <w:tcW w:w="517" w:type="pct"/>
                  <w:noWrap w:val="0"/>
                  <w:vAlign w:val="center"/>
                </w:tcPr>
                <w:p w14:paraId="77919C60">
                  <w:pPr>
                    <w:widowControl w:val="0"/>
                    <w:bidi w:val="0"/>
                    <w:rPr>
                      <w:rFonts w:hint="default" w:ascii="Times New Roman" w:hAnsi="Times New Roman" w:eastAsia="宋体" w:cs="Times New Roman"/>
                      <w:bCs/>
                      <w:snapToGrid w:val="0"/>
                      <w:color w:val="auto"/>
                      <w:spacing w:val="8"/>
                      <w:kern w:val="0"/>
                      <w:sz w:val="21"/>
                      <w:szCs w:val="72"/>
                      <w:highlight w:val="none"/>
                      <w:lang w:val="en-US" w:eastAsia="zh-CN"/>
                    </w:rPr>
                  </w:pPr>
                  <w:r>
                    <w:rPr>
                      <w:rFonts w:hint="default" w:ascii="Times New Roman" w:hAnsi="Times New Roman" w:eastAsia="宋体" w:cs="Times New Roman"/>
                      <w:bCs/>
                      <w:snapToGrid w:val="0"/>
                      <w:color w:val="auto"/>
                      <w:spacing w:val="8"/>
                      <w:kern w:val="0"/>
                      <w:sz w:val="21"/>
                      <w:szCs w:val="72"/>
                      <w:highlight w:val="none"/>
                      <w:lang w:val="en-US" w:eastAsia="zh-CN"/>
                    </w:rPr>
                    <w:t>符合</w:t>
                  </w:r>
                </w:p>
              </w:tc>
            </w:tr>
            <w:tr w14:paraId="14557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5" w:type="pct"/>
                  <w:noWrap w:val="0"/>
                  <w:vAlign w:val="center"/>
                </w:tcPr>
                <w:p w14:paraId="1DD8FD66">
                  <w:pPr>
                    <w:pStyle w:val="30"/>
                    <w:widowControl w:val="0"/>
                    <w:bidi w:val="0"/>
                    <w:rPr>
                      <w:rFonts w:hint="default" w:ascii="Times New Roman" w:hAnsi="Times New Roman" w:cs="Times New Roman"/>
                      <w:color w:val="auto"/>
                      <w:highlight w:val="none"/>
                    </w:rPr>
                  </w:pPr>
                  <w:r>
                    <w:rPr>
                      <w:rFonts w:hint="eastAsia" w:cs="Times New Roman"/>
                      <w:color w:val="auto"/>
                      <w:highlight w:val="none"/>
                      <w:lang w:eastAsia="zh-CN"/>
                    </w:rPr>
                    <w:t>（七）</w:t>
                  </w:r>
                  <w:r>
                    <w:rPr>
                      <w:rFonts w:hint="default" w:ascii="Times New Roman" w:hAnsi="Times New Roman" w:cs="Times New Roman"/>
                      <w:color w:val="auto"/>
                      <w:highlight w:val="none"/>
                    </w:rPr>
                    <w:t>具有染疫或者疑似染疫动物的隔离控制措施及设施设备；</w:t>
                  </w:r>
                </w:p>
              </w:tc>
              <w:tc>
                <w:tcPr>
                  <w:tcW w:w="1976" w:type="pct"/>
                  <w:noWrap w:val="0"/>
                  <w:vAlign w:val="center"/>
                </w:tcPr>
                <w:p w14:paraId="5FF4F5B1">
                  <w:pPr>
                    <w:pStyle w:val="30"/>
                    <w:widowControl w:val="0"/>
                    <w:bidi w:val="0"/>
                    <w:rPr>
                      <w:rFonts w:hint="default" w:ascii="Times New Roman" w:hAnsi="Times New Roman" w:eastAsia="宋体" w:cs="Times New Roman"/>
                      <w:bCs/>
                      <w:snapToGrid w:val="0"/>
                      <w:color w:val="auto"/>
                      <w:spacing w:val="8"/>
                      <w:kern w:val="0"/>
                      <w:sz w:val="21"/>
                      <w:szCs w:val="72"/>
                      <w:highlight w:val="none"/>
                      <w:lang w:eastAsia="zh-CN"/>
                    </w:rPr>
                  </w:pPr>
                  <w:r>
                    <w:rPr>
                      <w:rFonts w:hint="eastAsia" w:ascii="Times New Roman" w:hAnsi="Times New Roman" w:eastAsia="宋体" w:cs="Times New Roman"/>
                      <w:bCs/>
                      <w:snapToGrid w:val="0"/>
                      <w:color w:val="auto"/>
                      <w:spacing w:val="8"/>
                      <w:kern w:val="0"/>
                      <w:sz w:val="21"/>
                      <w:szCs w:val="72"/>
                      <w:highlight w:val="none"/>
                      <w:lang w:eastAsia="zh-CN"/>
                    </w:rPr>
                    <w:t>项目设置有隔离室</w:t>
                  </w:r>
                </w:p>
              </w:tc>
              <w:tc>
                <w:tcPr>
                  <w:tcW w:w="517" w:type="pct"/>
                  <w:noWrap w:val="0"/>
                  <w:vAlign w:val="center"/>
                </w:tcPr>
                <w:p w14:paraId="406C60F6">
                  <w:pPr>
                    <w:widowControl w:val="0"/>
                    <w:bidi w:val="0"/>
                    <w:rPr>
                      <w:rFonts w:hint="default" w:ascii="Times New Roman" w:hAnsi="Times New Roman" w:eastAsia="宋体" w:cs="Times New Roman"/>
                      <w:bCs/>
                      <w:snapToGrid w:val="0"/>
                      <w:color w:val="auto"/>
                      <w:spacing w:val="8"/>
                      <w:kern w:val="0"/>
                      <w:sz w:val="21"/>
                      <w:szCs w:val="72"/>
                      <w:highlight w:val="none"/>
                      <w:lang w:val="en-US" w:eastAsia="zh-CN"/>
                    </w:rPr>
                  </w:pPr>
                  <w:r>
                    <w:rPr>
                      <w:rFonts w:hint="default" w:ascii="Times New Roman" w:hAnsi="Times New Roman" w:eastAsia="宋体" w:cs="Times New Roman"/>
                      <w:bCs/>
                      <w:snapToGrid w:val="0"/>
                      <w:color w:val="auto"/>
                      <w:spacing w:val="8"/>
                      <w:kern w:val="0"/>
                      <w:sz w:val="21"/>
                      <w:szCs w:val="72"/>
                      <w:highlight w:val="none"/>
                      <w:lang w:val="en-US" w:eastAsia="zh-CN"/>
                    </w:rPr>
                    <w:t>符合</w:t>
                  </w:r>
                </w:p>
              </w:tc>
            </w:tr>
            <w:tr w14:paraId="7D0B5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5" w:type="pct"/>
                  <w:noWrap w:val="0"/>
                  <w:vAlign w:val="center"/>
                </w:tcPr>
                <w:p w14:paraId="14F31D63">
                  <w:pPr>
                    <w:pStyle w:val="30"/>
                    <w:widowControl w:val="0"/>
                    <w:bidi w:val="0"/>
                    <w:rPr>
                      <w:rFonts w:hint="default" w:ascii="Times New Roman" w:hAnsi="Times New Roman" w:cs="Times New Roman"/>
                      <w:color w:val="auto"/>
                      <w:highlight w:val="none"/>
                    </w:rPr>
                  </w:pPr>
                  <w:r>
                    <w:rPr>
                      <w:rFonts w:hint="eastAsia" w:cs="Times New Roman"/>
                      <w:color w:val="auto"/>
                      <w:highlight w:val="none"/>
                      <w:lang w:eastAsia="zh-CN"/>
                    </w:rPr>
                    <w:t>（八）</w:t>
                  </w:r>
                  <w:r>
                    <w:rPr>
                      <w:rFonts w:hint="default" w:ascii="Times New Roman" w:hAnsi="Times New Roman" w:cs="Times New Roman"/>
                      <w:color w:val="auto"/>
                      <w:highlight w:val="none"/>
                    </w:rPr>
                    <w:t>具有与动物诊疗活动相适应的执业兽医；</w:t>
                  </w:r>
                </w:p>
              </w:tc>
              <w:tc>
                <w:tcPr>
                  <w:tcW w:w="1976" w:type="pct"/>
                  <w:noWrap w:val="0"/>
                  <w:vAlign w:val="center"/>
                </w:tcPr>
                <w:p w14:paraId="18D2FB82">
                  <w:pPr>
                    <w:pStyle w:val="30"/>
                    <w:widowControl w:val="0"/>
                    <w:bidi w:val="0"/>
                    <w:rPr>
                      <w:rFonts w:hint="default" w:ascii="Times New Roman" w:hAnsi="Times New Roman" w:eastAsia="宋体" w:cs="Times New Roman"/>
                      <w:bCs/>
                      <w:snapToGrid w:val="0"/>
                      <w:color w:val="auto"/>
                      <w:spacing w:val="8"/>
                      <w:kern w:val="0"/>
                      <w:sz w:val="21"/>
                      <w:szCs w:val="72"/>
                      <w:highlight w:val="none"/>
                      <w:lang w:eastAsia="zh-CN"/>
                    </w:rPr>
                  </w:pPr>
                  <w:r>
                    <w:rPr>
                      <w:rFonts w:hint="eastAsia" w:ascii="Times New Roman" w:hAnsi="Times New Roman" w:eastAsia="宋体" w:cs="Times New Roman"/>
                      <w:bCs/>
                      <w:snapToGrid w:val="0"/>
                      <w:color w:val="auto"/>
                      <w:spacing w:val="8"/>
                      <w:kern w:val="0"/>
                      <w:sz w:val="21"/>
                      <w:szCs w:val="72"/>
                      <w:highlight w:val="none"/>
                      <w:lang w:eastAsia="zh-CN"/>
                    </w:rPr>
                    <w:t>项目建成后将配备三名与动物诊疗活动相适应的执业兽医。</w:t>
                  </w:r>
                </w:p>
              </w:tc>
              <w:tc>
                <w:tcPr>
                  <w:tcW w:w="517" w:type="pct"/>
                  <w:noWrap w:val="0"/>
                  <w:vAlign w:val="center"/>
                </w:tcPr>
                <w:p w14:paraId="6066A64C">
                  <w:pPr>
                    <w:widowControl w:val="0"/>
                    <w:bidi w:val="0"/>
                    <w:rPr>
                      <w:rFonts w:hint="default" w:ascii="Times New Roman" w:hAnsi="Times New Roman" w:eastAsia="宋体" w:cs="Times New Roman"/>
                      <w:bCs/>
                      <w:snapToGrid w:val="0"/>
                      <w:color w:val="auto"/>
                      <w:spacing w:val="8"/>
                      <w:kern w:val="0"/>
                      <w:sz w:val="21"/>
                      <w:szCs w:val="72"/>
                      <w:highlight w:val="none"/>
                      <w:lang w:val="en-US" w:eastAsia="zh-CN"/>
                    </w:rPr>
                  </w:pPr>
                  <w:r>
                    <w:rPr>
                      <w:rFonts w:hint="default" w:ascii="Times New Roman" w:hAnsi="Times New Roman" w:eastAsia="宋体" w:cs="Times New Roman"/>
                      <w:bCs/>
                      <w:snapToGrid w:val="0"/>
                      <w:color w:val="auto"/>
                      <w:spacing w:val="8"/>
                      <w:kern w:val="0"/>
                      <w:sz w:val="21"/>
                      <w:szCs w:val="72"/>
                      <w:highlight w:val="none"/>
                      <w:lang w:val="en-US" w:eastAsia="zh-CN"/>
                    </w:rPr>
                    <w:t>符合</w:t>
                  </w:r>
                </w:p>
              </w:tc>
            </w:tr>
            <w:tr w14:paraId="23B68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5" w:type="pct"/>
                  <w:noWrap w:val="0"/>
                  <w:vAlign w:val="center"/>
                </w:tcPr>
                <w:p w14:paraId="48C24483">
                  <w:pPr>
                    <w:pStyle w:val="30"/>
                    <w:widowControl w:val="0"/>
                    <w:bidi w:val="0"/>
                    <w:rPr>
                      <w:rFonts w:hint="default" w:ascii="Times New Roman" w:hAnsi="Times New Roman" w:cs="Times New Roman"/>
                      <w:color w:val="auto"/>
                      <w:highlight w:val="none"/>
                    </w:rPr>
                  </w:pPr>
                  <w:r>
                    <w:rPr>
                      <w:rFonts w:hint="eastAsia" w:cs="Times New Roman"/>
                      <w:color w:val="auto"/>
                      <w:highlight w:val="none"/>
                      <w:lang w:eastAsia="zh-CN"/>
                    </w:rPr>
                    <w:t>（九）</w:t>
                  </w:r>
                  <w:r>
                    <w:rPr>
                      <w:rFonts w:hint="default" w:ascii="Times New Roman" w:hAnsi="Times New Roman" w:cs="Times New Roman"/>
                      <w:color w:val="auto"/>
                      <w:highlight w:val="none"/>
                    </w:rPr>
                    <w:t>具有完善的诊疗服务、疫情报告、卫生安全防护、消毒、隔离、诊疗废弃物暂存、兽医器械、兽医处方、药物和无害化处理等管理制度。</w:t>
                  </w:r>
                </w:p>
              </w:tc>
              <w:tc>
                <w:tcPr>
                  <w:tcW w:w="1976" w:type="pct"/>
                  <w:noWrap w:val="0"/>
                  <w:vAlign w:val="center"/>
                </w:tcPr>
                <w:p w14:paraId="4C506952">
                  <w:pPr>
                    <w:pStyle w:val="30"/>
                    <w:widowControl w:val="0"/>
                    <w:bidi w:val="0"/>
                    <w:rPr>
                      <w:rFonts w:hint="default" w:ascii="Times New Roman" w:hAnsi="Times New Roman" w:eastAsia="宋体" w:cs="Times New Roman"/>
                      <w:bCs/>
                      <w:snapToGrid w:val="0"/>
                      <w:color w:val="auto"/>
                      <w:spacing w:val="8"/>
                      <w:kern w:val="0"/>
                      <w:sz w:val="21"/>
                      <w:szCs w:val="72"/>
                      <w:highlight w:val="none"/>
                      <w:lang w:eastAsia="zh-CN"/>
                    </w:rPr>
                  </w:pPr>
                  <w:r>
                    <w:rPr>
                      <w:rFonts w:hint="eastAsia" w:ascii="Times New Roman" w:hAnsi="Times New Roman" w:eastAsia="宋体" w:cs="Times New Roman"/>
                      <w:bCs/>
                      <w:snapToGrid w:val="0"/>
                      <w:color w:val="auto"/>
                      <w:spacing w:val="8"/>
                      <w:kern w:val="0"/>
                      <w:sz w:val="21"/>
                      <w:szCs w:val="72"/>
                      <w:highlight w:val="none"/>
                      <w:lang w:eastAsia="zh-CN"/>
                    </w:rPr>
                    <w:t>项目建设完成后，将按规定制定完善的诊疗服务、疫情报告、卫生消毒、兽药处方、药物和无害化处理等完善的管理制度。</w:t>
                  </w:r>
                </w:p>
              </w:tc>
              <w:tc>
                <w:tcPr>
                  <w:tcW w:w="517" w:type="pct"/>
                  <w:noWrap w:val="0"/>
                  <w:vAlign w:val="center"/>
                </w:tcPr>
                <w:p w14:paraId="5E317202">
                  <w:pPr>
                    <w:widowControl w:val="0"/>
                    <w:bidi w:val="0"/>
                    <w:rPr>
                      <w:rFonts w:hint="default" w:ascii="Times New Roman" w:hAnsi="Times New Roman" w:eastAsia="宋体" w:cs="Times New Roman"/>
                      <w:bCs/>
                      <w:snapToGrid w:val="0"/>
                      <w:color w:val="auto"/>
                      <w:spacing w:val="8"/>
                      <w:kern w:val="0"/>
                      <w:sz w:val="21"/>
                      <w:szCs w:val="72"/>
                      <w:highlight w:val="none"/>
                      <w:lang w:val="en-US" w:eastAsia="zh-CN"/>
                    </w:rPr>
                  </w:pPr>
                  <w:r>
                    <w:rPr>
                      <w:rFonts w:hint="default" w:ascii="Times New Roman" w:hAnsi="Times New Roman" w:eastAsia="宋体" w:cs="Times New Roman"/>
                      <w:bCs/>
                      <w:snapToGrid w:val="0"/>
                      <w:color w:val="auto"/>
                      <w:spacing w:val="8"/>
                      <w:kern w:val="0"/>
                      <w:sz w:val="21"/>
                      <w:szCs w:val="72"/>
                      <w:highlight w:val="none"/>
                      <w:lang w:val="en-US" w:eastAsia="zh-CN"/>
                    </w:rPr>
                    <w:t>符合</w:t>
                  </w:r>
                </w:p>
              </w:tc>
            </w:tr>
            <w:tr w14:paraId="51A15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3"/>
                  <w:noWrap w:val="0"/>
                  <w:vAlign w:val="center"/>
                </w:tcPr>
                <w:p w14:paraId="4233B34E">
                  <w:pPr>
                    <w:pStyle w:val="30"/>
                    <w:widowControl w:val="0"/>
                    <w:bidi w:val="0"/>
                    <w:rPr>
                      <w:rFonts w:hint="default" w:ascii="Times New Roman" w:hAnsi="Times New Roman" w:eastAsia="宋体" w:cs="Times New Roman"/>
                      <w:bCs/>
                      <w:snapToGrid w:val="0"/>
                      <w:color w:val="auto"/>
                      <w:spacing w:val="8"/>
                      <w:kern w:val="0"/>
                      <w:sz w:val="21"/>
                      <w:szCs w:val="72"/>
                      <w:highlight w:val="none"/>
                      <w:lang w:val="en-US" w:eastAsia="zh-CN"/>
                    </w:rPr>
                  </w:pPr>
                  <w:r>
                    <w:rPr>
                      <w:rFonts w:hint="eastAsia" w:ascii="Times New Roman" w:hAnsi="Times New Roman" w:eastAsia="宋体" w:cs="Times New Roman"/>
                      <w:bCs/>
                      <w:snapToGrid w:val="0"/>
                      <w:color w:val="auto"/>
                      <w:spacing w:val="8"/>
                      <w:kern w:val="0"/>
                      <w:sz w:val="21"/>
                      <w:szCs w:val="72"/>
                      <w:highlight w:val="none"/>
                      <w:lang w:eastAsia="zh-CN"/>
                    </w:rPr>
                    <w:t>第八条动物医院除具备本办法第六条规定的条件外，还应当具备下列条件：</w:t>
                  </w:r>
                </w:p>
              </w:tc>
            </w:tr>
            <w:tr w14:paraId="05478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5" w:type="pct"/>
                  <w:noWrap w:val="0"/>
                  <w:vAlign w:val="center"/>
                </w:tcPr>
                <w:p w14:paraId="49A07734">
                  <w:pPr>
                    <w:pStyle w:val="30"/>
                    <w:widowControl w:val="0"/>
                    <w:bidi w:val="0"/>
                    <w:rPr>
                      <w:rFonts w:hint="default" w:ascii="Times New Roman" w:hAnsi="Times New Roman" w:cs="Times New Roman"/>
                      <w:color w:val="auto"/>
                      <w:highlight w:val="none"/>
                    </w:rPr>
                  </w:pPr>
                  <w:r>
                    <w:rPr>
                      <w:rFonts w:hint="eastAsia" w:cs="Times New Roman"/>
                      <w:color w:val="auto"/>
                      <w:highlight w:val="none"/>
                      <w:lang w:eastAsia="zh-CN"/>
                    </w:rPr>
                    <w:t>（一）</w:t>
                  </w:r>
                  <w:r>
                    <w:rPr>
                      <w:rFonts w:hint="default" w:ascii="Times New Roman" w:hAnsi="Times New Roman" w:cs="Times New Roman"/>
                      <w:color w:val="auto"/>
                      <w:highlight w:val="none"/>
                    </w:rPr>
                    <w:t>具有三名以上执业兽医师；</w:t>
                  </w:r>
                </w:p>
              </w:tc>
              <w:tc>
                <w:tcPr>
                  <w:tcW w:w="1976" w:type="pct"/>
                  <w:noWrap w:val="0"/>
                  <w:vAlign w:val="center"/>
                </w:tcPr>
                <w:p w14:paraId="7C0DFBFE">
                  <w:pPr>
                    <w:pStyle w:val="30"/>
                    <w:widowControl w:val="0"/>
                    <w:bidi w:val="0"/>
                    <w:rPr>
                      <w:rFonts w:hint="eastAsia" w:ascii="Times New Roman" w:hAnsi="Times New Roman" w:eastAsia="宋体" w:cs="Times New Roman"/>
                      <w:bCs/>
                      <w:snapToGrid w:val="0"/>
                      <w:color w:val="auto"/>
                      <w:spacing w:val="8"/>
                      <w:kern w:val="0"/>
                      <w:sz w:val="21"/>
                      <w:szCs w:val="72"/>
                      <w:highlight w:val="none"/>
                      <w:lang w:eastAsia="zh-CN"/>
                    </w:rPr>
                  </w:pPr>
                  <w:r>
                    <w:rPr>
                      <w:rFonts w:hint="eastAsia" w:ascii="Times New Roman" w:hAnsi="Times New Roman" w:eastAsia="宋体" w:cs="Times New Roman"/>
                      <w:bCs/>
                      <w:snapToGrid w:val="0"/>
                      <w:color w:val="auto"/>
                      <w:spacing w:val="8"/>
                      <w:kern w:val="0"/>
                      <w:sz w:val="21"/>
                      <w:szCs w:val="72"/>
                      <w:highlight w:val="none"/>
                      <w:lang w:eastAsia="zh-CN"/>
                    </w:rPr>
                    <w:t>项目将配备三名执业兽医师。</w:t>
                  </w:r>
                </w:p>
              </w:tc>
              <w:tc>
                <w:tcPr>
                  <w:tcW w:w="517" w:type="pct"/>
                  <w:noWrap w:val="0"/>
                  <w:vAlign w:val="center"/>
                </w:tcPr>
                <w:p w14:paraId="5F830CCA">
                  <w:pPr>
                    <w:widowControl w:val="0"/>
                    <w:bidi w:val="0"/>
                    <w:rPr>
                      <w:rFonts w:hint="default" w:ascii="Times New Roman" w:hAnsi="Times New Roman" w:eastAsia="宋体" w:cs="Times New Roman"/>
                      <w:bCs/>
                      <w:snapToGrid w:val="0"/>
                      <w:color w:val="auto"/>
                      <w:spacing w:val="8"/>
                      <w:kern w:val="0"/>
                      <w:sz w:val="21"/>
                      <w:szCs w:val="72"/>
                      <w:highlight w:val="none"/>
                      <w:lang w:val="en-US" w:eastAsia="zh-CN"/>
                    </w:rPr>
                  </w:pPr>
                  <w:r>
                    <w:rPr>
                      <w:rFonts w:hint="default" w:ascii="Times New Roman" w:hAnsi="Times New Roman" w:eastAsia="宋体" w:cs="Times New Roman"/>
                      <w:bCs/>
                      <w:snapToGrid w:val="0"/>
                      <w:color w:val="auto"/>
                      <w:spacing w:val="8"/>
                      <w:kern w:val="0"/>
                      <w:sz w:val="21"/>
                      <w:szCs w:val="72"/>
                      <w:highlight w:val="none"/>
                      <w:lang w:val="en-US" w:eastAsia="zh-CN"/>
                    </w:rPr>
                    <w:t>符合</w:t>
                  </w:r>
                </w:p>
              </w:tc>
            </w:tr>
            <w:tr w14:paraId="100B3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5" w:type="pct"/>
                  <w:noWrap w:val="0"/>
                  <w:vAlign w:val="center"/>
                </w:tcPr>
                <w:p w14:paraId="52015200">
                  <w:pPr>
                    <w:pStyle w:val="30"/>
                    <w:widowControl w:val="0"/>
                    <w:bidi w:val="0"/>
                    <w:rPr>
                      <w:rFonts w:hint="default" w:ascii="Times New Roman" w:hAnsi="Times New Roman" w:cs="Times New Roman"/>
                      <w:color w:val="auto"/>
                      <w:highlight w:val="none"/>
                    </w:rPr>
                  </w:pPr>
                  <w:r>
                    <w:rPr>
                      <w:rFonts w:hint="eastAsia" w:cs="Times New Roman"/>
                      <w:color w:val="auto"/>
                      <w:highlight w:val="none"/>
                      <w:lang w:eastAsia="zh-CN"/>
                    </w:rPr>
                    <w:t>（二）</w:t>
                  </w:r>
                  <w:r>
                    <w:rPr>
                      <w:rFonts w:hint="default" w:ascii="Times New Roman" w:hAnsi="Times New Roman" w:cs="Times New Roman"/>
                      <w:color w:val="auto"/>
                      <w:highlight w:val="none"/>
                    </w:rPr>
                    <w:t>具有X光机或者B超等器械设备；</w:t>
                  </w:r>
                </w:p>
              </w:tc>
              <w:tc>
                <w:tcPr>
                  <w:tcW w:w="1976" w:type="pct"/>
                  <w:noWrap w:val="0"/>
                  <w:vAlign w:val="center"/>
                </w:tcPr>
                <w:p w14:paraId="261BD02E">
                  <w:pPr>
                    <w:pStyle w:val="30"/>
                    <w:widowControl w:val="0"/>
                    <w:bidi w:val="0"/>
                    <w:rPr>
                      <w:rFonts w:hint="default" w:ascii="Times New Roman" w:hAnsi="Times New Roman" w:eastAsia="宋体" w:cs="Times New Roman"/>
                      <w:bCs/>
                      <w:snapToGrid w:val="0"/>
                      <w:color w:val="auto"/>
                      <w:spacing w:val="8"/>
                      <w:kern w:val="0"/>
                      <w:sz w:val="21"/>
                      <w:szCs w:val="72"/>
                      <w:highlight w:val="none"/>
                      <w:lang w:eastAsia="zh-CN"/>
                    </w:rPr>
                  </w:pPr>
                  <w:r>
                    <w:rPr>
                      <w:rFonts w:hint="eastAsia" w:ascii="Times New Roman" w:hAnsi="Times New Roman" w:eastAsia="宋体" w:cs="Times New Roman"/>
                      <w:bCs/>
                      <w:snapToGrid w:val="0"/>
                      <w:color w:val="auto"/>
                      <w:spacing w:val="8"/>
                      <w:kern w:val="0"/>
                      <w:sz w:val="21"/>
                      <w:szCs w:val="72"/>
                      <w:highlight w:val="none"/>
                      <w:lang w:eastAsia="zh-CN"/>
                    </w:rPr>
                    <w:t>项目将按照设计配备X光机等器械设备。</w:t>
                  </w:r>
                </w:p>
              </w:tc>
              <w:tc>
                <w:tcPr>
                  <w:tcW w:w="517" w:type="pct"/>
                  <w:noWrap w:val="0"/>
                  <w:vAlign w:val="center"/>
                </w:tcPr>
                <w:p w14:paraId="1A0D4799">
                  <w:pPr>
                    <w:widowControl w:val="0"/>
                    <w:bidi w:val="0"/>
                    <w:rPr>
                      <w:rFonts w:hint="default" w:ascii="Times New Roman" w:hAnsi="Times New Roman" w:eastAsia="宋体" w:cs="Times New Roman"/>
                      <w:bCs/>
                      <w:snapToGrid w:val="0"/>
                      <w:color w:val="auto"/>
                      <w:spacing w:val="8"/>
                      <w:kern w:val="0"/>
                      <w:sz w:val="21"/>
                      <w:szCs w:val="72"/>
                      <w:highlight w:val="none"/>
                      <w:lang w:val="en-US" w:eastAsia="zh-CN"/>
                    </w:rPr>
                  </w:pPr>
                  <w:r>
                    <w:rPr>
                      <w:rFonts w:hint="default" w:ascii="Times New Roman" w:hAnsi="Times New Roman" w:eastAsia="宋体" w:cs="Times New Roman"/>
                      <w:bCs/>
                      <w:snapToGrid w:val="0"/>
                      <w:color w:val="auto"/>
                      <w:spacing w:val="8"/>
                      <w:kern w:val="0"/>
                      <w:sz w:val="21"/>
                      <w:szCs w:val="72"/>
                      <w:highlight w:val="none"/>
                      <w:lang w:val="en-US" w:eastAsia="zh-CN"/>
                    </w:rPr>
                    <w:t>符合</w:t>
                  </w:r>
                </w:p>
              </w:tc>
            </w:tr>
            <w:tr w14:paraId="1EEE2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5" w:type="pct"/>
                  <w:noWrap w:val="0"/>
                  <w:vAlign w:val="center"/>
                </w:tcPr>
                <w:p w14:paraId="4365E004">
                  <w:pPr>
                    <w:pStyle w:val="30"/>
                    <w:widowControl w:val="0"/>
                    <w:bidi w:val="0"/>
                    <w:rPr>
                      <w:rFonts w:hint="default" w:ascii="Times New Roman" w:hAnsi="Times New Roman" w:cs="Times New Roman"/>
                      <w:color w:val="auto"/>
                      <w:highlight w:val="none"/>
                    </w:rPr>
                  </w:pPr>
                  <w:r>
                    <w:rPr>
                      <w:rFonts w:hint="eastAsia" w:cs="Times New Roman"/>
                      <w:color w:val="auto"/>
                      <w:highlight w:val="none"/>
                      <w:lang w:eastAsia="zh-CN"/>
                    </w:rPr>
                    <w:t>（三）</w:t>
                  </w:r>
                  <w:r>
                    <w:rPr>
                      <w:rFonts w:hint="default" w:ascii="Times New Roman" w:hAnsi="Times New Roman" w:cs="Times New Roman"/>
                      <w:color w:val="auto"/>
                      <w:highlight w:val="none"/>
                    </w:rPr>
                    <w:t>具备布局合理的手术室和手术设备。</w:t>
                  </w:r>
                </w:p>
              </w:tc>
              <w:tc>
                <w:tcPr>
                  <w:tcW w:w="1976" w:type="pct"/>
                  <w:noWrap w:val="0"/>
                  <w:vAlign w:val="center"/>
                </w:tcPr>
                <w:p w14:paraId="7E06EB9B">
                  <w:pPr>
                    <w:pStyle w:val="30"/>
                    <w:widowControl w:val="0"/>
                    <w:bidi w:val="0"/>
                    <w:rPr>
                      <w:rFonts w:hint="default" w:ascii="Times New Roman" w:hAnsi="Times New Roman" w:eastAsia="宋体" w:cs="Times New Roman"/>
                      <w:bCs/>
                      <w:snapToGrid w:val="0"/>
                      <w:color w:val="auto"/>
                      <w:spacing w:val="8"/>
                      <w:kern w:val="0"/>
                      <w:sz w:val="21"/>
                      <w:szCs w:val="72"/>
                      <w:highlight w:val="none"/>
                      <w:lang w:eastAsia="zh-CN"/>
                    </w:rPr>
                  </w:pPr>
                  <w:r>
                    <w:rPr>
                      <w:rFonts w:hint="eastAsia" w:ascii="Times New Roman" w:hAnsi="Times New Roman" w:eastAsia="宋体" w:cs="Times New Roman"/>
                      <w:bCs/>
                      <w:snapToGrid w:val="0"/>
                      <w:color w:val="auto"/>
                      <w:spacing w:val="8"/>
                      <w:kern w:val="0"/>
                      <w:sz w:val="21"/>
                      <w:szCs w:val="72"/>
                      <w:highlight w:val="none"/>
                      <w:lang w:eastAsia="zh-CN"/>
                    </w:rPr>
                    <w:t>项目将按照施工图纸设计配备布局合理的手术室和手术设备。</w:t>
                  </w:r>
                </w:p>
              </w:tc>
              <w:tc>
                <w:tcPr>
                  <w:tcW w:w="517" w:type="pct"/>
                  <w:noWrap w:val="0"/>
                  <w:vAlign w:val="center"/>
                </w:tcPr>
                <w:p w14:paraId="6A9AE8BE">
                  <w:pPr>
                    <w:widowControl w:val="0"/>
                    <w:bidi w:val="0"/>
                    <w:rPr>
                      <w:rFonts w:hint="default" w:ascii="Times New Roman" w:hAnsi="Times New Roman" w:eastAsia="宋体" w:cs="Times New Roman"/>
                      <w:bCs/>
                      <w:snapToGrid w:val="0"/>
                      <w:color w:val="auto"/>
                      <w:spacing w:val="8"/>
                      <w:kern w:val="0"/>
                      <w:sz w:val="21"/>
                      <w:szCs w:val="72"/>
                      <w:highlight w:val="none"/>
                      <w:lang w:val="en-US" w:eastAsia="zh-CN"/>
                    </w:rPr>
                  </w:pPr>
                  <w:r>
                    <w:rPr>
                      <w:rFonts w:hint="default" w:ascii="Times New Roman" w:hAnsi="Times New Roman" w:eastAsia="宋体" w:cs="Times New Roman"/>
                      <w:bCs/>
                      <w:snapToGrid w:val="0"/>
                      <w:color w:val="auto"/>
                      <w:spacing w:val="8"/>
                      <w:kern w:val="0"/>
                      <w:sz w:val="21"/>
                      <w:szCs w:val="72"/>
                      <w:highlight w:val="none"/>
                      <w:lang w:val="en-US" w:eastAsia="zh-CN"/>
                    </w:rPr>
                    <w:t>符合</w:t>
                  </w:r>
                </w:p>
              </w:tc>
            </w:tr>
            <w:tr w14:paraId="0C769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5" w:type="pct"/>
                  <w:noWrap w:val="0"/>
                  <w:vAlign w:val="center"/>
                </w:tcPr>
                <w:p w14:paraId="7206FC8D">
                  <w:pPr>
                    <w:pStyle w:val="30"/>
                    <w:widowControl w:val="0"/>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除前款规定的动物医院外，其他动物诊疗机构不得从事动物颅腔、胸腔和腹腔手术；</w:t>
                  </w:r>
                </w:p>
              </w:tc>
              <w:tc>
                <w:tcPr>
                  <w:tcW w:w="1976" w:type="pct"/>
                  <w:noWrap w:val="0"/>
                  <w:vAlign w:val="center"/>
                </w:tcPr>
                <w:p w14:paraId="5CE6566A">
                  <w:pPr>
                    <w:pStyle w:val="30"/>
                    <w:widowControl w:val="0"/>
                    <w:bidi w:val="0"/>
                    <w:rPr>
                      <w:rFonts w:hint="default" w:ascii="Times New Roman" w:hAnsi="Times New Roman" w:eastAsia="宋体" w:cs="Times New Roman"/>
                      <w:bCs/>
                      <w:snapToGrid w:val="0"/>
                      <w:color w:val="auto"/>
                      <w:spacing w:val="8"/>
                      <w:kern w:val="0"/>
                      <w:sz w:val="21"/>
                      <w:szCs w:val="72"/>
                      <w:highlight w:val="none"/>
                      <w:lang w:eastAsia="zh-CN"/>
                    </w:rPr>
                  </w:pPr>
                  <w:r>
                    <w:rPr>
                      <w:rFonts w:hint="eastAsia" w:ascii="Times New Roman" w:hAnsi="Times New Roman" w:eastAsia="宋体" w:cs="Times New Roman"/>
                      <w:bCs/>
                      <w:snapToGrid w:val="0"/>
                      <w:color w:val="auto"/>
                      <w:spacing w:val="8"/>
                      <w:kern w:val="0"/>
                      <w:sz w:val="21"/>
                      <w:szCs w:val="72"/>
                      <w:highlight w:val="none"/>
                      <w:lang w:eastAsia="zh-CN"/>
                    </w:rPr>
                    <w:t>项目将按照规定建设成合格的动物医院，并将按照国家规定办理动物诊疗手续，合规开展动物颅腔、胸腔和腹腔手术活动。</w:t>
                  </w:r>
                </w:p>
              </w:tc>
              <w:tc>
                <w:tcPr>
                  <w:tcW w:w="517" w:type="pct"/>
                  <w:noWrap w:val="0"/>
                  <w:vAlign w:val="center"/>
                </w:tcPr>
                <w:p w14:paraId="07851E12">
                  <w:pPr>
                    <w:widowControl w:val="0"/>
                    <w:bidi w:val="0"/>
                    <w:rPr>
                      <w:rFonts w:hint="default" w:ascii="Times New Roman" w:hAnsi="Times New Roman" w:eastAsia="宋体" w:cs="Times New Roman"/>
                      <w:bCs/>
                      <w:snapToGrid w:val="0"/>
                      <w:color w:val="auto"/>
                      <w:spacing w:val="8"/>
                      <w:kern w:val="0"/>
                      <w:sz w:val="21"/>
                      <w:szCs w:val="72"/>
                      <w:highlight w:val="none"/>
                      <w:lang w:val="en-US" w:eastAsia="zh-CN"/>
                    </w:rPr>
                  </w:pPr>
                  <w:r>
                    <w:rPr>
                      <w:rFonts w:hint="default" w:ascii="Times New Roman" w:hAnsi="Times New Roman" w:eastAsia="宋体" w:cs="Times New Roman"/>
                      <w:bCs/>
                      <w:snapToGrid w:val="0"/>
                      <w:color w:val="auto"/>
                      <w:spacing w:val="8"/>
                      <w:kern w:val="0"/>
                      <w:sz w:val="21"/>
                      <w:szCs w:val="72"/>
                      <w:highlight w:val="none"/>
                      <w:lang w:val="en-US" w:eastAsia="zh-CN"/>
                    </w:rPr>
                    <w:t>符合</w:t>
                  </w:r>
                </w:p>
              </w:tc>
            </w:tr>
            <w:tr w14:paraId="325AA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5" w:type="pct"/>
                  <w:noWrap w:val="0"/>
                  <w:vAlign w:val="center"/>
                </w:tcPr>
                <w:p w14:paraId="77016561">
                  <w:pPr>
                    <w:pStyle w:val="30"/>
                    <w:widowControl w:val="0"/>
                    <w:bidi w:val="0"/>
                    <w:rPr>
                      <w:rFonts w:hint="default" w:ascii="Times New Roman" w:hAnsi="Times New Roman" w:eastAsia="宋体" w:cs="Times New Roman"/>
                      <w:color w:val="auto"/>
                      <w:highlight w:val="none"/>
                    </w:rPr>
                  </w:pPr>
                  <w:r>
                    <w:rPr>
                      <w:rFonts w:hint="eastAsia" w:ascii="Times New Roman" w:hAnsi="Times New Roman" w:eastAsia="宋体" w:cs="Times New Roman"/>
                      <w:color w:val="auto"/>
                      <w:highlight w:val="none"/>
                    </w:rPr>
                    <w:t>第十条动物诊疗机构应当使用规范的名称。未取得相应许可的，不得使用“动物诊所”或者“动物医院”的名称。</w:t>
                  </w:r>
                </w:p>
              </w:tc>
              <w:tc>
                <w:tcPr>
                  <w:tcW w:w="1976" w:type="pct"/>
                  <w:noWrap w:val="0"/>
                  <w:vAlign w:val="center"/>
                </w:tcPr>
                <w:p w14:paraId="33CAC1E3">
                  <w:pPr>
                    <w:pStyle w:val="30"/>
                    <w:widowControl w:val="0"/>
                    <w:bidi w:val="0"/>
                    <w:rPr>
                      <w:rFonts w:hint="default" w:ascii="Times New Roman" w:hAnsi="Times New Roman" w:eastAsia="宋体" w:cs="Times New Roman"/>
                      <w:bCs/>
                      <w:snapToGrid w:val="0"/>
                      <w:color w:val="auto"/>
                      <w:spacing w:val="8"/>
                      <w:kern w:val="0"/>
                      <w:sz w:val="21"/>
                      <w:szCs w:val="72"/>
                      <w:highlight w:val="none"/>
                      <w:lang w:eastAsia="zh-CN"/>
                    </w:rPr>
                  </w:pPr>
                  <w:r>
                    <w:rPr>
                      <w:rFonts w:hint="eastAsia" w:ascii="Times New Roman" w:hAnsi="Times New Roman" w:eastAsia="宋体" w:cs="Times New Roman"/>
                      <w:bCs/>
                      <w:snapToGrid w:val="0"/>
                      <w:color w:val="auto"/>
                      <w:spacing w:val="8"/>
                      <w:kern w:val="0"/>
                      <w:sz w:val="21"/>
                      <w:szCs w:val="72"/>
                      <w:highlight w:val="none"/>
                      <w:lang w:eastAsia="zh-CN"/>
                    </w:rPr>
                    <w:t>项目建设完成后，建设单位将按照规定办理动物诊疗许可证，并按规定使用规范的名称。</w:t>
                  </w:r>
                </w:p>
              </w:tc>
              <w:tc>
                <w:tcPr>
                  <w:tcW w:w="517" w:type="pct"/>
                  <w:noWrap w:val="0"/>
                  <w:vAlign w:val="center"/>
                </w:tcPr>
                <w:p w14:paraId="489250A9">
                  <w:pPr>
                    <w:widowControl w:val="0"/>
                    <w:bidi w:val="0"/>
                    <w:rPr>
                      <w:rFonts w:hint="default" w:ascii="Times New Roman" w:hAnsi="Times New Roman" w:eastAsia="宋体" w:cs="Times New Roman"/>
                      <w:bCs/>
                      <w:snapToGrid w:val="0"/>
                      <w:color w:val="auto"/>
                      <w:spacing w:val="8"/>
                      <w:kern w:val="0"/>
                      <w:sz w:val="21"/>
                      <w:szCs w:val="72"/>
                      <w:highlight w:val="none"/>
                      <w:lang w:val="en-US" w:eastAsia="zh-CN"/>
                    </w:rPr>
                  </w:pPr>
                  <w:r>
                    <w:rPr>
                      <w:rFonts w:hint="default" w:ascii="Times New Roman" w:hAnsi="Times New Roman" w:eastAsia="宋体" w:cs="Times New Roman"/>
                      <w:bCs/>
                      <w:snapToGrid w:val="0"/>
                      <w:color w:val="auto"/>
                      <w:spacing w:val="8"/>
                      <w:kern w:val="0"/>
                      <w:sz w:val="21"/>
                      <w:szCs w:val="72"/>
                      <w:highlight w:val="none"/>
                      <w:lang w:val="en-US" w:eastAsia="zh-CN"/>
                    </w:rPr>
                    <w:t>符合</w:t>
                  </w:r>
                </w:p>
              </w:tc>
            </w:tr>
            <w:tr w14:paraId="631C4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5" w:type="pct"/>
                  <w:noWrap w:val="0"/>
                  <w:vAlign w:val="center"/>
                </w:tcPr>
                <w:p w14:paraId="5B27A046">
                  <w:pPr>
                    <w:pStyle w:val="30"/>
                    <w:widowControl w:val="0"/>
                    <w:bidi w:val="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第十四条动物诊疗机构变更名称或者法定代表人（负责人）的，应当在办理市场主体变更登记手续后十五个工作日内，向原发证机关申请办理变更手续。</w:t>
                  </w:r>
                </w:p>
                <w:p w14:paraId="39637EDE">
                  <w:pPr>
                    <w:pStyle w:val="30"/>
                    <w:widowControl w:val="0"/>
                    <w:bidi w:val="0"/>
                    <w:rPr>
                      <w:rFonts w:hint="default" w:ascii="Times New Roman" w:hAnsi="Times New Roman" w:eastAsia="宋体" w:cs="Times New Roman"/>
                      <w:color w:val="auto"/>
                      <w:highlight w:val="none"/>
                    </w:rPr>
                  </w:pPr>
                  <w:r>
                    <w:rPr>
                      <w:rFonts w:hint="eastAsia" w:ascii="Times New Roman" w:hAnsi="Times New Roman" w:eastAsia="宋体" w:cs="Times New Roman"/>
                      <w:color w:val="auto"/>
                      <w:highlight w:val="none"/>
                    </w:rPr>
                    <w:t>动物诊疗机构变更从业地点、诊疗活动范围的，应当按照本办法规定重新办理动物诊疗许可手续，申请换发动物诊疗许可证。</w:t>
                  </w:r>
                </w:p>
              </w:tc>
              <w:tc>
                <w:tcPr>
                  <w:tcW w:w="1976" w:type="pct"/>
                  <w:noWrap w:val="0"/>
                  <w:vAlign w:val="center"/>
                </w:tcPr>
                <w:p w14:paraId="71266670">
                  <w:pPr>
                    <w:pStyle w:val="30"/>
                    <w:widowControl w:val="0"/>
                    <w:bidi w:val="0"/>
                    <w:rPr>
                      <w:rFonts w:hint="default" w:ascii="Times New Roman" w:hAnsi="Times New Roman" w:eastAsia="宋体" w:cs="Times New Roman"/>
                      <w:bCs/>
                      <w:snapToGrid w:val="0"/>
                      <w:color w:val="auto"/>
                      <w:spacing w:val="8"/>
                      <w:kern w:val="0"/>
                      <w:sz w:val="21"/>
                      <w:szCs w:val="72"/>
                      <w:highlight w:val="none"/>
                      <w:lang w:eastAsia="zh-CN"/>
                    </w:rPr>
                  </w:pPr>
                  <w:r>
                    <w:rPr>
                      <w:rFonts w:hint="eastAsia" w:ascii="Times New Roman" w:hAnsi="Times New Roman" w:eastAsia="宋体" w:cs="Times New Roman"/>
                      <w:bCs/>
                      <w:snapToGrid w:val="0"/>
                      <w:color w:val="auto"/>
                      <w:spacing w:val="8"/>
                      <w:kern w:val="0"/>
                      <w:sz w:val="21"/>
                      <w:szCs w:val="72"/>
                      <w:highlight w:val="none"/>
                      <w:lang w:eastAsia="zh-CN"/>
                    </w:rPr>
                    <w:t>项目建设完成并取得动物诊疗许可证后，</w:t>
                  </w:r>
                  <w:r>
                    <w:rPr>
                      <w:rFonts w:hint="eastAsia" w:cs="Times New Roman"/>
                      <w:bCs/>
                      <w:snapToGrid w:val="0"/>
                      <w:color w:val="auto"/>
                      <w:spacing w:val="8"/>
                      <w:kern w:val="0"/>
                      <w:sz w:val="21"/>
                      <w:szCs w:val="72"/>
                      <w:highlight w:val="none"/>
                      <w:lang w:eastAsia="zh-CN"/>
                    </w:rPr>
                    <w:t>若</w:t>
                  </w:r>
                  <w:r>
                    <w:rPr>
                      <w:rFonts w:hint="eastAsia" w:ascii="Times New Roman" w:hAnsi="Times New Roman" w:eastAsia="宋体" w:cs="Times New Roman"/>
                      <w:bCs/>
                      <w:snapToGrid w:val="0"/>
                      <w:color w:val="auto"/>
                      <w:spacing w:val="8"/>
                      <w:kern w:val="0"/>
                      <w:sz w:val="21"/>
                      <w:szCs w:val="72"/>
                      <w:highlight w:val="none"/>
                      <w:lang w:eastAsia="zh-CN"/>
                    </w:rPr>
                    <w:t>诊疗机构名称、法人、从业地点、诊疗活动范围等发生变更，建设单位将按照规定要求及时向原发证单位申请变更或换发动物诊疗许可证。</w:t>
                  </w:r>
                </w:p>
              </w:tc>
              <w:tc>
                <w:tcPr>
                  <w:tcW w:w="517" w:type="pct"/>
                  <w:noWrap w:val="0"/>
                  <w:vAlign w:val="center"/>
                </w:tcPr>
                <w:p w14:paraId="5DDD31FB">
                  <w:pPr>
                    <w:widowControl w:val="0"/>
                    <w:bidi w:val="0"/>
                    <w:rPr>
                      <w:rFonts w:hint="default" w:ascii="Times New Roman" w:hAnsi="Times New Roman" w:eastAsia="宋体" w:cs="Times New Roman"/>
                      <w:bCs/>
                      <w:snapToGrid w:val="0"/>
                      <w:color w:val="auto"/>
                      <w:spacing w:val="8"/>
                      <w:kern w:val="0"/>
                      <w:sz w:val="21"/>
                      <w:szCs w:val="72"/>
                      <w:highlight w:val="none"/>
                      <w:lang w:val="en-US" w:eastAsia="zh-CN"/>
                    </w:rPr>
                  </w:pPr>
                  <w:r>
                    <w:rPr>
                      <w:rFonts w:hint="default" w:ascii="Times New Roman" w:hAnsi="Times New Roman" w:eastAsia="宋体" w:cs="Times New Roman"/>
                      <w:bCs/>
                      <w:snapToGrid w:val="0"/>
                      <w:color w:val="auto"/>
                      <w:spacing w:val="8"/>
                      <w:kern w:val="0"/>
                      <w:sz w:val="21"/>
                      <w:szCs w:val="72"/>
                      <w:highlight w:val="none"/>
                      <w:lang w:val="en-US" w:eastAsia="zh-CN"/>
                    </w:rPr>
                    <w:t>符合</w:t>
                  </w:r>
                </w:p>
              </w:tc>
            </w:tr>
            <w:tr w14:paraId="7B533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5" w:type="pct"/>
                  <w:noWrap w:val="0"/>
                  <w:vAlign w:val="center"/>
                </w:tcPr>
                <w:p w14:paraId="0487EF0C">
                  <w:pPr>
                    <w:pStyle w:val="30"/>
                    <w:widowControl w:val="0"/>
                    <w:bidi w:val="0"/>
                    <w:rPr>
                      <w:rFonts w:hint="default" w:ascii="Times New Roman" w:hAnsi="Times New Roman" w:eastAsia="宋体" w:cs="Times New Roman"/>
                      <w:color w:val="auto"/>
                      <w:highlight w:val="none"/>
                    </w:rPr>
                  </w:pPr>
                  <w:r>
                    <w:rPr>
                      <w:rFonts w:hint="eastAsia" w:ascii="Times New Roman" w:hAnsi="Times New Roman" w:eastAsia="宋体" w:cs="Times New Roman"/>
                      <w:color w:val="auto"/>
                      <w:highlight w:val="none"/>
                    </w:rPr>
                    <w:t>第十七条动物诊疗机构应当依法从事动物诊疗活动，建立健全内部管理制度，在诊疗场所的显著位置悬挂动物诊疗许可证和公示诊疗活动从业人员基本情况。</w:t>
                  </w:r>
                </w:p>
              </w:tc>
              <w:tc>
                <w:tcPr>
                  <w:tcW w:w="1976" w:type="pct"/>
                  <w:noWrap w:val="0"/>
                  <w:vAlign w:val="center"/>
                </w:tcPr>
                <w:p w14:paraId="3326EA4D">
                  <w:pPr>
                    <w:pStyle w:val="30"/>
                    <w:widowControl w:val="0"/>
                    <w:bidi w:val="0"/>
                    <w:rPr>
                      <w:rFonts w:hint="default" w:ascii="Times New Roman" w:hAnsi="Times New Roman" w:eastAsia="宋体" w:cs="Times New Roman"/>
                      <w:bCs/>
                      <w:snapToGrid w:val="0"/>
                      <w:color w:val="auto"/>
                      <w:spacing w:val="8"/>
                      <w:kern w:val="0"/>
                      <w:sz w:val="21"/>
                      <w:szCs w:val="72"/>
                      <w:highlight w:val="none"/>
                      <w:lang w:eastAsia="zh-CN"/>
                    </w:rPr>
                  </w:pPr>
                  <w:r>
                    <w:rPr>
                      <w:rFonts w:hint="eastAsia" w:ascii="Times New Roman" w:hAnsi="Times New Roman" w:eastAsia="宋体" w:cs="Times New Roman"/>
                      <w:bCs/>
                      <w:snapToGrid w:val="0"/>
                      <w:color w:val="auto"/>
                      <w:spacing w:val="8"/>
                      <w:kern w:val="0"/>
                      <w:sz w:val="21"/>
                      <w:szCs w:val="72"/>
                      <w:highlight w:val="none"/>
                      <w:lang w:eastAsia="zh-CN"/>
                    </w:rPr>
                    <w:t>建设单位按照要求在前台大厅显眼处悬挂动物诊疗许可证和公示执业兽医师资格证书。</w:t>
                  </w:r>
                </w:p>
              </w:tc>
              <w:tc>
                <w:tcPr>
                  <w:tcW w:w="517" w:type="pct"/>
                  <w:noWrap w:val="0"/>
                  <w:vAlign w:val="center"/>
                </w:tcPr>
                <w:p w14:paraId="261B7DCD">
                  <w:pPr>
                    <w:widowControl w:val="0"/>
                    <w:bidi w:val="0"/>
                    <w:rPr>
                      <w:rFonts w:hint="default" w:ascii="Times New Roman" w:hAnsi="Times New Roman" w:eastAsia="宋体" w:cs="Times New Roman"/>
                      <w:bCs/>
                      <w:snapToGrid w:val="0"/>
                      <w:color w:val="auto"/>
                      <w:spacing w:val="8"/>
                      <w:kern w:val="0"/>
                      <w:sz w:val="21"/>
                      <w:szCs w:val="72"/>
                      <w:highlight w:val="none"/>
                      <w:lang w:val="en-US" w:eastAsia="zh-CN"/>
                    </w:rPr>
                  </w:pPr>
                  <w:r>
                    <w:rPr>
                      <w:rFonts w:hint="default" w:ascii="Times New Roman" w:hAnsi="Times New Roman" w:eastAsia="宋体" w:cs="Times New Roman"/>
                      <w:bCs/>
                      <w:snapToGrid w:val="0"/>
                      <w:color w:val="auto"/>
                      <w:spacing w:val="8"/>
                      <w:kern w:val="0"/>
                      <w:sz w:val="21"/>
                      <w:szCs w:val="72"/>
                      <w:highlight w:val="none"/>
                      <w:lang w:val="en-US" w:eastAsia="zh-CN"/>
                    </w:rPr>
                    <w:t>符合</w:t>
                  </w:r>
                </w:p>
              </w:tc>
            </w:tr>
            <w:tr w14:paraId="5DDF0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5" w:type="pct"/>
                  <w:noWrap w:val="0"/>
                  <w:vAlign w:val="center"/>
                </w:tcPr>
                <w:p w14:paraId="5BE8E915">
                  <w:pPr>
                    <w:pStyle w:val="30"/>
                    <w:widowControl w:val="0"/>
                    <w:bidi w:val="0"/>
                    <w:rPr>
                      <w:rFonts w:hint="default" w:ascii="Times New Roman" w:hAnsi="Times New Roman" w:eastAsia="宋体" w:cs="Times New Roman"/>
                      <w:color w:val="auto"/>
                      <w:highlight w:val="none"/>
                    </w:rPr>
                  </w:pPr>
                  <w:r>
                    <w:rPr>
                      <w:rFonts w:hint="eastAsia" w:ascii="Times New Roman" w:hAnsi="Times New Roman" w:eastAsia="宋体" w:cs="Times New Roman"/>
                      <w:color w:val="auto"/>
                      <w:highlight w:val="none"/>
                    </w:rPr>
                    <w:t>第二十一条动物诊疗机构兼营动物用品、动物饲料、动物美容、动物寄养等项目的，兼营区域与动物诊疗区域应当分别独立设置。</w:t>
                  </w:r>
                </w:p>
              </w:tc>
              <w:tc>
                <w:tcPr>
                  <w:tcW w:w="1976" w:type="pct"/>
                  <w:noWrap w:val="0"/>
                  <w:vAlign w:val="center"/>
                </w:tcPr>
                <w:p w14:paraId="7CB1BC1A">
                  <w:pPr>
                    <w:pStyle w:val="30"/>
                    <w:widowControl w:val="0"/>
                    <w:bidi w:val="0"/>
                    <w:rPr>
                      <w:rFonts w:hint="default" w:ascii="Times New Roman" w:hAnsi="Times New Roman" w:eastAsia="宋体" w:cs="Times New Roman"/>
                      <w:bCs/>
                      <w:snapToGrid w:val="0"/>
                      <w:color w:val="auto"/>
                      <w:spacing w:val="8"/>
                      <w:kern w:val="0"/>
                      <w:sz w:val="21"/>
                      <w:szCs w:val="72"/>
                      <w:highlight w:val="none"/>
                      <w:lang w:eastAsia="zh-CN"/>
                    </w:rPr>
                  </w:pPr>
                  <w:r>
                    <w:rPr>
                      <w:rFonts w:hint="eastAsia" w:ascii="Times New Roman" w:hAnsi="Times New Roman" w:eastAsia="宋体" w:cs="Times New Roman"/>
                      <w:bCs/>
                      <w:snapToGrid w:val="0"/>
                      <w:color w:val="auto"/>
                      <w:spacing w:val="8"/>
                      <w:kern w:val="0"/>
                      <w:sz w:val="21"/>
                      <w:szCs w:val="72"/>
                      <w:highlight w:val="none"/>
                      <w:lang w:eastAsia="zh-CN"/>
                    </w:rPr>
                    <w:t>本项目设置动物诊疗、宠物洗澡美容、动物用品及食品零售，不涉及宠物寄养服务。</w:t>
                  </w:r>
                </w:p>
              </w:tc>
              <w:tc>
                <w:tcPr>
                  <w:tcW w:w="517" w:type="pct"/>
                  <w:noWrap w:val="0"/>
                  <w:vAlign w:val="center"/>
                </w:tcPr>
                <w:p w14:paraId="1F8D94B7">
                  <w:pPr>
                    <w:widowControl w:val="0"/>
                    <w:bidi w:val="0"/>
                    <w:rPr>
                      <w:rFonts w:hint="default" w:ascii="Times New Roman" w:hAnsi="Times New Roman" w:eastAsia="宋体" w:cs="Times New Roman"/>
                      <w:bCs/>
                      <w:snapToGrid w:val="0"/>
                      <w:color w:val="auto"/>
                      <w:spacing w:val="8"/>
                      <w:kern w:val="0"/>
                      <w:sz w:val="21"/>
                      <w:szCs w:val="72"/>
                      <w:highlight w:val="none"/>
                      <w:lang w:val="en-US" w:eastAsia="zh-CN"/>
                    </w:rPr>
                  </w:pPr>
                  <w:r>
                    <w:rPr>
                      <w:rFonts w:hint="default" w:ascii="Times New Roman" w:hAnsi="Times New Roman" w:eastAsia="宋体" w:cs="Times New Roman"/>
                      <w:bCs/>
                      <w:snapToGrid w:val="0"/>
                      <w:color w:val="auto"/>
                      <w:spacing w:val="8"/>
                      <w:kern w:val="0"/>
                      <w:sz w:val="21"/>
                      <w:szCs w:val="72"/>
                      <w:highlight w:val="none"/>
                      <w:lang w:val="en-US" w:eastAsia="zh-CN"/>
                    </w:rPr>
                    <w:t>符合</w:t>
                  </w:r>
                </w:p>
              </w:tc>
            </w:tr>
            <w:tr w14:paraId="2641C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5" w:type="pct"/>
                  <w:noWrap w:val="0"/>
                  <w:vAlign w:val="center"/>
                </w:tcPr>
                <w:p w14:paraId="33823CBB">
                  <w:pPr>
                    <w:pStyle w:val="30"/>
                    <w:widowControl w:val="0"/>
                    <w:bidi w:val="0"/>
                    <w:rPr>
                      <w:rFonts w:hint="default" w:ascii="Times New Roman" w:hAnsi="Times New Roman" w:eastAsia="宋体" w:cs="Times New Roman"/>
                      <w:color w:val="auto"/>
                      <w:highlight w:val="none"/>
                    </w:rPr>
                  </w:pPr>
                  <w:r>
                    <w:rPr>
                      <w:rFonts w:hint="eastAsia" w:ascii="Times New Roman" w:hAnsi="Times New Roman" w:eastAsia="宋体" w:cs="Times New Roman"/>
                      <w:color w:val="auto"/>
                      <w:highlight w:val="none"/>
                    </w:rPr>
                    <w:t>第二十四条动物诊疗机构安装、使用具有放射性的诊疗设备的，应当依法经生态环境主管部门批准。</w:t>
                  </w:r>
                </w:p>
              </w:tc>
              <w:tc>
                <w:tcPr>
                  <w:tcW w:w="1976" w:type="pct"/>
                  <w:noWrap w:val="0"/>
                  <w:vAlign w:val="center"/>
                </w:tcPr>
                <w:p w14:paraId="14CFB852">
                  <w:pPr>
                    <w:pStyle w:val="30"/>
                    <w:widowControl w:val="0"/>
                    <w:bidi w:val="0"/>
                    <w:rPr>
                      <w:rFonts w:hint="default" w:ascii="Times New Roman" w:hAnsi="Times New Roman" w:eastAsia="宋体" w:cs="Times New Roman"/>
                      <w:bCs/>
                      <w:snapToGrid w:val="0"/>
                      <w:color w:val="auto"/>
                      <w:spacing w:val="8"/>
                      <w:kern w:val="0"/>
                      <w:sz w:val="21"/>
                      <w:szCs w:val="72"/>
                      <w:highlight w:val="none"/>
                      <w:lang w:eastAsia="zh-CN"/>
                    </w:rPr>
                  </w:pPr>
                  <w:r>
                    <w:rPr>
                      <w:rFonts w:hint="eastAsia" w:ascii="Times New Roman" w:hAnsi="Times New Roman" w:eastAsia="宋体" w:cs="Times New Roman"/>
                      <w:bCs/>
                      <w:snapToGrid w:val="0"/>
                      <w:color w:val="auto"/>
                      <w:spacing w:val="8"/>
                      <w:kern w:val="0"/>
                      <w:sz w:val="21"/>
                      <w:szCs w:val="72"/>
                      <w:highlight w:val="none"/>
                      <w:lang w:eastAsia="zh-CN"/>
                    </w:rPr>
                    <w:t>项目建设完成后，建设单位将按照规定建立一套突发动物疫情报告制度，当发现动物染疫或者疑似染疫情况，将迅速隔离，并立即向</w:t>
                  </w:r>
                  <w:r>
                    <w:rPr>
                      <w:rFonts w:hint="eastAsia" w:ascii="Times New Roman" w:hAnsi="Times New Roman" w:eastAsia="宋体" w:cs="Times New Roman"/>
                      <w:bCs/>
                      <w:snapToGrid w:val="0"/>
                      <w:color w:val="auto"/>
                      <w:spacing w:val="8"/>
                      <w:kern w:val="0"/>
                      <w:sz w:val="21"/>
                      <w:szCs w:val="72"/>
                      <w:highlight w:val="none"/>
                      <w:lang w:val="en-US" w:eastAsia="zh-CN"/>
                    </w:rPr>
                    <w:t>当地</w:t>
                  </w:r>
                  <w:r>
                    <w:rPr>
                      <w:rFonts w:hint="eastAsia" w:ascii="Times New Roman" w:hAnsi="Times New Roman" w:eastAsia="宋体" w:cs="Times New Roman"/>
                      <w:bCs/>
                      <w:snapToGrid w:val="0"/>
                      <w:color w:val="auto"/>
                      <w:spacing w:val="8"/>
                      <w:kern w:val="0"/>
                      <w:sz w:val="21"/>
                      <w:szCs w:val="72"/>
                      <w:highlight w:val="none"/>
                      <w:lang w:eastAsia="zh-CN"/>
                    </w:rPr>
                    <w:t>农业农村主管部门报告，并及时对全院区开展消毒，防止疫情扩散。当发现动物患有或者疑似患有国家规定应当扑杀的疫病时，本院不擅自进行治疗。</w:t>
                  </w:r>
                </w:p>
              </w:tc>
              <w:tc>
                <w:tcPr>
                  <w:tcW w:w="517" w:type="pct"/>
                  <w:noWrap w:val="0"/>
                  <w:vAlign w:val="center"/>
                </w:tcPr>
                <w:p w14:paraId="31B4FB79">
                  <w:pPr>
                    <w:widowControl w:val="0"/>
                    <w:bidi w:val="0"/>
                    <w:rPr>
                      <w:rFonts w:hint="default" w:ascii="Times New Roman" w:hAnsi="Times New Roman" w:eastAsia="宋体" w:cs="Times New Roman"/>
                      <w:bCs/>
                      <w:snapToGrid w:val="0"/>
                      <w:color w:val="auto"/>
                      <w:spacing w:val="8"/>
                      <w:kern w:val="0"/>
                      <w:sz w:val="21"/>
                      <w:szCs w:val="72"/>
                      <w:highlight w:val="none"/>
                      <w:lang w:val="en-US" w:eastAsia="zh-CN"/>
                    </w:rPr>
                  </w:pPr>
                  <w:r>
                    <w:rPr>
                      <w:rFonts w:hint="default" w:ascii="Times New Roman" w:hAnsi="Times New Roman" w:eastAsia="宋体" w:cs="Times New Roman"/>
                      <w:bCs/>
                      <w:snapToGrid w:val="0"/>
                      <w:color w:val="auto"/>
                      <w:spacing w:val="8"/>
                      <w:kern w:val="0"/>
                      <w:sz w:val="21"/>
                      <w:szCs w:val="72"/>
                      <w:highlight w:val="none"/>
                      <w:lang w:val="en-US" w:eastAsia="zh-CN"/>
                    </w:rPr>
                    <w:t>符合</w:t>
                  </w:r>
                </w:p>
              </w:tc>
            </w:tr>
            <w:tr w14:paraId="5B0FF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5" w:type="pct"/>
                  <w:noWrap w:val="0"/>
                  <w:vAlign w:val="center"/>
                </w:tcPr>
                <w:p w14:paraId="6439D3C2">
                  <w:pPr>
                    <w:pStyle w:val="30"/>
                    <w:widowControl w:val="0"/>
                    <w:bidi w:val="0"/>
                    <w:rPr>
                      <w:rFonts w:hint="default" w:ascii="Times New Roman" w:hAnsi="Times New Roman" w:eastAsia="宋体" w:cs="Times New Roman"/>
                      <w:color w:val="auto"/>
                      <w:highlight w:val="none"/>
                    </w:rPr>
                  </w:pPr>
                  <w:r>
                    <w:rPr>
                      <w:rFonts w:hint="eastAsia" w:ascii="Times New Roman" w:hAnsi="Times New Roman" w:eastAsia="宋体" w:cs="Times New Roman"/>
                      <w:color w:val="auto"/>
                      <w:highlight w:val="none"/>
                    </w:rPr>
                    <w:t>第二十五条动物诊疗机构发现动物染疫或者疑似染疫的，应当按照国家规定立即向所在地农业农村主管部门或者动物疫病预防控制机构报告，并迅速采取隔离、消毒等控制措施，防止动物疫情扩散。动物诊疗机构发现动物患有或者疑似患有国家规定应当扑杀的疫病时，不得擅自进行治疗。</w:t>
                  </w:r>
                </w:p>
              </w:tc>
              <w:tc>
                <w:tcPr>
                  <w:tcW w:w="1976" w:type="pct"/>
                  <w:noWrap w:val="0"/>
                  <w:vAlign w:val="center"/>
                </w:tcPr>
                <w:p w14:paraId="5C38060B">
                  <w:pPr>
                    <w:pStyle w:val="30"/>
                    <w:widowControl w:val="0"/>
                    <w:bidi w:val="0"/>
                    <w:rPr>
                      <w:rFonts w:hint="default" w:ascii="Times New Roman" w:hAnsi="Times New Roman" w:eastAsia="宋体" w:cs="Times New Roman"/>
                      <w:bCs/>
                      <w:snapToGrid w:val="0"/>
                      <w:color w:val="auto"/>
                      <w:spacing w:val="8"/>
                      <w:kern w:val="0"/>
                      <w:sz w:val="21"/>
                      <w:szCs w:val="72"/>
                      <w:highlight w:val="none"/>
                      <w:lang w:eastAsia="zh-CN"/>
                    </w:rPr>
                  </w:pPr>
                  <w:r>
                    <w:rPr>
                      <w:rFonts w:hint="eastAsia" w:ascii="Times New Roman" w:hAnsi="Times New Roman" w:eastAsia="宋体" w:cs="Times New Roman"/>
                      <w:bCs/>
                      <w:snapToGrid w:val="0"/>
                      <w:color w:val="auto"/>
                      <w:spacing w:val="8"/>
                      <w:kern w:val="0"/>
                      <w:sz w:val="21"/>
                      <w:szCs w:val="72"/>
                      <w:highlight w:val="none"/>
                      <w:lang w:eastAsia="zh-CN"/>
                    </w:rPr>
                    <w:t>项目建设完成后，建设单位将按照规定建立一套突发动物疫情报告制度，当发现动物染疫或者疑似染疫情况，将迅速隔离，并立即向</w:t>
                  </w:r>
                  <w:r>
                    <w:rPr>
                      <w:rFonts w:hint="eastAsia" w:ascii="Times New Roman" w:hAnsi="Times New Roman" w:eastAsia="宋体" w:cs="Times New Roman"/>
                      <w:bCs/>
                      <w:snapToGrid w:val="0"/>
                      <w:color w:val="auto"/>
                      <w:spacing w:val="8"/>
                      <w:kern w:val="0"/>
                      <w:sz w:val="21"/>
                      <w:szCs w:val="72"/>
                      <w:highlight w:val="none"/>
                      <w:lang w:val="en-US" w:eastAsia="zh-CN"/>
                    </w:rPr>
                    <w:t>当地</w:t>
                  </w:r>
                  <w:r>
                    <w:rPr>
                      <w:rFonts w:hint="eastAsia" w:ascii="Times New Roman" w:hAnsi="Times New Roman" w:eastAsia="宋体" w:cs="Times New Roman"/>
                      <w:bCs/>
                      <w:snapToGrid w:val="0"/>
                      <w:color w:val="auto"/>
                      <w:spacing w:val="8"/>
                      <w:kern w:val="0"/>
                      <w:sz w:val="21"/>
                      <w:szCs w:val="72"/>
                      <w:highlight w:val="none"/>
                      <w:lang w:eastAsia="zh-CN"/>
                    </w:rPr>
                    <w:t>农业农村主管部门报告，并及时对全院区开展消毒，防止疫情扩散。当发现动物患有或者疑似患有国家规定应当扑杀的疫病时，本院不擅自进行治疗。</w:t>
                  </w:r>
                </w:p>
              </w:tc>
              <w:tc>
                <w:tcPr>
                  <w:tcW w:w="517" w:type="pct"/>
                  <w:noWrap w:val="0"/>
                  <w:vAlign w:val="center"/>
                </w:tcPr>
                <w:p w14:paraId="41B41A0B">
                  <w:pPr>
                    <w:widowControl w:val="0"/>
                    <w:bidi w:val="0"/>
                    <w:rPr>
                      <w:rFonts w:hint="default" w:ascii="Times New Roman" w:hAnsi="Times New Roman" w:cs="Times New Roman"/>
                      <w:color w:val="auto"/>
                      <w:highlight w:val="none"/>
                      <w:lang w:val="en-US" w:eastAsia="zh-CN"/>
                    </w:rPr>
                  </w:pPr>
                  <w:r>
                    <w:rPr>
                      <w:rFonts w:hint="default" w:ascii="Times New Roman" w:hAnsi="Times New Roman" w:eastAsia="宋体" w:cs="Times New Roman"/>
                      <w:bCs/>
                      <w:snapToGrid w:val="0"/>
                      <w:color w:val="auto"/>
                      <w:spacing w:val="8"/>
                      <w:kern w:val="0"/>
                      <w:sz w:val="21"/>
                      <w:szCs w:val="72"/>
                      <w:highlight w:val="none"/>
                      <w:lang w:val="en-US" w:eastAsia="zh-CN"/>
                    </w:rPr>
                    <w:t>符合</w:t>
                  </w:r>
                </w:p>
              </w:tc>
            </w:tr>
            <w:tr w14:paraId="4A17F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5" w:type="pct"/>
                  <w:noWrap w:val="0"/>
                  <w:vAlign w:val="center"/>
                </w:tcPr>
                <w:p w14:paraId="677AD25B">
                  <w:pPr>
                    <w:pStyle w:val="30"/>
                    <w:widowControl w:val="0"/>
                    <w:bidi w:val="0"/>
                    <w:rPr>
                      <w:rFonts w:hint="default" w:ascii="Times New Roman" w:hAnsi="Times New Roman" w:eastAsia="宋体" w:cs="Times New Roman"/>
                      <w:color w:val="auto"/>
                      <w:highlight w:val="none"/>
                    </w:rPr>
                  </w:pPr>
                  <w:r>
                    <w:rPr>
                      <w:rFonts w:hint="eastAsia" w:ascii="Times New Roman" w:hAnsi="Times New Roman" w:eastAsia="宋体" w:cs="Times New Roman"/>
                      <w:color w:val="auto"/>
                      <w:highlight w:val="none"/>
                    </w:rPr>
                    <w:t>第二十六条动物诊疗机构应当按照国家规定处理染疫动物及其排泄物、污染物和动物病理组织等。动物诊疗机构应当参照《医疗废物管理条例》的有关规定处理诊疗废弃物，不得随意丢弃诊疗废弃物，排放未经无害化处理的诊疗废水。</w:t>
                  </w:r>
                </w:p>
              </w:tc>
              <w:tc>
                <w:tcPr>
                  <w:tcW w:w="1976" w:type="pct"/>
                  <w:noWrap w:val="0"/>
                  <w:vAlign w:val="center"/>
                </w:tcPr>
                <w:p w14:paraId="09581AD7">
                  <w:pPr>
                    <w:pStyle w:val="30"/>
                    <w:widowControl w:val="0"/>
                    <w:bidi w:val="0"/>
                    <w:rPr>
                      <w:rFonts w:hint="default" w:ascii="Times New Roman" w:hAnsi="Times New Roman" w:eastAsia="宋体" w:cs="Times New Roman"/>
                      <w:bCs/>
                      <w:snapToGrid w:val="0"/>
                      <w:color w:val="auto"/>
                      <w:spacing w:val="8"/>
                      <w:kern w:val="0"/>
                      <w:sz w:val="21"/>
                      <w:szCs w:val="72"/>
                      <w:highlight w:val="none"/>
                      <w:lang w:eastAsia="zh-CN"/>
                    </w:rPr>
                  </w:pPr>
                  <w:r>
                    <w:rPr>
                      <w:rFonts w:hint="eastAsia" w:ascii="Times New Roman" w:hAnsi="Times New Roman" w:eastAsia="宋体" w:cs="Times New Roman"/>
                      <w:bCs/>
                      <w:snapToGrid w:val="0"/>
                      <w:color w:val="auto"/>
                      <w:spacing w:val="8"/>
                      <w:kern w:val="0"/>
                      <w:sz w:val="21"/>
                      <w:szCs w:val="72"/>
                      <w:highlight w:val="none"/>
                      <w:lang w:eastAsia="zh-CN"/>
                    </w:rPr>
                    <w:t>项目建设完成投产后，建设单位将按照规定将染疫动物及其排泄物、污染物和动物病理组织以及诊疗废弃物等分类收集暂存于医废暂存间，然后委托有资质单位定期清运处置。</w:t>
                  </w:r>
                  <w:r>
                    <w:rPr>
                      <w:rFonts w:hint="default"/>
                      <w:color w:val="auto"/>
                      <w:highlight w:val="none"/>
                      <w:lang w:val="en-US" w:eastAsia="zh-CN"/>
                    </w:rPr>
                    <w:t>医疗废水</w:t>
                  </w:r>
                  <w:r>
                    <w:rPr>
                      <w:rFonts w:hint="eastAsia"/>
                      <w:color w:val="auto"/>
                      <w:highlight w:val="none"/>
                      <w:lang w:val="en-US" w:eastAsia="zh-CN"/>
                    </w:rPr>
                    <w:t>、清洗消毒废水经</w:t>
                  </w:r>
                  <w:r>
                    <w:rPr>
                      <w:rFonts w:hint="default"/>
                      <w:color w:val="auto"/>
                      <w:highlight w:val="none"/>
                      <w:lang w:val="en-US" w:eastAsia="zh-CN"/>
                    </w:rPr>
                    <w:t>一体化污水处理设施预处理后与生活污水</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洗浴废水</w:t>
                  </w:r>
                  <w:r>
                    <w:rPr>
                      <w:rFonts w:hint="default"/>
                      <w:color w:val="auto"/>
                      <w:highlight w:val="none"/>
                      <w:lang w:val="en-US" w:eastAsia="zh-CN"/>
                    </w:rPr>
                    <w:t>一同排入市政污水管网，本项目所有废水最终进入</w:t>
                  </w:r>
                  <w:r>
                    <w:rPr>
                      <w:rFonts w:hint="eastAsia"/>
                      <w:color w:val="auto"/>
                      <w:highlight w:val="none"/>
                      <w:lang w:val="en-US" w:eastAsia="zh-CN"/>
                    </w:rPr>
                    <w:t>库尔勒市南市区污水处理厂（库尔勒龙润水处理有限公司）</w:t>
                  </w:r>
                  <w:r>
                    <w:rPr>
                      <w:rFonts w:hint="default"/>
                      <w:color w:val="auto"/>
                      <w:highlight w:val="none"/>
                      <w:lang w:val="en-US" w:eastAsia="zh-CN"/>
                    </w:rPr>
                    <w:t>。</w:t>
                  </w:r>
                </w:p>
              </w:tc>
              <w:tc>
                <w:tcPr>
                  <w:tcW w:w="517" w:type="pct"/>
                  <w:noWrap w:val="0"/>
                  <w:vAlign w:val="center"/>
                </w:tcPr>
                <w:p w14:paraId="1EE9F8AA">
                  <w:pPr>
                    <w:widowControl w:val="0"/>
                    <w:bidi w:val="0"/>
                    <w:rPr>
                      <w:rFonts w:hint="default" w:ascii="Times New Roman" w:hAnsi="Times New Roman" w:eastAsia="宋体" w:cs="Times New Roman"/>
                      <w:bCs/>
                      <w:snapToGrid w:val="0"/>
                      <w:color w:val="auto"/>
                      <w:spacing w:val="8"/>
                      <w:kern w:val="0"/>
                      <w:sz w:val="21"/>
                      <w:szCs w:val="72"/>
                      <w:highlight w:val="none"/>
                      <w:lang w:val="en-US" w:eastAsia="zh-CN"/>
                    </w:rPr>
                  </w:pPr>
                  <w:r>
                    <w:rPr>
                      <w:rFonts w:hint="default" w:ascii="Times New Roman" w:hAnsi="Times New Roman" w:eastAsia="宋体" w:cs="Times New Roman"/>
                      <w:bCs/>
                      <w:snapToGrid w:val="0"/>
                      <w:color w:val="auto"/>
                      <w:spacing w:val="8"/>
                      <w:kern w:val="0"/>
                      <w:sz w:val="21"/>
                      <w:szCs w:val="72"/>
                      <w:highlight w:val="none"/>
                      <w:lang w:val="en-US" w:eastAsia="zh-CN"/>
                    </w:rPr>
                    <w:t>符合</w:t>
                  </w:r>
                </w:p>
              </w:tc>
            </w:tr>
            <w:tr w14:paraId="1E481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5" w:type="pct"/>
                  <w:noWrap w:val="0"/>
                  <w:vAlign w:val="center"/>
                </w:tcPr>
                <w:p w14:paraId="371358A8">
                  <w:pPr>
                    <w:pStyle w:val="30"/>
                    <w:widowControl w:val="0"/>
                    <w:bidi w:val="0"/>
                    <w:rPr>
                      <w:rFonts w:hint="default" w:ascii="Times New Roman" w:hAnsi="Times New Roman" w:eastAsia="宋体" w:cs="Times New Roman"/>
                      <w:color w:val="auto"/>
                      <w:highlight w:val="none"/>
                    </w:rPr>
                  </w:pPr>
                  <w:r>
                    <w:rPr>
                      <w:rFonts w:hint="eastAsia" w:ascii="Times New Roman" w:hAnsi="Times New Roman" w:eastAsia="宋体" w:cs="Times New Roman"/>
                      <w:color w:val="auto"/>
                      <w:highlight w:val="none"/>
                    </w:rPr>
                    <w:t>第二十七条动物诊疗机构应当支持执业兽医按照当地人民政府或者农业农村主管部门的要求，参加动物疫病预防、控制和动物疫情扑灭活动。动物诊疗机构可以通过承接政府租用服务的方式开展动物防疫和疫病诊疗活动。</w:t>
                  </w:r>
                </w:p>
              </w:tc>
              <w:tc>
                <w:tcPr>
                  <w:tcW w:w="1976" w:type="pct"/>
                  <w:noWrap w:val="0"/>
                  <w:vAlign w:val="center"/>
                </w:tcPr>
                <w:p w14:paraId="64EAFAE2">
                  <w:pPr>
                    <w:pStyle w:val="30"/>
                    <w:widowControl w:val="0"/>
                    <w:bidi w:val="0"/>
                    <w:rPr>
                      <w:rFonts w:hint="default" w:ascii="Times New Roman" w:hAnsi="Times New Roman" w:eastAsia="宋体" w:cs="Times New Roman"/>
                      <w:bCs/>
                      <w:snapToGrid w:val="0"/>
                      <w:color w:val="auto"/>
                      <w:spacing w:val="8"/>
                      <w:kern w:val="0"/>
                      <w:sz w:val="21"/>
                      <w:szCs w:val="72"/>
                      <w:highlight w:val="none"/>
                      <w:lang w:eastAsia="zh-CN"/>
                    </w:rPr>
                  </w:pPr>
                  <w:r>
                    <w:rPr>
                      <w:rFonts w:hint="eastAsia" w:ascii="Times New Roman" w:hAnsi="Times New Roman" w:eastAsia="宋体" w:cs="Times New Roman"/>
                      <w:bCs/>
                      <w:snapToGrid w:val="0"/>
                      <w:color w:val="auto"/>
                      <w:spacing w:val="8"/>
                      <w:kern w:val="0"/>
                      <w:sz w:val="21"/>
                      <w:szCs w:val="72"/>
                      <w:highlight w:val="none"/>
                      <w:lang w:eastAsia="zh-CN"/>
                    </w:rPr>
                    <w:t>本院将积极支持执业兽医按照相关部门要求参加动物疫病预防、控制和动物疫情扑灭活动，不断学习提升动物疫病防控能力。如有需要，本院资源通过承接政府租用服务的方式开展动物防疫和疫病诊疗活动。</w:t>
                  </w:r>
                </w:p>
              </w:tc>
              <w:tc>
                <w:tcPr>
                  <w:tcW w:w="517" w:type="pct"/>
                  <w:noWrap w:val="0"/>
                  <w:vAlign w:val="center"/>
                </w:tcPr>
                <w:p w14:paraId="0E414717">
                  <w:pPr>
                    <w:widowControl w:val="0"/>
                    <w:bidi w:val="0"/>
                    <w:rPr>
                      <w:rFonts w:hint="default" w:ascii="Times New Roman" w:hAnsi="Times New Roman" w:eastAsia="宋体" w:cs="Times New Roman"/>
                      <w:bCs/>
                      <w:snapToGrid w:val="0"/>
                      <w:color w:val="auto"/>
                      <w:spacing w:val="8"/>
                      <w:kern w:val="0"/>
                      <w:sz w:val="21"/>
                      <w:szCs w:val="72"/>
                      <w:highlight w:val="none"/>
                      <w:lang w:val="en-US" w:eastAsia="zh-CN"/>
                    </w:rPr>
                  </w:pPr>
                  <w:r>
                    <w:rPr>
                      <w:rFonts w:hint="default" w:ascii="Times New Roman" w:hAnsi="Times New Roman" w:eastAsia="宋体" w:cs="Times New Roman"/>
                      <w:bCs/>
                      <w:snapToGrid w:val="0"/>
                      <w:color w:val="auto"/>
                      <w:spacing w:val="8"/>
                      <w:kern w:val="0"/>
                      <w:sz w:val="21"/>
                      <w:szCs w:val="72"/>
                      <w:highlight w:val="none"/>
                      <w:lang w:val="en-US" w:eastAsia="zh-CN"/>
                    </w:rPr>
                    <w:t>符合</w:t>
                  </w:r>
                </w:p>
              </w:tc>
            </w:tr>
            <w:tr w14:paraId="05D80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5" w:type="pct"/>
                  <w:noWrap w:val="0"/>
                  <w:vAlign w:val="center"/>
                </w:tcPr>
                <w:p w14:paraId="4CF72CD0">
                  <w:pPr>
                    <w:pStyle w:val="30"/>
                    <w:widowControl w:val="0"/>
                    <w:bidi w:val="0"/>
                    <w:rPr>
                      <w:rFonts w:hint="default" w:ascii="Times New Roman" w:hAnsi="Times New Roman" w:eastAsia="宋体" w:cs="Times New Roman"/>
                      <w:color w:val="auto"/>
                      <w:highlight w:val="none"/>
                    </w:rPr>
                  </w:pPr>
                  <w:r>
                    <w:rPr>
                      <w:rFonts w:hint="eastAsia" w:ascii="Times New Roman" w:hAnsi="Times New Roman" w:eastAsia="宋体" w:cs="Times New Roman"/>
                      <w:color w:val="auto"/>
                      <w:highlight w:val="none"/>
                    </w:rPr>
                    <w:t>第二十八条动物诊疗机构应当配合农业农村主管部门、动物卫生监督机构、动物疫病预防控制机构进行有关法律法规宣传、流行病学调查和监测工作。</w:t>
                  </w:r>
                </w:p>
              </w:tc>
              <w:tc>
                <w:tcPr>
                  <w:tcW w:w="1976" w:type="pct"/>
                  <w:noWrap w:val="0"/>
                  <w:vAlign w:val="center"/>
                </w:tcPr>
                <w:p w14:paraId="3BA6DEFE">
                  <w:pPr>
                    <w:pStyle w:val="30"/>
                    <w:widowControl w:val="0"/>
                    <w:bidi w:val="0"/>
                    <w:rPr>
                      <w:rFonts w:hint="default" w:ascii="Times New Roman" w:hAnsi="Times New Roman" w:eastAsia="宋体" w:cs="Times New Roman"/>
                      <w:bCs/>
                      <w:snapToGrid w:val="0"/>
                      <w:color w:val="auto"/>
                      <w:spacing w:val="8"/>
                      <w:kern w:val="0"/>
                      <w:sz w:val="21"/>
                      <w:szCs w:val="72"/>
                      <w:highlight w:val="none"/>
                      <w:lang w:eastAsia="zh-CN"/>
                    </w:rPr>
                  </w:pPr>
                  <w:r>
                    <w:rPr>
                      <w:rFonts w:hint="eastAsia" w:ascii="Times New Roman" w:hAnsi="Times New Roman" w:eastAsia="宋体" w:cs="Times New Roman"/>
                      <w:bCs/>
                      <w:snapToGrid w:val="0"/>
                      <w:color w:val="auto"/>
                      <w:spacing w:val="8"/>
                      <w:kern w:val="0"/>
                      <w:sz w:val="21"/>
                      <w:szCs w:val="72"/>
                      <w:highlight w:val="none"/>
                      <w:lang w:eastAsia="zh-CN"/>
                    </w:rPr>
                    <w:t>项目建成后，本院将主动积极配合农业农村主管部门、动物卫生监督机构、动物疫病预防控制机构进行有关法律法规宣传、流行病学调查和监测工作。</w:t>
                  </w:r>
                </w:p>
              </w:tc>
              <w:tc>
                <w:tcPr>
                  <w:tcW w:w="517" w:type="pct"/>
                  <w:noWrap w:val="0"/>
                  <w:vAlign w:val="center"/>
                </w:tcPr>
                <w:p w14:paraId="512B8B04">
                  <w:pPr>
                    <w:widowControl w:val="0"/>
                    <w:bidi w:val="0"/>
                    <w:rPr>
                      <w:rFonts w:hint="default" w:ascii="Times New Roman" w:hAnsi="Times New Roman" w:eastAsia="宋体" w:cs="Times New Roman"/>
                      <w:bCs/>
                      <w:snapToGrid w:val="0"/>
                      <w:color w:val="auto"/>
                      <w:spacing w:val="8"/>
                      <w:kern w:val="0"/>
                      <w:sz w:val="21"/>
                      <w:szCs w:val="72"/>
                      <w:highlight w:val="none"/>
                      <w:lang w:val="en-US" w:eastAsia="zh-CN"/>
                    </w:rPr>
                  </w:pPr>
                  <w:r>
                    <w:rPr>
                      <w:rFonts w:hint="default" w:ascii="Times New Roman" w:hAnsi="Times New Roman" w:eastAsia="宋体" w:cs="Times New Roman"/>
                      <w:bCs/>
                      <w:snapToGrid w:val="0"/>
                      <w:color w:val="auto"/>
                      <w:spacing w:val="8"/>
                      <w:kern w:val="0"/>
                      <w:sz w:val="21"/>
                      <w:szCs w:val="72"/>
                      <w:highlight w:val="none"/>
                      <w:lang w:val="en-US" w:eastAsia="zh-CN"/>
                    </w:rPr>
                    <w:t>符合</w:t>
                  </w:r>
                </w:p>
              </w:tc>
            </w:tr>
          </w:tbl>
          <w:p w14:paraId="552C7F7B">
            <w:pPr>
              <w:pStyle w:val="3"/>
              <w:bidi w:val="0"/>
              <w:spacing w:line="360" w:lineRule="auto"/>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7、</w:t>
            </w:r>
            <w:r>
              <w:rPr>
                <w:rFonts w:hint="default" w:ascii="Times New Roman" w:hAnsi="Times New Roman" w:eastAsia="宋体" w:cs="Times New Roman"/>
                <w:color w:val="auto"/>
                <w:highlight w:val="none"/>
                <w:lang w:val="en-US" w:eastAsia="zh-CN"/>
              </w:rPr>
              <w:t>与《医疗卫生机构医疗废物管理办法》</w:t>
            </w:r>
            <w:r>
              <w:rPr>
                <w:rFonts w:hint="eastAsia" w:ascii="Times New Roman" w:hAnsi="Times New Roman" w:eastAsia="宋体" w:cs="Times New Roman"/>
                <w:color w:val="auto"/>
                <w:highlight w:val="none"/>
                <w:lang w:val="en-US" w:eastAsia="zh-CN"/>
              </w:rPr>
              <w:t>符合性分析</w:t>
            </w:r>
          </w:p>
          <w:p w14:paraId="0EFD4907">
            <w:pPr>
              <w:pStyle w:val="29"/>
              <w:bidi w:val="0"/>
              <w:ind w:left="0" w:leftChars="0"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eastAsia="zh-CN"/>
              </w:rPr>
              <w:t>表</w:t>
            </w:r>
            <w:r>
              <w:rPr>
                <w:rFonts w:hint="default" w:ascii="Times New Roman" w:hAnsi="Times New Roman" w:cs="Times New Roman"/>
                <w:color w:val="auto"/>
                <w:highlight w:val="none"/>
                <w:lang w:val="en-US" w:eastAsia="zh-CN"/>
              </w:rPr>
              <w:t>1-</w:t>
            </w:r>
            <w:r>
              <w:rPr>
                <w:rFonts w:hint="eastAsia" w:cs="Times New Roman"/>
                <w:color w:val="auto"/>
                <w:highlight w:val="none"/>
                <w:lang w:val="en-US" w:eastAsia="zh-CN"/>
              </w:rPr>
              <w:t>6</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lang w:eastAsia="zh-CN"/>
              </w:rPr>
              <w:t>与《医疗卫生机构医疗废物管理办法》符合性分析一览表</w:t>
            </w:r>
          </w:p>
          <w:tbl>
            <w:tblPr>
              <w:tblStyle w:val="1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5"/>
              <w:gridCol w:w="2947"/>
              <w:gridCol w:w="2866"/>
              <w:gridCol w:w="751"/>
            </w:tblGrid>
            <w:tr w14:paraId="76F1E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2" w:type="pct"/>
                  <w:noWrap w:val="0"/>
                  <w:vAlign w:val="center"/>
                </w:tcPr>
                <w:p w14:paraId="126692D6">
                  <w:pPr>
                    <w:pStyle w:val="30"/>
                    <w:widowControl w:val="0"/>
                    <w:bidi w:val="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序号</w:t>
                  </w:r>
                </w:p>
              </w:tc>
              <w:tc>
                <w:tcPr>
                  <w:tcW w:w="2032" w:type="pct"/>
                  <w:noWrap w:val="0"/>
                  <w:vAlign w:val="center"/>
                </w:tcPr>
                <w:p w14:paraId="11E29AEF">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管理</w:t>
                  </w:r>
                  <w:r>
                    <w:rPr>
                      <w:rFonts w:hint="eastAsia" w:ascii="Times New Roman" w:hAnsi="Times New Roman" w:cs="Times New Roman"/>
                      <w:color w:val="auto"/>
                      <w:highlight w:val="none"/>
                      <w:lang w:val="en-US" w:eastAsia="zh-CN"/>
                    </w:rPr>
                    <w:t>办法</w:t>
                  </w:r>
                  <w:r>
                    <w:rPr>
                      <w:rFonts w:hint="default" w:ascii="Times New Roman" w:hAnsi="Times New Roman" w:cs="Times New Roman"/>
                      <w:color w:val="auto"/>
                      <w:highlight w:val="none"/>
                      <w:lang w:val="en-US" w:eastAsia="zh-CN"/>
                    </w:rPr>
                    <w:t>内容</w:t>
                  </w:r>
                </w:p>
              </w:tc>
              <w:tc>
                <w:tcPr>
                  <w:tcW w:w="1976" w:type="pct"/>
                  <w:noWrap w:val="0"/>
                  <w:vAlign w:val="center"/>
                </w:tcPr>
                <w:p w14:paraId="6590F574">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w:t>
                  </w:r>
                </w:p>
              </w:tc>
              <w:tc>
                <w:tcPr>
                  <w:tcW w:w="517" w:type="pct"/>
                  <w:noWrap w:val="0"/>
                  <w:vAlign w:val="center"/>
                </w:tcPr>
                <w:p w14:paraId="414D8A30">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符合性</w:t>
                  </w:r>
                </w:p>
              </w:tc>
            </w:tr>
            <w:tr w14:paraId="6405F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72" w:type="pct"/>
                  <w:vMerge w:val="restart"/>
                  <w:noWrap w:val="0"/>
                  <w:vAlign w:val="center"/>
                </w:tcPr>
                <w:p w14:paraId="7A10C589">
                  <w:pPr>
                    <w:pStyle w:val="30"/>
                    <w:widowControl w:val="0"/>
                    <w:bidi w:val="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w:t>
                  </w:r>
                </w:p>
              </w:tc>
              <w:tc>
                <w:tcPr>
                  <w:tcW w:w="4527" w:type="pct"/>
                  <w:gridSpan w:val="3"/>
                  <w:noWrap w:val="0"/>
                  <w:vAlign w:val="center"/>
                </w:tcPr>
                <w:p w14:paraId="32C1D934">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第十一条医疗卫生机构应当按照以下要求，及时分类收集医疗废物：</w:t>
                  </w:r>
                </w:p>
              </w:tc>
            </w:tr>
            <w:tr w14:paraId="314C6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2" w:type="pct"/>
                  <w:vMerge w:val="continue"/>
                  <w:noWrap w:val="0"/>
                  <w:vAlign w:val="center"/>
                </w:tcPr>
                <w:p w14:paraId="6ED249C1">
                  <w:pPr>
                    <w:pStyle w:val="30"/>
                    <w:widowControl w:val="0"/>
                    <w:bidi w:val="0"/>
                    <w:rPr>
                      <w:rFonts w:hint="eastAsia" w:ascii="Times New Roman" w:hAnsi="Times New Roman" w:cs="Times New Roman"/>
                      <w:color w:val="auto"/>
                      <w:highlight w:val="none"/>
                      <w:lang w:val="en-US" w:eastAsia="zh-CN"/>
                    </w:rPr>
                  </w:pPr>
                </w:p>
              </w:tc>
              <w:tc>
                <w:tcPr>
                  <w:tcW w:w="2032" w:type="pct"/>
                  <w:noWrap w:val="0"/>
                  <w:vAlign w:val="center"/>
                </w:tcPr>
                <w:p w14:paraId="52EC0A96">
                  <w:pPr>
                    <w:pStyle w:val="30"/>
                    <w:widowControl w:val="0"/>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（一）根据医疗废物的类别，将医疗废物分置于符合《医疗废物专用包装物、容器的标准和警示标识的规定》的包装物或者容器内；</w:t>
                  </w:r>
                </w:p>
              </w:tc>
              <w:tc>
                <w:tcPr>
                  <w:tcW w:w="1976" w:type="pct"/>
                  <w:noWrap w:val="0"/>
                  <w:vAlign w:val="center"/>
                </w:tcPr>
                <w:p w14:paraId="56F6187A">
                  <w:pPr>
                    <w:pStyle w:val="30"/>
                    <w:widowControl w:val="0"/>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本项目建成运营后，项目医疗废物通过专用的医疗废物收集桶盛装，并贴有明显的标识标志。</w:t>
                  </w:r>
                </w:p>
              </w:tc>
              <w:tc>
                <w:tcPr>
                  <w:tcW w:w="517" w:type="pct"/>
                  <w:noWrap w:val="0"/>
                  <w:vAlign w:val="center"/>
                </w:tcPr>
                <w:p w14:paraId="1EBEF750">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符合</w:t>
                  </w:r>
                </w:p>
              </w:tc>
            </w:tr>
            <w:tr w14:paraId="5F336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2" w:type="pct"/>
                  <w:vMerge w:val="continue"/>
                  <w:noWrap w:val="0"/>
                  <w:vAlign w:val="center"/>
                </w:tcPr>
                <w:p w14:paraId="0AA966A1">
                  <w:pPr>
                    <w:pStyle w:val="30"/>
                    <w:widowControl w:val="0"/>
                    <w:bidi w:val="0"/>
                    <w:rPr>
                      <w:rFonts w:hint="eastAsia" w:ascii="Times New Roman" w:hAnsi="Times New Roman" w:cs="Times New Roman"/>
                      <w:color w:val="auto"/>
                      <w:highlight w:val="none"/>
                      <w:lang w:val="en-US" w:eastAsia="zh-CN"/>
                    </w:rPr>
                  </w:pPr>
                </w:p>
              </w:tc>
              <w:tc>
                <w:tcPr>
                  <w:tcW w:w="2032" w:type="pct"/>
                  <w:noWrap w:val="0"/>
                  <w:vAlign w:val="center"/>
                </w:tcPr>
                <w:p w14:paraId="18EAF109">
                  <w:pPr>
                    <w:pStyle w:val="30"/>
                    <w:widowControl w:val="0"/>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（二）在盛装医疗废物前，应当对医疗废物包装物或者容器进行认真检查，确保无破损、渗漏和</w:t>
                  </w:r>
                  <w:r>
                    <w:rPr>
                      <w:rFonts w:hint="eastAsia" w:cs="Times New Roman"/>
                      <w:color w:val="auto"/>
                      <w:highlight w:val="none"/>
                      <w:lang w:eastAsia="zh-CN"/>
                    </w:rPr>
                    <w:t>其他缺陷</w:t>
                  </w:r>
                  <w:r>
                    <w:rPr>
                      <w:rFonts w:hint="default" w:ascii="Times New Roman" w:hAnsi="Times New Roman" w:cs="Times New Roman"/>
                      <w:color w:val="auto"/>
                      <w:highlight w:val="none"/>
                      <w:lang w:eastAsia="zh-CN"/>
                    </w:rPr>
                    <w:t>；</w:t>
                  </w:r>
                </w:p>
              </w:tc>
              <w:tc>
                <w:tcPr>
                  <w:tcW w:w="1976" w:type="pct"/>
                  <w:noWrap w:val="0"/>
                  <w:vAlign w:val="center"/>
                </w:tcPr>
                <w:p w14:paraId="7F21E93D">
                  <w:pPr>
                    <w:pStyle w:val="30"/>
                    <w:widowControl w:val="0"/>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本项目建成运营后，项目在盛装医疗废物前，均要严格检查医疗废物收集桶、医疗废物收集袋，确保无破损、无渗漏等现象。</w:t>
                  </w:r>
                </w:p>
              </w:tc>
              <w:tc>
                <w:tcPr>
                  <w:tcW w:w="517" w:type="pct"/>
                  <w:noWrap w:val="0"/>
                  <w:vAlign w:val="center"/>
                </w:tcPr>
                <w:p w14:paraId="662502B2">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符合</w:t>
                  </w:r>
                </w:p>
              </w:tc>
            </w:tr>
            <w:tr w14:paraId="72899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2" w:type="pct"/>
                  <w:vMerge w:val="continue"/>
                  <w:noWrap w:val="0"/>
                  <w:vAlign w:val="center"/>
                </w:tcPr>
                <w:p w14:paraId="424FCD86">
                  <w:pPr>
                    <w:pStyle w:val="30"/>
                    <w:widowControl w:val="0"/>
                    <w:bidi w:val="0"/>
                    <w:rPr>
                      <w:rFonts w:hint="eastAsia" w:ascii="Times New Roman" w:hAnsi="Times New Roman" w:cs="Times New Roman"/>
                      <w:color w:val="auto"/>
                      <w:highlight w:val="none"/>
                      <w:lang w:val="en-US" w:eastAsia="zh-CN"/>
                    </w:rPr>
                  </w:pPr>
                </w:p>
              </w:tc>
              <w:tc>
                <w:tcPr>
                  <w:tcW w:w="2032" w:type="pct"/>
                  <w:noWrap w:val="0"/>
                  <w:vAlign w:val="center"/>
                </w:tcPr>
                <w:p w14:paraId="12BF0A3F">
                  <w:pPr>
                    <w:pStyle w:val="30"/>
                    <w:widowControl w:val="0"/>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（三）感染性废物、病理性废物、损伤性废物、药物性废物及化学性废物不能混合收集。少量的药物性废物可以混入感染性废物，但应当在标签上注明；</w:t>
                  </w:r>
                </w:p>
              </w:tc>
              <w:tc>
                <w:tcPr>
                  <w:tcW w:w="1976" w:type="pct"/>
                  <w:noWrap w:val="0"/>
                  <w:vAlign w:val="center"/>
                </w:tcPr>
                <w:p w14:paraId="18CAAECD">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eastAsia="zh-CN"/>
                    </w:rPr>
                    <w:t>本项目建成运营后，医院医疗废物暂存间内分别设有感染性废物、病理性废物、损伤性废物、药物性废物</w:t>
                  </w:r>
                  <w:r>
                    <w:rPr>
                      <w:rFonts w:hint="eastAsia" w:cs="Times New Roman"/>
                      <w:color w:val="auto"/>
                      <w:highlight w:val="none"/>
                      <w:lang w:eastAsia="zh-CN"/>
                    </w:rPr>
                    <w:t>、</w:t>
                  </w:r>
                  <w:r>
                    <w:rPr>
                      <w:rFonts w:hint="default" w:ascii="Times New Roman" w:hAnsi="Times New Roman" w:cs="Times New Roman"/>
                      <w:color w:val="auto"/>
                      <w:highlight w:val="none"/>
                      <w:lang w:eastAsia="zh-CN"/>
                    </w:rPr>
                    <w:t>化学性废物收集桶</w:t>
                  </w:r>
                  <w:r>
                    <w:rPr>
                      <w:rFonts w:hint="eastAsia" w:cs="Times New Roman"/>
                      <w:color w:val="auto"/>
                      <w:highlight w:val="none"/>
                      <w:lang w:val="en-US" w:eastAsia="zh-CN"/>
                    </w:rPr>
                    <w:t>收集</w:t>
                  </w:r>
                  <w:r>
                    <w:rPr>
                      <w:rFonts w:hint="default" w:ascii="Times New Roman" w:hAnsi="Times New Roman" w:cs="Times New Roman"/>
                      <w:color w:val="auto"/>
                      <w:highlight w:val="none"/>
                      <w:lang w:eastAsia="zh-CN"/>
                    </w:rPr>
                    <w:t>，并在收集桶上方贴有</w:t>
                  </w:r>
                  <w:r>
                    <w:rPr>
                      <w:rFonts w:hint="eastAsia" w:cs="Times New Roman"/>
                      <w:color w:val="auto"/>
                      <w:highlight w:val="none"/>
                      <w:lang w:eastAsia="zh-CN"/>
                    </w:rPr>
                    <w:t>各类</w:t>
                  </w:r>
                  <w:r>
                    <w:rPr>
                      <w:rFonts w:hint="default" w:ascii="Times New Roman" w:hAnsi="Times New Roman" w:cs="Times New Roman"/>
                      <w:color w:val="auto"/>
                      <w:highlight w:val="none"/>
                      <w:lang w:eastAsia="zh-CN"/>
                    </w:rPr>
                    <w:t>标识牌，不能混合收集</w:t>
                  </w:r>
                  <w:r>
                    <w:rPr>
                      <w:rFonts w:hint="eastAsia" w:ascii="Times New Roman" w:hAnsi="Times New Roman" w:cs="Times New Roman"/>
                      <w:color w:val="auto"/>
                      <w:highlight w:val="none"/>
                      <w:lang w:eastAsia="zh-CN"/>
                    </w:rPr>
                    <w:t>。</w:t>
                  </w:r>
                </w:p>
              </w:tc>
              <w:tc>
                <w:tcPr>
                  <w:tcW w:w="517" w:type="pct"/>
                  <w:noWrap w:val="0"/>
                  <w:vAlign w:val="center"/>
                </w:tcPr>
                <w:p w14:paraId="689F7CD8">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符合</w:t>
                  </w:r>
                </w:p>
              </w:tc>
            </w:tr>
            <w:tr w14:paraId="4D332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2" w:type="pct"/>
                  <w:vMerge w:val="continue"/>
                  <w:noWrap w:val="0"/>
                  <w:vAlign w:val="center"/>
                </w:tcPr>
                <w:p w14:paraId="5DFDD793">
                  <w:pPr>
                    <w:pStyle w:val="30"/>
                    <w:widowControl w:val="0"/>
                    <w:bidi w:val="0"/>
                    <w:rPr>
                      <w:rFonts w:hint="eastAsia" w:ascii="Times New Roman" w:hAnsi="Times New Roman" w:cs="Times New Roman"/>
                      <w:color w:val="auto"/>
                      <w:highlight w:val="none"/>
                      <w:lang w:val="en-US" w:eastAsia="zh-CN"/>
                    </w:rPr>
                  </w:pPr>
                </w:p>
              </w:tc>
              <w:tc>
                <w:tcPr>
                  <w:tcW w:w="2032" w:type="pct"/>
                  <w:noWrap w:val="0"/>
                  <w:vAlign w:val="center"/>
                </w:tcPr>
                <w:p w14:paraId="7D6F3010">
                  <w:pPr>
                    <w:pStyle w:val="30"/>
                    <w:widowControl w:val="0"/>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（四）废弃的麻醉、精神、放射性、毒性等药品及其相关的废物的管理，依照有关法律、行政法规和国家有关规定、标准执行；</w:t>
                  </w:r>
                </w:p>
              </w:tc>
              <w:tc>
                <w:tcPr>
                  <w:tcW w:w="1976" w:type="pct"/>
                  <w:noWrap w:val="0"/>
                  <w:vAlign w:val="center"/>
                </w:tcPr>
                <w:p w14:paraId="503A430A">
                  <w:pPr>
                    <w:pStyle w:val="30"/>
                    <w:widowControl w:val="0"/>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医院产生的废弃的麻醉、精神、放射性、毒性等药品及其相关的废物严格按照相应的规定、标准执行。</w:t>
                  </w:r>
                </w:p>
              </w:tc>
              <w:tc>
                <w:tcPr>
                  <w:tcW w:w="517" w:type="pct"/>
                  <w:noWrap w:val="0"/>
                  <w:vAlign w:val="center"/>
                </w:tcPr>
                <w:p w14:paraId="4D71F0A2">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符合</w:t>
                  </w:r>
                </w:p>
              </w:tc>
            </w:tr>
            <w:tr w14:paraId="0BE7C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2" w:type="pct"/>
                  <w:vMerge w:val="continue"/>
                  <w:noWrap w:val="0"/>
                  <w:vAlign w:val="center"/>
                </w:tcPr>
                <w:p w14:paraId="76A492FF">
                  <w:pPr>
                    <w:pStyle w:val="30"/>
                    <w:widowControl w:val="0"/>
                    <w:bidi w:val="0"/>
                    <w:rPr>
                      <w:rFonts w:hint="eastAsia" w:ascii="Times New Roman" w:hAnsi="Times New Roman" w:cs="Times New Roman"/>
                      <w:color w:val="auto"/>
                      <w:highlight w:val="none"/>
                      <w:lang w:val="en-US" w:eastAsia="zh-CN"/>
                    </w:rPr>
                  </w:pPr>
                </w:p>
              </w:tc>
              <w:tc>
                <w:tcPr>
                  <w:tcW w:w="2032" w:type="pct"/>
                  <w:noWrap w:val="0"/>
                  <w:vAlign w:val="center"/>
                </w:tcPr>
                <w:p w14:paraId="3EB0234B">
                  <w:pPr>
                    <w:pStyle w:val="30"/>
                    <w:widowControl w:val="0"/>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（五）化学性废物中批量的废化学试剂、废消毒剂应当交由专门机构处置；</w:t>
                  </w:r>
                </w:p>
              </w:tc>
              <w:tc>
                <w:tcPr>
                  <w:tcW w:w="1976" w:type="pct"/>
                  <w:noWrap w:val="0"/>
                  <w:vAlign w:val="center"/>
                </w:tcPr>
                <w:p w14:paraId="0FE17572">
                  <w:pPr>
                    <w:pStyle w:val="30"/>
                    <w:widowControl w:val="0"/>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化验室采用成品化验试剂对需化验宠物的血液或尿液进行化验，不自配检测试剂，化验过程中使用完后的</w:t>
                  </w:r>
                  <w:r>
                    <w:rPr>
                      <w:rFonts w:hint="eastAsia" w:cs="Times New Roman"/>
                      <w:color w:val="auto"/>
                      <w:highlight w:val="none"/>
                      <w:lang w:val="en-US" w:eastAsia="zh-CN"/>
                    </w:rPr>
                    <w:t>废</w:t>
                  </w:r>
                  <w:r>
                    <w:rPr>
                      <w:rFonts w:hint="default" w:ascii="Times New Roman" w:hAnsi="Times New Roman" w:cs="Times New Roman"/>
                      <w:color w:val="auto"/>
                      <w:highlight w:val="none"/>
                      <w:lang w:eastAsia="zh-CN"/>
                    </w:rPr>
                    <w:t>试纸等作为医疗废物处置。</w:t>
                  </w:r>
                </w:p>
              </w:tc>
              <w:tc>
                <w:tcPr>
                  <w:tcW w:w="517" w:type="pct"/>
                  <w:noWrap w:val="0"/>
                  <w:vAlign w:val="center"/>
                </w:tcPr>
                <w:p w14:paraId="679DB29F">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符合</w:t>
                  </w:r>
                </w:p>
              </w:tc>
            </w:tr>
            <w:tr w14:paraId="27B94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2" w:type="pct"/>
                  <w:vMerge w:val="continue"/>
                  <w:noWrap w:val="0"/>
                  <w:vAlign w:val="center"/>
                </w:tcPr>
                <w:p w14:paraId="7468A33E">
                  <w:pPr>
                    <w:pStyle w:val="30"/>
                    <w:widowControl w:val="0"/>
                    <w:bidi w:val="0"/>
                    <w:rPr>
                      <w:rFonts w:hint="eastAsia" w:ascii="Times New Roman" w:hAnsi="Times New Roman" w:cs="Times New Roman"/>
                      <w:color w:val="auto"/>
                      <w:highlight w:val="none"/>
                      <w:lang w:val="en-US" w:eastAsia="zh-CN"/>
                    </w:rPr>
                  </w:pPr>
                </w:p>
              </w:tc>
              <w:tc>
                <w:tcPr>
                  <w:tcW w:w="2032" w:type="pct"/>
                  <w:noWrap w:val="0"/>
                  <w:vAlign w:val="center"/>
                </w:tcPr>
                <w:p w14:paraId="153B4E12">
                  <w:pPr>
                    <w:pStyle w:val="30"/>
                    <w:widowControl w:val="0"/>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（六）批量的含有汞的体温计、血压计等医疗器具报废时，应当交由专门机构处置；</w:t>
                  </w:r>
                </w:p>
              </w:tc>
              <w:tc>
                <w:tcPr>
                  <w:tcW w:w="1976" w:type="pct"/>
                  <w:noWrap w:val="0"/>
                  <w:vAlign w:val="center"/>
                </w:tcPr>
                <w:p w14:paraId="45F51A58">
                  <w:pPr>
                    <w:pStyle w:val="30"/>
                    <w:widowControl w:val="0"/>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医院产生的含有汞的体温计、血压计等医疗器具报废后严格按照相应的规定交由专门机构处置。</w:t>
                  </w:r>
                </w:p>
              </w:tc>
              <w:tc>
                <w:tcPr>
                  <w:tcW w:w="517" w:type="pct"/>
                  <w:noWrap w:val="0"/>
                  <w:vAlign w:val="center"/>
                </w:tcPr>
                <w:p w14:paraId="4AB67081">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符合</w:t>
                  </w:r>
                </w:p>
              </w:tc>
            </w:tr>
            <w:tr w14:paraId="2CC7A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2" w:type="pct"/>
                  <w:noWrap w:val="0"/>
                  <w:vAlign w:val="center"/>
                </w:tcPr>
                <w:p w14:paraId="584474BC">
                  <w:pPr>
                    <w:pStyle w:val="30"/>
                    <w:widowControl w:val="0"/>
                    <w:bidi w:val="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2</w:t>
                  </w:r>
                </w:p>
              </w:tc>
              <w:tc>
                <w:tcPr>
                  <w:tcW w:w="2032" w:type="pct"/>
                  <w:noWrap w:val="0"/>
                  <w:vAlign w:val="center"/>
                </w:tcPr>
                <w:p w14:paraId="64E610EA">
                  <w:pPr>
                    <w:pStyle w:val="30"/>
                    <w:widowControl w:val="0"/>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（十）放入包装物或者容器内的感染性废物、病理性废物、损伤性废物不得取出。</w:t>
                  </w:r>
                </w:p>
              </w:tc>
              <w:tc>
                <w:tcPr>
                  <w:tcW w:w="1976" w:type="pct"/>
                  <w:noWrap w:val="0"/>
                  <w:vAlign w:val="center"/>
                </w:tcPr>
                <w:p w14:paraId="5BB491C6">
                  <w:pPr>
                    <w:pStyle w:val="30"/>
                    <w:widowControl w:val="0"/>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放入包装物或者容器内的感染性废物、病理性废物、损伤性废物不得取出。</w:t>
                  </w:r>
                </w:p>
              </w:tc>
              <w:tc>
                <w:tcPr>
                  <w:tcW w:w="517" w:type="pct"/>
                  <w:noWrap w:val="0"/>
                  <w:vAlign w:val="center"/>
                </w:tcPr>
                <w:p w14:paraId="65245669">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符合</w:t>
                  </w:r>
                </w:p>
              </w:tc>
            </w:tr>
            <w:tr w14:paraId="12B26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2" w:type="pct"/>
                  <w:noWrap w:val="0"/>
                  <w:vAlign w:val="center"/>
                </w:tcPr>
                <w:p w14:paraId="35088F16">
                  <w:pPr>
                    <w:pStyle w:val="30"/>
                    <w:widowControl w:val="0"/>
                    <w:bidi w:val="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3</w:t>
                  </w:r>
                </w:p>
              </w:tc>
              <w:tc>
                <w:tcPr>
                  <w:tcW w:w="2032" w:type="pct"/>
                  <w:noWrap w:val="0"/>
                  <w:vAlign w:val="center"/>
                </w:tcPr>
                <w:p w14:paraId="31BF616C">
                  <w:pPr>
                    <w:pStyle w:val="30"/>
                    <w:widowControl w:val="0"/>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第十三条盛装的医疗废物达到包装物或者容器的3/4 时，应当使用有效的封口方式，使包装物或者容器的封口紧实、严密。</w:t>
                  </w:r>
                </w:p>
              </w:tc>
              <w:tc>
                <w:tcPr>
                  <w:tcW w:w="1976" w:type="pct"/>
                  <w:noWrap w:val="0"/>
                  <w:vAlign w:val="center"/>
                </w:tcPr>
                <w:p w14:paraId="0268F691">
                  <w:pPr>
                    <w:pStyle w:val="30"/>
                    <w:widowControl w:val="0"/>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医疗废物2天清运一次，医院盛装的医疗废物基本达到包装物或者容器的1/2时，</w:t>
                  </w:r>
                  <w:r>
                    <w:rPr>
                      <w:rFonts w:hint="default"/>
                      <w:color w:val="auto"/>
                      <w:highlight w:val="none"/>
                      <w:lang w:val="en-US" w:eastAsia="zh-CN"/>
                    </w:rPr>
                    <w:t>委托有资质单位上门回收处置</w:t>
                  </w:r>
                  <w:r>
                    <w:rPr>
                      <w:rFonts w:hint="default" w:ascii="Times New Roman" w:hAnsi="Times New Roman" w:cs="Times New Roman"/>
                      <w:color w:val="auto"/>
                      <w:highlight w:val="none"/>
                      <w:lang w:eastAsia="zh-CN"/>
                    </w:rPr>
                    <w:t>。</w:t>
                  </w:r>
                </w:p>
              </w:tc>
              <w:tc>
                <w:tcPr>
                  <w:tcW w:w="517" w:type="pct"/>
                  <w:noWrap w:val="0"/>
                  <w:vAlign w:val="center"/>
                </w:tcPr>
                <w:p w14:paraId="3923167B">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符合</w:t>
                  </w:r>
                </w:p>
              </w:tc>
            </w:tr>
            <w:tr w14:paraId="35149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2" w:type="pct"/>
                  <w:noWrap w:val="0"/>
                  <w:vAlign w:val="center"/>
                </w:tcPr>
                <w:p w14:paraId="27F6783F">
                  <w:pPr>
                    <w:pStyle w:val="30"/>
                    <w:widowControl w:val="0"/>
                    <w:bidi w:val="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4</w:t>
                  </w:r>
                </w:p>
              </w:tc>
              <w:tc>
                <w:tcPr>
                  <w:tcW w:w="2032" w:type="pct"/>
                  <w:noWrap w:val="0"/>
                  <w:vAlign w:val="center"/>
                </w:tcPr>
                <w:p w14:paraId="7305341C">
                  <w:pPr>
                    <w:pStyle w:val="30"/>
                    <w:widowControl w:val="0"/>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第十五条盛装医疗废物的每个包装物、容器外表面应当有警示标识，在每个包装物、容器上应当系中文标签，中文标签的内容应当包括：医疗废物产生单位、产生日期、类别及需要的特别说明等。</w:t>
                  </w:r>
                </w:p>
              </w:tc>
              <w:tc>
                <w:tcPr>
                  <w:tcW w:w="1976" w:type="pct"/>
                  <w:noWrap w:val="0"/>
                  <w:vAlign w:val="center"/>
                </w:tcPr>
                <w:p w14:paraId="480A0EA3">
                  <w:pPr>
                    <w:pStyle w:val="30"/>
                    <w:widowControl w:val="0"/>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项目医疗废物包装容器均设有标志</w:t>
                  </w:r>
                  <w:r>
                    <w:rPr>
                      <w:rFonts w:hint="eastAsia" w:ascii="Times New Roman" w:hAnsi="Times New Roman" w:cs="Times New Roman"/>
                      <w:color w:val="auto"/>
                      <w:highlight w:val="none"/>
                      <w:lang w:eastAsia="zh-CN"/>
                    </w:rPr>
                    <w:t>。</w:t>
                  </w:r>
                </w:p>
              </w:tc>
              <w:tc>
                <w:tcPr>
                  <w:tcW w:w="517" w:type="pct"/>
                  <w:noWrap w:val="0"/>
                  <w:vAlign w:val="center"/>
                </w:tcPr>
                <w:p w14:paraId="21F2E918">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符合</w:t>
                  </w:r>
                </w:p>
              </w:tc>
            </w:tr>
          </w:tbl>
          <w:p w14:paraId="47B40EE6">
            <w:pPr>
              <w:pStyle w:val="3"/>
              <w:bidi w:val="0"/>
              <w:spacing w:line="360" w:lineRule="auto"/>
              <w:rPr>
                <w:rFonts w:hint="default" w:ascii="Times New Roman" w:hAnsi="Times New Roman" w:cs="Times New Roman"/>
                <w:color w:val="auto"/>
                <w:highlight w:val="none"/>
                <w:lang w:eastAsia="zh-CN"/>
              </w:rPr>
            </w:pPr>
            <w:r>
              <w:rPr>
                <w:rFonts w:hint="eastAsia" w:cs="Times New Roman"/>
                <w:color w:val="auto"/>
                <w:highlight w:val="none"/>
                <w:lang w:val="en-US" w:eastAsia="zh-CN"/>
              </w:rPr>
              <w:t>8</w:t>
            </w:r>
            <w:r>
              <w:rPr>
                <w:rFonts w:hint="default" w:ascii="Times New Roman" w:hAnsi="Times New Roman" w:cs="Times New Roman"/>
                <w:color w:val="auto"/>
                <w:highlight w:val="none"/>
                <w:lang w:eastAsia="zh-CN"/>
              </w:rPr>
              <w:t>、选址合理性分析</w:t>
            </w:r>
          </w:p>
          <w:p w14:paraId="39837B69">
            <w:pPr>
              <w:autoSpaceDE w:val="0"/>
              <w:autoSpaceDN w:val="0"/>
              <w:adjustRightInd w:val="0"/>
              <w:snapToGrid w:val="0"/>
              <w:spacing w:line="360" w:lineRule="auto"/>
              <w:ind w:firstLine="480"/>
              <w:rPr>
                <w:rFonts w:hint="default" w:ascii="Times New Roman" w:hAnsi="Times New Roman" w:eastAsia="宋体" w:cs="Times New Roman"/>
                <w:b w:val="0"/>
                <w:bCs w:val="0"/>
                <w:color w:val="auto"/>
                <w:sz w:val="24"/>
                <w:szCs w:val="24"/>
                <w:highlight w:val="none"/>
              </w:rPr>
            </w:pPr>
            <w:bookmarkStart w:id="2" w:name="OLE_LINK5"/>
            <w:r>
              <w:rPr>
                <w:rFonts w:hint="default" w:ascii="Times New Roman" w:hAnsi="Times New Roman" w:eastAsia="宋体" w:cs="Times New Roman"/>
                <w:b w:val="0"/>
                <w:bCs w:val="0"/>
                <w:color w:val="auto"/>
                <w:sz w:val="24"/>
                <w:szCs w:val="24"/>
                <w:highlight w:val="none"/>
                <w:lang w:val="en-US" w:eastAsia="zh-CN"/>
              </w:rPr>
              <w:t>根据现场勘查，项目周边200m范围内主要是商铺、居民住宅等，</w:t>
            </w:r>
            <w:r>
              <w:rPr>
                <w:rFonts w:hint="eastAsia" w:cs="Times New Roman"/>
                <w:color w:val="auto"/>
                <w:sz w:val="24"/>
                <w:highlight w:val="none"/>
                <w:lang w:val="en-US" w:eastAsia="zh-CN"/>
              </w:rPr>
              <w:t>无</w:t>
            </w:r>
            <w:r>
              <w:rPr>
                <w:rFonts w:hint="default" w:ascii="Times New Roman" w:hAnsi="Times New Roman" w:eastAsia="宋体" w:cs="Times New Roman"/>
                <w:color w:val="auto"/>
                <w:sz w:val="24"/>
                <w:highlight w:val="none"/>
                <w:lang w:val="en-US" w:eastAsia="zh-CN"/>
              </w:rPr>
              <w:t>宠物交易场所</w:t>
            </w:r>
            <w:r>
              <w:rPr>
                <w:rFonts w:hint="eastAsia" w:cs="Times New Roman"/>
                <w:color w:val="auto"/>
                <w:sz w:val="24"/>
                <w:highlight w:val="none"/>
                <w:lang w:val="en-US" w:eastAsia="zh-CN"/>
              </w:rPr>
              <w:t>、</w:t>
            </w:r>
            <w:r>
              <w:rPr>
                <w:rFonts w:hint="default" w:ascii="Times New Roman" w:hAnsi="Times New Roman" w:eastAsia="宋体" w:cs="Times New Roman"/>
                <w:b w:val="0"/>
                <w:bCs w:val="0"/>
                <w:color w:val="auto"/>
                <w:sz w:val="24"/>
                <w:szCs w:val="24"/>
                <w:highlight w:val="none"/>
                <w:lang w:val="en-US" w:eastAsia="zh-CN"/>
              </w:rPr>
              <w:t>无重大污染企业，周围环境质量较好。</w:t>
            </w:r>
            <w:r>
              <w:rPr>
                <w:rFonts w:hint="default" w:ascii="Times New Roman" w:hAnsi="Times New Roman" w:eastAsia="宋体" w:cs="Times New Roman"/>
                <w:b w:val="0"/>
                <w:bCs w:val="0"/>
                <w:color w:val="auto"/>
                <w:sz w:val="24"/>
                <w:szCs w:val="24"/>
                <w:highlight w:val="none"/>
              </w:rPr>
              <w:t>本项目服务及诊疗活动范围为</w:t>
            </w:r>
            <w:r>
              <w:rPr>
                <w:rFonts w:hint="eastAsia" w:cs="Times New Roman"/>
                <w:b w:val="0"/>
                <w:bCs w:val="0"/>
                <w:color w:val="auto"/>
                <w:sz w:val="24"/>
                <w:szCs w:val="24"/>
                <w:highlight w:val="none"/>
                <w:lang w:val="en-US" w:eastAsia="zh-CN"/>
              </w:rPr>
              <w:t>宠物医院服务、零售、宠物用药、宠物食品用品</w:t>
            </w:r>
            <w:bookmarkEnd w:id="2"/>
            <w:r>
              <w:rPr>
                <w:rFonts w:hint="eastAsia" w:cs="Times New Roman"/>
                <w:b w:val="0"/>
                <w:bCs w:val="0"/>
                <w:color w:val="auto"/>
                <w:sz w:val="24"/>
                <w:szCs w:val="24"/>
                <w:highlight w:val="none"/>
                <w:lang w:eastAsia="zh-CN"/>
              </w:rPr>
              <w:t>，</w:t>
            </w:r>
            <w:r>
              <w:rPr>
                <w:rFonts w:hint="default" w:ascii="Times New Roman" w:hAnsi="Times New Roman" w:eastAsia="宋体" w:cs="Times New Roman"/>
                <w:b w:val="0"/>
                <w:bCs w:val="0"/>
                <w:color w:val="auto"/>
                <w:sz w:val="24"/>
                <w:szCs w:val="24"/>
                <w:highlight w:val="none"/>
              </w:rPr>
              <w:t>本项目可为周边小区居民医治宠物提供方便。根据《新疆维吾尔自治区动物诊疗机构管理（技术）规范》中相关规定，本项目区地处城市建成区，周边无动物饲养、交易场所；距离动物屠宰和动物产品经营、加工以及药品生产等场所</w:t>
            </w:r>
            <w:r>
              <w:rPr>
                <w:rFonts w:hint="default" w:ascii="Times New Roman" w:hAnsi="Times New Roman" w:eastAsia="TimesNewRomanPSMT" w:cs="Times New Roman"/>
                <w:b w:val="0"/>
                <w:bCs w:val="0"/>
                <w:color w:val="auto"/>
                <w:sz w:val="24"/>
                <w:szCs w:val="24"/>
                <w:highlight w:val="none"/>
              </w:rPr>
              <w:t>3</w:t>
            </w:r>
            <w:r>
              <w:rPr>
                <w:rFonts w:hint="default" w:ascii="Times New Roman" w:hAnsi="Times New Roman" w:eastAsia="宋体" w:cs="Times New Roman"/>
                <w:b w:val="0"/>
                <w:bCs w:val="0"/>
                <w:color w:val="auto"/>
                <w:sz w:val="24"/>
                <w:szCs w:val="24"/>
                <w:highlight w:val="none"/>
              </w:rPr>
              <w:t>公里以上，符合动物防疫要求。</w:t>
            </w:r>
            <w:r>
              <w:rPr>
                <w:rFonts w:hint="default" w:ascii="Times New Roman" w:hAnsi="Times New Roman" w:cs="Times New Roman"/>
                <w:b w:val="0"/>
                <w:color w:val="auto"/>
                <w:sz w:val="24"/>
                <w:szCs w:val="24"/>
                <w:highlight w:val="none"/>
                <w:lang w:val="en-US" w:eastAsia="zh-CN"/>
              </w:rPr>
              <w:t>项目</w:t>
            </w:r>
            <w:r>
              <w:rPr>
                <w:rFonts w:hint="eastAsia" w:cs="Times New Roman"/>
                <w:color w:val="auto"/>
                <w:spacing w:val="6"/>
                <w:sz w:val="24"/>
                <w:szCs w:val="24"/>
                <w:highlight w:val="none"/>
                <w:lang w:val="en-US" w:eastAsia="zh-CN"/>
              </w:rPr>
              <w:t>区</w:t>
            </w:r>
            <w:r>
              <w:rPr>
                <w:rFonts w:hint="default" w:ascii="Times New Roman" w:hAnsi="Times New Roman" w:cs="Times New Roman"/>
                <w:color w:val="auto"/>
                <w:spacing w:val="6"/>
                <w:sz w:val="24"/>
                <w:szCs w:val="24"/>
                <w:highlight w:val="none"/>
                <w:lang w:val="en-US" w:eastAsia="zh-CN"/>
              </w:rPr>
              <w:t>共</w:t>
            </w:r>
            <w:r>
              <w:rPr>
                <w:rFonts w:hint="eastAsia" w:cs="Times New Roman"/>
                <w:color w:val="auto"/>
                <w:spacing w:val="6"/>
                <w:sz w:val="24"/>
                <w:szCs w:val="24"/>
                <w:highlight w:val="none"/>
                <w:lang w:val="en-US" w:eastAsia="zh-CN"/>
              </w:rPr>
              <w:t>三层</w:t>
            </w:r>
            <w:r>
              <w:rPr>
                <w:rFonts w:hint="default" w:ascii="Times New Roman" w:hAnsi="Times New Roman" w:cs="Times New Roman"/>
                <w:b w:val="0"/>
                <w:color w:val="auto"/>
                <w:sz w:val="24"/>
                <w:szCs w:val="24"/>
                <w:highlight w:val="none"/>
                <w:lang w:val="en-US" w:eastAsia="zh-CN"/>
              </w:rPr>
              <w:t>；项目区</w:t>
            </w:r>
            <w:r>
              <w:rPr>
                <w:rFonts w:hint="eastAsia" w:cs="Times New Roman"/>
                <w:b w:val="0"/>
                <w:color w:val="auto"/>
                <w:sz w:val="24"/>
                <w:szCs w:val="24"/>
                <w:highlight w:val="none"/>
                <w:lang w:val="en-US" w:eastAsia="zh-CN"/>
              </w:rPr>
              <w:t>西侧为喀拉苏路，</w:t>
            </w:r>
            <w:r>
              <w:rPr>
                <w:rFonts w:hint="default" w:ascii="Times New Roman" w:hAnsi="Times New Roman" w:cs="Times New Roman"/>
                <w:b w:val="0"/>
                <w:color w:val="auto"/>
                <w:sz w:val="24"/>
                <w:szCs w:val="24"/>
                <w:highlight w:val="none"/>
                <w:lang w:val="en-US" w:eastAsia="zh-CN"/>
              </w:rPr>
              <w:t>东侧</w:t>
            </w:r>
            <w:r>
              <w:rPr>
                <w:rFonts w:hint="eastAsia" w:cs="Times New Roman"/>
                <w:b w:val="0"/>
                <w:color w:val="auto"/>
                <w:sz w:val="24"/>
                <w:szCs w:val="24"/>
                <w:highlight w:val="none"/>
                <w:lang w:val="en-US" w:eastAsia="zh-CN"/>
              </w:rPr>
              <w:t>为</w:t>
            </w:r>
            <w:r>
              <w:rPr>
                <w:rFonts w:hint="eastAsia" w:cs="Times New Roman"/>
                <w:color w:val="auto"/>
                <w:spacing w:val="6"/>
                <w:sz w:val="24"/>
                <w:szCs w:val="24"/>
                <w:highlight w:val="none"/>
                <w:lang w:eastAsia="zh-CN"/>
              </w:rPr>
              <w:t>丝路华庭</w:t>
            </w:r>
            <w:r>
              <w:rPr>
                <w:rFonts w:hint="eastAsia" w:cs="Times New Roman"/>
                <w:color w:val="auto"/>
                <w:spacing w:val="6"/>
                <w:sz w:val="24"/>
                <w:szCs w:val="24"/>
                <w:highlight w:val="none"/>
                <w:lang w:val="en-US" w:eastAsia="zh-CN"/>
              </w:rPr>
              <w:t>小区</w:t>
            </w:r>
            <w:r>
              <w:rPr>
                <w:rFonts w:hint="eastAsia" w:cs="Times New Roman"/>
                <w:b w:val="0"/>
                <w:color w:val="auto"/>
                <w:sz w:val="24"/>
                <w:szCs w:val="24"/>
                <w:highlight w:val="none"/>
                <w:lang w:val="en-US" w:eastAsia="zh-CN"/>
              </w:rPr>
              <w:t>；南</w:t>
            </w:r>
            <w:r>
              <w:rPr>
                <w:rFonts w:hint="default" w:ascii="Times New Roman" w:hAnsi="Times New Roman" w:cs="Times New Roman"/>
                <w:b w:val="0"/>
                <w:color w:val="auto"/>
                <w:sz w:val="24"/>
                <w:szCs w:val="24"/>
                <w:highlight w:val="none"/>
                <w:lang w:val="en-US" w:eastAsia="zh-CN"/>
              </w:rPr>
              <w:t>侧</w:t>
            </w:r>
            <w:r>
              <w:rPr>
                <w:rFonts w:hint="eastAsia" w:cs="Times New Roman"/>
                <w:b w:val="0"/>
                <w:color w:val="auto"/>
                <w:sz w:val="24"/>
                <w:szCs w:val="24"/>
                <w:highlight w:val="none"/>
                <w:lang w:val="en-US" w:eastAsia="zh-CN"/>
              </w:rPr>
              <w:t>、北侧同属丝路华庭沿街商铺</w:t>
            </w:r>
            <w:r>
              <w:rPr>
                <w:rFonts w:hint="default" w:ascii="Times New Roman" w:hAnsi="Times New Roman" w:cs="Times New Roman"/>
                <w:b w:val="0"/>
                <w:color w:val="auto"/>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bidi="ar"/>
              </w:rPr>
              <w:t>项目店铺大门正对</w:t>
            </w:r>
            <w:r>
              <w:rPr>
                <w:rFonts w:hint="eastAsia" w:cs="Times New Roman"/>
                <w:b w:val="0"/>
                <w:color w:val="auto"/>
                <w:sz w:val="24"/>
                <w:szCs w:val="24"/>
                <w:highlight w:val="none"/>
                <w:lang w:val="en-US" w:eastAsia="zh-CN"/>
              </w:rPr>
              <w:t>喀拉苏路</w:t>
            </w:r>
            <w:r>
              <w:rPr>
                <w:rFonts w:hint="default" w:ascii="Times New Roman" w:hAnsi="Times New Roman" w:eastAsia="宋体" w:cs="Times New Roman"/>
                <w:color w:val="auto"/>
                <w:kern w:val="0"/>
                <w:sz w:val="24"/>
                <w:szCs w:val="24"/>
                <w:highlight w:val="none"/>
                <w:lang w:val="en-US" w:eastAsia="zh-CN" w:bidi="ar"/>
              </w:rPr>
              <w:t>，店铺面积共</w:t>
            </w:r>
            <w:r>
              <w:rPr>
                <w:rFonts w:hint="eastAsia" w:cs="Times New Roman"/>
                <w:color w:val="auto"/>
                <w:kern w:val="0"/>
                <w:sz w:val="24"/>
                <w:szCs w:val="24"/>
                <w:highlight w:val="none"/>
                <w:lang w:val="en-US" w:eastAsia="zh-CN" w:bidi="ar"/>
              </w:rPr>
              <w:t>162.75</w:t>
            </w:r>
            <w:r>
              <w:rPr>
                <w:rFonts w:hint="default" w:ascii="Times New Roman" w:hAnsi="Times New Roman" w:eastAsia="宋体" w:cs="Times New Roman"/>
                <w:color w:val="auto"/>
                <w:kern w:val="0"/>
                <w:sz w:val="24"/>
                <w:szCs w:val="24"/>
                <w:highlight w:val="none"/>
                <w:lang w:val="en-US" w:eastAsia="zh-CN" w:bidi="ar"/>
              </w:rPr>
              <w:t>m</w:t>
            </w:r>
            <w:r>
              <w:rPr>
                <w:rFonts w:hint="default" w:ascii="Times New Roman" w:hAnsi="Times New Roman" w:eastAsia="宋体" w:cs="Times New Roman"/>
                <w:color w:val="auto"/>
                <w:kern w:val="0"/>
                <w:sz w:val="24"/>
                <w:szCs w:val="24"/>
                <w:highlight w:val="none"/>
                <w:vertAlign w:val="superscript"/>
                <w:lang w:val="en-US" w:eastAsia="zh-CN" w:bidi="ar"/>
              </w:rPr>
              <w:t>2</w:t>
            </w:r>
            <w:r>
              <w:rPr>
                <w:rFonts w:hint="default" w:ascii="Times New Roman" w:hAnsi="Times New Roman" w:eastAsia="宋体" w:cs="Times New Roman"/>
                <w:color w:val="auto"/>
                <w:kern w:val="0"/>
                <w:sz w:val="24"/>
                <w:szCs w:val="24"/>
                <w:highlight w:val="none"/>
                <w:lang w:val="en-US" w:eastAsia="zh-CN" w:bidi="ar"/>
              </w:rPr>
              <w:t>，</w:t>
            </w:r>
            <w:r>
              <w:rPr>
                <w:rFonts w:hint="default" w:ascii="Times New Roman" w:hAnsi="Times New Roman" w:eastAsia="宋体" w:cs="Times New Roman"/>
                <w:b w:val="0"/>
                <w:bCs w:val="0"/>
                <w:color w:val="auto"/>
                <w:sz w:val="24"/>
                <w:szCs w:val="24"/>
                <w:highlight w:val="none"/>
              </w:rPr>
              <w:t>有相对独立的各个科室，符合该管理办法。</w:t>
            </w:r>
          </w:p>
          <w:p w14:paraId="2CBAC13F">
            <w:pPr>
              <w:autoSpaceDE w:val="0"/>
              <w:autoSpaceDN w:val="0"/>
              <w:adjustRightInd w:val="0"/>
              <w:snapToGrid w:val="0"/>
              <w:spacing w:line="360" w:lineRule="auto"/>
              <w:ind w:firstLine="480"/>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综上，项目周边交通便利，选址不涉及环境敏感区，在落实了相关环境保护措施后，项目对周边环境影响可接受。因此，从区域环境保护分析，项目选址合理。</w:t>
            </w:r>
          </w:p>
          <w:p w14:paraId="49FFE9B0">
            <w:pPr>
              <w:autoSpaceDE w:val="0"/>
              <w:autoSpaceDN w:val="0"/>
              <w:adjustRightInd w:val="0"/>
              <w:snapToGrid w:val="0"/>
              <w:spacing w:line="360" w:lineRule="auto"/>
              <w:ind w:firstLine="480"/>
              <w:rPr>
                <w:rFonts w:hint="default" w:ascii="Times New Roman" w:hAnsi="Times New Roman" w:eastAsia="宋体" w:cs="Times New Roman"/>
                <w:b w:val="0"/>
                <w:bCs w:val="0"/>
                <w:color w:val="auto"/>
                <w:sz w:val="24"/>
                <w:szCs w:val="24"/>
                <w:highlight w:val="none"/>
                <w:lang w:val="en-US" w:eastAsia="zh-CN"/>
              </w:rPr>
            </w:pPr>
          </w:p>
          <w:p w14:paraId="47AFEBEC">
            <w:pPr>
              <w:autoSpaceDE w:val="0"/>
              <w:autoSpaceDN w:val="0"/>
              <w:adjustRightInd w:val="0"/>
              <w:snapToGrid w:val="0"/>
              <w:spacing w:line="360" w:lineRule="auto"/>
              <w:ind w:firstLine="480"/>
              <w:rPr>
                <w:rFonts w:hint="default" w:ascii="Times New Roman" w:hAnsi="Times New Roman" w:eastAsia="宋体" w:cs="Times New Roman"/>
                <w:b w:val="0"/>
                <w:bCs w:val="0"/>
                <w:color w:val="auto"/>
                <w:sz w:val="24"/>
                <w:szCs w:val="24"/>
                <w:highlight w:val="none"/>
                <w:lang w:val="en-US" w:eastAsia="zh-CN"/>
              </w:rPr>
            </w:pPr>
          </w:p>
          <w:p w14:paraId="67DE6170">
            <w:pPr>
              <w:autoSpaceDE w:val="0"/>
              <w:autoSpaceDN w:val="0"/>
              <w:adjustRightInd w:val="0"/>
              <w:snapToGrid w:val="0"/>
              <w:spacing w:line="360" w:lineRule="auto"/>
              <w:ind w:firstLine="480"/>
              <w:rPr>
                <w:rFonts w:hint="default" w:ascii="Times New Roman" w:hAnsi="Times New Roman" w:eastAsia="宋体" w:cs="Times New Roman"/>
                <w:b w:val="0"/>
                <w:bCs w:val="0"/>
                <w:color w:val="auto"/>
                <w:sz w:val="24"/>
                <w:szCs w:val="24"/>
                <w:highlight w:val="none"/>
                <w:lang w:val="en-US" w:eastAsia="zh-CN"/>
              </w:rPr>
            </w:pPr>
          </w:p>
          <w:p w14:paraId="62D09C9F">
            <w:pPr>
              <w:autoSpaceDE w:val="0"/>
              <w:autoSpaceDN w:val="0"/>
              <w:adjustRightInd w:val="0"/>
              <w:snapToGrid w:val="0"/>
              <w:spacing w:line="360" w:lineRule="auto"/>
              <w:ind w:firstLine="480"/>
              <w:rPr>
                <w:rFonts w:hint="default" w:ascii="Times New Roman" w:hAnsi="Times New Roman" w:eastAsia="宋体" w:cs="Times New Roman"/>
                <w:b w:val="0"/>
                <w:bCs w:val="0"/>
                <w:color w:val="auto"/>
                <w:sz w:val="24"/>
                <w:szCs w:val="24"/>
                <w:highlight w:val="none"/>
                <w:lang w:val="en-US" w:eastAsia="zh-CN"/>
              </w:rPr>
            </w:pPr>
          </w:p>
          <w:p w14:paraId="13D5D1F5">
            <w:pPr>
              <w:autoSpaceDE w:val="0"/>
              <w:autoSpaceDN w:val="0"/>
              <w:adjustRightInd w:val="0"/>
              <w:snapToGrid w:val="0"/>
              <w:spacing w:line="360" w:lineRule="auto"/>
              <w:ind w:firstLine="480"/>
              <w:rPr>
                <w:rFonts w:hint="default" w:ascii="Times New Roman" w:hAnsi="Times New Roman" w:eastAsia="宋体" w:cs="Times New Roman"/>
                <w:b w:val="0"/>
                <w:bCs w:val="0"/>
                <w:color w:val="auto"/>
                <w:sz w:val="24"/>
                <w:szCs w:val="24"/>
                <w:highlight w:val="none"/>
                <w:lang w:val="en-US" w:eastAsia="zh-CN"/>
              </w:rPr>
            </w:pPr>
          </w:p>
          <w:p w14:paraId="565F31D8">
            <w:pPr>
              <w:autoSpaceDE w:val="0"/>
              <w:autoSpaceDN w:val="0"/>
              <w:adjustRightInd w:val="0"/>
              <w:snapToGrid w:val="0"/>
              <w:spacing w:line="360" w:lineRule="auto"/>
              <w:rPr>
                <w:rFonts w:hint="default" w:ascii="Times New Roman" w:hAnsi="Times New Roman" w:eastAsia="宋体" w:cs="Times New Roman"/>
                <w:b w:val="0"/>
                <w:bCs w:val="0"/>
                <w:color w:val="auto"/>
                <w:sz w:val="24"/>
                <w:szCs w:val="24"/>
                <w:highlight w:val="none"/>
                <w:lang w:val="en-US" w:eastAsia="zh-CN"/>
              </w:rPr>
            </w:pPr>
          </w:p>
        </w:tc>
      </w:tr>
    </w:tbl>
    <w:p w14:paraId="6C0BCA5C">
      <w:pPr>
        <w:rPr>
          <w:rFonts w:hint="default" w:ascii="Times New Roman" w:hAnsi="Times New Roman" w:cs="Times New Roman"/>
          <w:color w:val="auto"/>
          <w:highlight w:val="none"/>
        </w:rPr>
        <w:sectPr>
          <w:footerReference r:id="rId6" w:type="default"/>
          <w:pgSz w:w="11906" w:h="16839"/>
          <w:pgMar w:top="1431" w:right="1508" w:bottom="1185" w:left="1508" w:header="0" w:footer="916" w:gutter="0"/>
          <w:pgBorders>
            <w:top w:val="none" w:sz="0" w:space="0"/>
            <w:left w:val="none" w:sz="0" w:space="0"/>
            <w:bottom w:val="none" w:sz="0" w:space="0"/>
            <w:right w:val="none" w:sz="0" w:space="0"/>
          </w:pgBorders>
          <w:pgNumType w:fmt="decimal" w:start="1"/>
          <w:cols w:space="720" w:num="1"/>
        </w:sectPr>
      </w:pPr>
    </w:p>
    <w:p w14:paraId="310AED86">
      <w:pPr>
        <w:spacing w:line="249" w:lineRule="auto"/>
        <w:rPr>
          <w:rFonts w:hint="default" w:ascii="Times New Roman" w:hAnsi="Times New Roman" w:cs="Times New Roman"/>
          <w:color w:val="auto"/>
          <w:sz w:val="21"/>
          <w:highlight w:val="none"/>
        </w:rPr>
      </w:pPr>
    </w:p>
    <w:p w14:paraId="1B3B01E6">
      <w:pPr>
        <w:pStyle w:val="2"/>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二、建设项目工程分析</w:t>
      </w:r>
    </w:p>
    <w:tbl>
      <w:tblPr>
        <w:tblStyle w:val="28"/>
        <w:tblW w:w="8988"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831"/>
        <w:gridCol w:w="8157"/>
      </w:tblGrid>
      <w:tr w14:paraId="165C84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831" w:type="dxa"/>
            <w:tcBorders>
              <w:left w:val="single" w:color="000000" w:sz="6" w:space="0"/>
            </w:tcBorders>
            <w:vAlign w:val="center"/>
          </w:tcPr>
          <w:p w14:paraId="1578029E">
            <w:pPr>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建设内容</w:t>
            </w:r>
          </w:p>
        </w:tc>
        <w:tc>
          <w:tcPr>
            <w:tcW w:w="8157" w:type="dxa"/>
            <w:tcBorders>
              <w:right w:val="single" w:color="000000" w:sz="6" w:space="0"/>
            </w:tcBorders>
            <w:vAlign w:val="center"/>
          </w:tcPr>
          <w:p w14:paraId="00A3BA09">
            <w:pPr>
              <w:pStyle w:val="3"/>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2.1项目由来</w:t>
            </w:r>
          </w:p>
          <w:p w14:paraId="3D29E85A">
            <w:pPr>
              <w:pStyle w:val="3"/>
              <w:pageBreakBefore w:val="0"/>
              <w:widowControl/>
              <w:kinsoku/>
              <w:wordWrap/>
              <w:overflowPunct/>
              <w:topLinePunct w:val="0"/>
              <w:autoSpaceDE w:val="0"/>
              <w:autoSpaceDN w:val="0"/>
              <w:bidi w:val="0"/>
              <w:adjustRightInd/>
              <w:snapToGrid/>
              <w:ind w:firstLine="512" w:firstLineChars="200"/>
              <w:textAlignment w:val="baseline"/>
              <w:rPr>
                <w:rFonts w:hint="eastAsia" w:ascii="Times New Roman" w:hAnsi="Times New Roman" w:eastAsia="宋体" w:cs="Times New Roman"/>
                <w:b w:val="0"/>
                <w:bCs/>
                <w:snapToGrid w:val="0"/>
                <w:color w:val="auto"/>
                <w:spacing w:val="8"/>
                <w:kern w:val="0"/>
                <w:sz w:val="24"/>
                <w:szCs w:val="72"/>
                <w:highlight w:val="none"/>
                <w:lang w:val="en-US" w:eastAsia="zh-CN"/>
              </w:rPr>
            </w:pPr>
            <w:r>
              <w:rPr>
                <w:rFonts w:hint="eastAsia" w:ascii="Times New Roman" w:hAnsi="Times New Roman" w:eastAsia="宋体" w:cs="Times New Roman"/>
                <w:b w:val="0"/>
                <w:bCs/>
                <w:snapToGrid w:val="0"/>
                <w:color w:val="auto"/>
                <w:spacing w:val="8"/>
                <w:kern w:val="0"/>
                <w:sz w:val="24"/>
                <w:szCs w:val="72"/>
                <w:highlight w:val="none"/>
                <w:lang w:val="en-US" w:eastAsia="zh-CN"/>
              </w:rPr>
              <w:t>库尔勒宠爱一生宠物医院于20</w:t>
            </w:r>
            <w:r>
              <w:rPr>
                <w:rFonts w:hint="eastAsia" w:ascii="Times New Roman" w:hAnsi="Times New Roman" w:cs="Times New Roman"/>
                <w:b w:val="0"/>
                <w:bCs/>
                <w:snapToGrid w:val="0"/>
                <w:color w:val="auto"/>
                <w:spacing w:val="8"/>
                <w:kern w:val="0"/>
                <w:sz w:val="24"/>
                <w:szCs w:val="72"/>
                <w:highlight w:val="none"/>
                <w:lang w:val="en-US" w:eastAsia="zh-CN"/>
              </w:rPr>
              <w:t>19</w:t>
            </w:r>
            <w:r>
              <w:rPr>
                <w:rFonts w:hint="eastAsia" w:ascii="Times New Roman" w:hAnsi="Times New Roman" w:eastAsia="宋体" w:cs="Times New Roman"/>
                <w:b w:val="0"/>
                <w:bCs/>
                <w:snapToGrid w:val="0"/>
                <w:color w:val="auto"/>
                <w:spacing w:val="8"/>
                <w:kern w:val="0"/>
                <w:sz w:val="24"/>
                <w:szCs w:val="72"/>
                <w:highlight w:val="none"/>
                <w:lang w:val="en-US" w:eastAsia="zh-CN"/>
              </w:rPr>
              <w:t>年</w:t>
            </w:r>
            <w:r>
              <w:rPr>
                <w:rFonts w:hint="eastAsia" w:ascii="Times New Roman" w:hAnsi="Times New Roman" w:cs="Times New Roman"/>
                <w:b w:val="0"/>
                <w:bCs/>
                <w:snapToGrid w:val="0"/>
                <w:color w:val="auto"/>
                <w:spacing w:val="8"/>
                <w:kern w:val="0"/>
                <w:sz w:val="24"/>
                <w:szCs w:val="72"/>
                <w:highlight w:val="none"/>
                <w:lang w:val="en-US" w:eastAsia="zh-CN"/>
              </w:rPr>
              <w:t>4</w:t>
            </w:r>
            <w:r>
              <w:rPr>
                <w:rFonts w:hint="eastAsia" w:ascii="Times New Roman" w:hAnsi="Times New Roman" w:eastAsia="宋体" w:cs="Times New Roman"/>
                <w:b w:val="0"/>
                <w:bCs/>
                <w:snapToGrid w:val="0"/>
                <w:color w:val="auto"/>
                <w:spacing w:val="8"/>
                <w:kern w:val="0"/>
                <w:sz w:val="24"/>
                <w:szCs w:val="72"/>
                <w:highlight w:val="none"/>
                <w:lang w:val="en-US" w:eastAsia="zh-CN"/>
              </w:rPr>
              <w:t>月建成开业运营，前期医院主要提供宠物食品用品销售、宠物免疫及基础疾病治疗等服务，不含腹腔手术宠物诊疗业务。现阶段结合宠物医疗行业市场发展及实际经营需求，库尔勒宠爱一生宠物医院拟在现有已建成医院基础上，扩增宠物腹腔手术相关诊疗单元。依据《建设项目环境影响评价分类管理名录（2021年版）》：“第五十、社会事业与服务业（123 动物医院）设有动物颅腔、胸腔或腹腔手术设施的需编制环境影响报告表”。我公司接受建设单位委托后，开展了现场踏勘、资料的收集和整理工作。在掌握了充分的资料数据基础上，对项目所在区环境现状和可能产生的</w:t>
            </w:r>
            <w:r>
              <w:rPr>
                <w:rFonts w:hint="eastAsia" w:cs="Times New Roman"/>
                <w:b w:val="0"/>
                <w:bCs/>
                <w:snapToGrid w:val="0"/>
                <w:color w:val="auto"/>
                <w:spacing w:val="8"/>
                <w:kern w:val="0"/>
                <w:sz w:val="24"/>
                <w:szCs w:val="72"/>
                <w:highlight w:val="none"/>
                <w:lang w:val="en-US" w:eastAsia="zh-CN"/>
              </w:rPr>
              <w:t>生态</w:t>
            </w:r>
            <w:r>
              <w:rPr>
                <w:rFonts w:hint="eastAsia" w:ascii="Times New Roman" w:hAnsi="Times New Roman" w:eastAsia="宋体" w:cs="Times New Roman"/>
                <w:b w:val="0"/>
                <w:bCs/>
                <w:snapToGrid w:val="0"/>
                <w:color w:val="auto"/>
                <w:spacing w:val="8"/>
                <w:kern w:val="0"/>
                <w:sz w:val="24"/>
                <w:szCs w:val="72"/>
                <w:highlight w:val="none"/>
                <w:lang w:val="en-US" w:eastAsia="zh-CN"/>
              </w:rPr>
              <w:t>环境影响进行分析，并结合国家建设项目环境管理的有关规定，按照</w:t>
            </w:r>
            <w:r>
              <w:rPr>
                <w:rFonts w:hint="eastAsia" w:cs="Times New Roman"/>
                <w:b w:val="0"/>
                <w:bCs/>
                <w:snapToGrid w:val="0"/>
                <w:color w:val="auto"/>
                <w:spacing w:val="8"/>
                <w:kern w:val="0"/>
                <w:sz w:val="24"/>
                <w:szCs w:val="72"/>
                <w:highlight w:val="none"/>
                <w:lang w:val="en-US" w:eastAsia="zh-CN"/>
              </w:rPr>
              <w:t>生态</w:t>
            </w:r>
            <w:r>
              <w:rPr>
                <w:rFonts w:hint="eastAsia" w:ascii="Times New Roman" w:hAnsi="Times New Roman" w:eastAsia="宋体" w:cs="Times New Roman"/>
                <w:b w:val="0"/>
                <w:bCs/>
                <w:snapToGrid w:val="0"/>
                <w:color w:val="auto"/>
                <w:spacing w:val="8"/>
                <w:kern w:val="0"/>
                <w:sz w:val="24"/>
                <w:szCs w:val="72"/>
                <w:highlight w:val="none"/>
                <w:lang w:val="en-US" w:eastAsia="zh-CN"/>
              </w:rPr>
              <w:t>环境影响评价有关技术规范，编制完成《库尔勒宠爱一生宠物医院建设项目</w:t>
            </w:r>
            <w:r>
              <w:rPr>
                <w:rFonts w:hint="eastAsia" w:cs="Times New Roman"/>
                <w:b w:val="0"/>
                <w:bCs/>
                <w:snapToGrid w:val="0"/>
                <w:color w:val="auto"/>
                <w:spacing w:val="8"/>
                <w:kern w:val="0"/>
                <w:sz w:val="24"/>
                <w:szCs w:val="72"/>
                <w:highlight w:val="none"/>
                <w:lang w:val="en-US" w:eastAsia="zh-CN"/>
              </w:rPr>
              <w:t>生态</w:t>
            </w:r>
            <w:r>
              <w:rPr>
                <w:rFonts w:hint="eastAsia" w:ascii="Times New Roman" w:hAnsi="Times New Roman" w:eastAsia="宋体" w:cs="Times New Roman"/>
                <w:b w:val="0"/>
                <w:bCs/>
                <w:snapToGrid w:val="0"/>
                <w:color w:val="auto"/>
                <w:spacing w:val="8"/>
                <w:kern w:val="0"/>
                <w:sz w:val="24"/>
                <w:szCs w:val="72"/>
                <w:highlight w:val="none"/>
                <w:lang w:val="en-US" w:eastAsia="zh-CN"/>
              </w:rPr>
              <w:t>环境影响报告表》，供建设单位上报生态环境部门审批，并作为环境管理的依据。</w:t>
            </w:r>
          </w:p>
          <w:p w14:paraId="69112C62">
            <w:pPr>
              <w:pStyle w:val="3"/>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w:t>
            </w:r>
            <w:r>
              <w:rPr>
                <w:rFonts w:hint="eastAsia" w:cs="Times New Roman"/>
                <w:color w:val="auto"/>
                <w:highlight w:val="none"/>
                <w:lang w:val="en-US" w:eastAsia="zh-CN"/>
              </w:rPr>
              <w:t>2</w:t>
            </w:r>
            <w:r>
              <w:rPr>
                <w:rFonts w:hint="default" w:ascii="Times New Roman" w:hAnsi="Times New Roman" w:cs="Times New Roman"/>
                <w:color w:val="auto"/>
                <w:highlight w:val="none"/>
              </w:rPr>
              <w:t>、项目概况</w:t>
            </w:r>
          </w:p>
          <w:p w14:paraId="6A3CB281">
            <w:pPr>
              <w:pStyle w:val="31"/>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项目名称：</w:t>
            </w:r>
            <w:r>
              <w:rPr>
                <w:rFonts w:hint="eastAsia" w:cs="Times New Roman"/>
                <w:color w:val="auto"/>
                <w:sz w:val="24"/>
                <w:szCs w:val="24"/>
                <w:highlight w:val="none"/>
                <w:lang w:eastAsia="zh-CN"/>
              </w:rPr>
              <w:t>库尔勒宠爱一生宠物医院</w:t>
            </w:r>
            <w:r>
              <w:rPr>
                <w:rFonts w:hint="default" w:ascii="Times New Roman" w:hAnsi="Times New Roman" w:cs="Times New Roman"/>
                <w:color w:val="auto"/>
                <w:highlight w:val="none"/>
              </w:rPr>
              <w:t>；</w:t>
            </w:r>
          </w:p>
          <w:p w14:paraId="6AA9B782">
            <w:pPr>
              <w:pStyle w:val="31"/>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建设单位：</w:t>
            </w:r>
            <w:r>
              <w:rPr>
                <w:rFonts w:hint="eastAsia" w:cs="Times New Roman"/>
                <w:color w:val="auto"/>
                <w:sz w:val="24"/>
                <w:szCs w:val="24"/>
                <w:highlight w:val="none"/>
                <w:lang w:eastAsia="zh-CN"/>
              </w:rPr>
              <w:t>库尔勒宠爱一生宠物医院</w:t>
            </w:r>
            <w:r>
              <w:rPr>
                <w:rFonts w:hint="default" w:ascii="Times New Roman" w:hAnsi="Times New Roman" w:cs="Times New Roman"/>
                <w:color w:val="auto"/>
                <w:highlight w:val="none"/>
              </w:rPr>
              <w:t>；</w:t>
            </w:r>
          </w:p>
          <w:p w14:paraId="01FD6E62">
            <w:pPr>
              <w:pStyle w:val="31"/>
              <w:bidi w:val="0"/>
              <w:rPr>
                <w:rFonts w:hint="eastAsia"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建设性质：</w:t>
            </w:r>
            <w:r>
              <w:rPr>
                <w:rFonts w:hint="eastAsia" w:cs="Times New Roman"/>
                <w:color w:val="auto"/>
                <w:sz w:val="24"/>
                <w:szCs w:val="24"/>
                <w:highlight w:val="none"/>
                <w:lang w:val="en-US" w:eastAsia="zh-CN"/>
              </w:rPr>
              <w:t>新建</w:t>
            </w:r>
            <w:r>
              <w:rPr>
                <w:rFonts w:hint="eastAsia" w:cs="Times New Roman"/>
                <w:color w:val="auto"/>
                <w:highlight w:val="none"/>
                <w:lang w:eastAsia="zh-CN"/>
              </w:rPr>
              <w:t>；</w:t>
            </w:r>
          </w:p>
          <w:p w14:paraId="3C34FCA9">
            <w:pPr>
              <w:pStyle w:val="31"/>
              <w:bidi w:val="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建设地点：</w:t>
            </w:r>
            <w:r>
              <w:rPr>
                <w:rFonts w:hint="default" w:ascii="Times New Roman" w:hAnsi="Times New Roman" w:cs="Times New Roman"/>
                <w:color w:val="auto"/>
                <w:highlight w:val="none"/>
                <w:lang w:val="en-US" w:eastAsia="zh-CN"/>
              </w:rPr>
              <w:t>本</w:t>
            </w:r>
            <w:r>
              <w:rPr>
                <w:rFonts w:hint="default" w:ascii="Times New Roman" w:hAnsi="Times New Roman" w:cs="Times New Roman"/>
                <w:color w:val="auto"/>
                <w:highlight w:val="none"/>
                <w:lang w:eastAsia="zh-CN"/>
              </w:rPr>
              <w:t>项目租赁</w:t>
            </w:r>
            <w:r>
              <w:rPr>
                <w:rFonts w:hint="default" w:ascii="Times New Roman" w:hAnsi="Times New Roman" w:cs="Times New Roman"/>
                <w:color w:val="auto"/>
                <w:highlight w:val="none"/>
                <w:lang w:val="en-US" w:eastAsia="zh-CN"/>
              </w:rPr>
              <w:t>商铺</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面积为</w:t>
            </w:r>
            <w:r>
              <w:rPr>
                <w:rFonts w:hint="eastAsia" w:cs="Times New Roman"/>
                <w:color w:val="auto"/>
                <w:highlight w:val="none"/>
                <w:lang w:val="en-US" w:eastAsia="zh-CN"/>
              </w:rPr>
              <w:t>162.75</w:t>
            </w:r>
            <w:r>
              <w:rPr>
                <w:rFonts w:hint="default" w:ascii="Times New Roman" w:hAnsi="Times New Roman" w:cs="Times New Roman"/>
                <w:color w:val="auto"/>
                <w:highlight w:val="none"/>
              </w:rPr>
              <w:t>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项目</w:t>
            </w:r>
            <w:r>
              <w:rPr>
                <w:rFonts w:hint="default" w:ascii="Times New Roman" w:hAnsi="Times New Roman" w:cs="Times New Roman"/>
                <w:color w:val="auto"/>
                <w:spacing w:val="6"/>
                <w:sz w:val="24"/>
                <w:szCs w:val="24"/>
                <w:highlight w:val="none"/>
                <w:lang w:val="en-US" w:eastAsia="zh-CN"/>
              </w:rPr>
              <w:t>共</w:t>
            </w:r>
            <w:r>
              <w:rPr>
                <w:rFonts w:hint="eastAsia" w:cs="Times New Roman"/>
                <w:color w:val="auto"/>
                <w:spacing w:val="6"/>
                <w:sz w:val="24"/>
                <w:szCs w:val="24"/>
                <w:highlight w:val="none"/>
                <w:lang w:val="en-US" w:eastAsia="zh-CN"/>
              </w:rPr>
              <w:t>三层</w:t>
            </w:r>
            <w:r>
              <w:rPr>
                <w:rFonts w:hint="default" w:ascii="Times New Roman" w:hAnsi="Times New Roman" w:cs="Times New Roman"/>
                <w:b w:val="0"/>
                <w:color w:val="auto"/>
                <w:sz w:val="24"/>
                <w:szCs w:val="24"/>
                <w:highlight w:val="none"/>
                <w:lang w:val="en-US" w:eastAsia="zh-CN"/>
              </w:rPr>
              <w:t>；项目区</w:t>
            </w:r>
            <w:r>
              <w:rPr>
                <w:rFonts w:hint="eastAsia" w:cs="Times New Roman"/>
                <w:b w:val="0"/>
                <w:color w:val="auto"/>
                <w:sz w:val="24"/>
                <w:szCs w:val="24"/>
                <w:highlight w:val="none"/>
                <w:lang w:val="en-US" w:eastAsia="zh-CN"/>
              </w:rPr>
              <w:t>西侧为喀拉苏路，</w:t>
            </w:r>
            <w:r>
              <w:rPr>
                <w:rFonts w:hint="default" w:ascii="Times New Roman" w:hAnsi="Times New Roman" w:cs="Times New Roman"/>
                <w:b w:val="0"/>
                <w:color w:val="auto"/>
                <w:sz w:val="24"/>
                <w:szCs w:val="24"/>
                <w:highlight w:val="none"/>
                <w:lang w:val="en-US" w:eastAsia="zh-CN"/>
              </w:rPr>
              <w:t>东侧</w:t>
            </w:r>
            <w:r>
              <w:rPr>
                <w:rFonts w:hint="eastAsia" w:cs="Times New Roman"/>
                <w:b w:val="0"/>
                <w:color w:val="auto"/>
                <w:sz w:val="24"/>
                <w:szCs w:val="24"/>
                <w:highlight w:val="none"/>
                <w:lang w:val="en-US" w:eastAsia="zh-CN"/>
              </w:rPr>
              <w:t>为</w:t>
            </w:r>
            <w:r>
              <w:rPr>
                <w:rFonts w:hint="eastAsia" w:cs="Times New Roman"/>
                <w:color w:val="auto"/>
                <w:spacing w:val="6"/>
                <w:sz w:val="24"/>
                <w:szCs w:val="24"/>
                <w:highlight w:val="none"/>
                <w:lang w:eastAsia="zh-CN"/>
              </w:rPr>
              <w:t>丝路华庭</w:t>
            </w:r>
            <w:r>
              <w:rPr>
                <w:rFonts w:hint="eastAsia" w:cs="Times New Roman"/>
                <w:color w:val="auto"/>
                <w:spacing w:val="6"/>
                <w:sz w:val="24"/>
                <w:szCs w:val="24"/>
                <w:highlight w:val="none"/>
                <w:lang w:val="en-US" w:eastAsia="zh-CN"/>
              </w:rPr>
              <w:t>小区</w:t>
            </w:r>
            <w:r>
              <w:rPr>
                <w:rFonts w:hint="eastAsia" w:cs="Times New Roman"/>
                <w:b w:val="0"/>
                <w:color w:val="auto"/>
                <w:sz w:val="24"/>
                <w:szCs w:val="24"/>
                <w:highlight w:val="none"/>
                <w:lang w:val="en-US" w:eastAsia="zh-CN"/>
              </w:rPr>
              <w:t>；南</w:t>
            </w:r>
            <w:r>
              <w:rPr>
                <w:rFonts w:hint="default" w:ascii="Times New Roman" w:hAnsi="Times New Roman" w:cs="Times New Roman"/>
                <w:b w:val="0"/>
                <w:color w:val="auto"/>
                <w:sz w:val="24"/>
                <w:szCs w:val="24"/>
                <w:highlight w:val="none"/>
                <w:lang w:val="en-US" w:eastAsia="zh-CN"/>
              </w:rPr>
              <w:t>侧</w:t>
            </w:r>
            <w:r>
              <w:rPr>
                <w:rFonts w:hint="eastAsia" w:cs="Times New Roman"/>
                <w:b w:val="0"/>
                <w:color w:val="auto"/>
                <w:sz w:val="24"/>
                <w:szCs w:val="24"/>
                <w:highlight w:val="none"/>
                <w:lang w:val="en-US" w:eastAsia="zh-CN"/>
              </w:rPr>
              <w:t>、北侧同属丝路华庭沿街商铺</w:t>
            </w:r>
            <w:r>
              <w:rPr>
                <w:rFonts w:hint="default" w:ascii="Times New Roman" w:hAnsi="Times New Roman" w:cs="Times New Roman"/>
                <w:color w:val="auto"/>
                <w:highlight w:val="none"/>
                <w:lang w:val="en-US" w:eastAsia="zh-CN"/>
              </w:rPr>
              <w:t>。地理位置详见附图1；项目区周边关系图见详见附图2</w:t>
            </w:r>
            <w:r>
              <w:rPr>
                <w:rFonts w:hint="default" w:ascii="Times New Roman" w:hAnsi="Times New Roman" w:cs="Times New Roman"/>
                <w:color w:val="auto"/>
                <w:highlight w:val="none"/>
                <w:lang w:eastAsia="zh-CN"/>
              </w:rPr>
              <w:t>。</w:t>
            </w:r>
          </w:p>
          <w:p w14:paraId="783E92E8">
            <w:pPr>
              <w:pStyle w:val="31"/>
              <w:bidi w:val="0"/>
              <w:rPr>
                <w:rFonts w:hint="default" w:ascii="Times New Roman" w:hAnsi="Times New Roman" w:cs="Times New Roman"/>
                <w:color w:val="auto"/>
                <w:highlight w:val="none"/>
              </w:rPr>
            </w:pPr>
            <w:r>
              <w:rPr>
                <w:rFonts w:hint="eastAsia" w:cs="Times New Roman"/>
                <w:color w:val="auto"/>
                <w:highlight w:val="none"/>
                <w:lang w:val="en-US" w:eastAsia="zh-CN"/>
              </w:rPr>
              <w:t>劳动定员与</w:t>
            </w:r>
            <w:r>
              <w:rPr>
                <w:rFonts w:hint="default" w:ascii="Times New Roman" w:hAnsi="Times New Roman" w:cs="Times New Roman"/>
                <w:color w:val="auto"/>
                <w:highlight w:val="none"/>
              </w:rPr>
              <w:t>工作制度：员工人数</w:t>
            </w:r>
            <w:r>
              <w:rPr>
                <w:rFonts w:hint="eastAsia" w:cs="Times New Roman"/>
                <w:color w:val="auto"/>
                <w:highlight w:val="none"/>
                <w:lang w:val="en-US" w:eastAsia="zh-CN"/>
              </w:rPr>
              <w:t>6</w:t>
            </w:r>
            <w:r>
              <w:rPr>
                <w:rFonts w:hint="default" w:ascii="Times New Roman" w:hAnsi="Times New Roman" w:cs="Times New Roman"/>
                <w:color w:val="auto"/>
                <w:highlight w:val="none"/>
              </w:rPr>
              <w:t>人，</w:t>
            </w:r>
            <w:r>
              <w:rPr>
                <w:rFonts w:hint="eastAsia" w:cs="Times New Roman"/>
                <w:color w:val="auto"/>
                <w:highlight w:val="none"/>
                <w:lang w:val="en-US" w:eastAsia="zh-CN"/>
              </w:rPr>
              <w:t>实行一班制，每日</w:t>
            </w:r>
            <w:r>
              <w:rPr>
                <w:rFonts w:hint="default" w:ascii="Times New Roman" w:hAnsi="Times New Roman" w:cs="Times New Roman"/>
                <w:color w:val="auto"/>
                <w:highlight w:val="none"/>
                <w:lang w:val="en-US" w:eastAsia="zh-CN"/>
              </w:rPr>
              <w:t>工作8小时</w:t>
            </w:r>
            <w:r>
              <w:rPr>
                <w:rFonts w:hint="eastAsia" w:cs="Times New Roman"/>
                <w:color w:val="auto"/>
                <w:highlight w:val="none"/>
                <w:lang w:val="en-US" w:eastAsia="zh-CN"/>
              </w:rPr>
              <w:t>，有就诊动物需要住院时，夜间留有值班人员</w:t>
            </w:r>
            <w:r>
              <w:rPr>
                <w:rFonts w:hint="eastAsia" w:cs="Times New Roman"/>
                <w:color w:val="auto"/>
                <w:highlight w:val="none"/>
                <w:lang w:eastAsia="zh-CN"/>
              </w:rPr>
              <w:t>，</w:t>
            </w:r>
            <w:r>
              <w:rPr>
                <w:rFonts w:hint="default" w:ascii="Times New Roman" w:hAnsi="Times New Roman" w:cs="Times New Roman"/>
                <w:color w:val="auto"/>
                <w:highlight w:val="none"/>
              </w:rPr>
              <w:t>年工作365天。</w:t>
            </w:r>
          </w:p>
          <w:p w14:paraId="6D90B2B9">
            <w:pPr>
              <w:pStyle w:val="31"/>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项目投资：总投资</w:t>
            </w:r>
            <w:r>
              <w:rPr>
                <w:rFonts w:hint="eastAsia" w:cs="Times New Roman"/>
                <w:color w:val="auto"/>
                <w:highlight w:val="none"/>
                <w:lang w:val="en-US" w:eastAsia="zh-CN"/>
              </w:rPr>
              <w:t>15</w:t>
            </w:r>
            <w:r>
              <w:rPr>
                <w:rFonts w:hint="default" w:ascii="Times New Roman" w:hAnsi="Times New Roman" w:cs="Times New Roman"/>
                <w:color w:val="auto"/>
                <w:highlight w:val="none"/>
                <w:lang w:eastAsia="zh-CN"/>
              </w:rPr>
              <w:t>万元</w:t>
            </w:r>
            <w:r>
              <w:rPr>
                <w:rFonts w:hint="default" w:ascii="Times New Roman" w:hAnsi="Times New Roman" w:cs="Times New Roman"/>
                <w:color w:val="auto"/>
                <w:highlight w:val="none"/>
              </w:rPr>
              <w:t>。</w:t>
            </w:r>
          </w:p>
          <w:p w14:paraId="58E4A081">
            <w:pPr>
              <w:pStyle w:val="3"/>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val="en-US" w:eastAsia="zh-CN"/>
              </w:rPr>
              <w:t>2.</w:t>
            </w:r>
            <w:r>
              <w:rPr>
                <w:rFonts w:hint="eastAsia" w:cs="Times New Roman"/>
                <w:color w:val="auto"/>
                <w:highlight w:val="none"/>
                <w:lang w:val="en-US" w:eastAsia="zh-CN"/>
              </w:rPr>
              <w:t>3</w:t>
            </w:r>
            <w:r>
              <w:rPr>
                <w:rFonts w:hint="default" w:ascii="Times New Roman" w:hAnsi="Times New Roman" w:cs="Times New Roman"/>
                <w:color w:val="auto"/>
                <w:highlight w:val="none"/>
                <w:lang w:eastAsia="zh-CN"/>
              </w:rPr>
              <w:t>、建设内容及建设规模</w:t>
            </w:r>
          </w:p>
          <w:p w14:paraId="46F6E411">
            <w:pPr>
              <w:pStyle w:val="31"/>
              <w:bidi w:val="0"/>
              <w:rPr>
                <w:rFonts w:hint="default" w:ascii="Times New Roman" w:hAnsi="Times New Roman" w:cs="Times New Roman"/>
                <w:color w:val="auto"/>
                <w:highlight w:val="none"/>
                <w:lang w:val="en-US" w:eastAsia="zh-CN"/>
              </w:rPr>
            </w:pPr>
            <w:bookmarkStart w:id="3" w:name="OLE_LINK93"/>
            <w:r>
              <w:rPr>
                <w:rFonts w:hint="default" w:ascii="Times New Roman" w:hAnsi="Times New Roman" w:cs="Times New Roman"/>
                <w:color w:val="auto"/>
                <w:highlight w:val="none"/>
              </w:rPr>
              <w:t>本项目租赁房屋性质为商业用房</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使用面积共</w:t>
            </w:r>
            <w:r>
              <w:rPr>
                <w:rFonts w:hint="eastAsia" w:cs="Times New Roman"/>
                <w:color w:val="auto"/>
                <w:highlight w:val="none"/>
                <w:lang w:val="en-US" w:eastAsia="zh-CN"/>
              </w:rPr>
              <w:t>162.75</w:t>
            </w:r>
            <w:r>
              <w:rPr>
                <w:rFonts w:hint="default" w:ascii="Times New Roman" w:hAnsi="Times New Roman" w:eastAsia="宋体" w:cs="Times New Roman"/>
                <w:color w:val="auto"/>
                <w:kern w:val="0"/>
                <w:sz w:val="24"/>
                <w:szCs w:val="24"/>
                <w:highlight w:val="none"/>
                <w:lang w:val="en-US" w:eastAsia="zh-CN" w:bidi="ar"/>
              </w:rPr>
              <w:t>m</w:t>
            </w:r>
            <w:r>
              <w:rPr>
                <w:rFonts w:hint="default" w:ascii="Times New Roman" w:hAnsi="Times New Roman" w:eastAsia="宋体" w:cs="Times New Roman"/>
                <w:color w:val="auto"/>
                <w:kern w:val="0"/>
                <w:sz w:val="24"/>
                <w:szCs w:val="24"/>
                <w:highlight w:val="none"/>
                <w:vertAlign w:val="superscript"/>
                <w:lang w:val="en-US" w:eastAsia="zh-CN" w:bidi="ar"/>
              </w:rPr>
              <w:t>2</w:t>
            </w:r>
            <w:r>
              <w:rPr>
                <w:rFonts w:hint="default" w:ascii="Times New Roman" w:hAnsi="Times New Roman" w:cs="Times New Roman"/>
                <w:color w:val="auto"/>
                <w:highlight w:val="none"/>
                <w:lang w:eastAsia="zh-CN"/>
              </w:rPr>
              <w:t>。</w:t>
            </w:r>
            <w:bookmarkEnd w:id="3"/>
          </w:p>
          <w:p w14:paraId="0C04B764">
            <w:pPr>
              <w:pStyle w:val="31"/>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接待动物对象为家养宠物猫、宠物狗，服务内容为宠物猫狗进行洗澡、美容、售卖宠物用品等；</w:t>
            </w:r>
            <w:r>
              <w:rPr>
                <w:rFonts w:hint="eastAsia" w:cs="Times New Roman"/>
                <w:color w:val="auto"/>
                <w:highlight w:val="none"/>
                <w:lang w:val="en-US" w:eastAsia="zh-CN"/>
              </w:rPr>
              <w:t>现</w:t>
            </w:r>
            <w:r>
              <w:rPr>
                <w:rFonts w:hint="default" w:ascii="Times New Roman" w:hAnsi="Times New Roman" w:cs="Times New Roman"/>
                <w:color w:val="auto"/>
                <w:highlight w:val="none"/>
              </w:rPr>
              <w:t>诊疗内容为宠物常见的基础疾病治疗（检测项目：犬瘟、细小病毒、冠状病毒、血常规、</w:t>
            </w:r>
            <w:r>
              <w:rPr>
                <w:rFonts w:hint="eastAsia" w:cs="Times New Roman"/>
                <w:color w:val="auto"/>
                <w:highlight w:val="none"/>
                <w:lang w:val="en-US" w:eastAsia="zh-CN"/>
              </w:rPr>
              <w:t>尿常规、</w:t>
            </w:r>
            <w:r>
              <w:rPr>
                <w:rFonts w:hint="default" w:ascii="Times New Roman" w:hAnsi="Times New Roman" w:cs="Times New Roman"/>
                <w:color w:val="auto"/>
                <w:highlight w:val="none"/>
              </w:rPr>
              <w:t>显微镜镜检，病毒检测均采用试纸检测，血样制成试剂片，均由仪器进行检测直接出结果</w:t>
            </w:r>
            <w:r>
              <w:rPr>
                <w:rFonts w:hint="eastAsia" w:cs="Times New Roman"/>
                <w:color w:val="auto"/>
                <w:highlight w:val="none"/>
                <w:lang w:eastAsia="zh-CN"/>
              </w:rPr>
              <w:t>。本医院不提供传染病类诊疗服务。</w:t>
            </w:r>
            <w:r>
              <w:rPr>
                <w:rFonts w:hint="default" w:ascii="Times New Roman" w:hAnsi="Times New Roman" w:cs="Times New Roman"/>
                <w:color w:val="auto"/>
                <w:highlight w:val="none"/>
              </w:rPr>
              <w:t>）手术内容为外伤手术、宠物绝育手术、胸腔或腹腔手术等，不进行复杂手术。预计门诊接待最大动物量</w:t>
            </w:r>
            <w:r>
              <w:rPr>
                <w:rFonts w:hint="eastAsia" w:cs="Times New Roman"/>
                <w:color w:val="auto"/>
                <w:highlight w:val="none"/>
                <w:lang w:val="en-US" w:eastAsia="zh-CN"/>
              </w:rPr>
              <w:t>10</w:t>
            </w:r>
            <w:r>
              <w:rPr>
                <w:rFonts w:hint="default" w:ascii="Times New Roman" w:hAnsi="Times New Roman" w:cs="Times New Roman"/>
                <w:color w:val="auto"/>
                <w:highlight w:val="none"/>
              </w:rPr>
              <w:t>只/天</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其中</w:t>
            </w:r>
            <w:r>
              <w:rPr>
                <w:rFonts w:hint="default" w:ascii="Times New Roman" w:hAnsi="Times New Roman" w:cs="Times New Roman"/>
                <w:color w:val="auto"/>
                <w:highlight w:val="none"/>
              </w:rPr>
              <w:t>美容</w:t>
            </w:r>
            <w:r>
              <w:rPr>
                <w:rFonts w:hint="eastAsia" w:cs="Times New Roman"/>
                <w:color w:val="auto"/>
                <w:highlight w:val="none"/>
                <w:lang w:val="en-US" w:eastAsia="zh-CN"/>
              </w:rPr>
              <w:t>2</w:t>
            </w:r>
            <w:r>
              <w:rPr>
                <w:rFonts w:hint="default" w:ascii="Times New Roman" w:hAnsi="Times New Roman" w:cs="Times New Roman"/>
                <w:color w:val="auto"/>
                <w:highlight w:val="none"/>
              </w:rPr>
              <w:t>只，门诊日最大接诊量为</w:t>
            </w:r>
            <w:r>
              <w:rPr>
                <w:rFonts w:hint="eastAsia" w:cs="Times New Roman"/>
                <w:color w:val="auto"/>
                <w:highlight w:val="none"/>
                <w:lang w:val="en-US" w:eastAsia="zh-CN"/>
              </w:rPr>
              <w:t>8</w:t>
            </w:r>
            <w:r>
              <w:rPr>
                <w:rFonts w:hint="default" w:ascii="Times New Roman" w:hAnsi="Times New Roman" w:cs="Times New Roman"/>
                <w:color w:val="auto"/>
                <w:highlight w:val="none"/>
              </w:rPr>
              <w:t>只（其中需要手术的</w:t>
            </w:r>
            <w:r>
              <w:rPr>
                <w:rFonts w:hint="eastAsia" w:cs="Times New Roman"/>
                <w:color w:val="auto"/>
                <w:highlight w:val="none"/>
                <w:lang w:val="en-US" w:eastAsia="zh-CN"/>
              </w:rPr>
              <w:t>1</w:t>
            </w:r>
            <w:r>
              <w:rPr>
                <w:rFonts w:hint="default" w:ascii="Times New Roman" w:hAnsi="Times New Roman" w:cs="Times New Roman"/>
                <w:color w:val="auto"/>
                <w:highlight w:val="none"/>
              </w:rPr>
              <w:t>只，其他</w:t>
            </w:r>
            <w:r>
              <w:rPr>
                <w:rFonts w:hint="eastAsia" w:cs="Times New Roman"/>
                <w:color w:val="auto"/>
                <w:highlight w:val="none"/>
                <w:lang w:val="en-US" w:eastAsia="zh-CN"/>
              </w:rPr>
              <w:t>7</w:t>
            </w:r>
            <w:r>
              <w:rPr>
                <w:rFonts w:hint="default" w:ascii="Times New Roman" w:hAnsi="Times New Roman" w:cs="Times New Roman"/>
                <w:color w:val="auto"/>
                <w:highlight w:val="none"/>
              </w:rPr>
              <w:t>只为打预防针等非手术诊治，不涉及传染病及人畜共生病治疗项目）</w:t>
            </w:r>
            <w:r>
              <w:rPr>
                <w:rFonts w:hint="default" w:ascii="Times New Roman" w:hAnsi="Times New Roman" w:cs="Times New Roman"/>
                <w:color w:val="auto"/>
                <w:highlight w:val="none"/>
                <w:lang w:eastAsia="zh-CN"/>
              </w:rPr>
              <w:t>。</w:t>
            </w:r>
          </w:p>
          <w:p w14:paraId="446A6392">
            <w:pPr>
              <w:pStyle w:val="31"/>
              <w:bidi w:val="0"/>
              <w:rPr>
                <w:rFonts w:hint="default" w:ascii="Times New Roman" w:hAnsi="Times New Roman" w:cs="Times New Roman"/>
                <w:b/>
                <w:bCs w:val="0"/>
                <w:color w:val="auto"/>
                <w:highlight w:val="none"/>
                <w:lang w:val="en-US" w:eastAsia="zh-CN"/>
              </w:rPr>
            </w:pPr>
            <w:r>
              <w:rPr>
                <w:rFonts w:hint="default" w:ascii="Times New Roman" w:hAnsi="Times New Roman" w:cs="Times New Roman"/>
                <w:b/>
                <w:bCs w:val="0"/>
                <w:color w:val="auto"/>
                <w:highlight w:val="none"/>
                <w:lang w:val="en-US" w:eastAsia="zh-CN"/>
              </w:rPr>
              <w:t>关于本项目的特别说明如下：</w:t>
            </w:r>
          </w:p>
          <w:p w14:paraId="07D0FA5D">
            <w:pPr>
              <w:pStyle w:val="31"/>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t>项目涉及的放射性污染项目，根据《中华人民共和国</w:t>
            </w:r>
            <w:r>
              <w:rPr>
                <w:rFonts w:hint="eastAsia" w:cs="Times New Roman"/>
                <w:color w:val="auto"/>
                <w:highlight w:val="none"/>
                <w:lang w:val="en-US" w:eastAsia="zh-CN"/>
              </w:rPr>
              <w:t>生态环境法典</w:t>
            </w:r>
            <w:r>
              <w:rPr>
                <w:rFonts w:hint="default" w:ascii="Times New Roman" w:hAnsi="Times New Roman" w:cs="Times New Roman"/>
                <w:color w:val="auto"/>
                <w:highlight w:val="none"/>
              </w:rPr>
              <w:t>》，应按相关环保要求另行办理相关手续，不在本次评价范围内。</w:t>
            </w:r>
          </w:p>
          <w:p w14:paraId="072483AA">
            <w:pPr>
              <w:pStyle w:val="31"/>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项目工程组成见表2-1。</w:t>
            </w:r>
          </w:p>
          <w:p w14:paraId="0F5E167B">
            <w:pPr>
              <w:pStyle w:val="29"/>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表2-1    项目工程组成一览表</w:t>
            </w:r>
          </w:p>
          <w:tbl>
            <w:tblPr>
              <w:tblStyle w:val="1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3"/>
              <w:gridCol w:w="726"/>
              <w:gridCol w:w="1264"/>
              <w:gridCol w:w="4709"/>
              <w:gridCol w:w="721"/>
            </w:tblGrid>
            <w:tr w14:paraId="17F64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4" w:type="pct"/>
                  <w:gridSpan w:val="2"/>
                  <w:tcBorders>
                    <w:bottom w:val="single" w:color="auto" w:sz="12" w:space="0"/>
                  </w:tcBorders>
                  <w:noWrap w:val="0"/>
                  <w:vAlign w:val="center"/>
                </w:tcPr>
                <w:p w14:paraId="487270B6">
                  <w:pPr>
                    <w:pStyle w:val="30"/>
                    <w:bidi w:val="0"/>
                    <w:rPr>
                      <w:rFonts w:hint="default"/>
                      <w:color w:val="auto"/>
                      <w:highlight w:val="none"/>
                      <w:lang w:eastAsia="zh-CN"/>
                    </w:rPr>
                  </w:pPr>
                  <w:r>
                    <w:rPr>
                      <w:rFonts w:hint="default"/>
                      <w:color w:val="auto"/>
                      <w:highlight w:val="none"/>
                      <w:lang w:eastAsia="zh-CN"/>
                    </w:rPr>
                    <w:t>建设内容</w:t>
                  </w:r>
                </w:p>
              </w:tc>
              <w:tc>
                <w:tcPr>
                  <w:tcW w:w="3671" w:type="pct"/>
                  <w:gridSpan w:val="2"/>
                  <w:tcBorders>
                    <w:bottom w:val="single" w:color="auto" w:sz="12" w:space="0"/>
                  </w:tcBorders>
                  <w:noWrap w:val="0"/>
                  <w:vAlign w:val="center"/>
                </w:tcPr>
                <w:p w14:paraId="6A6B0F1A">
                  <w:pPr>
                    <w:pStyle w:val="30"/>
                    <w:bidi w:val="0"/>
                    <w:rPr>
                      <w:rFonts w:hint="default"/>
                      <w:color w:val="auto"/>
                      <w:highlight w:val="none"/>
                      <w:lang w:eastAsia="zh-CN"/>
                    </w:rPr>
                  </w:pPr>
                  <w:r>
                    <w:rPr>
                      <w:rFonts w:hint="default"/>
                      <w:color w:val="auto"/>
                      <w:highlight w:val="none"/>
                      <w:lang w:eastAsia="zh-CN"/>
                    </w:rPr>
                    <w:t>建设规模</w:t>
                  </w:r>
                </w:p>
              </w:tc>
              <w:tc>
                <w:tcPr>
                  <w:tcW w:w="443" w:type="pct"/>
                  <w:tcBorders>
                    <w:bottom w:val="single" w:color="auto" w:sz="12" w:space="0"/>
                  </w:tcBorders>
                  <w:noWrap w:val="0"/>
                  <w:vAlign w:val="center"/>
                </w:tcPr>
                <w:p w14:paraId="6B4784C6">
                  <w:pPr>
                    <w:pStyle w:val="30"/>
                    <w:bidi w:val="0"/>
                    <w:rPr>
                      <w:rFonts w:hint="default"/>
                      <w:color w:val="auto"/>
                      <w:highlight w:val="none"/>
                      <w:lang w:eastAsia="zh-CN"/>
                    </w:rPr>
                  </w:pPr>
                  <w:r>
                    <w:rPr>
                      <w:rFonts w:hint="default"/>
                      <w:color w:val="auto"/>
                      <w:highlight w:val="none"/>
                      <w:lang w:eastAsia="zh-CN"/>
                    </w:rPr>
                    <w:t>备注</w:t>
                  </w:r>
                </w:p>
              </w:tc>
            </w:tr>
            <w:tr w14:paraId="2653E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4" w:type="pct"/>
                  <w:gridSpan w:val="2"/>
                  <w:tcBorders>
                    <w:top w:val="single" w:color="auto" w:sz="12" w:space="0"/>
                  </w:tcBorders>
                  <w:noWrap w:val="0"/>
                  <w:vAlign w:val="center"/>
                </w:tcPr>
                <w:p w14:paraId="3A3CFBEB">
                  <w:pPr>
                    <w:pStyle w:val="30"/>
                    <w:bidi w:val="0"/>
                    <w:rPr>
                      <w:rFonts w:hint="default"/>
                      <w:color w:val="auto"/>
                      <w:highlight w:val="none"/>
                      <w:lang w:val="en-US" w:eastAsia="zh-CN"/>
                    </w:rPr>
                  </w:pPr>
                  <w:r>
                    <w:rPr>
                      <w:rFonts w:hint="default"/>
                      <w:color w:val="auto"/>
                      <w:highlight w:val="none"/>
                      <w:lang w:val="en-US" w:eastAsia="zh-CN"/>
                    </w:rPr>
                    <w:t>主体工程</w:t>
                  </w:r>
                </w:p>
              </w:tc>
              <w:tc>
                <w:tcPr>
                  <w:tcW w:w="3671" w:type="pct"/>
                  <w:gridSpan w:val="2"/>
                  <w:tcBorders>
                    <w:top w:val="single" w:color="auto" w:sz="12" w:space="0"/>
                    <w:bottom w:val="single" w:color="auto" w:sz="4" w:space="0"/>
                  </w:tcBorders>
                  <w:noWrap w:val="0"/>
                  <w:vAlign w:val="center"/>
                </w:tcPr>
                <w:p w14:paraId="33CB9D2E">
                  <w:pPr>
                    <w:pStyle w:val="30"/>
                    <w:bidi w:val="0"/>
                    <w:rPr>
                      <w:rFonts w:hint="default"/>
                      <w:color w:val="auto"/>
                      <w:highlight w:val="none"/>
                      <w:lang w:val="en-US" w:eastAsia="zh-CN"/>
                    </w:rPr>
                  </w:pPr>
                  <w:bookmarkStart w:id="4" w:name="OLE_LINK110"/>
                  <w:r>
                    <w:rPr>
                      <w:rFonts w:hint="default"/>
                      <w:color w:val="auto"/>
                      <w:highlight w:val="none"/>
                      <w:lang w:val="en-US" w:eastAsia="zh-CN"/>
                    </w:rPr>
                    <w:t>项目设置猫住院部、犬住院部、美容室、诊室、药房、化验室、手术室、X光室、隔离室</w:t>
                  </w:r>
                  <w:r>
                    <w:rPr>
                      <w:rFonts w:hint="eastAsia"/>
                      <w:color w:val="auto"/>
                      <w:highlight w:val="none"/>
                      <w:lang w:val="en-US" w:eastAsia="zh-CN"/>
                    </w:rPr>
                    <w:t>等；</w:t>
                  </w:r>
                  <w:r>
                    <w:rPr>
                      <w:rFonts w:hint="default"/>
                      <w:color w:val="auto"/>
                      <w:highlight w:val="none"/>
                      <w:lang w:val="en-US" w:eastAsia="zh-CN"/>
                    </w:rPr>
                    <w:t>主要提供</w:t>
                  </w:r>
                  <w:r>
                    <w:rPr>
                      <w:rFonts w:hint="eastAsia"/>
                      <w:color w:val="auto"/>
                      <w:lang w:val="en-US" w:eastAsia="zh-CN"/>
                    </w:rPr>
                    <w:t>动物治疗（一般为胸腔、腹腔、颅腔手术）、</w:t>
                  </w:r>
                  <w:r>
                    <w:rPr>
                      <w:rFonts w:hint="default"/>
                      <w:color w:val="auto"/>
                      <w:highlight w:val="none"/>
                      <w:lang w:val="en-US" w:eastAsia="zh-CN"/>
                    </w:rPr>
                    <w:t>动物</w:t>
                  </w:r>
                  <w:r>
                    <w:rPr>
                      <w:rFonts w:hint="default" w:ascii="Times New Roman" w:hAnsi="Times New Roman" w:cs="Times New Roman"/>
                      <w:color w:val="auto"/>
                      <w:highlight w:val="none"/>
                    </w:rPr>
                    <w:t>基础疾病治疗</w:t>
                  </w:r>
                  <w:r>
                    <w:rPr>
                      <w:rFonts w:hint="default"/>
                      <w:color w:val="auto"/>
                      <w:highlight w:val="none"/>
                      <w:lang w:val="en-US" w:eastAsia="zh-CN"/>
                    </w:rPr>
                    <w:t>洗澡美容、宠物食品、用品和药品销售</w:t>
                  </w:r>
                  <w:bookmarkEnd w:id="4"/>
                  <w:r>
                    <w:rPr>
                      <w:rFonts w:hint="eastAsia"/>
                      <w:color w:val="auto"/>
                      <w:highlight w:val="none"/>
                      <w:lang w:val="en-US" w:eastAsia="zh-CN"/>
                    </w:rPr>
                    <w:t>。</w:t>
                  </w:r>
                </w:p>
              </w:tc>
              <w:tc>
                <w:tcPr>
                  <w:tcW w:w="443" w:type="pct"/>
                  <w:tcBorders>
                    <w:top w:val="single" w:color="auto" w:sz="12" w:space="0"/>
                  </w:tcBorders>
                  <w:noWrap w:val="0"/>
                  <w:vAlign w:val="center"/>
                </w:tcPr>
                <w:p w14:paraId="37320ECD">
                  <w:pPr>
                    <w:pStyle w:val="30"/>
                    <w:bidi w:val="0"/>
                    <w:rPr>
                      <w:rFonts w:hint="default"/>
                      <w:color w:val="auto"/>
                      <w:highlight w:val="none"/>
                      <w:lang w:val="en-US" w:eastAsia="zh-CN"/>
                    </w:rPr>
                  </w:pPr>
                  <w:r>
                    <w:rPr>
                      <w:rFonts w:hint="eastAsia"/>
                      <w:color w:val="auto"/>
                      <w:lang w:val="en-US" w:eastAsia="zh-CN"/>
                    </w:rPr>
                    <w:t>手术室新建</w:t>
                  </w:r>
                </w:p>
              </w:tc>
            </w:tr>
            <w:tr w14:paraId="6AC5D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8" w:type="pct"/>
                  <w:vMerge w:val="restart"/>
                  <w:tcBorders>
                    <w:top w:val="single" w:color="auto" w:sz="2" w:space="0"/>
                  </w:tcBorders>
                  <w:noWrap w:val="0"/>
                  <w:vAlign w:val="center"/>
                </w:tcPr>
                <w:p w14:paraId="108E0414">
                  <w:pPr>
                    <w:pStyle w:val="30"/>
                    <w:bidi w:val="0"/>
                    <w:rPr>
                      <w:rFonts w:hint="default"/>
                      <w:color w:val="auto"/>
                      <w:highlight w:val="none"/>
                      <w:lang w:val="en-US" w:eastAsia="zh-CN"/>
                    </w:rPr>
                  </w:pPr>
                  <w:r>
                    <w:rPr>
                      <w:rFonts w:hint="default"/>
                      <w:color w:val="auto"/>
                      <w:highlight w:val="none"/>
                      <w:lang w:val="en-US" w:eastAsia="zh-CN"/>
                    </w:rPr>
                    <w:t>公用工程</w:t>
                  </w:r>
                </w:p>
              </w:tc>
              <w:tc>
                <w:tcPr>
                  <w:tcW w:w="446" w:type="pct"/>
                  <w:tcBorders>
                    <w:top w:val="single" w:color="auto" w:sz="2" w:space="0"/>
                    <w:bottom w:val="single" w:color="auto" w:sz="2" w:space="0"/>
                  </w:tcBorders>
                  <w:noWrap w:val="0"/>
                  <w:vAlign w:val="center"/>
                </w:tcPr>
                <w:p w14:paraId="0D316E91">
                  <w:pPr>
                    <w:pStyle w:val="30"/>
                    <w:bidi w:val="0"/>
                    <w:rPr>
                      <w:rFonts w:hint="default"/>
                      <w:color w:val="auto"/>
                      <w:highlight w:val="none"/>
                      <w:lang w:val="en-US" w:eastAsia="zh-CN"/>
                    </w:rPr>
                  </w:pPr>
                  <w:r>
                    <w:rPr>
                      <w:rFonts w:hint="default"/>
                      <w:color w:val="auto"/>
                      <w:highlight w:val="none"/>
                      <w:lang w:val="en-US" w:eastAsia="zh-CN"/>
                    </w:rPr>
                    <w:t>供水</w:t>
                  </w:r>
                </w:p>
              </w:tc>
              <w:tc>
                <w:tcPr>
                  <w:tcW w:w="3671" w:type="pct"/>
                  <w:gridSpan w:val="2"/>
                  <w:tcBorders>
                    <w:top w:val="single" w:color="auto" w:sz="4" w:space="0"/>
                    <w:bottom w:val="single" w:color="auto" w:sz="4" w:space="0"/>
                  </w:tcBorders>
                  <w:noWrap w:val="0"/>
                  <w:vAlign w:val="center"/>
                </w:tcPr>
                <w:p w14:paraId="45023908">
                  <w:pPr>
                    <w:pStyle w:val="30"/>
                    <w:bidi w:val="0"/>
                    <w:rPr>
                      <w:rFonts w:hint="default"/>
                      <w:color w:val="auto"/>
                      <w:highlight w:val="none"/>
                      <w:lang w:val="en-US" w:eastAsia="zh-CN"/>
                    </w:rPr>
                  </w:pPr>
                  <w:r>
                    <w:rPr>
                      <w:rFonts w:hint="default"/>
                      <w:color w:val="auto"/>
                      <w:highlight w:val="none"/>
                      <w:lang w:val="en-US" w:eastAsia="zh-CN"/>
                    </w:rPr>
                    <w:t>由市政供水管网供应</w:t>
                  </w:r>
                </w:p>
              </w:tc>
              <w:tc>
                <w:tcPr>
                  <w:tcW w:w="443" w:type="pct"/>
                  <w:tcBorders>
                    <w:top w:val="single" w:color="auto" w:sz="4" w:space="0"/>
                    <w:bottom w:val="single" w:color="auto" w:sz="4" w:space="0"/>
                  </w:tcBorders>
                  <w:noWrap w:val="0"/>
                  <w:vAlign w:val="center"/>
                </w:tcPr>
                <w:p w14:paraId="221AA4AE">
                  <w:pPr>
                    <w:pStyle w:val="30"/>
                    <w:bidi w:val="0"/>
                    <w:rPr>
                      <w:rFonts w:hint="default"/>
                      <w:color w:val="auto"/>
                      <w:highlight w:val="none"/>
                      <w:lang w:eastAsia="zh-CN"/>
                    </w:rPr>
                  </w:pPr>
                  <w:r>
                    <w:rPr>
                      <w:rFonts w:hint="default"/>
                      <w:color w:val="auto"/>
                      <w:highlight w:val="none"/>
                      <w:lang w:eastAsia="zh-CN"/>
                    </w:rPr>
                    <w:t>/</w:t>
                  </w:r>
                </w:p>
              </w:tc>
            </w:tr>
            <w:tr w14:paraId="189AC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8" w:type="pct"/>
                  <w:vMerge w:val="continue"/>
                  <w:tcBorders>
                    <w:top w:val="single" w:color="auto" w:sz="2" w:space="0"/>
                  </w:tcBorders>
                  <w:noWrap w:val="0"/>
                  <w:vAlign w:val="center"/>
                </w:tcPr>
                <w:p w14:paraId="2ACE9EAD">
                  <w:pPr>
                    <w:pStyle w:val="30"/>
                    <w:bidi w:val="0"/>
                    <w:rPr>
                      <w:rFonts w:hint="default"/>
                      <w:color w:val="auto"/>
                      <w:highlight w:val="none"/>
                      <w:lang w:val="en-US" w:eastAsia="zh-CN"/>
                    </w:rPr>
                  </w:pPr>
                </w:p>
              </w:tc>
              <w:tc>
                <w:tcPr>
                  <w:tcW w:w="446" w:type="pct"/>
                  <w:tcBorders>
                    <w:top w:val="single" w:color="auto" w:sz="2" w:space="0"/>
                    <w:bottom w:val="single" w:color="auto" w:sz="2" w:space="0"/>
                  </w:tcBorders>
                  <w:noWrap w:val="0"/>
                  <w:vAlign w:val="center"/>
                </w:tcPr>
                <w:p w14:paraId="5F8C092F">
                  <w:pPr>
                    <w:pStyle w:val="30"/>
                    <w:bidi w:val="0"/>
                    <w:rPr>
                      <w:rFonts w:hint="default"/>
                      <w:color w:val="auto"/>
                      <w:highlight w:val="none"/>
                      <w:lang w:val="en-US" w:eastAsia="zh-CN"/>
                    </w:rPr>
                  </w:pPr>
                  <w:r>
                    <w:rPr>
                      <w:rFonts w:hint="default"/>
                      <w:color w:val="auto"/>
                      <w:highlight w:val="none"/>
                      <w:lang w:val="en-US" w:eastAsia="zh-CN"/>
                    </w:rPr>
                    <w:t>供电</w:t>
                  </w:r>
                </w:p>
              </w:tc>
              <w:tc>
                <w:tcPr>
                  <w:tcW w:w="3671" w:type="pct"/>
                  <w:gridSpan w:val="2"/>
                  <w:tcBorders>
                    <w:top w:val="single" w:color="auto" w:sz="4" w:space="0"/>
                    <w:bottom w:val="single" w:color="auto" w:sz="4" w:space="0"/>
                  </w:tcBorders>
                  <w:noWrap w:val="0"/>
                  <w:vAlign w:val="center"/>
                </w:tcPr>
                <w:p w14:paraId="359FA66D">
                  <w:pPr>
                    <w:pStyle w:val="30"/>
                    <w:bidi w:val="0"/>
                    <w:rPr>
                      <w:rFonts w:hint="default"/>
                      <w:color w:val="auto"/>
                      <w:highlight w:val="none"/>
                      <w:lang w:val="en-US" w:eastAsia="zh-CN"/>
                    </w:rPr>
                  </w:pPr>
                  <w:r>
                    <w:rPr>
                      <w:rFonts w:hint="default"/>
                      <w:color w:val="auto"/>
                      <w:highlight w:val="none"/>
                      <w:lang w:val="en-US" w:eastAsia="zh-CN"/>
                    </w:rPr>
                    <w:t>当地电网供给</w:t>
                  </w:r>
                </w:p>
              </w:tc>
              <w:tc>
                <w:tcPr>
                  <w:tcW w:w="443" w:type="pct"/>
                  <w:tcBorders>
                    <w:top w:val="single" w:color="auto" w:sz="4" w:space="0"/>
                    <w:bottom w:val="single" w:color="auto" w:sz="4" w:space="0"/>
                  </w:tcBorders>
                  <w:noWrap w:val="0"/>
                  <w:vAlign w:val="center"/>
                </w:tcPr>
                <w:p w14:paraId="436B2B70">
                  <w:pPr>
                    <w:pStyle w:val="30"/>
                    <w:bidi w:val="0"/>
                    <w:rPr>
                      <w:rFonts w:hint="default"/>
                      <w:color w:val="auto"/>
                      <w:highlight w:val="none"/>
                      <w:lang w:eastAsia="zh-CN"/>
                    </w:rPr>
                  </w:pPr>
                  <w:r>
                    <w:rPr>
                      <w:rFonts w:hint="default"/>
                      <w:color w:val="auto"/>
                      <w:highlight w:val="none"/>
                      <w:lang w:eastAsia="zh-CN"/>
                    </w:rPr>
                    <w:t>/</w:t>
                  </w:r>
                </w:p>
              </w:tc>
            </w:tr>
            <w:tr w14:paraId="7DD9E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8" w:type="pct"/>
                  <w:vMerge w:val="continue"/>
                  <w:tcBorders>
                    <w:top w:val="single" w:color="auto" w:sz="2" w:space="0"/>
                  </w:tcBorders>
                  <w:noWrap w:val="0"/>
                  <w:vAlign w:val="center"/>
                </w:tcPr>
                <w:p w14:paraId="2BB48355">
                  <w:pPr>
                    <w:pStyle w:val="30"/>
                    <w:bidi w:val="0"/>
                    <w:rPr>
                      <w:rFonts w:hint="default"/>
                      <w:color w:val="auto"/>
                      <w:highlight w:val="none"/>
                      <w:lang w:val="en-US" w:eastAsia="zh-CN"/>
                    </w:rPr>
                  </w:pPr>
                </w:p>
              </w:tc>
              <w:tc>
                <w:tcPr>
                  <w:tcW w:w="446" w:type="pct"/>
                  <w:tcBorders>
                    <w:top w:val="single" w:color="auto" w:sz="2" w:space="0"/>
                    <w:bottom w:val="single" w:color="auto" w:sz="2" w:space="0"/>
                  </w:tcBorders>
                  <w:noWrap w:val="0"/>
                  <w:vAlign w:val="center"/>
                </w:tcPr>
                <w:p w14:paraId="48598771">
                  <w:pPr>
                    <w:pStyle w:val="30"/>
                    <w:bidi w:val="0"/>
                    <w:rPr>
                      <w:rFonts w:hint="default"/>
                      <w:color w:val="auto"/>
                      <w:highlight w:val="none"/>
                      <w:lang w:val="en-US" w:eastAsia="zh-CN"/>
                    </w:rPr>
                  </w:pPr>
                  <w:r>
                    <w:rPr>
                      <w:rFonts w:hint="default"/>
                      <w:color w:val="auto"/>
                      <w:highlight w:val="none"/>
                      <w:lang w:val="en-US" w:eastAsia="zh-CN"/>
                    </w:rPr>
                    <w:t>供</w:t>
                  </w:r>
                  <w:r>
                    <w:rPr>
                      <w:rFonts w:hint="eastAsia"/>
                      <w:color w:val="auto"/>
                      <w:highlight w:val="none"/>
                      <w:lang w:val="en-US" w:eastAsia="zh-CN"/>
                    </w:rPr>
                    <w:t>暖</w:t>
                  </w:r>
                </w:p>
              </w:tc>
              <w:tc>
                <w:tcPr>
                  <w:tcW w:w="3671" w:type="pct"/>
                  <w:gridSpan w:val="2"/>
                  <w:tcBorders>
                    <w:top w:val="single" w:color="auto" w:sz="4" w:space="0"/>
                    <w:bottom w:val="single" w:color="auto" w:sz="4" w:space="0"/>
                  </w:tcBorders>
                  <w:noWrap w:val="0"/>
                  <w:vAlign w:val="center"/>
                </w:tcPr>
                <w:p w14:paraId="2280C5F7">
                  <w:pPr>
                    <w:pStyle w:val="30"/>
                    <w:bidi w:val="0"/>
                    <w:rPr>
                      <w:rFonts w:hint="default"/>
                      <w:color w:val="auto"/>
                      <w:highlight w:val="none"/>
                      <w:lang w:val="en-US" w:eastAsia="zh-CN"/>
                    </w:rPr>
                  </w:pPr>
                  <w:r>
                    <w:rPr>
                      <w:rFonts w:hint="eastAsia"/>
                      <w:color w:val="auto"/>
                      <w:highlight w:val="none"/>
                      <w:lang w:val="en-US" w:eastAsia="zh-CN"/>
                    </w:rPr>
                    <w:t>由</w:t>
                  </w:r>
                  <w:r>
                    <w:rPr>
                      <w:rFonts w:hint="default"/>
                      <w:color w:val="auto"/>
                      <w:highlight w:val="none"/>
                      <w:lang w:val="en-US" w:eastAsia="zh-CN"/>
                    </w:rPr>
                    <w:t>库尔勒市集中供暖供应</w:t>
                  </w:r>
                </w:p>
              </w:tc>
              <w:tc>
                <w:tcPr>
                  <w:tcW w:w="443" w:type="pct"/>
                  <w:tcBorders>
                    <w:top w:val="single" w:color="auto" w:sz="4" w:space="0"/>
                    <w:bottom w:val="single" w:color="auto" w:sz="4" w:space="0"/>
                  </w:tcBorders>
                  <w:noWrap w:val="0"/>
                  <w:vAlign w:val="center"/>
                </w:tcPr>
                <w:p w14:paraId="6374684D">
                  <w:pPr>
                    <w:pStyle w:val="30"/>
                    <w:bidi w:val="0"/>
                    <w:rPr>
                      <w:rFonts w:hint="default"/>
                      <w:color w:val="auto"/>
                      <w:highlight w:val="none"/>
                      <w:lang w:eastAsia="zh-CN"/>
                    </w:rPr>
                  </w:pPr>
                  <w:r>
                    <w:rPr>
                      <w:rFonts w:hint="default"/>
                      <w:color w:val="auto"/>
                      <w:highlight w:val="none"/>
                      <w:lang w:eastAsia="zh-CN"/>
                    </w:rPr>
                    <w:t>/</w:t>
                  </w:r>
                </w:p>
              </w:tc>
            </w:tr>
            <w:tr w14:paraId="03C8D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8" w:type="pct"/>
                  <w:vMerge w:val="continue"/>
                  <w:tcBorders>
                    <w:top w:val="single" w:color="auto" w:sz="2" w:space="0"/>
                  </w:tcBorders>
                  <w:noWrap w:val="0"/>
                  <w:vAlign w:val="center"/>
                </w:tcPr>
                <w:p w14:paraId="65B874C5">
                  <w:pPr>
                    <w:pStyle w:val="30"/>
                    <w:bidi w:val="0"/>
                    <w:rPr>
                      <w:rFonts w:hint="default"/>
                      <w:color w:val="auto"/>
                      <w:highlight w:val="none"/>
                      <w:lang w:val="en-US" w:eastAsia="zh-CN"/>
                    </w:rPr>
                  </w:pPr>
                  <w:bookmarkStart w:id="5" w:name="OLE_LINK16" w:colFirst="2" w:colLast="2"/>
                </w:p>
              </w:tc>
              <w:tc>
                <w:tcPr>
                  <w:tcW w:w="446" w:type="pct"/>
                  <w:tcBorders>
                    <w:top w:val="single" w:color="auto" w:sz="2" w:space="0"/>
                  </w:tcBorders>
                  <w:noWrap w:val="0"/>
                  <w:vAlign w:val="center"/>
                </w:tcPr>
                <w:p w14:paraId="46C8316E">
                  <w:pPr>
                    <w:pStyle w:val="30"/>
                    <w:bidi w:val="0"/>
                    <w:rPr>
                      <w:rFonts w:hint="default"/>
                      <w:color w:val="auto"/>
                      <w:highlight w:val="none"/>
                      <w:lang w:val="en-US" w:eastAsia="zh-CN"/>
                    </w:rPr>
                  </w:pPr>
                  <w:r>
                    <w:rPr>
                      <w:rFonts w:hint="default"/>
                      <w:color w:val="auto"/>
                      <w:highlight w:val="none"/>
                      <w:lang w:val="en-US" w:eastAsia="zh-CN"/>
                    </w:rPr>
                    <w:t>排水</w:t>
                  </w:r>
                </w:p>
              </w:tc>
              <w:tc>
                <w:tcPr>
                  <w:tcW w:w="3671" w:type="pct"/>
                  <w:gridSpan w:val="2"/>
                  <w:tcBorders>
                    <w:top w:val="single" w:color="auto" w:sz="4" w:space="0"/>
                    <w:bottom w:val="single" w:color="auto" w:sz="4" w:space="0"/>
                  </w:tcBorders>
                  <w:noWrap w:val="0"/>
                  <w:vAlign w:val="center"/>
                </w:tcPr>
                <w:p w14:paraId="1C1603CB">
                  <w:pPr>
                    <w:pStyle w:val="30"/>
                    <w:bidi w:val="0"/>
                    <w:rPr>
                      <w:rFonts w:hint="default"/>
                      <w:color w:val="auto"/>
                      <w:highlight w:val="none"/>
                      <w:lang w:val="en-US" w:eastAsia="zh-CN"/>
                    </w:rPr>
                  </w:pPr>
                  <w:r>
                    <w:rPr>
                      <w:rFonts w:hint="default"/>
                      <w:color w:val="auto"/>
                      <w:highlight w:val="none"/>
                      <w:lang w:val="en-US" w:eastAsia="zh-CN"/>
                    </w:rPr>
                    <w:t>医疗废水</w:t>
                  </w:r>
                  <w:r>
                    <w:rPr>
                      <w:rFonts w:hint="eastAsia"/>
                      <w:color w:val="auto"/>
                      <w:highlight w:val="none"/>
                      <w:lang w:val="en-US" w:eastAsia="zh-CN"/>
                    </w:rPr>
                    <w:t>、</w:t>
                  </w:r>
                  <w:r>
                    <w:rPr>
                      <w:rFonts w:hint="eastAsia" w:ascii="Times New Roman" w:hAnsi="Times New Roman" w:eastAsia="宋体" w:cs="Times New Roman"/>
                      <w:bCs/>
                      <w:snapToGrid w:val="0"/>
                      <w:color w:val="auto"/>
                      <w:spacing w:val="8"/>
                      <w:kern w:val="0"/>
                      <w:sz w:val="21"/>
                      <w:szCs w:val="72"/>
                      <w:highlight w:val="none"/>
                      <w:lang w:val="en-US" w:eastAsia="zh-CN"/>
                    </w:rPr>
                    <w:t>清洗消毒废水</w:t>
                  </w:r>
                  <w:r>
                    <w:rPr>
                      <w:rFonts w:hint="default"/>
                      <w:color w:val="auto"/>
                      <w:highlight w:val="none"/>
                      <w:lang w:val="en-US" w:eastAsia="zh-CN"/>
                    </w:rPr>
                    <w:t>经一体化污水处理设施</w:t>
                  </w:r>
                  <w:r>
                    <w:rPr>
                      <w:rFonts w:hint="eastAsia"/>
                      <w:color w:val="auto"/>
                      <w:lang w:val="en-US" w:eastAsia="zh-CN"/>
                    </w:rPr>
                    <w:t>（处理能力0.2m</w:t>
                  </w:r>
                  <w:r>
                    <w:rPr>
                      <w:rFonts w:hint="eastAsia"/>
                      <w:color w:val="auto"/>
                      <w:vertAlign w:val="superscript"/>
                      <w:lang w:val="en-US" w:eastAsia="zh-CN"/>
                    </w:rPr>
                    <w:t>3</w:t>
                  </w:r>
                  <w:r>
                    <w:rPr>
                      <w:rFonts w:hint="eastAsia"/>
                      <w:color w:val="auto"/>
                      <w:lang w:val="en-US" w:eastAsia="zh-CN"/>
                    </w:rPr>
                    <w:t>/d）</w:t>
                  </w:r>
                  <w:r>
                    <w:rPr>
                      <w:rFonts w:hint="default"/>
                      <w:color w:val="auto"/>
                      <w:highlight w:val="none"/>
                      <w:lang w:val="en-US" w:eastAsia="zh-CN"/>
                    </w:rPr>
                    <w:t>预处理后与生活污水、洗浴废水一同排入市政污水管网</w:t>
                  </w:r>
                </w:p>
              </w:tc>
              <w:tc>
                <w:tcPr>
                  <w:tcW w:w="443" w:type="pct"/>
                  <w:tcBorders>
                    <w:top w:val="single" w:color="auto" w:sz="4" w:space="0"/>
                    <w:bottom w:val="single" w:color="auto" w:sz="4" w:space="0"/>
                  </w:tcBorders>
                  <w:noWrap w:val="0"/>
                  <w:vAlign w:val="center"/>
                </w:tcPr>
                <w:p w14:paraId="70D2A5F8">
                  <w:pPr>
                    <w:pStyle w:val="30"/>
                    <w:bidi w:val="0"/>
                    <w:rPr>
                      <w:rFonts w:hint="default"/>
                      <w:color w:val="auto"/>
                      <w:highlight w:val="none"/>
                      <w:lang w:eastAsia="zh-CN"/>
                    </w:rPr>
                  </w:pPr>
                  <w:r>
                    <w:rPr>
                      <w:rFonts w:hint="default"/>
                      <w:color w:val="auto"/>
                      <w:highlight w:val="none"/>
                      <w:lang w:eastAsia="zh-CN"/>
                    </w:rPr>
                    <w:t>/</w:t>
                  </w:r>
                </w:p>
              </w:tc>
            </w:tr>
            <w:bookmarkEnd w:id="5"/>
            <w:tr w14:paraId="7CF02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8" w:type="pct"/>
                  <w:vMerge w:val="restart"/>
                  <w:tcBorders>
                    <w:top w:val="single" w:color="auto" w:sz="2" w:space="0"/>
                  </w:tcBorders>
                  <w:noWrap w:val="0"/>
                  <w:vAlign w:val="center"/>
                </w:tcPr>
                <w:p w14:paraId="112260F4">
                  <w:pPr>
                    <w:pStyle w:val="30"/>
                    <w:bidi w:val="0"/>
                    <w:rPr>
                      <w:rFonts w:hint="default"/>
                      <w:color w:val="auto"/>
                      <w:highlight w:val="none"/>
                      <w:lang w:val="en-US" w:eastAsia="zh-CN"/>
                    </w:rPr>
                  </w:pPr>
                  <w:r>
                    <w:rPr>
                      <w:rFonts w:hint="default"/>
                      <w:color w:val="auto"/>
                      <w:highlight w:val="none"/>
                      <w:lang w:val="en-US" w:eastAsia="zh-CN"/>
                    </w:rPr>
                    <w:t>环保工程</w:t>
                  </w:r>
                </w:p>
              </w:tc>
              <w:tc>
                <w:tcPr>
                  <w:tcW w:w="446" w:type="pct"/>
                  <w:vMerge w:val="restart"/>
                  <w:noWrap w:val="0"/>
                  <w:vAlign w:val="center"/>
                </w:tcPr>
                <w:p w14:paraId="422CD63A">
                  <w:pPr>
                    <w:pStyle w:val="30"/>
                    <w:bidi w:val="0"/>
                    <w:rPr>
                      <w:rFonts w:hint="default"/>
                      <w:color w:val="auto"/>
                      <w:highlight w:val="none"/>
                      <w:lang w:val="en-US" w:eastAsia="zh-CN"/>
                    </w:rPr>
                  </w:pPr>
                  <w:r>
                    <w:rPr>
                      <w:rFonts w:hint="default"/>
                      <w:color w:val="auto"/>
                      <w:highlight w:val="none"/>
                      <w:lang w:val="en-US" w:eastAsia="zh-CN"/>
                    </w:rPr>
                    <w:t>废气</w:t>
                  </w:r>
                </w:p>
              </w:tc>
              <w:tc>
                <w:tcPr>
                  <w:tcW w:w="777" w:type="pct"/>
                  <w:tcBorders>
                    <w:top w:val="single" w:color="auto" w:sz="4" w:space="0"/>
                    <w:bottom w:val="single" w:color="auto" w:sz="4" w:space="0"/>
                  </w:tcBorders>
                  <w:noWrap w:val="0"/>
                  <w:vAlign w:val="center"/>
                </w:tcPr>
                <w:p w14:paraId="2E7A2384">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color w:val="auto"/>
                      <w:highlight w:val="none"/>
                      <w:lang w:val="en-US" w:eastAsia="zh-CN"/>
                    </w:rPr>
                  </w:pPr>
                  <w:r>
                    <w:rPr>
                      <w:rFonts w:hint="default" w:ascii="Times New Roman" w:hAnsi="Times New Roman" w:eastAsia="宋体" w:cs="Times New Roman"/>
                      <w:b w:val="0"/>
                      <w:bCs w:val="0"/>
                      <w:color w:val="auto"/>
                      <w:kern w:val="2"/>
                      <w:sz w:val="21"/>
                      <w:szCs w:val="21"/>
                      <w:lang w:val="en-US" w:eastAsia="zh-CN" w:bidi="ar-SA"/>
                    </w:rPr>
                    <w:t>宠物本身散发或排泄物</w:t>
                  </w:r>
                  <w:r>
                    <w:rPr>
                      <w:rFonts w:hint="eastAsia" w:ascii="Times New Roman" w:hAnsi="Times New Roman" w:eastAsia="宋体" w:cs="Times New Roman"/>
                      <w:b w:val="0"/>
                      <w:bCs w:val="0"/>
                      <w:color w:val="auto"/>
                      <w:kern w:val="2"/>
                      <w:sz w:val="21"/>
                      <w:szCs w:val="21"/>
                      <w:lang w:val="en-US" w:eastAsia="zh-CN" w:bidi="ar-SA"/>
                    </w:rPr>
                    <w:t>异味</w:t>
                  </w:r>
                </w:p>
              </w:tc>
              <w:tc>
                <w:tcPr>
                  <w:tcW w:w="2893" w:type="pct"/>
                  <w:tcBorders>
                    <w:top w:val="single" w:color="auto" w:sz="4" w:space="0"/>
                    <w:bottom w:val="single" w:color="auto" w:sz="4" w:space="0"/>
                  </w:tcBorders>
                  <w:noWrap w:val="0"/>
                  <w:vAlign w:val="center"/>
                </w:tcPr>
                <w:p w14:paraId="5B546706">
                  <w:pPr>
                    <w:pStyle w:val="30"/>
                    <w:bidi w:val="0"/>
                    <w:rPr>
                      <w:rFonts w:hint="default"/>
                      <w:color w:val="auto"/>
                      <w:highlight w:val="none"/>
                      <w:lang w:val="en-US" w:eastAsia="zh-CN"/>
                    </w:rPr>
                  </w:pPr>
                  <w:r>
                    <w:rPr>
                      <w:rFonts w:hint="default"/>
                      <w:color w:val="auto"/>
                      <w:highlight w:val="none"/>
                      <w:lang w:val="en-US" w:eastAsia="zh-CN"/>
                    </w:rPr>
                    <w:t>动物粪便及时清理，消毒后装入密封袋，减少暴露时间，减少臭气产生；房间内采取紫外灯消毒、新风系统、喷洒生物除臭剂等措施。</w:t>
                  </w:r>
                </w:p>
              </w:tc>
              <w:tc>
                <w:tcPr>
                  <w:tcW w:w="443" w:type="pct"/>
                  <w:tcBorders>
                    <w:top w:val="single" w:color="auto" w:sz="4" w:space="0"/>
                    <w:bottom w:val="single" w:color="auto" w:sz="4" w:space="0"/>
                  </w:tcBorders>
                  <w:noWrap w:val="0"/>
                  <w:vAlign w:val="center"/>
                </w:tcPr>
                <w:p w14:paraId="599E9273">
                  <w:pPr>
                    <w:pStyle w:val="30"/>
                    <w:bidi w:val="0"/>
                    <w:rPr>
                      <w:rFonts w:hint="default"/>
                      <w:color w:val="auto"/>
                      <w:highlight w:val="none"/>
                      <w:lang w:val="en-US" w:eastAsia="zh-CN"/>
                    </w:rPr>
                  </w:pPr>
                  <w:r>
                    <w:rPr>
                      <w:rFonts w:hint="eastAsia"/>
                      <w:color w:val="auto"/>
                      <w:highlight w:val="none"/>
                      <w:lang w:val="en-US" w:eastAsia="zh-CN"/>
                    </w:rPr>
                    <w:t>已建</w:t>
                  </w:r>
                </w:p>
              </w:tc>
            </w:tr>
            <w:tr w14:paraId="2E9A3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8" w:type="pct"/>
                  <w:vMerge w:val="continue"/>
                  <w:noWrap w:val="0"/>
                  <w:vAlign w:val="center"/>
                </w:tcPr>
                <w:p w14:paraId="7C3B6966">
                  <w:pPr>
                    <w:pStyle w:val="30"/>
                    <w:bidi w:val="0"/>
                    <w:rPr>
                      <w:rFonts w:hint="default"/>
                      <w:color w:val="auto"/>
                      <w:highlight w:val="none"/>
                      <w:lang w:val="en-US" w:eastAsia="zh-CN"/>
                    </w:rPr>
                  </w:pPr>
                </w:p>
              </w:tc>
              <w:tc>
                <w:tcPr>
                  <w:tcW w:w="446" w:type="pct"/>
                  <w:vMerge w:val="continue"/>
                  <w:noWrap w:val="0"/>
                  <w:vAlign w:val="center"/>
                </w:tcPr>
                <w:p w14:paraId="0BC58FF0">
                  <w:pPr>
                    <w:pStyle w:val="30"/>
                    <w:bidi w:val="0"/>
                    <w:rPr>
                      <w:rFonts w:hint="default"/>
                      <w:color w:val="auto"/>
                      <w:highlight w:val="none"/>
                      <w:lang w:val="en-US" w:eastAsia="zh-CN"/>
                    </w:rPr>
                  </w:pPr>
                </w:p>
              </w:tc>
              <w:tc>
                <w:tcPr>
                  <w:tcW w:w="777" w:type="pct"/>
                  <w:tcBorders>
                    <w:top w:val="single" w:color="auto" w:sz="4" w:space="0"/>
                    <w:bottom w:val="single" w:color="auto" w:sz="4" w:space="0"/>
                  </w:tcBorders>
                  <w:noWrap w:val="0"/>
                  <w:vAlign w:val="center"/>
                </w:tcPr>
                <w:p w14:paraId="599C06A7">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Cs/>
                      <w:snapToGrid w:val="0"/>
                      <w:color w:val="auto"/>
                      <w:spacing w:val="8"/>
                      <w:kern w:val="0"/>
                      <w:sz w:val="21"/>
                      <w:szCs w:val="72"/>
                      <w:highlight w:val="none"/>
                      <w:lang w:val="en-US" w:eastAsia="zh-CN"/>
                    </w:rPr>
                  </w:pPr>
                  <w:r>
                    <w:rPr>
                      <w:rFonts w:hint="eastAsia" w:ascii="Times New Roman" w:hAnsi="Times New Roman" w:eastAsia="宋体" w:cs="Times New Roman"/>
                      <w:bCs/>
                      <w:snapToGrid w:val="0"/>
                      <w:color w:val="auto"/>
                      <w:spacing w:val="8"/>
                      <w:kern w:val="0"/>
                      <w:sz w:val="21"/>
                      <w:szCs w:val="72"/>
                      <w:highlight w:val="none"/>
                      <w:lang w:val="en-US" w:eastAsia="zh-CN"/>
                    </w:rPr>
                    <w:t>污水处理设施异味</w:t>
                  </w:r>
                </w:p>
              </w:tc>
              <w:tc>
                <w:tcPr>
                  <w:tcW w:w="2893" w:type="pct"/>
                  <w:tcBorders>
                    <w:top w:val="single" w:color="auto" w:sz="4" w:space="0"/>
                    <w:bottom w:val="single" w:color="auto" w:sz="4" w:space="0"/>
                  </w:tcBorders>
                  <w:noWrap w:val="0"/>
                  <w:vAlign w:val="center"/>
                </w:tcPr>
                <w:p w14:paraId="017531C8">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Cs/>
                      <w:snapToGrid w:val="0"/>
                      <w:color w:val="auto"/>
                      <w:spacing w:val="8"/>
                      <w:kern w:val="0"/>
                      <w:sz w:val="21"/>
                      <w:szCs w:val="72"/>
                      <w:highlight w:val="none"/>
                      <w:lang w:val="en-US" w:eastAsia="zh-CN"/>
                    </w:rPr>
                  </w:pPr>
                  <w:r>
                    <w:rPr>
                      <w:rFonts w:hint="default" w:ascii="Times New Roman" w:hAnsi="Times New Roman" w:eastAsia="宋体" w:cs="Times New Roman"/>
                      <w:bCs/>
                      <w:snapToGrid w:val="0"/>
                      <w:color w:val="auto"/>
                      <w:spacing w:val="8"/>
                      <w:kern w:val="0"/>
                      <w:sz w:val="21"/>
                      <w:szCs w:val="72"/>
                      <w:highlight w:val="none"/>
                      <w:lang w:val="en-US" w:eastAsia="zh-CN"/>
                    </w:rPr>
                    <w:t>密闭</w:t>
                  </w:r>
                  <w:r>
                    <w:rPr>
                      <w:rFonts w:hint="eastAsia" w:ascii="Times New Roman" w:hAnsi="Times New Roman" w:eastAsia="宋体" w:cs="Times New Roman"/>
                      <w:bCs/>
                      <w:snapToGrid w:val="0"/>
                      <w:color w:val="auto"/>
                      <w:spacing w:val="8"/>
                      <w:kern w:val="0"/>
                      <w:sz w:val="21"/>
                      <w:szCs w:val="72"/>
                      <w:highlight w:val="none"/>
                      <w:lang w:val="en-US" w:eastAsia="zh-CN"/>
                    </w:rPr>
                    <w:t>设备</w:t>
                  </w:r>
                  <w:r>
                    <w:rPr>
                      <w:rFonts w:hint="default" w:ascii="Times New Roman" w:hAnsi="Times New Roman" w:eastAsia="宋体" w:cs="Times New Roman"/>
                      <w:bCs/>
                      <w:snapToGrid w:val="0"/>
                      <w:color w:val="auto"/>
                      <w:spacing w:val="8"/>
                      <w:kern w:val="0"/>
                      <w:sz w:val="21"/>
                      <w:szCs w:val="72"/>
                      <w:highlight w:val="none"/>
                      <w:lang w:val="en-US" w:eastAsia="zh-CN"/>
                    </w:rPr>
                    <w:t>，规模较小，</w:t>
                  </w:r>
                  <w:r>
                    <w:rPr>
                      <w:rFonts w:hint="eastAsia" w:ascii="Times New Roman" w:hAnsi="Times New Roman" w:eastAsia="宋体" w:cs="Times New Roman"/>
                      <w:bCs/>
                      <w:snapToGrid w:val="0"/>
                      <w:color w:val="auto"/>
                      <w:spacing w:val="8"/>
                      <w:kern w:val="0"/>
                      <w:sz w:val="21"/>
                      <w:szCs w:val="72"/>
                      <w:highlight w:val="none"/>
                      <w:lang w:val="en-US" w:eastAsia="zh-CN"/>
                    </w:rPr>
                    <w:t>经</w:t>
                  </w:r>
                  <w:r>
                    <w:rPr>
                      <w:rFonts w:hint="default" w:ascii="Times New Roman" w:hAnsi="Times New Roman" w:eastAsia="宋体" w:cs="Times New Roman"/>
                      <w:bCs/>
                      <w:snapToGrid w:val="0"/>
                      <w:color w:val="auto"/>
                      <w:spacing w:val="8"/>
                      <w:kern w:val="0"/>
                      <w:sz w:val="21"/>
                      <w:szCs w:val="72"/>
                      <w:highlight w:val="none"/>
                      <w:lang w:val="en-US" w:eastAsia="zh-CN"/>
                    </w:rPr>
                    <w:t>加强通风和定期消毒处理</w:t>
                  </w:r>
                  <w:r>
                    <w:rPr>
                      <w:rFonts w:hint="eastAsia" w:ascii="Times New Roman" w:hAnsi="Times New Roman" w:eastAsia="宋体" w:cs="Times New Roman"/>
                      <w:bCs/>
                      <w:snapToGrid w:val="0"/>
                      <w:color w:val="auto"/>
                      <w:spacing w:val="8"/>
                      <w:kern w:val="0"/>
                      <w:sz w:val="21"/>
                      <w:szCs w:val="72"/>
                      <w:highlight w:val="none"/>
                      <w:lang w:val="en-US" w:eastAsia="zh-CN"/>
                    </w:rPr>
                    <w:t>。</w:t>
                  </w:r>
                </w:p>
              </w:tc>
              <w:tc>
                <w:tcPr>
                  <w:tcW w:w="443" w:type="pct"/>
                  <w:tcBorders>
                    <w:top w:val="single" w:color="auto" w:sz="4" w:space="0"/>
                    <w:bottom w:val="single" w:color="auto" w:sz="4" w:space="0"/>
                  </w:tcBorders>
                  <w:noWrap w:val="0"/>
                  <w:vAlign w:val="center"/>
                </w:tcPr>
                <w:p w14:paraId="6C0697A8">
                  <w:pPr>
                    <w:pStyle w:val="30"/>
                    <w:bidi w:val="0"/>
                    <w:rPr>
                      <w:rFonts w:hint="default" w:ascii="Times New Roman" w:hAnsi="Times New Roman" w:eastAsia="宋体" w:cs="Times New Roman"/>
                      <w:bCs/>
                      <w:snapToGrid w:val="0"/>
                      <w:color w:val="auto"/>
                      <w:spacing w:val="8"/>
                      <w:kern w:val="0"/>
                      <w:sz w:val="21"/>
                      <w:szCs w:val="72"/>
                      <w:highlight w:val="none"/>
                      <w:lang w:val="en-US" w:eastAsia="zh-CN"/>
                    </w:rPr>
                  </w:pPr>
                  <w:r>
                    <w:rPr>
                      <w:rFonts w:hint="eastAsia"/>
                      <w:color w:val="auto"/>
                      <w:highlight w:val="none"/>
                      <w:lang w:val="en-US" w:eastAsia="zh-CN"/>
                    </w:rPr>
                    <w:t>处理设施新建</w:t>
                  </w:r>
                </w:p>
              </w:tc>
            </w:tr>
            <w:tr w14:paraId="73A93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8" w:type="pct"/>
                  <w:vMerge w:val="continue"/>
                  <w:noWrap w:val="0"/>
                  <w:vAlign w:val="center"/>
                </w:tcPr>
                <w:p w14:paraId="3403505E">
                  <w:pPr>
                    <w:pStyle w:val="30"/>
                    <w:bidi w:val="0"/>
                    <w:rPr>
                      <w:rFonts w:hint="default"/>
                      <w:color w:val="auto"/>
                      <w:highlight w:val="none"/>
                      <w:lang w:val="en-US" w:eastAsia="zh-CN"/>
                    </w:rPr>
                  </w:pPr>
                </w:p>
              </w:tc>
              <w:tc>
                <w:tcPr>
                  <w:tcW w:w="446" w:type="pct"/>
                  <w:vMerge w:val="continue"/>
                  <w:noWrap w:val="0"/>
                  <w:vAlign w:val="center"/>
                </w:tcPr>
                <w:p w14:paraId="3561E4AB">
                  <w:pPr>
                    <w:pStyle w:val="30"/>
                    <w:bidi w:val="0"/>
                    <w:rPr>
                      <w:rFonts w:hint="default"/>
                      <w:color w:val="auto"/>
                      <w:highlight w:val="none"/>
                      <w:lang w:val="en-US" w:eastAsia="zh-CN"/>
                    </w:rPr>
                  </w:pPr>
                </w:p>
              </w:tc>
              <w:tc>
                <w:tcPr>
                  <w:tcW w:w="777" w:type="pct"/>
                  <w:tcBorders>
                    <w:top w:val="single" w:color="auto" w:sz="4" w:space="0"/>
                    <w:bottom w:val="single" w:color="auto" w:sz="4" w:space="0"/>
                  </w:tcBorders>
                  <w:noWrap w:val="0"/>
                  <w:vAlign w:val="center"/>
                </w:tcPr>
                <w:p w14:paraId="4EE932E4">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Cs/>
                      <w:snapToGrid w:val="0"/>
                      <w:color w:val="auto"/>
                      <w:spacing w:val="8"/>
                      <w:kern w:val="0"/>
                      <w:sz w:val="21"/>
                      <w:szCs w:val="72"/>
                      <w:highlight w:val="none"/>
                      <w:lang w:val="en-US" w:eastAsia="zh-CN"/>
                    </w:rPr>
                  </w:pPr>
                  <w:r>
                    <w:rPr>
                      <w:rFonts w:hint="default" w:ascii="Times New Roman" w:hAnsi="Times New Roman" w:eastAsia="宋体" w:cs="Times New Roman"/>
                      <w:bCs/>
                      <w:snapToGrid w:val="0"/>
                      <w:color w:val="auto"/>
                      <w:spacing w:val="8"/>
                      <w:kern w:val="0"/>
                      <w:sz w:val="21"/>
                      <w:szCs w:val="72"/>
                      <w:highlight w:val="none"/>
                      <w:lang w:val="en-US" w:eastAsia="zh-CN"/>
                    </w:rPr>
                    <w:t>医疗废物贮存间</w:t>
                  </w:r>
                  <w:r>
                    <w:rPr>
                      <w:rFonts w:hint="eastAsia" w:ascii="Times New Roman" w:hAnsi="Times New Roman" w:eastAsia="宋体" w:cs="Times New Roman"/>
                      <w:bCs/>
                      <w:snapToGrid w:val="0"/>
                      <w:color w:val="auto"/>
                      <w:spacing w:val="8"/>
                      <w:kern w:val="0"/>
                      <w:sz w:val="21"/>
                      <w:szCs w:val="72"/>
                      <w:highlight w:val="none"/>
                      <w:lang w:val="en-US" w:eastAsia="zh-CN"/>
                    </w:rPr>
                    <w:t>异味</w:t>
                  </w:r>
                </w:p>
              </w:tc>
              <w:tc>
                <w:tcPr>
                  <w:tcW w:w="2893" w:type="pct"/>
                  <w:tcBorders>
                    <w:top w:val="single" w:color="auto" w:sz="4" w:space="0"/>
                    <w:bottom w:val="single" w:color="auto" w:sz="4" w:space="0"/>
                  </w:tcBorders>
                  <w:noWrap w:val="0"/>
                  <w:vAlign w:val="center"/>
                </w:tcPr>
                <w:p w14:paraId="04049FBF">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Cs/>
                      <w:snapToGrid w:val="0"/>
                      <w:color w:val="auto"/>
                      <w:spacing w:val="8"/>
                      <w:kern w:val="0"/>
                      <w:sz w:val="21"/>
                      <w:szCs w:val="72"/>
                      <w:highlight w:val="none"/>
                      <w:lang w:val="en-US" w:eastAsia="zh-CN"/>
                    </w:rPr>
                  </w:pPr>
                  <w:r>
                    <w:rPr>
                      <w:rFonts w:hint="default" w:ascii="Times New Roman" w:hAnsi="Times New Roman" w:eastAsia="宋体" w:cs="Times New Roman"/>
                      <w:bCs/>
                      <w:snapToGrid w:val="0"/>
                      <w:color w:val="auto"/>
                      <w:spacing w:val="8"/>
                      <w:kern w:val="0"/>
                      <w:sz w:val="21"/>
                      <w:szCs w:val="72"/>
                      <w:highlight w:val="none"/>
                      <w:lang w:val="en-US" w:eastAsia="zh-CN"/>
                    </w:rPr>
                    <w:t>对医疗废物储存加盖密封，同时加强管理，做好消毒工作，及时清运，定期进行医疗废物贮存间存储设施、设备的清洁和消毒工作，确保医疗废物的暂存时间最多不超过2天</w:t>
                  </w:r>
                  <w:r>
                    <w:rPr>
                      <w:rFonts w:hint="eastAsia" w:ascii="Times New Roman" w:hAnsi="Times New Roman" w:eastAsia="宋体" w:cs="Times New Roman"/>
                      <w:bCs/>
                      <w:snapToGrid w:val="0"/>
                      <w:color w:val="auto"/>
                      <w:spacing w:val="8"/>
                      <w:kern w:val="0"/>
                      <w:sz w:val="21"/>
                      <w:szCs w:val="72"/>
                      <w:highlight w:val="none"/>
                      <w:lang w:val="en-US" w:eastAsia="zh-CN"/>
                    </w:rPr>
                    <w:t>。</w:t>
                  </w:r>
                </w:p>
              </w:tc>
              <w:tc>
                <w:tcPr>
                  <w:tcW w:w="443" w:type="pct"/>
                  <w:tcBorders>
                    <w:top w:val="single" w:color="auto" w:sz="4" w:space="0"/>
                    <w:bottom w:val="single" w:color="auto" w:sz="4" w:space="0"/>
                  </w:tcBorders>
                  <w:noWrap w:val="0"/>
                  <w:vAlign w:val="center"/>
                </w:tcPr>
                <w:p w14:paraId="632603BA">
                  <w:pPr>
                    <w:pStyle w:val="30"/>
                    <w:bidi w:val="0"/>
                    <w:rPr>
                      <w:rFonts w:hint="eastAsia" w:ascii="Times New Roman" w:hAnsi="Times New Roman" w:eastAsia="宋体" w:cs="Times New Roman"/>
                      <w:bCs/>
                      <w:snapToGrid w:val="0"/>
                      <w:color w:val="auto"/>
                      <w:spacing w:val="8"/>
                      <w:kern w:val="0"/>
                      <w:sz w:val="21"/>
                      <w:szCs w:val="72"/>
                      <w:highlight w:val="none"/>
                      <w:lang w:val="en-US" w:eastAsia="zh-CN"/>
                    </w:rPr>
                  </w:pPr>
                  <w:r>
                    <w:rPr>
                      <w:rFonts w:hint="default"/>
                      <w:color w:val="auto"/>
                      <w:highlight w:val="none"/>
                      <w:lang w:val="en-US" w:eastAsia="zh-CN"/>
                    </w:rPr>
                    <w:t>医疗废物贮存间</w:t>
                  </w:r>
                  <w:r>
                    <w:rPr>
                      <w:rFonts w:hint="eastAsia"/>
                      <w:color w:val="auto"/>
                      <w:lang w:val="en-US" w:eastAsia="zh-CN"/>
                    </w:rPr>
                    <w:t>新</w:t>
                  </w:r>
                  <w:r>
                    <w:rPr>
                      <w:rFonts w:hint="eastAsia"/>
                      <w:color w:val="auto"/>
                      <w:highlight w:val="none"/>
                      <w:lang w:val="en-US" w:eastAsia="zh-CN"/>
                    </w:rPr>
                    <w:t>建</w:t>
                  </w:r>
                </w:p>
              </w:tc>
            </w:tr>
            <w:tr w14:paraId="65339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8" w:type="pct"/>
                  <w:vMerge w:val="continue"/>
                  <w:noWrap w:val="0"/>
                  <w:vAlign w:val="center"/>
                </w:tcPr>
                <w:p w14:paraId="1983F456">
                  <w:pPr>
                    <w:pStyle w:val="30"/>
                    <w:bidi w:val="0"/>
                    <w:rPr>
                      <w:rFonts w:hint="default"/>
                      <w:color w:val="auto"/>
                      <w:highlight w:val="none"/>
                      <w:lang w:val="en-US" w:eastAsia="zh-CN"/>
                    </w:rPr>
                  </w:pPr>
                </w:p>
              </w:tc>
              <w:tc>
                <w:tcPr>
                  <w:tcW w:w="446" w:type="pct"/>
                  <w:noWrap w:val="0"/>
                  <w:vAlign w:val="center"/>
                </w:tcPr>
                <w:p w14:paraId="041C7873">
                  <w:pPr>
                    <w:pStyle w:val="30"/>
                    <w:bidi w:val="0"/>
                    <w:rPr>
                      <w:rFonts w:hint="default"/>
                      <w:color w:val="auto"/>
                      <w:highlight w:val="none"/>
                      <w:lang w:val="en-US" w:eastAsia="zh-CN"/>
                    </w:rPr>
                  </w:pPr>
                  <w:r>
                    <w:rPr>
                      <w:rFonts w:hint="default"/>
                      <w:color w:val="auto"/>
                      <w:highlight w:val="none"/>
                      <w:lang w:val="en-US" w:eastAsia="zh-CN"/>
                    </w:rPr>
                    <w:t>废水</w:t>
                  </w:r>
                </w:p>
              </w:tc>
              <w:tc>
                <w:tcPr>
                  <w:tcW w:w="3671" w:type="pct"/>
                  <w:gridSpan w:val="2"/>
                  <w:tcBorders>
                    <w:top w:val="single" w:color="auto" w:sz="4" w:space="0"/>
                    <w:bottom w:val="single" w:color="auto" w:sz="4" w:space="0"/>
                  </w:tcBorders>
                  <w:noWrap w:val="0"/>
                  <w:vAlign w:val="center"/>
                </w:tcPr>
                <w:p w14:paraId="3F5EE56E">
                  <w:pPr>
                    <w:pStyle w:val="30"/>
                    <w:bidi w:val="0"/>
                    <w:rPr>
                      <w:rFonts w:hint="default"/>
                      <w:color w:val="auto"/>
                      <w:highlight w:val="none"/>
                      <w:lang w:val="en-US" w:eastAsia="zh-CN"/>
                    </w:rPr>
                  </w:pPr>
                  <w:bookmarkStart w:id="6" w:name="OLE_LINK15"/>
                  <w:r>
                    <w:rPr>
                      <w:rFonts w:hint="default"/>
                      <w:color w:val="auto"/>
                      <w:highlight w:val="none"/>
                      <w:lang w:val="en-US" w:eastAsia="zh-CN"/>
                    </w:rPr>
                    <w:t>医疗废水</w:t>
                  </w:r>
                  <w:r>
                    <w:rPr>
                      <w:rFonts w:hint="eastAsia"/>
                      <w:color w:val="auto"/>
                      <w:highlight w:val="none"/>
                      <w:lang w:val="en-US" w:eastAsia="zh-CN"/>
                    </w:rPr>
                    <w:t>、</w:t>
                  </w:r>
                  <w:r>
                    <w:rPr>
                      <w:rFonts w:hint="eastAsia" w:cs="Times New Roman"/>
                      <w:color w:val="auto"/>
                      <w:sz w:val="21"/>
                      <w:szCs w:val="21"/>
                      <w:highlight w:val="none"/>
                      <w:lang w:val="en-US" w:eastAsia="zh-CN"/>
                    </w:rPr>
                    <w:t>清洗消毒废水经</w:t>
                  </w:r>
                  <w:r>
                    <w:rPr>
                      <w:rFonts w:hint="default"/>
                      <w:color w:val="auto"/>
                      <w:highlight w:val="none"/>
                      <w:lang w:val="en-US" w:eastAsia="zh-CN"/>
                    </w:rPr>
                    <w:t>一体化污水处理设施</w:t>
                  </w:r>
                  <w:r>
                    <w:rPr>
                      <w:rFonts w:hint="eastAsia"/>
                      <w:color w:val="auto"/>
                      <w:lang w:val="en-US" w:eastAsia="zh-CN"/>
                    </w:rPr>
                    <w:t>（处理能力0.2m</w:t>
                  </w:r>
                  <w:r>
                    <w:rPr>
                      <w:rFonts w:hint="eastAsia"/>
                      <w:color w:val="auto"/>
                      <w:vertAlign w:val="superscript"/>
                      <w:lang w:val="en-US" w:eastAsia="zh-CN"/>
                    </w:rPr>
                    <w:t>3</w:t>
                  </w:r>
                  <w:r>
                    <w:rPr>
                      <w:rFonts w:hint="eastAsia"/>
                      <w:color w:val="auto"/>
                      <w:lang w:val="en-US" w:eastAsia="zh-CN"/>
                    </w:rPr>
                    <w:t>/d）</w:t>
                  </w:r>
                  <w:r>
                    <w:rPr>
                      <w:rFonts w:hint="default"/>
                      <w:color w:val="auto"/>
                      <w:highlight w:val="none"/>
                      <w:lang w:val="en-US" w:eastAsia="zh-CN"/>
                    </w:rPr>
                    <w:t>预处理后与生活污水</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洗浴废水</w:t>
                  </w:r>
                  <w:r>
                    <w:rPr>
                      <w:rFonts w:hint="default"/>
                      <w:color w:val="auto"/>
                      <w:highlight w:val="none"/>
                      <w:lang w:val="en-US" w:eastAsia="zh-CN"/>
                    </w:rPr>
                    <w:t>一同排入市政污水管网</w:t>
                  </w:r>
                  <w:bookmarkEnd w:id="6"/>
                  <w:r>
                    <w:rPr>
                      <w:rFonts w:hint="default"/>
                      <w:color w:val="auto"/>
                      <w:highlight w:val="none"/>
                      <w:lang w:val="en-US" w:eastAsia="zh-CN"/>
                    </w:rPr>
                    <w:t>，本项目所有废水最终进入</w:t>
                  </w:r>
                  <w:r>
                    <w:rPr>
                      <w:rFonts w:hint="eastAsia"/>
                      <w:color w:val="auto"/>
                      <w:highlight w:val="none"/>
                      <w:lang w:val="en-US" w:eastAsia="zh-CN"/>
                    </w:rPr>
                    <w:t>库尔勒市南市区污水处理厂（库尔勒龙润水处理有限公司）</w:t>
                  </w:r>
                  <w:r>
                    <w:rPr>
                      <w:rFonts w:hint="default"/>
                      <w:color w:val="auto"/>
                      <w:highlight w:val="none"/>
                      <w:lang w:val="en-US" w:eastAsia="zh-CN"/>
                    </w:rPr>
                    <w:t>。</w:t>
                  </w:r>
                </w:p>
              </w:tc>
              <w:tc>
                <w:tcPr>
                  <w:tcW w:w="443" w:type="pct"/>
                  <w:tcBorders>
                    <w:top w:val="single" w:color="auto" w:sz="4" w:space="0"/>
                    <w:bottom w:val="single" w:color="auto" w:sz="4" w:space="0"/>
                  </w:tcBorders>
                  <w:noWrap w:val="0"/>
                  <w:vAlign w:val="center"/>
                </w:tcPr>
                <w:p w14:paraId="50DBBC88">
                  <w:pPr>
                    <w:pStyle w:val="30"/>
                    <w:bidi w:val="0"/>
                    <w:rPr>
                      <w:rFonts w:hint="default"/>
                      <w:color w:val="auto"/>
                      <w:highlight w:val="none"/>
                      <w:lang w:val="en-US" w:eastAsia="zh-CN"/>
                    </w:rPr>
                  </w:pPr>
                  <w:r>
                    <w:rPr>
                      <w:rFonts w:hint="eastAsia"/>
                      <w:color w:val="auto"/>
                      <w:lang w:val="en-US" w:eastAsia="zh-CN"/>
                    </w:rPr>
                    <w:t>新建</w:t>
                  </w:r>
                </w:p>
              </w:tc>
            </w:tr>
            <w:tr w14:paraId="7D1A6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8" w:type="pct"/>
                  <w:vMerge w:val="continue"/>
                  <w:noWrap w:val="0"/>
                  <w:vAlign w:val="center"/>
                </w:tcPr>
                <w:p w14:paraId="69493BF1">
                  <w:pPr>
                    <w:pStyle w:val="30"/>
                    <w:bidi w:val="0"/>
                    <w:rPr>
                      <w:rFonts w:hint="default"/>
                      <w:color w:val="auto"/>
                      <w:highlight w:val="none"/>
                      <w:lang w:val="en-US" w:eastAsia="zh-CN"/>
                    </w:rPr>
                  </w:pPr>
                </w:p>
              </w:tc>
              <w:tc>
                <w:tcPr>
                  <w:tcW w:w="446" w:type="pct"/>
                  <w:noWrap w:val="0"/>
                  <w:vAlign w:val="center"/>
                </w:tcPr>
                <w:p w14:paraId="6994DF51">
                  <w:pPr>
                    <w:pStyle w:val="30"/>
                    <w:bidi w:val="0"/>
                    <w:rPr>
                      <w:rFonts w:hint="default"/>
                      <w:color w:val="auto"/>
                      <w:highlight w:val="none"/>
                      <w:lang w:val="en-US" w:eastAsia="zh-CN"/>
                    </w:rPr>
                  </w:pPr>
                  <w:r>
                    <w:rPr>
                      <w:rFonts w:hint="default"/>
                      <w:color w:val="auto"/>
                      <w:highlight w:val="none"/>
                      <w:lang w:val="en-US" w:eastAsia="zh-CN"/>
                    </w:rPr>
                    <w:t>噪声</w:t>
                  </w:r>
                </w:p>
              </w:tc>
              <w:tc>
                <w:tcPr>
                  <w:tcW w:w="3671" w:type="pct"/>
                  <w:gridSpan w:val="2"/>
                  <w:tcBorders>
                    <w:top w:val="single" w:color="auto" w:sz="4" w:space="0"/>
                    <w:bottom w:val="single" w:color="auto" w:sz="4" w:space="0"/>
                  </w:tcBorders>
                  <w:noWrap w:val="0"/>
                  <w:vAlign w:val="center"/>
                </w:tcPr>
                <w:p w14:paraId="7431770F">
                  <w:pPr>
                    <w:pStyle w:val="30"/>
                    <w:bidi w:val="0"/>
                    <w:rPr>
                      <w:rFonts w:hint="default"/>
                      <w:color w:val="auto"/>
                      <w:highlight w:val="none"/>
                      <w:lang w:val="en-US" w:eastAsia="zh-CN"/>
                    </w:rPr>
                  </w:pPr>
                  <w:r>
                    <w:rPr>
                      <w:rFonts w:hint="default"/>
                      <w:color w:val="auto"/>
                      <w:highlight w:val="none"/>
                      <w:lang w:val="en-US" w:eastAsia="zh-CN"/>
                    </w:rPr>
                    <w:t>选用低噪声设备，设备安装基础减振设施，室内隔声等。</w:t>
                  </w:r>
                </w:p>
              </w:tc>
              <w:tc>
                <w:tcPr>
                  <w:tcW w:w="443" w:type="pct"/>
                  <w:tcBorders>
                    <w:top w:val="single" w:color="auto" w:sz="4" w:space="0"/>
                    <w:bottom w:val="single" w:color="auto" w:sz="4" w:space="0"/>
                  </w:tcBorders>
                  <w:noWrap w:val="0"/>
                  <w:vAlign w:val="center"/>
                </w:tcPr>
                <w:p w14:paraId="1CB56DDD">
                  <w:pPr>
                    <w:pStyle w:val="30"/>
                    <w:bidi w:val="0"/>
                    <w:rPr>
                      <w:rFonts w:hint="default"/>
                      <w:color w:val="auto"/>
                      <w:highlight w:val="none"/>
                      <w:lang w:val="en-US" w:eastAsia="zh-CN"/>
                    </w:rPr>
                  </w:pPr>
                  <w:r>
                    <w:rPr>
                      <w:rFonts w:hint="eastAsia"/>
                      <w:color w:val="auto"/>
                      <w:highlight w:val="none"/>
                      <w:lang w:val="en-US" w:eastAsia="zh-CN"/>
                    </w:rPr>
                    <w:t>已建</w:t>
                  </w:r>
                </w:p>
              </w:tc>
            </w:tr>
            <w:tr w14:paraId="4E9FB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8" w:type="pct"/>
                  <w:vMerge w:val="continue"/>
                  <w:noWrap w:val="0"/>
                  <w:vAlign w:val="center"/>
                </w:tcPr>
                <w:p w14:paraId="0D946230">
                  <w:pPr>
                    <w:pStyle w:val="30"/>
                    <w:bidi w:val="0"/>
                    <w:rPr>
                      <w:rFonts w:hint="default"/>
                      <w:color w:val="auto"/>
                      <w:highlight w:val="none"/>
                      <w:lang w:val="en-US" w:eastAsia="zh-CN"/>
                    </w:rPr>
                  </w:pPr>
                </w:p>
              </w:tc>
              <w:tc>
                <w:tcPr>
                  <w:tcW w:w="446" w:type="pct"/>
                  <w:noWrap w:val="0"/>
                  <w:vAlign w:val="center"/>
                </w:tcPr>
                <w:p w14:paraId="06082AD6">
                  <w:pPr>
                    <w:pStyle w:val="30"/>
                    <w:bidi w:val="0"/>
                    <w:rPr>
                      <w:rFonts w:hint="default"/>
                      <w:color w:val="auto"/>
                      <w:highlight w:val="none"/>
                      <w:lang w:val="en-US" w:eastAsia="zh-CN"/>
                    </w:rPr>
                  </w:pPr>
                  <w:r>
                    <w:rPr>
                      <w:rFonts w:hint="default"/>
                      <w:color w:val="auto"/>
                      <w:highlight w:val="none"/>
                      <w:lang w:val="en-US" w:eastAsia="zh-CN"/>
                    </w:rPr>
                    <w:t>环境风险</w:t>
                  </w:r>
                </w:p>
              </w:tc>
              <w:tc>
                <w:tcPr>
                  <w:tcW w:w="3671" w:type="pct"/>
                  <w:gridSpan w:val="2"/>
                  <w:tcBorders>
                    <w:top w:val="single" w:color="auto" w:sz="4" w:space="0"/>
                    <w:bottom w:val="single" w:color="auto" w:sz="4" w:space="0"/>
                  </w:tcBorders>
                  <w:noWrap w:val="0"/>
                  <w:vAlign w:val="center"/>
                </w:tcPr>
                <w:p w14:paraId="570CFAC2">
                  <w:pPr>
                    <w:pStyle w:val="30"/>
                    <w:bidi w:val="0"/>
                    <w:rPr>
                      <w:rFonts w:hint="default"/>
                      <w:color w:val="auto"/>
                      <w:highlight w:val="none"/>
                      <w:lang w:val="en-US" w:eastAsia="zh-CN"/>
                    </w:rPr>
                  </w:pPr>
                  <w:r>
                    <w:rPr>
                      <w:rFonts w:hint="default"/>
                      <w:color w:val="auto"/>
                      <w:highlight w:val="none"/>
                      <w:lang w:val="en-US" w:eastAsia="zh-CN"/>
                    </w:rPr>
                    <w:t>一旦一体化医疗废水处理设施出现故障时，切断一体化污水处理设备的出口阀门，未处理废水由空桶（容积为0.</w:t>
                  </w:r>
                  <w:r>
                    <w:rPr>
                      <w:rFonts w:hint="eastAsia"/>
                      <w:color w:val="auto"/>
                      <w:highlight w:val="none"/>
                      <w:lang w:val="en-US" w:eastAsia="zh-CN"/>
                    </w:rPr>
                    <w:t>2</w:t>
                  </w:r>
                  <w:r>
                    <w:rPr>
                      <w:rFonts w:hint="default"/>
                      <w:color w:val="auto"/>
                      <w:highlight w:val="none"/>
                      <w:lang w:val="en-US" w:eastAsia="zh-CN"/>
                    </w:rPr>
                    <w:t>m</w:t>
                  </w:r>
                  <w:r>
                    <w:rPr>
                      <w:rFonts w:hint="default"/>
                      <w:color w:val="auto"/>
                      <w:highlight w:val="none"/>
                      <w:vertAlign w:val="superscript"/>
                      <w:lang w:val="en-US" w:eastAsia="zh-CN"/>
                    </w:rPr>
                    <w:t>3</w:t>
                  </w:r>
                  <w:r>
                    <w:rPr>
                      <w:rFonts w:hint="default"/>
                      <w:color w:val="auto"/>
                      <w:highlight w:val="none"/>
                      <w:lang w:val="en-US" w:eastAsia="zh-CN"/>
                    </w:rPr>
                    <w:t>）收集后待设备恢复正常运行再由一体化医疗废水处理设施进行处理；做好医院内部消毒、杀虫、灭鼠工作，对于患病宠物和可疑患病宠物应加强管理。</w:t>
                  </w:r>
                </w:p>
              </w:tc>
              <w:tc>
                <w:tcPr>
                  <w:tcW w:w="443" w:type="pct"/>
                  <w:tcBorders>
                    <w:top w:val="single" w:color="auto" w:sz="4" w:space="0"/>
                    <w:bottom w:val="single" w:color="auto" w:sz="4" w:space="0"/>
                  </w:tcBorders>
                  <w:noWrap w:val="0"/>
                  <w:vAlign w:val="center"/>
                </w:tcPr>
                <w:p w14:paraId="3C7F2800">
                  <w:pPr>
                    <w:pStyle w:val="30"/>
                    <w:bidi w:val="0"/>
                    <w:rPr>
                      <w:rFonts w:hint="default"/>
                      <w:color w:val="auto"/>
                      <w:highlight w:val="none"/>
                      <w:lang w:val="en-US" w:eastAsia="zh-CN"/>
                    </w:rPr>
                  </w:pPr>
                  <w:r>
                    <w:rPr>
                      <w:rFonts w:hint="eastAsia"/>
                      <w:color w:val="auto"/>
                      <w:lang w:val="en-US" w:eastAsia="zh-CN"/>
                    </w:rPr>
                    <w:t>新建</w:t>
                  </w:r>
                </w:p>
              </w:tc>
            </w:tr>
            <w:tr w14:paraId="5F74D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8" w:type="pct"/>
                  <w:vMerge w:val="continue"/>
                  <w:noWrap w:val="0"/>
                  <w:vAlign w:val="center"/>
                </w:tcPr>
                <w:p w14:paraId="005270E7">
                  <w:pPr>
                    <w:pStyle w:val="30"/>
                    <w:bidi w:val="0"/>
                    <w:rPr>
                      <w:rFonts w:hint="default"/>
                      <w:color w:val="auto"/>
                      <w:highlight w:val="none"/>
                      <w:lang w:val="en-US" w:eastAsia="zh-CN"/>
                    </w:rPr>
                  </w:pPr>
                </w:p>
              </w:tc>
              <w:tc>
                <w:tcPr>
                  <w:tcW w:w="446" w:type="pct"/>
                  <w:vMerge w:val="restart"/>
                  <w:noWrap w:val="0"/>
                  <w:vAlign w:val="center"/>
                </w:tcPr>
                <w:p w14:paraId="123C78D4">
                  <w:pPr>
                    <w:pStyle w:val="30"/>
                    <w:bidi w:val="0"/>
                    <w:rPr>
                      <w:rFonts w:hint="default"/>
                      <w:color w:val="auto"/>
                      <w:highlight w:val="none"/>
                      <w:lang w:val="en-US" w:eastAsia="zh-CN"/>
                    </w:rPr>
                  </w:pPr>
                  <w:r>
                    <w:rPr>
                      <w:rFonts w:hint="default"/>
                      <w:color w:val="auto"/>
                      <w:highlight w:val="none"/>
                      <w:lang w:val="en-US" w:eastAsia="zh-CN"/>
                    </w:rPr>
                    <w:t>一般固废</w:t>
                  </w:r>
                </w:p>
              </w:tc>
              <w:tc>
                <w:tcPr>
                  <w:tcW w:w="777" w:type="pct"/>
                  <w:tcBorders>
                    <w:top w:val="single" w:color="auto" w:sz="4" w:space="0"/>
                    <w:bottom w:val="single" w:color="auto" w:sz="4" w:space="0"/>
                    <w:right w:val="single" w:color="auto" w:sz="2" w:space="0"/>
                  </w:tcBorders>
                  <w:noWrap w:val="0"/>
                  <w:vAlign w:val="center"/>
                </w:tcPr>
                <w:p w14:paraId="7A157728">
                  <w:pPr>
                    <w:pStyle w:val="30"/>
                    <w:bidi w:val="0"/>
                    <w:rPr>
                      <w:rFonts w:hint="default"/>
                      <w:color w:val="auto"/>
                      <w:highlight w:val="none"/>
                      <w:lang w:val="en-US" w:eastAsia="zh-CN"/>
                    </w:rPr>
                  </w:pPr>
                  <w:r>
                    <w:rPr>
                      <w:rFonts w:hint="default"/>
                      <w:color w:val="auto"/>
                      <w:highlight w:val="none"/>
                      <w:lang w:val="en-US" w:eastAsia="zh-CN"/>
                    </w:rPr>
                    <w:t>拆包过程产生的废包装物、输液瓶（袋）</w:t>
                  </w:r>
                </w:p>
              </w:tc>
              <w:tc>
                <w:tcPr>
                  <w:tcW w:w="2893" w:type="pct"/>
                  <w:tcBorders>
                    <w:top w:val="single" w:color="auto" w:sz="4" w:space="0"/>
                    <w:left w:val="single" w:color="auto" w:sz="2" w:space="0"/>
                    <w:bottom w:val="single" w:color="auto" w:sz="4" w:space="0"/>
                  </w:tcBorders>
                  <w:noWrap w:val="0"/>
                  <w:vAlign w:val="center"/>
                </w:tcPr>
                <w:p w14:paraId="29D72DF5">
                  <w:pPr>
                    <w:pStyle w:val="30"/>
                    <w:bidi w:val="0"/>
                    <w:rPr>
                      <w:rFonts w:hint="default"/>
                      <w:color w:val="auto"/>
                      <w:highlight w:val="none"/>
                      <w:lang w:val="en-US" w:eastAsia="zh-CN"/>
                    </w:rPr>
                  </w:pPr>
                  <w:r>
                    <w:rPr>
                      <w:rFonts w:hint="default"/>
                      <w:color w:val="auto"/>
                      <w:highlight w:val="none"/>
                      <w:lang w:val="en-US" w:eastAsia="zh-CN"/>
                    </w:rPr>
                    <w:t>收集暂存于储物间，交由再生资源回收单位处置。</w:t>
                  </w:r>
                </w:p>
              </w:tc>
              <w:tc>
                <w:tcPr>
                  <w:tcW w:w="443" w:type="pct"/>
                  <w:tcBorders>
                    <w:top w:val="single" w:color="auto" w:sz="4" w:space="0"/>
                    <w:bottom w:val="single" w:color="auto" w:sz="4" w:space="0"/>
                  </w:tcBorders>
                  <w:noWrap w:val="0"/>
                  <w:vAlign w:val="center"/>
                </w:tcPr>
                <w:p w14:paraId="58AC0978">
                  <w:pPr>
                    <w:pStyle w:val="30"/>
                    <w:bidi w:val="0"/>
                    <w:rPr>
                      <w:rFonts w:hint="default"/>
                      <w:color w:val="auto"/>
                      <w:highlight w:val="none"/>
                      <w:lang w:val="en-US" w:eastAsia="zh-CN"/>
                    </w:rPr>
                  </w:pPr>
                  <w:r>
                    <w:rPr>
                      <w:rFonts w:hint="default"/>
                      <w:color w:val="auto"/>
                      <w:highlight w:val="none"/>
                      <w:lang w:val="en-US" w:eastAsia="zh-CN"/>
                    </w:rPr>
                    <w:t>/</w:t>
                  </w:r>
                </w:p>
              </w:tc>
            </w:tr>
            <w:tr w14:paraId="3713C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8" w:type="pct"/>
                  <w:vMerge w:val="continue"/>
                  <w:noWrap w:val="0"/>
                  <w:vAlign w:val="center"/>
                </w:tcPr>
                <w:p w14:paraId="1A6DAC8D">
                  <w:pPr>
                    <w:pStyle w:val="30"/>
                    <w:bidi w:val="0"/>
                    <w:rPr>
                      <w:rFonts w:hint="default"/>
                      <w:color w:val="auto"/>
                      <w:highlight w:val="none"/>
                      <w:lang w:val="en-US" w:eastAsia="zh-CN"/>
                    </w:rPr>
                  </w:pPr>
                </w:p>
              </w:tc>
              <w:tc>
                <w:tcPr>
                  <w:tcW w:w="446" w:type="pct"/>
                  <w:vMerge w:val="continue"/>
                  <w:noWrap w:val="0"/>
                  <w:vAlign w:val="center"/>
                </w:tcPr>
                <w:p w14:paraId="48B0FF18">
                  <w:pPr>
                    <w:pStyle w:val="30"/>
                    <w:bidi w:val="0"/>
                    <w:rPr>
                      <w:rFonts w:hint="default"/>
                      <w:color w:val="auto"/>
                      <w:highlight w:val="none"/>
                      <w:lang w:val="en-US" w:eastAsia="zh-CN"/>
                    </w:rPr>
                  </w:pPr>
                </w:p>
              </w:tc>
              <w:tc>
                <w:tcPr>
                  <w:tcW w:w="777" w:type="pct"/>
                  <w:tcBorders>
                    <w:top w:val="single" w:color="auto" w:sz="4" w:space="0"/>
                    <w:bottom w:val="single" w:color="auto" w:sz="4" w:space="0"/>
                    <w:right w:val="single" w:color="auto" w:sz="2" w:space="0"/>
                  </w:tcBorders>
                  <w:noWrap w:val="0"/>
                  <w:vAlign w:val="center"/>
                </w:tcPr>
                <w:p w14:paraId="0D34E046">
                  <w:pPr>
                    <w:pStyle w:val="30"/>
                    <w:bidi w:val="0"/>
                    <w:rPr>
                      <w:rFonts w:hint="default"/>
                      <w:color w:val="auto"/>
                      <w:highlight w:val="none"/>
                      <w:lang w:val="en-US" w:eastAsia="zh-CN"/>
                    </w:rPr>
                  </w:pPr>
                  <w:r>
                    <w:rPr>
                      <w:rFonts w:hint="default"/>
                      <w:color w:val="auto"/>
                      <w:highlight w:val="none"/>
                      <w:lang w:val="en-US" w:eastAsia="zh-CN"/>
                    </w:rPr>
                    <w:t>宠物毛发</w:t>
                  </w:r>
                </w:p>
              </w:tc>
              <w:tc>
                <w:tcPr>
                  <w:tcW w:w="2893" w:type="pct"/>
                  <w:tcBorders>
                    <w:top w:val="single" w:color="auto" w:sz="4" w:space="0"/>
                    <w:left w:val="single" w:color="auto" w:sz="2" w:space="0"/>
                    <w:bottom w:val="single" w:color="auto" w:sz="4" w:space="0"/>
                  </w:tcBorders>
                  <w:noWrap w:val="0"/>
                  <w:vAlign w:val="center"/>
                </w:tcPr>
                <w:p w14:paraId="4D90B674">
                  <w:pPr>
                    <w:pStyle w:val="30"/>
                    <w:bidi w:val="0"/>
                    <w:rPr>
                      <w:rFonts w:hint="default"/>
                      <w:color w:val="auto"/>
                      <w:highlight w:val="none"/>
                      <w:lang w:val="en-US" w:eastAsia="zh-CN"/>
                    </w:rPr>
                  </w:pPr>
                  <w:r>
                    <w:rPr>
                      <w:rFonts w:hint="default"/>
                      <w:color w:val="auto"/>
                      <w:highlight w:val="none"/>
                      <w:lang w:val="en-US" w:eastAsia="zh-CN"/>
                    </w:rPr>
                    <w:t>交由环卫部门处置。</w:t>
                  </w:r>
                </w:p>
              </w:tc>
              <w:tc>
                <w:tcPr>
                  <w:tcW w:w="443" w:type="pct"/>
                  <w:tcBorders>
                    <w:top w:val="single" w:color="auto" w:sz="4" w:space="0"/>
                    <w:bottom w:val="single" w:color="auto" w:sz="4" w:space="0"/>
                  </w:tcBorders>
                  <w:noWrap w:val="0"/>
                  <w:vAlign w:val="center"/>
                </w:tcPr>
                <w:p w14:paraId="42BD225D">
                  <w:pPr>
                    <w:pStyle w:val="30"/>
                    <w:bidi w:val="0"/>
                    <w:rPr>
                      <w:rFonts w:hint="default"/>
                      <w:color w:val="auto"/>
                      <w:highlight w:val="none"/>
                      <w:lang w:val="en-US" w:eastAsia="zh-CN"/>
                    </w:rPr>
                  </w:pPr>
                  <w:r>
                    <w:rPr>
                      <w:rFonts w:hint="default"/>
                      <w:color w:val="auto"/>
                      <w:highlight w:val="none"/>
                      <w:lang w:val="en-US" w:eastAsia="zh-CN"/>
                    </w:rPr>
                    <w:t>/</w:t>
                  </w:r>
                </w:p>
              </w:tc>
            </w:tr>
            <w:tr w14:paraId="77652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8" w:type="pct"/>
                  <w:vMerge w:val="continue"/>
                  <w:noWrap w:val="0"/>
                  <w:vAlign w:val="center"/>
                </w:tcPr>
                <w:p w14:paraId="44983AF6">
                  <w:pPr>
                    <w:pStyle w:val="30"/>
                    <w:bidi w:val="0"/>
                    <w:rPr>
                      <w:rFonts w:hint="default"/>
                      <w:color w:val="auto"/>
                      <w:highlight w:val="none"/>
                      <w:lang w:eastAsia="zh-CN"/>
                    </w:rPr>
                  </w:pPr>
                </w:p>
              </w:tc>
              <w:tc>
                <w:tcPr>
                  <w:tcW w:w="446" w:type="pct"/>
                  <w:vMerge w:val="continue"/>
                  <w:noWrap w:val="0"/>
                  <w:vAlign w:val="center"/>
                </w:tcPr>
                <w:p w14:paraId="65803C44">
                  <w:pPr>
                    <w:pStyle w:val="30"/>
                    <w:bidi w:val="0"/>
                    <w:rPr>
                      <w:rFonts w:hint="default"/>
                      <w:color w:val="auto"/>
                      <w:highlight w:val="none"/>
                      <w:lang w:eastAsia="zh-CN"/>
                    </w:rPr>
                  </w:pPr>
                </w:p>
              </w:tc>
              <w:tc>
                <w:tcPr>
                  <w:tcW w:w="777" w:type="pct"/>
                  <w:tcBorders>
                    <w:top w:val="single" w:color="auto" w:sz="4" w:space="0"/>
                    <w:bottom w:val="single" w:color="auto" w:sz="4" w:space="0"/>
                    <w:right w:val="single" w:color="auto" w:sz="2" w:space="0"/>
                  </w:tcBorders>
                  <w:noWrap w:val="0"/>
                  <w:vAlign w:val="center"/>
                </w:tcPr>
                <w:p w14:paraId="2213BCB1">
                  <w:pPr>
                    <w:pStyle w:val="30"/>
                    <w:bidi w:val="0"/>
                    <w:rPr>
                      <w:rFonts w:hint="default"/>
                      <w:color w:val="auto"/>
                      <w:highlight w:val="none"/>
                      <w:lang w:val="en-US" w:eastAsia="zh-CN"/>
                    </w:rPr>
                  </w:pPr>
                  <w:r>
                    <w:rPr>
                      <w:rFonts w:hint="eastAsia"/>
                      <w:color w:val="auto"/>
                      <w:highlight w:val="none"/>
                      <w:lang w:val="en-US" w:eastAsia="zh-CN"/>
                    </w:rPr>
                    <w:t>健康</w:t>
                  </w:r>
                  <w:r>
                    <w:rPr>
                      <w:rFonts w:hint="default"/>
                      <w:color w:val="auto"/>
                      <w:highlight w:val="none"/>
                      <w:lang w:val="en-US" w:eastAsia="zh-CN"/>
                    </w:rPr>
                    <w:t>宠物粪便及猫砂</w:t>
                  </w:r>
                </w:p>
              </w:tc>
              <w:tc>
                <w:tcPr>
                  <w:tcW w:w="2893" w:type="pct"/>
                  <w:tcBorders>
                    <w:top w:val="single" w:color="auto" w:sz="4" w:space="0"/>
                    <w:left w:val="single" w:color="auto" w:sz="2" w:space="0"/>
                    <w:bottom w:val="single" w:color="auto" w:sz="4" w:space="0"/>
                  </w:tcBorders>
                  <w:noWrap w:val="0"/>
                  <w:vAlign w:val="center"/>
                </w:tcPr>
                <w:p w14:paraId="5BF3A864">
                  <w:pPr>
                    <w:pStyle w:val="30"/>
                    <w:bidi w:val="0"/>
                    <w:rPr>
                      <w:rFonts w:hint="default"/>
                      <w:color w:val="auto"/>
                      <w:highlight w:val="none"/>
                      <w:lang w:eastAsia="zh-CN"/>
                    </w:rPr>
                  </w:pPr>
                  <w:r>
                    <w:rPr>
                      <w:rFonts w:hint="default"/>
                      <w:color w:val="auto"/>
                      <w:highlight w:val="none"/>
                      <w:lang w:val="en-US" w:eastAsia="zh-CN"/>
                    </w:rPr>
                    <w:t>采用专用包装袋收集后统一由环卫部门处置</w:t>
                  </w:r>
                </w:p>
              </w:tc>
              <w:tc>
                <w:tcPr>
                  <w:tcW w:w="443" w:type="pct"/>
                  <w:tcBorders>
                    <w:top w:val="single" w:color="auto" w:sz="4" w:space="0"/>
                    <w:bottom w:val="single" w:color="auto" w:sz="4" w:space="0"/>
                  </w:tcBorders>
                  <w:noWrap w:val="0"/>
                  <w:vAlign w:val="center"/>
                </w:tcPr>
                <w:p w14:paraId="2404C23C">
                  <w:pPr>
                    <w:pStyle w:val="30"/>
                    <w:bidi w:val="0"/>
                    <w:rPr>
                      <w:rFonts w:hint="default"/>
                      <w:color w:val="auto"/>
                      <w:highlight w:val="none"/>
                      <w:lang w:val="en-US" w:eastAsia="zh-CN"/>
                    </w:rPr>
                  </w:pPr>
                  <w:r>
                    <w:rPr>
                      <w:rFonts w:hint="default"/>
                      <w:color w:val="auto"/>
                      <w:highlight w:val="none"/>
                      <w:lang w:val="en-US" w:eastAsia="zh-CN"/>
                    </w:rPr>
                    <w:t>/</w:t>
                  </w:r>
                </w:p>
              </w:tc>
            </w:tr>
            <w:tr w14:paraId="1C827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8" w:type="pct"/>
                  <w:vMerge w:val="continue"/>
                  <w:noWrap w:val="0"/>
                  <w:vAlign w:val="center"/>
                </w:tcPr>
                <w:p w14:paraId="1C91B754">
                  <w:pPr>
                    <w:pStyle w:val="30"/>
                    <w:bidi w:val="0"/>
                    <w:rPr>
                      <w:rFonts w:hint="default"/>
                      <w:color w:val="auto"/>
                      <w:highlight w:val="none"/>
                      <w:lang w:eastAsia="zh-CN"/>
                    </w:rPr>
                  </w:pPr>
                </w:p>
              </w:tc>
              <w:tc>
                <w:tcPr>
                  <w:tcW w:w="446" w:type="pct"/>
                  <w:vMerge w:val="continue"/>
                  <w:noWrap w:val="0"/>
                  <w:vAlign w:val="center"/>
                </w:tcPr>
                <w:p w14:paraId="6F6126F6">
                  <w:pPr>
                    <w:pStyle w:val="30"/>
                    <w:bidi w:val="0"/>
                    <w:rPr>
                      <w:rFonts w:hint="default"/>
                      <w:color w:val="auto"/>
                      <w:highlight w:val="none"/>
                      <w:lang w:eastAsia="zh-CN"/>
                    </w:rPr>
                  </w:pPr>
                </w:p>
              </w:tc>
              <w:tc>
                <w:tcPr>
                  <w:tcW w:w="777" w:type="pct"/>
                  <w:tcBorders>
                    <w:top w:val="single" w:color="auto" w:sz="4" w:space="0"/>
                    <w:bottom w:val="single" w:color="auto" w:sz="4" w:space="0"/>
                    <w:right w:val="single" w:color="auto" w:sz="2" w:space="0"/>
                  </w:tcBorders>
                  <w:noWrap w:val="0"/>
                  <w:vAlign w:val="center"/>
                </w:tcPr>
                <w:p w14:paraId="06A188D2">
                  <w:pPr>
                    <w:pStyle w:val="30"/>
                    <w:bidi w:val="0"/>
                    <w:rPr>
                      <w:rFonts w:hint="default"/>
                      <w:color w:val="auto"/>
                      <w:highlight w:val="none"/>
                      <w:lang w:val="en-US" w:eastAsia="zh-CN"/>
                    </w:rPr>
                  </w:pPr>
                  <w:r>
                    <w:rPr>
                      <w:rFonts w:hint="default"/>
                      <w:color w:val="auto"/>
                      <w:highlight w:val="none"/>
                      <w:lang w:val="en-US" w:eastAsia="zh-CN"/>
                    </w:rPr>
                    <w:t>生活垃圾</w:t>
                  </w:r>
                </w:p>
              </w:tc>
              <w:tc>
                <w:tcPr>
                  <w:tcW w:w="2893" w:type="pct"/>
                  <w:tcBorders>
                    <w:top w:val="single" w:color="auto" w:sz="4" w:space="0"/>
                    <w:left w:val="single" w:color="auto" w:sz="2" w:space="0"/>
                    <w:bottom w:val="single" w:color="auto" w:sz="4" w:space="0"/>
                  </w:tcBorders>
                  <w:noWrap w:val="0"/>
                  <w:vAlign w:val="center"/>
                </w:tcPr>
                <w:p w14:paraId="4EFC681E">
                  <w:pPr>
                    <w:pStyle w:val="30"/>
                    <w:bidi w:val="0"/>
                    <w:rPr>
                      <w:rFonts w:hint="default"/>
                      <w:color w:val="auto"/>
                      <w:highlight w:val="none"/>
                      <w:lang w:eastAsia="zh-CN"/>
                    </w:rPr>
                  </w:pPr>
                  <w:r>
                    <w:rPr>
                      <w:rFonts w:hint="default"/>
                      <w:color w:val="auto"/>
                      <w:highlight w:val="none"/>
                      <w:lang w:val="en-US" w:eastAsia="zh-CN"/>
                    </w:rPr>
                    <w:t>集中收集至垃圾桶后，由环卫部门统一收运处置。</w:t>
                  </w:r>
                </w:p>
              </w:tc>
              <w:tc>
                <w:tcPr>
                  <w:tcW w:w="443" w:type="pct"/>
                  <w:tcBorders>
                    <w:top w:val="single" w:color="auto" w:sz="4" w:space="0"/>
                    <w:bottom w:val="single" w:color="auto" w:sz="4" w:space="0"/>
                  </w:tcBorders>
                  <w:noWrap w:val="0"/>
                  <w:vAlign w:val="center"/>
                </w:tcPr>
                <w:p w14:paraId="3BD28D02">
                  <w:pPr>
                    <w:pStyle w:val="30"/>
                    <w:bidi w:val="0"/>
                    <w:rPr>
                      <w:rFonts w:hint="default"/>
                      <w:color w:val="auto"/>
                      <w:highlight w:val="none"/>
                      <w:lang w:val="en-US" w:eastAsia="zh-CN"/>
                    </w:rPr>
                  </w:pPr>
                  <w:r>
                    <w:rPr>
                      <w:rFonts w:hint="default"/>
                      <w:color w:val="auto"/>
                      <w:highlight w:val="none"/>
                      <w:lang w:val="en-US" w:eastAsia="zh-CN"/>
                    </w:rPr>
                    <w:t>/</w:t>
                  </w:r>
                </w:p>
              </w:tc>
            </w:tr>
            <w:tr w14:paraId="7487C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8" w:type="pct"/>
                  <w:vMerge w:val="continue"/>
                  <w:noWrap w:val="0"/>
                  <w:vAlign w:val="center"/>
                </w:tcPr>
                <w:p w14:paraId="37E408A1">
                  <w:pPr>
                    <w:pStyle w:val="30"/>
                    <w:bidi w:val="0"/>
                    <w:rPr>
                      <w:rFonts w:hint="default"/>
                      <w:color w:val="auto"/>
                      <w:highlight w:val="none"/>
                      <w:lang w:eastAsia="zh-CN"/>
                    </w:rPr>
                  </w:pPr>
                </w:p>
              </w:tc>
              <w:tc>
                <w:tcPr>
                  <w:tcW w:w="446" w:type="pct"/>
                  <w:vMerge w:val="continue"/>
                  <w:noWrap w:val="0"/>
                  <w:vAlign w:val="center"/>
                </w:tcPr>
                <w:p w14:paraId="3E5DFF8E">
                  <w:pPr>
                    <w:pStyle w:val="30"/>
                    <w:bidi w:val="0"/>
                    <w:rPr>
                      <w:rFonts w:hint="default"/>
                      <w:color w:val="auto"/>
                      <w:highlight w:val="none"/>
                      <w:lang w:eastAsia="zh-CN"/>
                    </w:rPr>
                  </w:pPr>
                </w:p>
              </w:tc>
              <w:tc>
                <w:tcPr>
                  <w:tcW w:w="777" w:type="pct"/>
                  <w:tcBorders>
                    <w:top w:val="single" w:color="auto" w:sz="4" w:space="0"/>
                    <w:bottom w:val="single" w:color="auto" w:sz="4" w:space="0"/>
                    <w:right w:val="single" w:color="auto" w:sz="2" w:space="0"/>
                  </w:tcBorders>
                  <w:shd w:val="clear" w:color="auto" w:fill="auto"/>
                  <w:noWrap w:val="0"/>
                  <w:vAlign w:val="center"/>
                </w:tcPr>
                <w:p w14:paraId="0872D371">
                  <w:pPr>
                    <w:pStyle w:val="30"/>
                    <w:bidi w:val="0"/>
                    <w:rPr>
                      <w:rFonts w:hint="default" w:ascii="Times New Roman" w:hAnsi="Times New Roman" w:eastAsia="宋体" w:cs="Times New Roman"/>
                      <w:bCs/>
                      <w:snapToGrid w:val="0"/>
                      <w:color w:val="auto"/>
                      <w:spacing w:val="8"/>
                      <w:kern w:val="0"/>
                      <w:sz w:val="21"/>
                      <w:szCs w:val="72"/>
                      <w:highlight w:val="none"/>
                      <w:lang w:val="en-US" w:eastAsia="zh-CN"/>
                    </w:rPr>
                  </w:pPr>
                  <w:r>
                    <w:rPr>
                      <w:rFonts w:hint="default"/>
                      <w:color w:val="auto"/>
                      <w:highlight w:val="none"/>
                      <w:lang w:val="en-US" w:eastAsia="zh-CN"/>
                    </w:rPr>
                    <w:t>动物尸体</w:t>
                  </w:r>
                </w:p>
              </w:tc>
              <w:tc>
                <w:tcPr>
                  <w:tcW w:w="2893" w:type="pct"/>
                  <w:tcBorders>
                    <w:top w:val="single" w:color="auto" w:sz="4" w:space="0"/>
                    <w:left w:val="single" w:color="auto" w:sz="2" w:space="0"/>
                    <w:bottom w:val="single" w:color="auto" w:sz="4" w:space="0"/>
                  </w:tcBorders>
                  <w:shd w:val="clear" w:color="auto" w:fill="auto"/>
                  <w:noWrap w:val="0"/>
                  <w:vAlign w:val="center"/>
                </w:tcPr>
                <w:p w14:paraId="6C4B117A">
                  <w:pPr>
                    <w:pStyle w:val="30"/>
                    <w:bidi w:val="0"/>
                    <w:rPr>
                      <w:rFonts w:hint="default" w:ascii="Times New Roman" w:hAnsi="Times New Roman" w:eastAsia="宋体" w:cs="Times New Roman"/>
                      <w:bCs/>
                      <w:snapToGrid w:val="0"/>
                      <w:color w:val="auto"/>
                      <w:spacing w:val="8"/>
                      <w:kern w:val="0"/>
                      <w:sz w:val="21"/>
                      <w:szCs w:val="72"/>
                      <w:highlight w:val="none"/>
                      <w:lang w:val="en-US" w:eastAsia="zh-CN"/>
                    </w:rPr>
                  </w:pPr>
                  <w:r>
                    <w:rPr>
                      <w:rFonts w:hint="default"/>
                      <w:color w:val="auto"/>
                      <w:lang w:val="en-US" w:eastAsia="zh-CN"/>
                    </w:rPr>
                    <w:t>本项目运营过程中不负责处理动物尸体，</w:t>
                  </w:r>
                  <w:r>
                    <w:rPr>
                      <w:rFonts w:hint="eastAsia"/>
                      <w:color w:val="auto"/>
                      <w:lang w:val="en-US" w:eastAsia="zh-CN"/>
                    </w:rPr>
                    <w:t>由客户自行带走依法处置。</w:t>
                  </w:r>
                </w:p>
              </w:tc>
              <w:tc>
                <w:tcPr>
                  <w:tcW w:w="443" w:type="pct"/>
                  <w:tcBorders>
                    <w:top w:val="single" w:color="auto" w:sz="4" w:space="0"/>
                    <w:bottom w:val="single" w:color="auto" w:sz="4" w:space="0"/>
                  </w:tcBorders>
                  <w:noWrap w:val="0"/>
                  <w:vAlign w:val="center"/>
                </w:tcPr>
                <w:p w14:paraId="1FF67EC1">
                  <w:pPr>
                    <w:pStyle w:val="30"/>
                    <w:bidi w:val="0"/>
                    <w:rPr>
                      <w:rFonts w:hint="default"/>
                      <w:color w:val="auto"/>
                      <w:highlight w:val="none"/>
                      <w:lang w:val="en-US" w:eastAsia="zh-CN"/>
                    </w:rPr>
                  </w:pPr>
                  <w:r>
                    <w:rPr>
                      <w:rFonts w:hint="eastAsia"/>
                      <w:color w:val="auto"/>
                      <w:highlight w:val="none"/>
                      <w:lang w:val="en-US" w:eastAsia="zh-CN"/>
                    </w:rPr>
                    <w:t>/</w:t>
                  </w:r>
                </w:p>
              </w:tc>
            </w:tr>
            <w:tr w14:paraId="50E28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8" w:type="pct"/>
                  <w:vMerge w:val="continue"/>
                  <w:noWrap w:val="0"/>
                  <w:vAlign w:val="center"/>
                </w:tcPr>
                <w:p w14:paraId="62879DB6">
                  <w:pPr>
                    <w:pStyle w:val="30"/>
                    <w:bidi w:val="0"/>
                    <w:rPr>
                      <w:rFonts w:hint="default"/>
                      <w:color w:val="auto"/>
                      <w:highlight w:val="none"/>
                      <w:lang w:eastAsia="zh-CN"/>
                    </w:rPr>
                  </w:pPr>
                </w:p>
              </w:tc>
              <w:tc>
                <w:tcPr>
                  <w:tcW w:w="446" w:type="pct"/>
                  <w:vMerge w:val="restart"/>
                  <w:noWrap w:val="0"/>
                  <w:vAlign w:val="center"/>
                </w:tcPr>
                <w:p w14:paraId="20BE9639">
                  <w:pPr>
                    <w:pStyle w:val="30"/>
                    <w:bidi w:val="0"/>
                    <w:rPr>
                      <w:rFonts w:hint="default"/>
                      <w:color w:val="auto"/>
                      <w:highlight w:val="none"/>
                      <w:lang w:val="en-US" w:eastAsia="zh-CN"/>
                    </w:rPr>
                  </w:pPr>
                  <w:r>
                    <w:rPr>
                      <w:rFonts w:hint="default"/>
                      <w:color w:val="auto"/>
                      <w:highlight w:val="none"/>
                      <w:lang w:val="en-US" w:eastAsia="zh-CN"/>
                    </w:rPr>
                    <w:t>危险废物</w:t>
                  </w:r>
                </w:p>
              </w:tc>
              <w:tc>
                <w:tcPr>
                  <w:tcW w:w="777" w:type="pct"/>
                  <w:tcBorders>
                    <w:top w:val="single" w:color="auto" w:sz="4" w:space="0"/>
                    <w:bottom w:val="single" w:color="auto" w:sz="4" w:space="0"/>
                    <w:right w:val="single" w:color="auto" w:sz="2" w:space="0"/>
                  </w:tcBorders>
                  <w:noWrap w:val="0"/>
                  <w:vAlign w:val="center"/>
                </w:tcPr>
                <w:p w14:paraId="5EE68A7C">
                  <w:pPr>
                    <w:pStyle w:val="30"/>
                    <w:bidi w:val="0"/>
                    <w:rPr>
                      <w:rFonts w:hint="default"/>
                      <w:color w:val="auto"/>
                      <w:highlight w:val="none"/>
                      <w:lang w:val="en-US" w:eastAsia="zh-CN"/>
                    </w:rPr>
                  </w:pPr>
                  <w:r>
                    <w:rPr>
                      <w:rFonts w:hint="default"/>
                      <w:color w:val="auto"/>
                      <w:highlight w:val="none"/>
                      <w:lang w:val="en-US" w:eastAsia="zh-CN"/>
                    </w:rPr>
                    <w:t>医疗废物</w:t>
                  </w:r>
                </w:p>
              </w:tc>
              <w:tc>
                <w:tcPr>
                  <w:tcW w:w="2893" w:type="pct"/>
                  <w:tcBorders>
                    <w:top w:val="single" w:color="auto" w:sz="4" w:space="0"/>
                    <w:left w:val="single" w:color="auto" w:sz="2" w:space="0"/>
                    <w:bottom w:val="single" w:color="auto" w:sz="4" w:space="0"/>
                  </w:tcBorders>
                  <w:noWrap w:val="0"/>
                  <w:vAlign w:val="center"/>
                </w:tcPr>
                <w:p w14:paraId="394FA9B3">
                  <w:pPr>
                    <w:pStyle w:val="30"/>
                    <w:bidi w:val="0"/>
                    <w:rPr>
                      <w:rFonts w:hint="default"/>
                      <w:color w:val="auto"/>
                      <w:highlight w:val="none"/>
                      <w:lang w:eastAsia="zh-CN"/>
                    </w:rPr>
                  </w:pPr>
                  <w:r>
                    <w:rPr>
                      <w:rFonts w:hint="default"/>
                      <w:color w:val="auto"/>
                      <w:highlight w:val="none"/>
                      <w:lang w:val="en-US" w:eastAsia="zh-CN"/>
                    </w:rPr>
                    <w:t>收集消毒后暂存在医疗废物贮存间（</w:t>
                  </w:r>
                  <w:r>
                    <w:rPr>
                      <w:rFonts w:hint="eastAsia" w:cs="Times New Roman"/>
                      <w:color w:val="auto"/>
                      <w:highlight w:val="none"/>
                      <w:lang w:val="en-US" w:eastAsia="zh-CN"/>
                    </w:rPr>
                    <w:t>2.5m</w:t>
                  </w:r>
                  <w:r>
                    <w:rPr>
                      <w:rFonts w:hint="eastAsia" w:cs="Times New Roman"/>
                      <w:color w:val="auto"/>
                      <w:highlight w:val="none"/>
                      <w:vertAlign w:val="superscript"/>
                      <w:lang w:val="en-US" w:eastAsia="zh-CN"/>
                    </w:rPr>
                    <w:t>2</w:t>
                  </w:r>
                  <w:r>
                    <w:rPr>
                      <w:rFonts w:hint="default"/>
                      <w:color w:val="auto"/>
                      <w:highlight w:val="none"/>
                      <w:lang w:val="en-US" w:eastAsia="zh-CN"/>
                    </w:rPr>
                    <w:t>），委托有资质单位上门回收处置。</w:t>
                  </w:r>
                </w:p>
              </w:tc>
              <w:tc>
                <w:tcPr>
                  <w:tcW w:w="443" w:type="pct"/>
                  <w:tcBorders>
                    <w:top w:val="single" w:color="auto" w:sz="4" w:space="0"/>
                    <w:bottom w:val="single" w:color="auto" w:sz="4" w:space="0"/>
                  </w:tcBorders>
                  <w:noWrap w:val="0"/>
                  <w:vAlign w:val="center"/>
                </w:tcPr>
                <w:p w14:paraId="31A24CDE">
                  <w:pPr>
                    <w:pStyle w:val="30"/>
                    <w:bidi w:val="0"/>
                    <w:rPr>
                      <w:rFonts w:hint="default"/>
                      <w:color w:val="auto"/>
                      <w:highlight w:val="none"/>
                      <w:lang w:val="en-US" w:eastAsia="zh-CN"/>
                    </w:rPr>
                  </w:pPr>
                  <w:r>
                    <w:rPr>
                      <w:rFonts w:hint="default"/>
                      <w:color w:val="auto"/>
                      <w:highlight w:val="none"/>
                      <w:lang w:val="en-US" w:eastAsia="zh-CN"/>
                    </w:rPr>
                    <w:t>/</w:t>
                  </w:r>
                </w:p>
              </w:tc>
            </w:tr>
            <w:tr w14:paraId="0EE04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8" w:type="pct"/>
                  <w:vMerge w:val="continue"/>
                  <w:noWrap w:val="0"/>
                  <w:vAlign w:val="center"/>
                </w:tcPr>
                <w:p w14:paraId="03AFC7C7">
                  <w:pPr>
                    <w:pStyle w:val="30"/>
                    <w:bidi w:val="0"/>
                    <w:rPr>
                      <w:rFonts w:hint="default"/>
                      <w:color w:val="auto"/>
                      <w:highlight w:val="none"/>
                      <w:lang w:eastAsia="zh-CN"/>
                    </w:rPr>
                  </w:pPr>
                </w:p>
              </w:tc>
              <w:tc>
                <w:tcPr>
                  <w:tcW w:w="446" w:type="pct"/>
                  <w:vMerge w:val="continue"/>
                  <w:noWrap w:val="0"/>
                  <w:vAlign w:val="center"/>
                </w:tcPr>
                <w:p w14:paraId="0533FF63">
                  <w:pPr>
                    <w:pStyle w:val="30"/>
                    <w:bidi w:val="0"/>
                    <w:rPr>
                      <w:rFonts w:hint="default"/>
                      <w:color w:val="auto"/>
                      <w:highlight w:val="none"/>
                      <w:lang w:eastAsia="zh-CN"/>
                    </w:rPr>
                  </w:pPr>
                </w:p>
              </w:tc>
              <w:tc>
                <w:tcPr>
                  <w:tcW w:w="777" w:type="pct"/>
                  <w:tcBorders>
                    <w:top w:val="single" w:color="auto" w:sz="4" w:space="0"/>
                    <w:bottom w:val="single" w:color="auto" w:sz="4" w:space="0"/>
                    <w:right w:val="single" w:color="auto" w:sz="2" w:space="0"/>
                  </w:tcBorders>
                  <w:noWrap w:val="0"/>
                  <w:vAlign w:val="center"/>
                </w:tcPr>
                <w:p w14:paraId="0535A61B">
                  <w:pPr>
                    <w:pStyle w:val="30"/>
                    <w:bidi w:val="0"/>
                    <w:rPr>
                      <w:rFonts w:hint="default"/>
                      <w:color w:val="auto"/>
                      <w:highlight w:val="none"/>
                      <w:lang w:val="en-US" w:eastAsia="zh-CN"/>
                    </w:rPr>
                  </w:pPr>
                  <w:r>
                    <w:rPr>
                      <w:rFonts w:hint="default"/>
                      <w:color w:val="auto"/>
                      <w:highlight w:val="none"/>
                      <w:lang w:val="en-US" w:eastAsia="zh-CN"/>
                    </w:rPr>
                    <w:t>废紫外线灯管</w:t>
                  </w:r>
                </w:p>
              </w:tc>
              <w:tc>
                <w:tcPr>
                  <w:tcW w:w="2893" w:type="pct"/>
                  <w:tcBorders>
                    <w:top w:val="single" w:color="auto" w:sz="4" w:space="0"/>
                    <w:left w:val="single" w:color="auto" w:sz="2" w:space="0"/>
                    <w:bottom w:val="single" w:color="auto" w:sz="4" w:space="0"/>
                  </w:tcBorders>
                  <w:noWrap w:val="0"/>
                  <w:vAlign w:val="center"/>
                </w:tcPr>
                <w:p w14:paraId="53354191">
                  <w:pPr>
                    <w:pStyle w:val="30"/>
                    <w:bidi w:val="0"/>
                    <w:rPr>
                      <w:rFonts w:hint="default"/>
                      <w:color w:val="auto"/>
                      <w:highlight w:val="none"/>
                      <w:lang w:eastAsia="zh-CN"/>
                    </w:rPr>
                  </w:pPr>
                  <w:r>
                    <w:rPr>
                      <w:rFonts w:hint="default"/>
                      <w:color w:val="auto"/>
                      <w:highlight w:val="none"/>
                      <w:lang w:val="en-US" w:eastAsia="zh-CN"/>
                    </w:rPr>
                    <w:t>暂存在医疗废物贮存间（</w:t>
                  </w:r>
                  <w:r>
                    <w:rPr>
                      <w:rFonts w:hint="eastAsia" w:cs="Times New Roman"/>
                      <w:color w:val="auto"/>
                      <w:highlight w:val="none"/>
                      <w:lang w:val="en-US" w:eastAsia="zh-CN"/>
                    </w:rPr>
                    <w:t>2.5m</w:t>
                  </w:r>
                  <w:r>
                    <w:rPr>
                      <w:rFonts w:hint="eastAsia" w:cs="Times New Roman"/>
                      <w:color w:val="auto"/>
                      <w:highlight w:val="none"/>
                      <w:vertAlign w:val="superscript"/>
                      <w:lang w:val="en-US" w:eastAsia="zh-CN"/>
                    </w:rPr>
                    <w:t>2</w:t>
                  </w:r>
                  <w:r>
                    <w:rPr>
                      <w:rFonts w:hint="default"/>
                      <w:color w:val="auto"/>
                      <w:highlight w:val="none"/>
                      <w:lang w:val="en-US" w:eastAsia="zh-CN"/>
                    </w:rPr>
                    <w:t>），委托有资质单位上门回收处置。</w:t>
                  </w:r>
                </w:p>
              </w:tc>
              <w:tc>
                <w:tcPr>
                  <w:tcW w:w="443" w:type="pct"/>
                  <w:tcBorders>
                    <w:top w:val="single" w:color="auto" w:sz="4" w:space="0"/>
                    <w:bottom w:val="single" w:color="auto" w:sz="4" w:space="0"/>
                  </w:tcBorders>
                  <w:noWrap w:val="0"/>
                  <w:vAlign w:val="center"/>
                </w:tcPr>
                <w:p w14:paraId="160930F9">
                  <w:pPr>
                    <w:pStyle w:val="30"/>
                    <w:bidi w:val="0"/>
                    <w:rPr>
                      <w:rFonts w:hint="default"/>
                      <w:color w:val="auto"/>
                      <w:highlight w:val="none"/>
                      <w:lang w:val="en-US" w:eastAsia="zh-CN"/>
                    </w:rPr>
                  </w:pPr>
                  <w:r>
                    <w:rPr>
                      <w:rFonts w:hint="default"/>
                      <w:color w:val="auto"/>
                      <w:highlight w:val="none"/>
                      <w:lang w:val="en-US" w:eastAsia="zh-CN"/>
                    </w:rPr>
                    <w:t>/</w:t>
                  </w:r>
                </w:p>
              </w:tc>
            </w:tr>
            <w:tr w14:paraId="7C7E3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8" w:type="pct"/>
                  <w:vMerge w:val="continue"/>
                  <w:noWrap w:val="0"/>
                  <w:vAlign w:val="center"/>
                </w:tcPr>
                <w:p w14:paraId="3287CA28">
                  <w:pPr>
                    <w:pStyle w:val="30"/>
                    <w:bidi w:val="0"/>
                    <w:rPr>
                      <w:rFonts w:hint="default"/>
                      <w:color w:val="auto"/>
                      <w:highlight w:val="none"/>
                      <w:lang w:eastAsia="zh-CN"/>
                    </w:rPr>
                  </w:pPr>
                </w:p>
              </w:tc>
              <w:tc>
                <w:tcPr>
                  <w:tcW w:w="446" w:type="pct"/>
                  <w:vMerge w:val="continue"/>
                  <w:noWrap w:val="0"/>
                  <w:vAlign w:val="center"/>
                </w:tcPr>
                <w:p w14:paraId="7D5BC58B">
                  <w:pPr>
                    <w:pStyle w:val="30"/>
                    <w:bidi w:val="0"/>
                    <w:rPr>
                      <w:rFonts w:hint="default"/>
                      <w:color w:val="auto"/>
                      <w:highlight w:val="none"/>
                      <w:lang w:eastAsia="zh-CN"/>
                    </w:rPr>
                  </w:pPr>
                </w:p>
              </w:tc>
              <w:tc>
                <w:tcPr>
                  <w:tcW w:w="777" w:type="pct"/>
                  <w:tcBorders>
                    <w:top w:val="single" w:color="auto" w:sz="4" w:space="0"/>
                    <w:bottom w:val="single" w:color="auto" w:sz="4" w:space="0"/>
                    <w:right w:val="single" w:color="auto" w:sz="2" w:space="0"/>
                  </w:tcBorders>
                  <w:noWrap w:val="0"/>
                  <w:vAlign w:val="center"/>
                </w:tcPr>
                <w:p w14:paraId="421F0FF4">
                  <w:pPr>
                    <w:pStyle w:val="30"/>
                    <w:bidi w:val="0"/>
                    <w:rPr>
                      <w:rFonts w:hint="default"/>
                      <w:color w:val="auto"/>
                      <w:highlight w:val="none"/>
                      <w:lang w:val="en-US" w:eastAsia="zh-CN"/>
                    </w:rPr>
                  </w:pPr>
                  <w:r>
                    <w:rPr>
                      <w:rFonts w:hint="default"/>
                      <w:color w:val="auto"/>
                      <w:highlight w:val="none"/>
                      <w:lang w:val="en-US" w:eastAsia="zh-CN"/>
                    </w:rPr>
                    <w:t>医疗废水处理设施废渣</w:t>
                  </w:r>
                </w:p>
              </w:tc>
              <w:tc>
                <w:tcPr>
                  <w:tcW w:w="2893" w:type="pct"/>
                  <w:tcBorders>
                    <w:top w:val="single" w:color="auto" w:sz="4" w:space="0"/>
                    <w:left w:val="single" w:color="auto" w:sz="2" w:space="0"/>
                    <w:bottom w:val="single" w:color="auto" w:sz="4" w:space="0"/>
                  </w:tcBorders>
                  <w:noWrap w:val="0"/>
                  <w:vAlign w:val="center"/>
                </w:tcPr>
                <w:p w14:paraId="025925C9">
                  <w:pPr>
                    <w:pStyle w:val="30"/>
                    <w:bidi w:val="0"/>
                    <w:rPr>
                      <w:rFonts w:hint="default"/>
                      <w:color w:val="auto"/>
                      <w:highlight w:val="none"/>
                      <w:lang w:eastAsia="zh-CN"/>
                    </w:rPr>
                  </w:pPr>
                  <w:r>
                    <w:rPr>
                      <w:rFonts w:hint="default"/>
                      <w:color w:val="auto"/>
                      <w:highlight w:val="none"/>
                      <w:lang w:val="en-US" w:eastAsia="zh-CN"/>
                    </w:rPr>
                    <w:t>委托有资质单位定期清捞与处置，不在项目区贮存</w:t>
                  </w:r>
                </w:p>
              </w:tc>
              <w:tc>
                <w:tcPr>
                  <w:tcW w:w="443" w:type="pct"/>
                  <w:tcBorders>
                    <w:top w:val="single" w:color="auto" w:sz="4" w:space="0"/>
                    <w:bottom w:val="single" w:color="auto" w:sz="4" w:space="0"/>
                  </w:tcBorders>
                  <w:noWrap w:val="0"/>
                  <w:vAlign w:val="center"/>
                </w:tcPr>
                <w:p w14:paraId="46A0E58C">
                  <w:pPr>
                    <w:pStyle w:val="30"/>
                    <w:bidi w:val="0"/>
                    <w:rPr>
                      <w:rFonts w:hint="default"/>
                      <w:color w:val="auto"/>
                      <w:highlight w:val="none"/>
                      <w:lang w:val="en-US" w:eastAsia="zh-CN"/>
                    </w:rPr>
                  </w:pPr>
                  <w:r>
                    <w:rPr>
                      <w:rFonts w:hint="default"/>
                      <w:color w:val="auto"/>
                      <w:highlight w:val="none"/>
                      <w:lang w:val="en-US" w:eastAsia="zh-CN"/>
                    </w:rPr>
                    <w:t>/</w:t>
                  </w:r>
                </w:p>
              </w:tc>
            </w:tr>
            <w:tr w14:paraId="7EAB7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8" w:type="pct"/>
                  <w:vMerge w:val="continue"/>
                  <w:noWrap w:val="0"/>
                  <w:vAlign w:val="center"/>
                </w:tcPr>
                <w:p w14:paraId="2A89198C">
                  <w:pPr>
                    <w:pStyle w:val="30"/>
                    <w:bidi w:val="0"/>
                    <w:rPr>
                      <w:rFonts w:hint="default"/>
                      <w:color w:val="auto"/>
                      <w:highlight w:val="none"/>
                      <w:lang w:eastAsia="zh-CN"/>
                    </w:rPr>
                  </w:pPr>
                </w:p>
              </w:tc>
              <w:tc>
                <w:tcPr>
                  <w:tcW w:w="446" w:type="pct"/>
                  <w:vMerge w:val="continue"/>
                  <w:noWrap w:val="0"/>
                  <w:vAlign w:val="center"/>
                </w:tcPr>
                <w:p w14:paraId="24D58B97">
                  <w:pPr>
                    <w:pStyle w:val="30"/>
                    <w:bidi w:val="0"/>
                    <w:rPr>
                      <w:rFonts w:hint="default"/>
                      <w:color w:val="auto"/>
                      <w:highlight w:val="none"/>
                      <w:lang w:eastAsia="zh-CN"/>
                    </w:rPr>
                  </w:pPr>
                </w:p>
              </w:tc>
              <w:tc>
                <w:tcPr>
                  <w:tcW w:w="777" w:type="pct"/>
                  <w:tcBorders>
                    <w:top w:val="single" w:color="auto" w:sz="4" w:space="0"/>
                    <w:right w:val="single" w:color="auto" w:sz="2" w:space="0"/>
                  </w:tcBorders>
                  <w:noWrap w:val="0"/>
                  <w:vAlign w:val="center"/>
                </w:tcPr>
                <w:p w14:paraId="19C341EE">
                  <w:pPr>
                    <w:pStyle w:val="30"/>
                    <w:bidi w:val="0"/>
                    <w:rPr>
                      <w:rFonts w:hint="default"/>
                      <w:color w:val="auto"/>
                      <w:highlight w:val="none"/>
                      <w:lang w:val="en-US" w:eastAsia="zh-CN"/>
                    </w:rPr>
                  </w:pPr>
                  <w:r>
                    <w:rPr>
                      <w:rFonts w:hint="default"/>
                      <w:color w:val="auto"/>
                      <w:highlight w:val="none"/>
                      <w:lang w:val="en-US" w:eastAsia="zh-CN"/>
                    </w:rPr>
                    <w:t>患病宠物排泄物及猫砂</w:t>
                  </w:r>
                </w:p>
              </w:tc>
              <w:tc>
                <w:tcPr>
                  <w:tcW w:w="2893" w:type="pct"/>
                  <w:tcBorders>
                    <w:top w:val="single" w:color="auto" w:sz="4" w:space="0"/>
                    <w:left w:val="single" w:color="auto" w:sz="2" w:space="0"/>
                  </w:tcBorders>
                  <w:noWrap w:val="0"/>
                  <w:vAlign w:val="center"/>
                </w:tcPr>
                <w:p w14:paraId="1A000381">
                  <w:pPr>
                    <w:pStyle w:val="30"/>
                    <w:bidi w:val="0"/>
                    <w:rPr>
                      <w:rFonts w:hint="default"/>
                      <w:color w:val="auto"/>
                      <w:highlight w:val="none"/>
                      <w:lang w:eastAsia="zh-CN"/>
                    </w:rPr>
                  </w:pPr>
                  <w:r>
                    <w:rPr>
                      <w:rFonts w:hint="default"/>
                      <w:color w:val="auto"/>
                      <w:highlight w:val="none"/>
                      <w:lang w:val="en-US" w:eastAsia="zh-CN"/>
                    </w:rPr>
                    <w:t>收集消毒后暂存在医疗废物贮存间（</w:t>
                  </w:r>
                  <w:r>
                    <w:rPr>
                      <w:rFonts w:hint="eastAsia" w:cs="Times New Roman"/>
                      <w:color w:val="auto"/>
                      <w:highlight w:val="none"/>
                      <w:lang w:val="en-US" w:eastAsia="zh-CN"/>
                    </w:rPr>
                    <w:t>2.5m</w:t>
                  </w:r>
                  <w:r>
                    <w:rPr>
                      <w:rFonts w:hint="default"/>
                      <w:color w:val="auto"/>
                      <w:highlight w:val="none"/>
                      <w:vertAlign w:val="superscript"/>
                      <w:lang w:val="en-US" w:eastAsia="zh-CN"/>
                    </w:rPr>
                    <w:t>2</w:t>
                  </w:r>
                  <w:r>
                    <w:rPr>
                      <w:rFonts w:hint="default"/>
                      <w:color w:val="auto"/>
                      <w:highlight w:val="none"/>
                      <w:lang w:val="en-US" w:eastAsia="zh-CN"/>
                    </w:rPr>
                    <w:t>），委托有资质单位上门回收处置。</w:t>
                  </w:r>
                </w:p>
              </w:tc>
              <w:tc>
                <w:tcPr>
                  <w:tcW w:w="443" w:type="pct"/>
                  <w:tcBorders>
                    <w:top w:val="single" w:color="auto" w:sz="4" w:space="0"/>
                  </w:tcBorders>
                  <w:noWrap w:val="0"/>
                  <w:vAlign w:val="center"/>
                </w:tcPr>
                <w:p w14:paraId="73F7FE66">
                  <w:pPr>
                    <w:pStyle w:val="30"/>
                    <w:bidi w:val="0"/>
                    <w:rPr>
                      <w:rFonts w:hint="default"/>
                      <w:color w:val="auto"/>
                      <w:highlight w:val="none"/>
                      <w:lang w:val="en-US" w:eastAsia="zh-CN"/>
                    </w:rPr>
                  </w:pPr>
                  <w:r>
                    <w:rPr>
                      <w:rFonts w:hint="default"/>
                      <w:color w:val="auto"/>
                      <w:highlight w:val="none"/>
                      <w:lang w:val="en-US" w:eastAsia="zh-CN"/>
                    </w:rPr>
                    <w:t>/</w:t>
                  </w:r>
                </w:p>
              </w:tc>
            </w:tr>
          </w:tbl>
          <w:p w14:paraId="73231FF7">
            <w:pPr>
              <w:widowControl w:val="0"/>
              <w:snapToGrid w:val="0"/>
              <w:spacing w:line="460" w:lineRule="exact"/>
              <w:ind w:firstLine="0" w:firstLineChars="0"/>
              <w:jc w:val="both"/>
              <w:rPr>
                <w:rFonts w:hint="default" w:ascii="Times New Roman" w:hAnsi="Times New Roman" w:cs="Times New Roman"/>
                <w:b/>
                <w:color w:val="auto"/>
                <w:highlight w:val="none"/>
                <w:lang w:eastAsia="zh-CN"/>
              </w:rPr>
            </w:pPr>
            <w:r>
              <w:rPr>
                <w:rStyle w:val="33"/>
                <w:rFonts w:hint="default" w:ascii="Times New Roman" w:hAnsi="Times New Roman" w:cs="Times New Roman"/>
                <w:color w:val="auto"/>
                <w:highlight w:val="none"/>
                <w:lang w:val="en-US" w:eastAsia="zh-CN"/>
              </w:rPr>
              <w:t>2.</w:t>
            </w:r>
            <w:r>
              <w:rPr>
                <w:rStyle w:val="33"/>
                <w:rFonts w:hint="eastAsia" w:cs="Times New Roman"/>
                <w:color w:val="auto"/>
                <w:highlight w:val="none"/>
                <w:lang w:val="en-US" w:eastAsia="zh-CN"/>
              </w:rPr>
              <w:t>4</w:t>
            </w:r>
            <w:r>
              <w:rPr>
                <w:rFonts w:hint="default" w:ascii="Times New Roman" w:hAnsi="Times New Roman" w:cs="Times New Roman"/>
                <w:b/>
                <w:color w:val="auto"/>
                <w:highlight w:val="none"/>
                <w:lang w:eastAsia="zh-CN"/>
              </w:rPr>
              <w:t>、主要设备</w:t>
            </w:r>
          </w:p>
          <w:p w14:paraId="3DD7F65A">
            <w:pPr>
              <w:widowControl w:val="0"/>
              <w:snapToGrid w:val="0"/>
              <w:spacing w:line="460" w:lineRule="exact"/>
              <w:ind w:firstLine="480"/>
              <w:jc w:val="both"/>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本项目主要设备见表2-</w:t>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lang w:eastAsia="zh-CN"/>
              </w:rPr>
              <w:t>。</w:t>
            </w:r>
          </w:p>
          <w:p w14:paraId="3B60889B">
            <w:pPr>
              <w:pStyle w:val="29"/>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表2-</w:t>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lang w:eastAsia="zh-CN"/>
              </w:rPr>
              <w:t xml:space="preserve">    主要设备一览表</w:t>
            </w:r>
          </w:p>
          <w:tbl>
            <w:tblPr>
              <w:tblStyle w:val="1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3"/>
              <w:gridCol w:w="2732"/>
              <w:gridCol w:w="1765"/>
              <w:gridCol w:w="1262"/>
              <w:gridCol w:w="1674"/>
            </w:tblGrid>
            <w:tr w14:paraId="2B51C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2" w:type="pct"/>
                  <w:tcBorders>
                    <w:bottom w:val="single" w:color="auto" w:sz="12" w:space="0"/>
                  </w:tcBorders>
                  <w:noWrap w:val="0"/>
                  <w:vAlign w:val="center"/>
                </w:tcPr>
                <w:p w14:paraId="73CBEDB1">
                  <w:pPr>
                    <w:pStyle w:val="30"/>
                    <w:bidi w:val="0"/>
                    <w:rPr>
                      <w:rFonts w:hint="default"/>
                      <w:color w:val="auto"/>
                      <w:highlight w:val="none"/>
                      <w:lang w:eastAsia="zh-CN"/>
                    </w:rPr>
                  </w:pPr>
                  <w:r>
                    <w:rPr>
                      <w:rFonts w:hint="default"/>
                      <w:color w:val="auto"/>
                      <w:highlight w:val="none"/>
                      <w:lang w:eastAsia="zh-CN"/>
                    </w:rPr>
                    <w:t>序号</w:t>
                  </w:r>
                </w:p>
              </w:tc>
              <w:tc>
                <w:tcPr>
                  <w:tcW w:w="1678" w:type="pct"/>
                  <w:tcBorders>
                    <w:bottom w:val="single" w:color="auto" w:sz="12" w:space="0"/>
                  </w:tcBorders>
                  <w:noWrap w:val="0"/>
                  <w:vAlign w:val="center"/>
                </w:tcPr>
                <w:p w14:paraId="1BC49F98">
                  <w:pPr>
                    <w:pStyle w:val="30"/>
                    <w:bidi w:val="0"/>
                    <w:rPr>
                      <w:rFonts w:hint="default"/>
                      <w:color w:val="auto"/>
                      <w:highlight w:val="none"/>
                      <w:lang w:eastAsia="zh-CN"/>
                    </w:rPr>
                  </w:pPr>
                  <w:r>
                    <w:rPr>
                      <w:rFonts w:hint="default"/>
                      <w:color w:val="auto"/>
                      <w:highlight w:val="none"/>
                      <w:lang w:eastAsia="zh-CN"/>
                    </w:rPr>
                    <w:t>名  称</w:t>
                  </w:r>
                </w:p>
              </w:tc>
              <w:tc>
                <w:tcPr>
                  <w:tcW w:w="1084" w:type="pct"/>
                  <w:tcBorders>
                    <w:left w:val="single" w:color="auto" w:sz="2" w:space="0"/>
                    <w:bottom w:val="single" w:color="auto" w:sz="12" w:space="0"/>
                    <w:right w:val="single" w:color="auto" w:sz="2" w:space="0"/>
                  </w:tcBorders>
                  <w:noWrap w:val="0"/>
                  <w:vAlign w:val="center"/>
                </w:tcPr>
                <w:p w14:paraId="08A85A4A">
                  <w:pPr>
                    <w:pStyle w:val="30"/>
                    <w:bidi w:val="0"/>
                    <w:rPr>
                      <w:rFonts w:hint="default"/>
                      <w:color w:val="auto"/>
                      <w:highlight w:val="none"/>
                      <w:lang w:eastAsia="zh-CN"/>
                    </w:rPr>
                  </w:pPr>
                  <w:r>
                    <w:rPr>
                      <w:rFonts w:hint="default"/>
                      <w:color w:val="auto"/>
                      <w:highlight w:val="none"/>
                      <w:lang w:eastAsia="zh-CN"/>
                    </w:rPr>
                    <w:t>规格</w:t>
                  </w:r>
                </w:p>
              </w:tc>
              <w:tc>
                <w:tcPr>
                  <w:tcW w:w="775" w:type="pct"/>
                  <w:tcBorders>
                    <w:left w:val="single" w:color="auto" w:sz="2" w:space="0"/>
                    <w:bottom w:val="single" w:color="auto" w:sz="12" w:space="0"/>
                    <w:right w:val="single" w:color="auto" w:sz="2" w:space="0"/>
                  </w:tcBorders>
                  <w:noWrap w:val="0"/>
                  <w:vAlign w:val="center"/>
                </w:tcPr>
                <w:p w14:paraId="20AB9EF5">
                  <w:pPr>
                    <w:pStyle w:val="30"/>
                    <w:bidi w:val="0"/>
                    <w:rPr>
                      <w:rFonts w:hint="default"/>
                      <w:color w:val="auto"/>
                      <w:highlight w:val="none"/>
                      <w:lang w:eastAsia="zh-CN"/>
                    </w:rPr>
                  </w:pPr>
                  <w:r>
                    <w:rPr>
                      <w:rFonts w:hint="default"/>
                      <w:color w:val="auto"/>
                      <w:highlight w:val="none"/>
                      <w:lang w:eastAsia="zh-CN"/>
                    </w:rPr>
                    <w:t>单位</w:t>
                  </w:r>
                </w:p>
              </w:tc>
              <w:tc>
                <w:tcPr>
                  <w:tcW w:w="1028" w:type="pct"/>
                  <w:tcBorders>
                    <w:left w:val="single" w:color="auto" w:sz="2" w:space="0"/>
                    <w:bottom w:val="single" w:color="auto" w:sz="12" w:space="0"/>
                  </w:tcBorders>
                  <w:noWrap w:val="0"/>
                  <w:vAlign w:val="center"/>
                </w:tcPr>
                <w:p w14:paraId="19905D8A">
                  <w:pPr>
                    <w:pStyle w:val="30"/>
                    <w:bidi w:val="0"/>
                    <w:rPr>
                      <w:rFonts w:hint="default"/>
                      <w:color w:val="auto"/>
                      <w:highlight w:val="none"/>
                      <w:lang w:eastAsia="zh-CN"/>
                    </w:rPr>
                  </w:pPr>
                  <w:r>
                    <w:rPr>
                      <w:rFonts w:hint="default"/>
                      <w:color w:val="auto"/>
                      <w:highlight w:val="none"/>
                      <w:lang w:eastAsia="zh-CN"/>
                    </w:rPr>
                    <w:t>数量</w:t>
                  </w:r>
                </w:p>
              </w:tc>
            </w:tr>
            <w:tr w14:paraId="476BE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2" w:type="pct"/>
                  <w:tcBorders>
                    <w:top w:val="single" w:color="auto" w:sz="4" w:space="0"/>
                  </w:tcBorders>
                  <w:noWrap w:val="0"/>
                  <w:vAlign w:val="center"/>
                </w:tcPr>
                <w:p w14:paraId="60991B85">
                  <w:pPr>
                    <w:pStyle w:val="30"/>
                    <w:bidi w:val="0"/>
                    <w:rPr>
                      <w:rFonts w:hint="default"/>
                      <w:color w:val="auto"/>
                      <w:highlight w:val="none"/>
                      <w:lang w:val="en-US" w:eastAsia="zh-CN"/>
                    </w:rPr>
                  </w:pPr>
                  <w:r>
                    <w:rPr>
                      <w:rFonts w:hint="default"/>
                      <w:color w:val="auto"/>
                      <w:highlight w:val="none"/>
                      <w:lang w:val="en-US" w:eastAsia="zh-CN"/>
                    </w:rPr>
                    <w:t>1</w:t>
                  </w:r>
                </w:p>
              </w:tc>
              <w:tc>
                <w:tcPr>
                  <w:tcW w:w="1678" w:type="pct"/>
                  <w:tcBorders>
                    <w:top w:val="single" w:color="auto" w:sz="4" w:space="0"/>
                  </w:tcBorders>
                  <w:noWrap w:val="0"/>
                  <w:vAlign w:val="center"/>
                </w:tcPr>
                <w:p w14:paraId="5B43BD1F">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highlight w:val="none"/>
                      <w:lang w:val="en-US" w:eastAsia="zh-CN"/>
                    </w:rPr>
                  </w:pPr>
                  <w:r>
                    <w:rPr>
                      <w:rFonts w:hint="eastAsia"/>
                      <w:color w:val="auto"/>
                      <w:lang w:val="en-US" w:eastAsia="zh-CN"/>
                    </w:rPr>
                    <w:t>麻醉工作站</w:t>
                  </w:r>
                </w:p>
              </w:tc>
              <w:tc>
                <w:tcPr>
                  <w:tcW w:w="1084" w:type="pct"/>
                  <w:tcBorders>
                    <w:top w:val="single" w:color="auto" w:sz="4" w:space="0"/>
                    <w:left w:val="single" w:color="auto" w:sz="2" w:space="0"/>
                    <w:bottom w:val="single" w:color="auto" w:sz="2" w:space="0"/>
                    <w:right w:val="single" w:color="auto" w:sz="2" w:space="0"/>
                  </w:tcBorders>
                  <w:noWrap w:val="0"/>
                  <w:vAlign w:val="center"/>
                </w:tcPr>
                <w:p w14:paraId="1DE0335F">
                  <w:pPr>
                    <w:pStyle w:val="30"/>
                    <w:bidi w:val="0"/>
                    <w:rPr>
                      <w:rFonts w:hint="default"/>
                      <w:color w:val="auto"/>
                      <w:highlight w:val="none"/>
                      <w:lang w:val="en-US" w:eastAsia="zh-CN"/>
                    </w:rPr>
                  </w:pPr>
                  <w:r>
                    <w:rPr>
                      <w:rFonts w:hint="default"/>
                      <w:color w:val="auto"/>
                      <w:highlight w:val="none"/>
                      <w:lang w:val="en-US" w:eastAsia="zh-CN"/>
                    </w:rPr>
                    <w:t>/</w:t>
                  </w:r>
                </w:p>
              </w:tc>
              <w:tc>
                <w:tcPr>
                  <w:tcW w:w="775" w:type="pct"/>
                  <w:tcBorders>
                    <w:top w:val="single" w:color="auto" w:sz="4" w:space="0"/>
                    <w:left w:val="single" w:color="auto" w:sz="2" w:space="0"/>
                    <w:bottom w:val="single" w:color="auto" w:sz="2" w:space="0"/>
                    <w:right w:val="single" w:color="auto" w:sz="2" w:space="0"/>
                  </w:tcBorders>
                  <w:noWrap w:val="0"/>
                  <w:vAlign w:val="center"/>
                </w:tcPr>
                <w:p w14:paraId="7A91302F">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highlight w:val="none"/>
                      <w:lang w:val="en-US" w:eastAsia="zh-CN"/>
                    </w:rPr>
                  </w:pPr>
                  <w:r>
                    <w:rPr>
                      <w:rFonts w:hint="eastAsia"/>
                      <w:color w:val="auto"/>
                      <w:lang w:val="en-US" w:eastAsia="zh-CN"/>
                    </w:rPr>
                    <w:t>个</w:t>
                  </w:r>
                </w:p>
              </w:tc>
              <w:tc>
                <w:tcPr>
                  <w:tcW w:w="1028" w:type="pct"/>
                  <w:tcBorders>
                    <w:top w:val="single" w:color="auto" w:sz="4" w:space="0"/>
                    <w:left w:val="single" w:color="auto" w:sz="2" w:space="0"/>
                    <w:bottom w:val="single" w:color="auto" w:sz="2" w:space="0"/>
                  </w:tcBorders>
                  <w:noWrap w:val="0"/>
                  <w:vAlign w:val="center"/>
                </w:tcPr>
                <w:p w14:paraId="413F9215">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lang w:val="en-US" w:eastAsia="zh-CN"/>
                    </w:rPr>
                  </w:pPr>
                  <w:r>
                    <w:rPr>
                      <w:rFonts w:hint="eastAsia"/>
                      <w:color w:val="auto"/>
                      <w:lang w:val="en-US" w:eastAsia="zh-CN"/>
                    </w:rPr>
                    <w:t>1</w:t>
                  </w:r>
                </w:p>
              </w:tc>
            </w:tr>
            <w:tr w14:paraId="7D070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2" w:type="pct"/>
                  <w:noWrap w:val="0"/>
                  <w:vAlign w:val="center"/>
                </w:tcPr>
                <w:p w14:paraId="089D66AB">
                  <w:pPr>
                    <w:pStyle w:val="30"/>
                    <w:bidi w:val="0"/>
                    <w:rPr>
                      <w:rFonts w:hint="default"/>
                      <w:color w:val="auto"/>
                      <w:highlight w:val="none"/>
                      <w:lang w:val="en-US" w:eastAsia="zh-CN"/>
                    </w:rPr>
                  </w:pPr>
                  <w:r>
                    <w:rPr>
                      <w:rFonts w:hint="default"/>
                      <w:color w:val="auto"/>
                      <w:highlight w:val="none"/>
                      <w:lang w:val="en-US" w:eastAsia="zh-CN"/>
                    </w:rPr>
                    <w:t>2</w:t>
                  </w:r>
                </w:p>
              </w:tc>
              <w:tc>
                <w:tcPr>
                  <w:tcW w:w="1678" w:type="pct"/>
                  <w:noWrap w:val="0"/>
                  <w:vAlign w:val="center"/>
                </w:tcPr>
                <w:p w14:paraId="5F61C616">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highlight w:val="none"/>
                      <w:lang w:val="en-US" w:eastAsia="zh-CN"/>
                    </w:rPr>
                  </w:pPr>
                  <w:r>
                    <w:rPr>
                      <w:rFonts w:hint="eastAsia"/>
                      <w:color w:val="auto"/>
                      <w:lang w:val="en-US" w:eastAsia="zh-CN"/>
                    </w:rPr>
                    <w:t>手术用心电监护</w:t>
                  </w:r>
                </w:p>
              </w:tc>
              <w:tc>
                <w:tcPr>
                  <w:tcW w:w="1084" w:type="pct"/>
                  <w:tcBorders>
                    <w:left w:val="single" w:color="auto" w:sz="2" w:space="0"/>
                    <w:right w:val="single" w:color="auto" w:sz="2" w:space="0"/>
                  </w:tcBorders>
                  <w:noWrap w:val="0"/>
                  <w:vAlign w:val="center"/>
                </w:tcPr>
                <w:p w14:paraId="46C297BD">
                  <w:pPr>
                    <w:pStyle w:val="30"/>
                    <w:bidi w:val="0"/>
                    <w:rPr>
                      <w:rFonts w:hint="default"/>
                      <w:color w:val="auto"/>
                      <w:highlight w:val="none"/>
                      <w:lang w:val="en-US" w:eastAsia="zh-CN"/>
                    </w:rPr>
                  </w:pPr>
                  <w:r>
                    <w:rPr>
                      <w:rFonts w:hint="default"/>
                      <w:color w:val="auto"/>
                      <w:highlight w:val="none"/>
                      <w:lang w:val="en-US" w:eastAsia="zh-CN"/>
                    </w:rPr>
                    <w:t>/</w:t>
                  </w:r>
                </w:p>
              </w:tc>
              <w:tc>
                <w:tcPr>
                  <w:tcW w:w="775" w:type="pct"/>
                  <w:tcBorders>
                    <w:left w:val="single" w:color="auto" w:sz="2" w:space="0"/>
                    <w:right w:val="single" w:color="auto" w:sz="2" w:space="0"/>
                  </w:tcBorders>
                  <w:noWrap w:val="0"/>
                  <w:vAlign w:val="center"/>
                </w:tcPr>
                <w:p w14:paraId="72F7D5E0">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highlight w:val="none"/>
                      <w:lang w:val="en-US" w:eastAsia="zh-CN"/>
                    </w:rPr>
                  </w:pPr>
                  <w:r>
                    <w:rPr>
                      <w:rFonts w:hint="eastAsia"/>
                      <w:color w:val="auto"/>
                      <w:lang w:val="en-US" w:eastAsia="zh-CN"/>
                    </w:rPr>
                    <w:t>台</w:t>
                  </w:r>
                </w:p>
              </w:tc>
              <w:tc>
                <w:tcPr>
                  <w:tcW w:w="1028" w:type="pct"/>
                  <w:tcBorders>
                    <w:left w:val="single" w:color="auto" w:sz="2" w:space="0"/>
                    <w:bottom w:val="single" w:color="auto" w:sz="2" w:space="0"/>
                  </w:tcBorders>
                  <w:noWrap w:val="0"/>
                  <w:vAlign w:val="center"/>
                </w:tcPr>
                <w:p w14:paraId="6ACEBDBF">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lang w:val="en-US" w:eastAsia="zh-CN"/>
                    </w:rPr>
                  </w:pPr>
                  <w:r>
                    <w:rPr>
                      <w:rFonts w:hint="eastAsia"/>
                      <w:color w:val="auto"/>
                      <w:lang w:val="en-US" w:eastAsia="zh-CN"/>
                    </w:rPr>
                    <w:t>1</w:t>
                  </w:r>
                </w:p>
              </w:tc>
            </w:tr>
            <w:tr w14:paraId="034C2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2" w:type="pct"/>
                  <w:noWrap w:val="0"/>
                  <w:vAlign w:val="center"/>
                </w:tcPr>
                <w:p w14:paraId="770A2DA6">
                  <w:pPr>
                    <w:pStyle w:val="30"/>
                    <w:bidi w:val="0"/>
                    <w:rPr>
                      <w:rFonts w:hint="default"/>
                      <w:color w:val="auto"/>
                      <w:highlight w:val="none"/>
                      <w:lang w:val="en-US" w:eastAsia="zh-CN"/>
                    </w:rPr>
                  </w:pPr>
                  <w:r>
                    <w:rPr>
                      <w:rFonts w:hint="default"/>
                      <w:color w:val="auto"/>
                      <w:highlight w:val="none"/>
                      <w:lang w:val="en-US" w:eastAsia="zh-CN"/>
                    </w:rPr>
                    <w:t>3</w:t>
                  </w:r>
                </w:p>
              </w:tc>
              <w:tc>
                <w:tcPr>
                  <w:tcW w:w="1678" w:type="pct"/>
                  <w:noWrap w:val="0"/>
                  <w:vAlign w:val="center"/>
                </w:tcPr>
                <w:p w14:paraId="743B9A80">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highlight w:val="none"/>
                      <w:lang w:val="en-US" w:eastAsia="zh-CN"/>
                    </w:rPr>
                  </w:pPr>
                  <w:r>
                    <w:rPr>
                      <w:rFonts w:hint="eastAsia"/>
                      <w:color w:val="auto"/>
                      <w:lang w:val="en-US" w:eastAsia="zh-CN"/>
                    </w:rPr>
                    <w:t>生化仪</w:t>
                  </w:r>
                </w:p>
              </w:tc>
              <w:tc>
                <w:tcPr>
                  <w:tcW w:w="1084" w:type="pct"/>
                  <w:tcBorders>
                    <w:left w:val="single" w:color="auto" w:sz="2" w:space="0"/>
                    <w:right w:val="single" w:color="auto" w:sz="2" w:space="0"/>
                  </w:tcBorders>
                  <w:noWrap w:val="0"/>
                  <w:vAlign w:val="center"/>
                </w:tcPr>
                <w:p w14:paraId="31E099A6">
                  <w:pPr>
                    <w:pStyle w:val="30"/>
                    <w:bidi w:val="0"/>
                    <w:rPr>
                      <w:rFonts w:hint="default"/>
                      <w:color w:val="auto"/>
                      <w:highlight w:val="none"/>
                      <w:lang w:val="en-US" w:eastAsia="zh-CN"/>
                    </w:rPr>
                  </w:pPr>
                  <w:r>
                    <w:rPr>
                      <w:rFonts w:hint="default"/>
                      <w:color w:val="auto"/>
                      <w:highlight w:val="none"/>
                      <w:lang w:val="en-US" w:eastAsia="zh-CN"/>
                    </w:rPr>
                    <w:t>/</w:t>
                  </w:r>
                </w:p>
              </w:tc>
              <w:tc>
                <w:tcPr>
                  <w:tcW w:w="775" w:type="pct"/>
                  <w:tcBorders>
                    <w:left w:val="single" w:color="auto" w:sz="2" w:space="0"/>
                    <w:right w:val="single" w:color="auto" w:sz="2" w:space="0"/>
                  </w:tcBorders>
                  <w:noWrap w:val="0"/>
                  <w:vAlign w:val="center"/>
                </w:tcPr>
                <w:p w14:paraId="291EBEBF">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highlight w:val="none"/>
                      <w:lang w:val="en-US" w:eastAsia="zh-CN"/>
                    </w:rPr>
                  </w:pPr>
                  <w:r>
                    <w:rPr>
                      <w:rFonts w:hint="eastAsia"/>
                      <w:color w:val="auto"/>
                      <w:lang w:val="en-US" w:eastAsia="zh-CN"/>
                    </w:rPr>
                    <w:t>台</w:t>
                  </w:r>
                </w:p>
              </w:tc>
              <w:tc>
                <w:tcPr>
                  <w:tcW w:w="1028" w:type="pct"/>
                  <w:tcBorders>
                    <w:left w:val="single" w:color="auto" w:sz="2" w:space="0"/>
                    <w:bottom w:val="single" w:color="auto" w:sz="2" w:space="0"/>
                  </w:tcBorders>
                  <w:noWrap w:val="0"/>
                  <w:vAlign w:val="center"/>
                </w:tcPr>
                <w:p w14:paraId="23C7E3FA">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lang w:val="en-US" w:eastAsia="zh-CN"/>
                    </w:rPr>
                  </w:pPr>
                  <w:r>
                    <w:rPr>
                      <w:rFonts w:hint="eastAsia"/>
                      <w:color w:val="auto"/>
                      <w:lang w:val="en-US" w:eastAsia="zh-CN"/>
                    </w:rPr>
                    <w:t>3</w:t>
                  </w:r>
                </w:p>
              </w:tc>
            </w:tr>
            <w:tr w14:paraId="5A56C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2" w:type="pct"/>
                  <w:noWrap w:val="0"/>
                  <w:vAlign w:val="center"/>
                </w:tcPr>
                <w:p w14:paraId="3DBBD6ED">
                  <w:pPr>
                    <w:pStyle w:val="30"/>
                    <w:bidi w:val="0"/>
                    <w:rPr>
                      <w:rFonts w:hint="default"/>
                      <w:color w:val="auto"/>
                      <w:highlight w:val="none"/>
                      <w:lang w:val="en-US" w:eastAsia="zh-CN"/>
                    </w:rPr>
                  </w:pPr>
                  <w:r>
                    <w:rPr>
                      <w:rFonts w:hint="default"/>
                      <w:color w:val="auto"/>
                      <w:highlight w:val="none"/>
                      <w:lang w:val="en-US" w:eastAsia="zh-CN"/>
                    </w:rPr>
                    <w:t>4</w:t>
                  </w:r>
                </w:p>
              </w:tc>
              <w:tc>
                <w:tcPr>
                  <w:tcW w:w="1678" w:type="pct"/>
                  <w:noWrap w:val="0"/>
                  <w:vAlign w:val="center"/>
                </w:tcPr>
                <w:p w14:paraId="21E31B8E">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highlight w:val="none"/>
                      <w:lang w:val="en-US" w:eastAsia="zh-CN"/>
                    </w:rPr>
                  </w:pPr>
                  <w:r>
                    <w:rPr>
                      <w:rFonts w:hint="eastAsia"/>
                      <w:color w:val="auto"/>
                      <w:lang w:val="en-US" w:eastAsia="zh-CN"/>
                    </w:rPr>
                    <w:t>显微镜</w:t>
                  </w:r>
                </w:p>
              </w:tc>
              <w:tc>
                <w:tcPr>
                  <w:tcW w:w="1084" w:type="pct"/>
                  <w:tcBorders>
                    <w:left w:val="single" w:color="auto" w:sz="2" w:space="0"/>
                    <w:right w:val="single" w:color="auto" w:sz="2" w:space="0"/>
                  </w:tcBorders>
                  <w:noWrap w:val="0"/>
                  <w:vAlign w:val="center"/>
                </w:tcPr>
                <w:p w14:paraId="7C894F99">
                  <w:pPr>
                    <w:pStyle w:val="30"/>
                    <w:bidi w:val="0"/>
                    <w:rPr>
                      <w:rFonts w:hint="default"/>
                      <w:color w:val="auto"/>
                      <w:highlight w:val="none"/>
                      <w:lang w:val="en-US" w:eastAsia="zh-CN"/>
                    </w:rPr>
                  </w:pPr>
                  <w:r>
                    <w:rPr>
                      <w:rFonts w:hint="default"/>
                      <w:color w:val="auto"/>
                      <w:highlight w:val="none"/>
                      <w:lang w:val="en-US" w:eastAsia="zh-CN"/>
                    </w:rPr>
                    <w:t>/</w:t>
                  </w:r>
                </w:p>
              </w:tc>
              <w:tc>
                <w:tcPr>
                  <w:tcW w:w="775" w:type="pct"/>
                  <w:tcBorders>
                    <w:left w:val="single" w:color="auto" w:sz="2" w:space="0"/>
                    <w:right w:val="single" w:color="auto" w:sz="2" w:space="0"/>
                  </w:tcBorders>
                  <w:noWrap w:val="0"/>
                  <w:vAlign w:val="center"/>
                </w:tcPr>
                <w:p w14:paraId="6F7D2B7D">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highlight w:val="none"/>
                      <w:lang w:val="en-US" w:eastAsia="zh-CN"/>
                    </w:rPr>
                  </w:pPr>
                  <w:r>
                    <w:rPr>
                      <w:rFonts w:hint="eastAsia"/>
                      <w:color w:val="auto"/>
                      <w:lang w:val="en-US" w:eastAsia="zh-CN"/>
                    </w:rPr>
                    <w:t>台</w:t>
                  </w:r>
                </w:p>
              </w:tc>
              <w:tc>
                <w:tcPr>
                  <w:tcW w:w="1028" w:type="pct"/>
                  <w:tcBorders>
                    <w:top w:val="single" w:color="auto" w:sz="2" w:space="0"/>
                    <w:left w:val="single" w:color="auto" w:sz="2" w:space="0"/>
                    <w:bottom w:val="single" w:color="auto" w:sz="2" w:space="0"/>
                  </w:tcBorders>
                  <w:noWrap w:val="0"/>
                  <w:vAlign w:val="center"/>
                </w:tcPr>
                <w:p w14:paraId="144B8531">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lang w:val="en-US" w:eastAsia="zh-CN"/>
                    </w:rPr>
                  </w:pPr>
                  <w:r>
                    <w:rPr>
                      <w:rFonts w:hint="eastAsia"/>
                      <w:color w:val="auto"/>
                      <w:lang w:val="en-US" w:eastAsia="zh-CN"/>
                    </w:rPr>
                    <w:t>1</w:t>
                  </w:r>
                </w:p>
              </w:tc>
            </w:tr>
            <w:tr w14:paraId="218A5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2" w:type="pct"/>
                  <w:noWrap w:val="0"/>
                  <w:vAlign w:val="center"/>
                </w:tcPr>
                <w:p w14:paraId="601B3FCE">
                  <w:pPr>
                    <w:pStyle w:val="30"/>
                    <w:bidi w:val="0"/>
                    <w:rPr>
                      <w:rFonts w:hint="default"/>
                      <w:color w:val="auto"/>
                      <w:highlight w:val="none"/>
                      <w:lang w:val="en-US" w:eastAsia="zh-CN"/>
                    </w:rPr>
                  </w:pPr>
                  <w:r>
                    <w:rPr>
                      <w:rFonts w:hint="default"/>
                      <w:color w:val="auto"/>
                      <w:highlight w:val="none"/>
                      <w:lang w:val="en-US" w:eastAsia="zh-CN"/>
                    </w:rPr>
                    <w:t>5</w:t>
                  </w:r>
                </w:p>
              </w:tc>
              <w:tc>
                <w:tcPr>
                  <w:tcW w:w="1678" w:type="pct"/>
                  <w:noWrap w:val="0"/>
                  <w:vAlign w:val="center"/>
                </w:tcPr>
                <w:p w14:paraId="5C992E16">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highlight w:val="none"/>
                      <w:lang w:val="en-US" w:eastAsia="zh-CN"/>
                    </w:rPr>
                  </w:pPr>
                  <w:r>
                    <w:rPr>
                      <w:rFonts w:hint="eastAsia"/>
                      <w:color w:val="auto"/>
                      <w:lang w:val="en-US" w:eastAsia="zh-CN"/>
                    </w:rPr>
                    <w:t>内窥镜</w:t>
                  </w:r>
                </w:p>
              </w:tc>
              <w:tc>
                <w:tcPr>
                  <w:tcW w:w="1084" w:type="pct"/>
                  <w:tcBorders>
                    <w:left w:val="single" w:color="auto" w:sz="2" w:space="0"/>
                    <w:right w:val="single" w:color="auto" w:sz="2" w:space="0"/>
                  </w:tcBorders>
                  <w:noWrap w:val="0"/>
                  <w:vAlign w:val="center"/>
                </w:tcPr>
                <w:p w14:paraId="5A085C5F">
                  <w:pPr>
                    <w:pStyle w:val="30"/>
                    <w:bidi w:val="0"/>
                    <w:rPr>
                      <w:rFonts w:hint="default"/>
                      <w:color w:val="auto"/>
                      <w:highlight w:val="none"/>
                      <w:lang w:val="en-US" w:eastAsia="zh-CN"/>
                    </w:rPr>
                  </w:pPr>
                  <w:r>
                    <w:rPr>
                      <w:rFonts w:hint="default"/>
                      <w:color w:val="auto"/>
                      <w:highlight w:val="none"/>
                      <w:lang w:val="en-US" w:eastAsia="zh-CN"/>
                    </w:rPr>
                    <w:t>/</w:t>
                  </w:r>
                </w:p>
              </w:tc>
              <w:tc>
                <w:tcPr>
                  <w:tcW w:w="775" w:type="pct"/>
                  <w:tcBorders>
                    <w:left w:val="single" w:color="auto" w:sz="2" w:space="0"/>
                    <w:right w:val="single" w:color="auto" w:sz="2" w:space="0"/>
                  </w:tcBorders>
                  <w:noWrap w:val="0"/>
                  <w:vAlign w:val="center"/>
                </w:tcPr>
                <w:p w14:paraId="53868E5C">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highlight w:val="none"/>
                      <w:lang w:val="en-US" w:eastAsia="zh-CN"/>
                    </w:rPr>
                  </w:pPr>
                  <w:r>
                    <w:rPr>
                      <w:rFonts w:hint="eastAsia"/>
                      <w:color w:val="auto"/>
                      <w:lang w:val="en-US" w:eastAsia="zh-CN"/>
                    </w:rPr>
                    <w:t>台</w:t>
                  </w:r>
                </w:p>
              </w:tc>
              <w:tc>
                <w:tcPr>
                  <w:tcW w:w="1028" w:type="pct"/>
                  <w:tcBorders>
                    <w:top w:val="single" w:color="auto" w:sz="2" w:space="0"/>
                    <w:left w:val="single" w:color="auto" w:sz="2" w:space="0"/>
                    <w:bottom w:val="single" w:color="auto" w:sz="2" w:space="0"/>
                  </w:tcBorders>
                  <w:noWrap w:val="0"/>
                  <w:vAlign w:val="center"/>
                </w:tcPr>
                <w:p w14:paraId="414BF6CA">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lang w:val="en-US" w:eastAsia="zh-CN"/>
                    </w:rPr>
                  </w:pPr>
                  <w:r>
                    <w:rPr>
                      <w:rFonts w:hint="eastAsia"/>
                      <w:color w:val="auto"/>
                      <w:lang w:val="en-US" w:eastAsia="zh-CN"/>
                    </w:rPr>
                    <w:t>1</w:t>
                  </w:r>
                </w:p>
              </w:tc>
            </w:tr>
            <w:tr w14:paraId="78E82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2" w:type="pct"/>
                  <w:noWrap w:val="0"/>
                  <w:vAlign w:val="center"/>
                </w:tcPr>
                <w:p w14:paraId="35BC5483">
                  <w:pPr>
                    <w:pStyle w:val="30"/>
                    <w:bidi w:val="0"/>
                    <w:rPr>
                      <w:rFonts w:hint="default"/>
                      <w:color w:val="auto"/>
                      <w:highlight w:val="none"/>
                      <w:lang w:val="en-US" w:eastAsia="zh-CN"/>
                    </w:rPr>
                  </w:pPr>
                  <w:r>
                    <w:rPr>
                      <w:rFonts w:hint="default"/>
                      <w:color w:val="auto"/>
                      <w:highlight w:val="none"/>
                      <w:lang w:val="en-US" w:eastAsia="zh-CN"/>
                    </w:rPr>
                    <w:t>6</w:t>
                  </w:r>
                </w:p>
              </w:tc>
              <w:tc>
                <w:tcPr>
                  <w:tcW w:w="1678" w:type="pct"/>
                  <w:shd w:val="clear" w:color="auto" w:fill="auto"/>
                  <w:noWrap w:val="0"/>
                  <w:vAlign w:val="center"/>
                </w:tcPr>
                <w:p w14:paraId="1A612BB0">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highlight w:val="none"/>
                      <w:lang w:val="en-US" w:eastAsia="zh-CN"/>
                    </w:rPr>
                  </w:pPr>
                  <w:r>
                    <w:rPr>
                      <w:rFonts w:hint="eastAsia"/>
                      <w:color w:val="auto"/>
                      <w:lang w:val="en-US" w:eastAsia="zh-CN"/>
                    </w:rPr>
                    <w:t>污水处理器</w:t>
                  </w:r>
                </w:p>
              </w:tc>
              <w:tc>
                <w:tcPr>
                  <w:tcW w:w="1084" w:type="pct"/>
                  <w:tcBorders>
                    <w:left w:val="single" w:color="auto" w:sz="2" w:space="0"/>
                    <w:right w:val="single" w:color="auto" w:sz="2" w:space="0"/>
                  </w:tcBorders>
                  <w:shd w:val="clear" w:color="auto" w:fill="auto"/>
                  <w:noWrap w:val="0"/>
                  <w:vAlign w:val="center"/>
                </w:tcPr>
                <w:p w14:paraId="0009AAF5">
                  <w:pPr>
                    <w:pStyle w:val="30"/>
                    <w:bidi w:val="0"/>
                    <w:rPr>
                      <w:rFonts w:hint="default" w:ascii="Times New Roman" w:hAnsi="Times New Roman" w:eastAsia="宋体" w:cs="Times New Roman"/>
                      <w:bCs/>
                      <w:snapToGrid w:val="0"/>
                      <w:color w:val="auto"/>
                      <w:spacing w:val="8"/>
                      <w:kern w:val="0"/>
                      <w:sz w:val="21"/>
                      <w:szCs w:val="72"/>
                      <w:highlight w:val="none"/>
                      <w:lang w:val="en-US" w:eastAsia="zh-CN"/>
                    </w:rPr>
                  </w:pPr>
                  <w:r>
                    <w:rPr>
                      <w:rFonts w:hint="eastAsia"/>
                      <w:color w:val="auto"/>
                      <w:highlight w:val="none"/>
                      <w:lang w:val="en-US" w:eastAsia="zh-CN"/>
                    </w:rPr>
                    <w:t>/</w:t>
                  </w:r>
                </w:p>
              </w:tc>
              <w:tc>
                <w:tcPr>
                  <w:tcW w:w="775" w:type="pct"/>
                  <w:tcBorders>
                    <w:left w:val="single" w:color="auto" w:sz="2" w:space="0"/>
                    <w:right w:val="single" w:color="auto" w:sz="2" w:space="0"/>
                  </w:tcBorders>
                  <w:shd w:val="clear" w:color="auto" w:fill="auto"/>
                  <w:noWrap w:val="0"/>
                  <w:vAlign w:val="center"/>
                </w:tcPr>
                <w:p w14:paraId="4AE9A44C">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highlight w:val="none"/>
                      <w:lang w:val="en-US" w:eastAsia="zh-CN"/>
                    </w:rPr>
                  </w:pPr>
                  <w:r>
                    <w:rPr>
                      <w:rFonts w:hint="eastAsia"/>
                      <w:color w:val="auto"/>
                      <w:lang w:val="en-US" w:eastAsia="zh-CN"/>
                    </w:rPr>
                    <w:t>套</w:t>
                  </w:r>
                </w:p>
              </w:tc>
              <w:tc>
                <w:tcPr>
                  <w:tcW w:w="1028" w:type="pct"/>
                  <w:tcBorders>
                    <w:top w:val="single" w:color="auto" w:sz="2" w:space="0"/>
                    <w:left w:val="single" w:color="auto" w:sz="2" w:space="0"/>
                    <w:bottom w:val="single" w:color="auto" w:sz="2" w:space="0"/>
                  </w:tcBorders>
                  <w:shd w:val="clear" w:color="auto" w:fill="auto"/>
                  <w:noWrap w:val="0"/>
                  <w:vAlign w:val="center"/>
                </w:tcPr>
                <w:p w14:paraId="27C371B4">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1</w:t>
                  </w:r>
                </w:p>
              </w:tc>
            </w:tr>
            <w:tr w14:paraId="70E1F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2" w:type="pct"/>
                  <w:noWrap w:val="0"/>
                  <w:vAlign w:val="center"/>
                </w:tcPr>
                <w:p w14:paraId="26B7E32B">
                  <w:pPr>
                    <w:pStyle w:val="30"/>
                    <w:bidi w:val="0"/>
                    <w:rPr>
                      <w:rFonts w:hint="default"/>
                      <w:color w:val="auto"/>
                      <w:highlight w:val="none"/>
                      <w:lang w:val="en-US" w:eastAsia="zh-CN"/>
                    </w:rPr>
                  </w:pPr>
                  <w:r>
                    <w:rPr>
                      <w:rFonts w:hint="default"/>
                      <w:color w:val="auto"/>
                      <w:highlight w:val="none"/>
                      <w:lang w:val="en-US" w:eastAsia="zh-CN"/>
                    </w:rPr>
                    <w:t>7</w:t>
                  </w:r>
                </w:p>
              </w:tc>
              <w:tc>
                <w:tcPr>
                  <w:tcW w:w="1678" w:type="pct"/>
                  <w:shd w:val="clear" w:color="auto" w:fill="auto"/>
                  <w:noWrap w:val="0"/>
                  <w:vAlign w:val="center"/>
                </w:tcPr>
                <w:p w14:paraId="7420B26D">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highlight w:val="none"/>
                      <w:lang w:val="en-US" w:eastAsia="zh-CN"/>
                    </w:rPr>
                  </w:pPr>
                  <w:r>
                    <w:rPr>
                      <w:rFonts w:hint="eastAsia"/>
                      <w:color w:val="auto"/>
                      <w:lang w:val="en-US" w:eastAsia="zh-CN"/>
                    </w:rPr>
                    <w:t>冰箱</w:t>
                  </w:r>
                </w:p>
              </w:tc>
              <w:tc>
                <w:tcPr>
                  <w:tcW w:w="1084" w:type="pct"/>
                  <w:tcBorders>
                    <w:left w:val="single" w:color="auto" w:sz="2" w:space="0"/>
                    <w:right w:val="single" w:color="auto" w:sz="2" w:space="0"/>
                  </w:tcBorders>
                  <w:shd w:val="clear" w:color="auto" w:fill="auto"/>
                  <w:noWrap w:val="0"/>
                  <w:vAlign w:val="center"/>
                </w:tcPr>
                <w:p w14:paraId="05BBEB5E">
                  <w:pPr>
                    <w:pStyle w:val="30"/>
                    <w:bidi w:val="0"/>
                    <w:rPr>
                      <w:rFonts w:hint="default" w:ascii="Times New Roman" w:hAnsi="Times New Roman" w:eastAsia="宋体" w:cs="Times New Roman"/>
                      <w:bCs/>
                      <w:snapToGrid w:val="0"/>
                      <w:color w:val="auto"/>
                      <w:spacing w:val="8"/>
                      <w:kern w:val="0"/>
                      <w:sz w:val="21"/>
                      <w:szCs w:val="72"/>
                      <w:highlight w:val="none"/>
                      <w:lang w:val="en-US" w:eastAsia="zh-CN"/>
                    </w:rPr>
                  </w:pPr>
                  <w:r>
                    <w:rPr>
                      <w:rFonts w:hint="eastAsia"/>
                      <w:color w:val="auto"/>
                      <w:highlight w:val="none"/>
                      <w:lang w:val="en-US" w:eastAsia="zh-CN"/>
                    </w:rPr>
                    <w:t>/</w:t>
                  </w:r>
                </w:p>
              </w:tc>
              <w:tc>
                <w:tcPr>
                  <w:tcW w:w="775" w:type="pct"/>
                  <w:tcBorders>
                    <w:left w:val="single" w:color="auto" w:sz="2" w:space="0"/>
                    <w:right w:val="single" w:color="auto" w:sz="2" w:space="0"/>
                  </w:tcBorders>
                  <w:shd w:val="clear" w:color="auto" w:fill="auto"/>
                  <w:noWrap w:val="0"/>
                  <w:vAlign w:val="center"/>
                </w:tcPr>
                <w:p w14:paraId="5C6CFBD5">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highlight w:val="none"/>
                      <w:lang w:val="en-US" w:eastAsia="zh-CN"/>
                    </w:rPr>
                  </w:pPr>
                  <w:r>
                    <w:rPr>
                      <w:rFonts w:hint="eastAsia"/>
                      <w:color w:val="auto"/>
                      <w:lang w:val="en-US" w:eastAsia="zh-CN"/>
                    </w:rPr>
                    <w:t>台</w:t>
                  </w:r>
                </w:p>
              </w:tc>
              <w:tc>
                <w:tcPr>
                  <w:tcW w:w="1028" w:type="pct"/>
                  <w:tcBorders>
                    <w:top w:val="single" w:color="auto" w:sz="2" w:space="0"/>
                    <w:left w:val="single" w:color="auto" w:sz="2" w:space="0"/>
                    <w:bottom w:val="single" w:color="auto" w:sz="2" w:space="0"/>
                  </w:tcBorders>
                  <w:shd w:val="clear" w:color="auto" w:fill="auto"/>
                  <w:noWrap w:val="0"/>
                  <w:vAlign w:val="center"/>
                </w:tcPr>
                <w:p w14:paraId="73D40534">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2</w:t>
                  </w:r>
                </w:p>
              </w:tc>
            </w:tr>
            <w:tr w14:paraId="278F6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2" w:type="pct"/>
                  <w:noWrap w:val="0"/>
                  <w:vAlign w:val="center"/>
                </w:tcPr>
                <w:p w14:paraId="0FB4E3A6">
                  <w:pPr>
                    <w:pStyle w:val="30"/>
                    <w:bidi w:val="0"/>
                    <w:rPr>
                      <w:rFonts w:hint="default"/>
                      <w:color w:val="auto"/>
                      <w:highlight w:val="none"/>
                      <w:lang w:val="en-US" w:eastAsia="zh-CN"/>
                    </w:rPr>
                  </w:pPr>
                  <w:r>
                    <w:rPr>
                      <w:rFonts w:hint="default"/>
                      <w:color w:val="auto"/>
                      <w:highlight w:val="none"/>
                      <w:lang w:val="en-US" w:eastAsia="zh-CN"/>
                    </w:rPr>
                    <w:t>8</w:t>
                  </w:r>
                </w:p>
              </w:tc>
              <w:tc>
                <w:tcPr>
                  <w:tcW w:w="1678" w:type="pct"/>
                  <w:shd w:val="clear" w:color="auto" w:fill="auto"/>
                  <w:noWrap w:val="0"/>
                  <w:vAlign w:val="center"/>
                </w:tcPr>
                <w:p w14:paraId="138F4025">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highlight w:val="none"/>
                      <w:lang w:val="en-US" w:eastAsia="zh-CN"/>
                    </w:rPr>
                  </w:pPr>
                  <w:r>
                    <w:rPr>
                      <w:rFonts w:hint="eastAsia"/>
                      <w:color w:val="auto"/>
                      <w:lang w:val="en-US" w:eastAsia="zh-CN"/>
                    </w:rPr>
                    <w:t>血气</w:t>
                  </w:r>
                </w:p>
              </w:tc>
              <w:tc>
                <w:tcPr>
                  <w:tcW w:w="1084" w:type="pct"/>
                  <w:tcBorders>
                    <w:left w:val="single" w:color="auto" w:sz="2" w:space="0"/>
                    <w:right w:val="single" w:color="auto" w:sz="2" w:space="0"/>
                  </w:tcBorders>
                  <w:shd w:val="clear" w:color="auto" w:fill="auto"/>
                  <w:noWrap w:val="0"/>
                  <w:vAlign w:val="center"/>
                </w:tcPr>
                <w:p w14:paraId="7D8DEA5C">
                  <w:pPr>
                    <w:pStyle w:val="30"/>
                    <w:bidi w:val="0"/>
                    <w:rPr>
                      <w:rFonts w:hint="default" w:ascii="Times New Roman" w:hAnsi="Times New Roman" w:eastAsia="宋体" w:cs="Times New Roman"/>
                      <w:bCs/>
                      <w:snapToGrid w:val="0"/>
                      <w:color w:val="auto"/>
                      <w:spacing w:val="8"/>
                      <w:kern w:val="0"/>
                      <w:sz w:val="21"/>
                      <w:szCs w:val="72"/>
                      <w:highlight w:val="none"/>
                      <w:lang w:val="en-US" w:eastAsia="zh-CN"/>
                    </w:rPr>
                  </w:pPr>
                  <w:r>
                    <w:rPr>
                      <w:rFonts w:hint="default"/>
                      <w:color w:val="auto"/>
                      <w:highlight w:val="none"/>
                      <w:lang w:val="en-US" w:eastAsia="zh-CN"/>
                    </w:rPr>
                    <w:t>/</w:t>
                  </w:r>
                </w:p>
              </w:tc>
              <w:tc>
                <w:tcPr>
                  <w:tcW w:w="775" w:type="pct"/>
                  <w:tcBorders>
                    <w:left w:val="single" w:color="auto" w:sz="2" w:space="0"/>
                    <w:right w:val="single" w:color="auto" w:sz="2" w:space="0"/>
                  </w:tcBorders>
                  <w:shd w:val="clear" w:color="auto" w:fill="auto"/>
                  <w:noWrap w:val="0"/>
                  <w:vAlign w:val="center"/>
                </w:tcPr>
                <w:p w14:paraId="1347841E">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highlight w:val="none"/>
                      <w:lang w:val="en-US" w:eastAsia="zh-CN"/>
                    </w:rPr>
                  </w:pPr>
                  <w:r>
                    <w:rPr>
                      <w:rFonts w:hint="eastAsia"/>
                      <w:color w:val="auto"/>
                      <w:lang w:val="en-US" w:eastAsia="zh-CN"/>
                    </w:rPr>
                    <w:t>/</w:t>
                  </w:r>
                </w:p>
              </w:tc>
              <w:tc>
                <w:tcPr>
                  <w:tcW w:w="1028" w:type="pct"/>
                  <w:tcBorders>
                    <w:top w:val="single" w:color="auto" w:sz="2" w:space="0"/>
                    <w:left w:val="single" w:color="auto" w:sz="2" w:space="0"/>
                    <w:bottom w:val="single" w:color="auto" w:sz="2" w:space="0"/>
                  </w:tcBorders>
                  <w:shd w:val="clear" w:color="auto" w:fill="auto"/>
                  <w:noWrap w:val="0"/>
                  <w:vAlign w:val="center"/>
                </w:tcPr>
                <w:p w14:paraId="43A36EE4">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1</w:t>
                  </w:r>
                </w:p>
              </w:tc>
            </w:tr>
            <w:tr w14:paraId="1B2B9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2" w:type="pct"/>
                  <w:noWrap w:val="0"/>
                  <w:vAlign w:val="center"/>
                </w:tcPr>
                <w:p w14:paraId="336C1819">
                  <w:pPr>
                    <w:pStyle w:val="30"/>
                    <w:bidi w:val="0"/>
                    <w:rPr>
                      <w:rFonts w:hint="default"/>
                      <w:color w:val="auto"/>
                      <w:highlight w:val="none"/>
                      <w:lang w:val="en-US" w:eastAsia="zh-CN"/>
                    </w:rPr>
                  </w:pPr>
                  <w:r>
                    <w:rPr>
                      <w:rFonts w:hint="default"/>
                      <w:color w:val="auto"/>
                      <w:highlight w:val="none"/>
                      <w:lang w:val="en-US" w:eastAsia="zh-CN"/>
                    </w:rPr>
                    <w:t>9</w:t>
                  </w:r>
                </w:p>
              </w:tc>
              <w:tc>
                <w:tcPr>
                  <w:tcW w:w="1678" w:type="pct"/>
                  <w:shd w:val="clear" w:color="auto" w:fill="auto"/>
                  <w:noWrap w:val="0"/>
                  <w:vAlign w:val="center"/>
                </w:tcPr>
                <w:p w14:paraId="6A3A4BD5">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highlight w:val="none"/>
                      <w:lang w:val="en-US" w:eastAsia="zh-CN"/>
                    </w:rPr>
                  </w:pPr>
                  <w:r>
                    <w:rPr>
                      <w:rFonts w:hint="eastAsia"/>
                      <w:color w:val="auto"/>
                      <w:lang w:val="en-US" w:eastAsia="zh-CN"/>
                    </w:rPr>
                    <w:t>监护仪</w:t>
                  </w:r>
                </w:p>
              </w:tc>
              <w:tc>
                <w:tcPr>
                  <w:tcW w:w="1084" w:type="pct"/>
                  <w:tcBorders>
                    <w:left w:val="single" w:color="auto" w:sz="2" w:space="0"/>
                    <w:right w:val="single" w:color="auto" w:sz="2" w:space="0"/>
                  </w:tcBorders>
                  <w:shd w:val="clear" w:color="auto" w:fill="auto"/>
                  <w:noWrap w:val="0"/>
                  <w:vAlign w:val="center"/>
                </w:tcPr>
                <w:p w14:paraId="72FBCAF2">
                  <w:pPr>
                    <w:pStyle w:val="30"/>
                    <w:bidi w:val="0"/>
                    <w:rPr>
                      <w:rFonts w:hint="default" w:ascii="Times New Roman" w:hAnsi="Times New Roman" w:eastAsia="宋体" w:cs="Times New Roman"/>
                      <w:bCs/>
                      <w:snapToGrid w:val="0"/>
                      <w:color w:val="auto"/>
                      <w:spacing w:val="8"/>
                      <w:kern w:val="0"/>
                      <w:sz w:val="21"/>
                      <w:szCs w:val="72"/>
                      <w:highlight w:val="none"/>
                      <w:lang w:val="en-US" w:eastAsia="zh-CN"/>
                    </w:rPr>
                  </w:pPr>
                  <w:r>
                    <w:rPr>
                      <w:rFonts w:hint="default"/>
                      <w:color w:val="auto"/>
                      <w:highlight w:val="none"/>
                      <w:lang w:val="en-US" w:eastAsia="zh-CN"/>
                    </w:rPr>
                    <w:t>/</w:t>
                  </w:r>
                </w:p>
              </w:tc>
              <w:tc>
                <w:tcPr>
                  <w:tcW w:w="775" w:type="pct"/>
                  <w:tcBorders>
                    <w:left w:val="single" w:color="auto" w:sz="2" w:space="0"/>
                    <w:right w:val="single" w:color="auto" w:sz="2" w:space="0"/>
                  </w:tcBorders>
                  <w:shd w:val="clear" w:color="auto" w:fill="auto"/>
                  <w:noWrap w:val="0"/>
                  <w:vAlign w:val="center"/>
                </w:tcPr>
                <w:p w14:paraId="7854A32F">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highlight w:val="none"/>
                      <w:lang w:val="en-US" w:eastAsia="zh-CN"/>
                    </w:rPr>
                  </w:pPr>
                  <w:r>
                    <w:rPr>
                      <w:rFonts w:hint="eastAsia"/>
                      <w:color w:val="auto"/>
                      <w:lang w:val="en-US" w:eastAsia="zh-CN"/>
                    </w:rPr>
                    <w:t>台</w:t>
                  </w:r>
                </w:p>
              </w:tc>
              <w:tc>
                <w:tcPr>
                  <w:tcW w:w="1028" w:type="pct"/>
                  <w:tcBorders>
                    <w:top w:val="single" w:color="auto" w:sz="2" w:space="0"/>
                    <w:left w:val="single" w:color="auto" w:sz="2" w:space="0"/>
                    <w:bottom w:val="single" w:color="auto" w:sz="2" w:space="0"/>
                  </w:tcBorders>
                  <w:shd w:val="clear" w:color="auto" w:fill="auto"/>
                  <w:noWrap w:val="0"/>
                  <w:vAlign w:val="center"/>
                </w:tcPr>
                <w:p w14:paraId="4AA42B12">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1</w:t>
                  </w:r>
                </w:p>
              </w:tc>
            </w:tr>
            <w:tr w14:paraId="53B52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2" w:type="pct"/>
                  <w:noWrap w:val="0"/>
                  <w:vAlign w:val="center"/>
                </w:tcPr>
                <w:p w14:paraId="44072BBB">
                  <w:pPr>
                    <w:pStyle w:val="30"/>
                    <w:bidi w:val="0"/>
                    <w:rPr>
                      <w:rFonts w:hint="default"/>
                      <w:color w:val="auto"/>
                      <w:highlight w:val="none"/>
                      <w:lang w:val="en-US" w:eastAsia="zh-CN"/>
                    </w:rPr>
                  </w:pPr>
                  <w:r>
                    <w:rPr>
                      <w:rFonts w:hint="default"/>
                      <w:color w:val="auto"/>
                      <w:highlight w:val="none"/>
                      <w:lang w:val="en-US" w:eastAsia="zh-CN"/>
                    </w:rPr>
                    <w:t>10</w:t>
                  </w:r>
                </w:p>
              </w:tc>
              <w:tc>
                <w:tcPr>
                  <w:tcW w:w="1678" w:type="pct"/>
                  <w:shd w:val="clear" w:color="auto" w:fill="auto"/>
                  <w:noWrap w:val="0"/>
                  <w:vAlign w:val="center"/>
                </w:tcPr>
                <w:p w14:paraId="5E938FD2">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highlight w:val="none"/>
                      <w:lang w:val="en-US" w:eastAsia="zh-CN"/>
                    </w:rPr>
                  </w:pPr>
                  <w:r>
                    <w:rPr>
                      <w:rFonts w:hint="eastAsia"/>
                      <w:color w:val="auto"/>
                      <w:lang w:val="en-US" w:eastAsia="zh-CN"/>
                    </w:rPr>
                    <w:t>X光机</w:t>
                  </w:r>
                </w:p>
              </w:tc>
              <w:tc>
                <w:tcPr>
                  <w:tcW w:w="1084" w:type="pct"/>
                  <w:tcBorders>
                    <w:left w:val="single" w:color="auto" w:sz="2" w:space="0"/>
                    <w:right w:val="single" w:color="auto" w:sz="2" w:space="0"/>
                  </w:tcBorders>
                  <w:shd w:val="clear" w:color="auto" w:fill="auto"/>
                  <w:noWrap w:val="0"/>
                  <w:vAlign w:val="center"/>
                </w:tcPr>
                <w:p w14:paraId="7AE216BF">
                  <w:pPr>
                    <w:pStyle w:val="30"/>
                    <w:bidi w:val="0"/>
                    <w:rPr>
                      <w:rFonts w:hint="default" w:ascii="Times New Roman" w:hAnsi="Times New Roman" w:eastAsia="宋体" w:cs="Times New Roman"/>
                      <w:bCs/>
                      <w:snapToGrid w:val="0"/>
                      <w:color w:val="auto"/>
                      <w:spacing w:val="8"/>
                      <w:kern w:val="0"/>
                      <w:sz w:val="21"/>
                      <w:szCs w:val="72"/>
                      <w:highlight w:val="none"/>
                      <w:lang w:val="en-US" w:eastAsia="zh-CN"/>
                    </w:rPr>
                  </w:pPr>
                  <w:r>
                    <w:rPr>
                      <w:rFonts w:hint="default"/>
                      <w:color w:val="auto"/>
                      <w:highlight w:val="none"/>
                      <w:lang w:val="en-US" w:eastAsia="zh-CN"/>
                    </w:rPr>
                    <w:t>/</w:t>
                  </w:r>
                </w:p>
              </w:tc>
              <w:tc>
                <w:tcPr>
                  <w:tcW w:w="775" w:type="pct"/>
                  <w:tcBorders>
                    <w:left w:val="single" w:color="auto" w:sz="2" w:space="0"/>
                    <w:right w:val="single" w:color="auto" w:sz="2" w:space="0"/>
                  </w:tcBorders>
                  <w:shd w:val="clear" w:color="auto" w:fill="auto"/>
                  <w:noWrap w:val="0"/>
                  <w:vAlign w:val="center"/>
                </w:tcPr>
                <w:p w14:paraId="52429FEB">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highlight w:val="none"/>
                      <w:lang w:val="en-US" w:eastAsia="zh-CN"/>
                    </w:rPr>
                  </w:pPr>
                  <w:r>
                    <w:rPr>
                      <w:rFonts w:hint="eastAsia"/>
                      <w:color w:val="auto"/>
                      <w:lang w:val="en-US" w:eastAsia="zh-CN"/>
                    </w:rPr>
                    <w:t>台</w:t>
                  </w:r>
                </w:p>
              </w:tc>
              <w:tc>
                <w:tcPr>
                  <w:tcW w:w="1028" w:type="pct"/>
                  <w:tcBorders>
                    <w:top w:val="single" w:color="auto" w:sz="2" w:space="0"/>
                    <w:left w:val="single" w:color="auto" w:sz="2" w:space="0"/>
                    <w:bottom w:val="single" w:color="auto" w:sz="2" w:space="0"/>
                  </w:tcBorders>
                  <w:shd w:val="clear" w:color="auto" w:fill="auto"/>
                  <w:noWrap w:val="0"/>
                  <w:vAlign w:val="center"/>
                </w:tcPr>
                <w:p w14:paraId="4708017D">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1</w:t>
                  </w:r>
                </w:p>
              </w:tc>
            </w:tr>
            <w:tr w14:paraId="00AEB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2" w:type="pct"/>
                  <w:noWrap w:val="0"/>
                  <w:vAlign w:val="center"/>
                </w:tcPr>
                <w:p w14:paraId="7263EA5B">
                  <w:pPr>
                    <w:pStyle w:val="30"/>
                    <w:bidi w:val="0"/>
                    <w:rPr>
                      <w:rFonts w:hint="default"/>
                      <w:color w:val="auto"/>
                      <w:highlight w:val="none"/>
                      <w:lang w:val="en-US" w:eastAsia="zh-CN"/>
                    </w:rPr>
                  </w:pPr>
                  <w:r>
                    <w:rPr>
                      <w:rFonts w:hint="default"/>
                      <w:color w:val="auto"/>
                      <w:highlight w:val="none"/>
                      <w:lang w:val="en-US" w:eastAsia="zh-CN"/>
                    </w:rPr>
                    <w:t>11</w:t>
                  </w:r>
                </w:p>
              </w:tc>
              <w:tc>
                <w:tcPr>
                  <w:tcW w:w="1678" w:type="pct"/>
                  <w:shd w:val="clear" w:color="auto" w:fill="auto"/>
                  <w:noWrap w:val="0"/>
                  <w:vAlign w:val="center"/>
                </w:tcPr>
                <w:p w14:paraId="6DBF72F3">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highlight w:val="none"/>
                      <w:lang w:val="en-US" w:eastAsia="zh-CN"/>
                    </w:rPr>
                  </w:pPr>
                  <w:r>
                    <w:rPr>
                      <w:rFonts w:hint="eastAsia"/>
                      <w:color w:val="auto"/>
                      <w:lang w:val="en-US" w:eastAsia="zh-CN"/>
                    </w:rPr>
                    <w:t>空调</w:t>
                  </w:r>
                </w:p>
              </w:tc>
              <w:tc>
                <w:tcPr>
                  <w:tcW w:w="1084" w:type="pct"/>
                  <w:tcBorders>
                    <w:left w:val="single" w:color="auto" w:sz="2" w:space="0"/>
                    <w:right w:val="single" w:color="auto" w:sz="2" w:space="0"/>
                  </w:tcBorders>
                  <w:shd w:val="clear" w:color="auto" w:fill="auto"/>
                  <w:noWrap w:val="0"/>
                  <w:vAlign w:val="center"/>
                </w:tcPr>
                <w:p w14:paraId="6DDA4F87">
                  <w:pPr>
                    <w:pStyle w:val="30"/>
                    <w:bidi w:val="0"/>
                    <w:rPr>
                      <w:rFonts w:hint="default" w:ascii="Times New Roman" w:hAnsi="Times New Roman" w:eastAsia="宋体" w:cs="Times New Roman"/>
                      <w:bCs/>
                      <w:snapToGrid w:val="0"/>
                      <w:color w:val="auto"/>
                      <w:spacing w:val="8"/>
                      <w:kern w:val="0"/>
                      <w:sz w:val="21"/>
                      <w:szCs w:val="72"/>
                      <w:highlight w:val="none"/>
                      <w:lang w:val="en-US" w:eastAsia="zh-CN"/>
                    </w:rPr>
                  </w:pPr>
                  <w:r>
                    <w:rPr>
                      <w:rFonts w:hint="default"/>
                      <w:color w:val="auto"/>
                      <w:highlight w:val="none"/>
                      <w:lang w:val="en-US" w:eastAsia="zh-CN"/>
                    </w:rPr>
                    <w:t>/</w:t>
                  </w:r>
                </w:p>
              </w:tc>
              <w:tc>
                <w:tcPr>
                  <w:tcW w:w="775" w:type="pct"/>
                  <w:tcBorders>
                    <w:left w:val="single" w:color="auto" w:sz="2" w:space="0"/>
                    <w:right w:val="single" w:color="auto" w:sz="2" w:space="0"/>
                  </w:tcBorders>
                  <w:shd w:val="clear" w:color="auto" w:fill="auto"/>
                  <w:noWrap w:val="0"/>
                  <w:vAlign w:val="center"/>
                </w:tcPr>
                <w:p w14:paraId="41A98883">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highlight w:val="none"/>
                      <w:lang w:val="en-US" w:eastAsia="zh-CN"/>
                    </w:rPr>
                  </w:pPr>
                  <w:r>
                    <w:rPr>
                      <w:rFonts w:hint="eastAsia"/>
                      <w:color w:val="auto"/>
                      <w:lang w:val="en-US" w:eastAsia="zh-CN"/>
                    </w:rPr>
                    <w:t>台</w:t>
                  </w:r>
                </w:p>
              </w:tc>
              <w:tc>
                <w:tcPr>
                  <w:tcW w:w="1028" w:type="pct"/>
                  <w:tcBorders>
                    <w:top w:val="single" w:color="auto" w:sz="2" w:space="0"/>
                    <w:left w:val="single" w:color="auto" w:sz="2" w:space="0"/>
                    <w:bottom w:val="single" w:color="auto" w:sz="2" w:space="0"/>
                  </w:tcBorders>
                  <w:shd w:val="clear" w:color="auto" w:fill="auto"/>
                  <w:noWrap w:val="0"/>
                  <w:vAlign w:val="center"/>
                </w:tcPr>
                <w:p w14:paraId="3F6C831E">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2</w:t>
                  </w:r>
                </w:p>
              </w:tc>
            </w:tr>
            <w:tr w14:paraId="0CF0D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2" w:type="pct"/>
                  <w:noWrap w:val="0"/>
                  <w:vAlign w:val="center"/>
                </w:tcPr>
                <w:p w14:paraId="0EC7E4A1">
                  <w:pPr>
                    <w:pStyle w:val="30"/>
                    <w:bidi w:val="0"/>
                    <w:rPr>
                      <w:rFonts w:hint="default"/>
                      <w:color w:val="auto"/>
                      <w:highlight w:val="none"/>
                      <w:lang w:val="en-US" w:eastAsia="zh-CN"/>
                    </w:rPr>
                  </w:pPr>
                  <w:r>
                    <w:rPr>
                      <w:rFonts w:hint="default"/>
                      <w:color w:val="auto"/>
                      <w:highlight w:val="none"/>
                      <w:lang w:val="en-US" w:eastAsia="zh-CN"/>
                    </w:rPr>
                    <w:t>12</w:t>
                  </w:r>
                </w:p>
              </w:tc>
              <w:tc>
                <w:tcPr>
                  <w:tcW w:w="1678" w:type="pct"/>
                  <w:shd w:val="clear" w:color="auto" w:fill="auto"/>
                  <w:noWrap w:val="0"/>
                  <w:vAlign w:val="center"/>
                </w:tcPr>
                <w:p w14:paraId="4117DEB0">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highlight w:val="none"/>
                      <w:lang w:val="en-US" w:eastAsia="zh-CN"/>
                    </w:rPr>
                  </w:pPr>
                  <w:r>
                    <w:rPr>
                      <w:rFonts w:hint="eastAsia"/>
                      <w:color w:val="auto"/>
                      <w:lang w:val="en-US" w:eastAsia="zh-CN"/>
                    </w:rPr>
                    <w:t>洗衣机</w:t>
                  </w:r>
                </w:p>
              </w:tc>
              <w:tc>
                <w:tcPr>
                  <w:tcW w:w="1084" w:type="pct"/>
                  <w:tcBorders>
                    <w:left w:val="single" w:color="auto" w:sz="2" w:space="0"/>
                    <w:right w:val="single" w:color="auto" w:sz="2" w:space="0"/>
                  </w:tcBorders>
                  <w:shd w:val="clear" w:color="auto" w:fill="auto"/>
                  <w:noWrap w:val="0"/>
                  <w:vAlign w:val="center"/>
                </w:tcPr>
                <w:p w14:paraId="4D67B46C">
                  <w:pPr>
                    <w:pStyle w:val="30"/>
                    <w:bidi w:val="0"/>
                    <w:rPr>
                      <w:rFonts w:hint="default" w:ascii="Times New Roman" w:hAnsi="Times New Roman" w:eastAsia="宋体" w:cs="Times New Roman"/>
                      <w:bCs/>
                      <w:snapToGrid w:val="0"/>
                      <w:color w:val="auto"/>
                      <w:spacing w:val="8"/>
                      <w:kern w:val="0"/>
                      <w:sz w:val="21"/>
                      <w:szCs w:val="72"/>
                      <w:highlight w:val="none"/>
                      <w:lang w:val="en-US" w:eastAsia="zh-CN"/>
                    </w:rPr>
                  </w:pPr>
                  <w:r>
                    <w:rPr>
                      <w:rFonts w:hint="default"/>
                      <w:color w:val="auto"/>
                      <w:highlight w:val="none"/>
                      <w:lang w:val="en-US" w:eastAsia="zh-CN"/>
                    </w:rPr>
                    <w:t>/</w:t>
                  </w:r>
                </w:p>
              </w:tc>
              <w:tc>
                <w:tcPr>
                  <w:tcW w:w="775" w:type="pct"/>
                  <w:tcBorders>
                    <w:left w:val="single" w:color="auto" w:sz="2" w:space="0"/>
                    <w:right w:val="single" w:color="auto" w:sz="2" w:space="0"/>
                  </w:tcBorders>
                  <w:shd w:val="clear" w:color="auto" w:fill="auto"/>
                  <w:noWrap w:val="0"/>
                  <w:vAlign w:val="center"/>
                </w:tcPr>
                <w:p w14:paraId="1B0CB264">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highlight w:val="none"/>
                      <w:lang w:val="en-US" w:eastAsia="zh-CN"/>
                    </w:rPr>
                  </w:pPr>
                  <w:r>
                    <w:rPr>
                      <w:rFonts w:hint="eastAsia"/>
                      <w:color w:val="auto"/>
                      <w:lang w:val="en-US" w:eastAsia="zh-CN"/>
                    </w:rPr>
                    <w:t>台</w:t>
                  </w:r>
                </w:p>
              </w:tc>
              <w:tc>
                <w:tcPr>
                  <w:tcW w:w="1028" w:type="pct"/>
                  <w:tcBorders>
                    <w:top w:val="single" w:color="auto" w:sz="2" w:space="0"/>
                    <w:left w:val="single" w:color="auto" w:sz="2" w:space="0"/>
                    <w:bottom w:val="single" w:color="auto" w:sz="2" w:space="0"/>
                  </w:tcBorders>
                  <w:shd w:val="clear" w:color="auto" w:fill="auto"/>
                  <w:noWrap w:val="0"/>
                  <w:vAlign w:val="center"/>
                </w:tcPr>
                <w:p w14:paraId="641752FA">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1</w:t>
                  </w:r>
                </w:p>
              </w:tc>
            </w:tr>
            <w:tr w14:paraId="47776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2" w:type="pct"/>
                  <w:noWrap w:val="0"/>
                  <w:vAlign w:val="center"/>
                </w:tcPr>
                <w:p w14:paraId="5D1476B5">
                  <w:pPr>
                    <w:pStyle w:val="30"/>
                    <w:bidi w:val="0"/>
                    <w:rPr>
                      <w:rFonts w:hint="default"/>
                      <w:color w:val="auto"/>
                      <w:highlight w:val="none"/>
                      <w:lang w:val="en-US" w:eastAsia="zh-CN"/>
                    </w:rPr>
                  </w:pPr>
                  <w:r>
                    <w:rPr>
                      <w:rFonts w:hint="default"/>
                      <w:color w:val="auto"/>
                      <w:highlight w:val="none"/>
                      <w:lang w:val="en-US" w:eastAsia="zh-CN"/>
                    </w:rPr>
                    <w:t>13</w:t>
                  </w:r>
                </w:p>
              </w:tc>
              <w:tc>
                <w:tcPr>
                  <w:tcW w:w="1678" w:type="pct"/>
                  <w:shd w:val="clear" w:color="auto" w:fill="auto"/>
                  <w:noWrap w:val="0"/>
                  <w:vAlign w:val="center"/>
                </w:tcPr>
                <w:p w14:paraId="1724C94B">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highlight w:val="none"/>
                      <w:lang w:val="en-US" w:eastAsia="zh-CN"/>
                    </w:rPr>
                  </w:pPr>
                  <w:r>
                    <w:rPr>
                      <w:rFonts w:hint="eastAsia"/>
                      <w:color w:val="auto"/>
                      <w:lang w:val="en-US" w:eastAsia="zh-CN"/>
                    </w:rPr>
                    <w:t>迈瑞彩超机</w:t>
                  </w:r>
                </w:p>
              </w:tc>
              <w:tc>
                <w:tcPr>
                  <w:tcW w:w="1084" w:type="pct"/>
                  <w:tcBorders>
                    <w:left w:val="single" w:color="auto" w:sz="2" w:space="0"/>
                    <w:right w:val="single" w:color="auto" w:sz="2" w:space="0"/>
                  </w:tcBorders>
                  <w:shd w:val="clear" w:color="auto" w:fill="auto"/>
                  <w:noWrap w:val="0"/>
                  <w:vAlign w:val="center"/>
                </w:tcPr>
                <w:p w14:paraId="603A1CEA">
                  <w:pPr>
                    <w:pStyle w:val="30"/>
                    <w:bidi w:val="0"/>
                    <w:rPr>
                      <w:rFonts w:hint="default" w:ascii="Times New Roman" w:hAnsi="Times New Roman" w:eastAsia="宋体" w:cs="Times New Roman"/>
                      <w:bCs/>
                      <w:snapToGrid w:val="0"/>
                      <w:color w:val="auto"/>
                      <w:spacing w:val="8"/>
                      <w:kern w:val="0"/>
                      <w:sz w:val="21"/>
                      <w:szCs w:val="72"/>
                      <w:highlight w:val="none"/>
                      <w:lang w:val="en-US" w:eastAsia="zh-CN"/>
                    </w:rPr>
                  </w:pPr>
                  <w:r>
                    <w:rPr>
                      <w:rFonts w:hint="default"/>
                      <w:color w:val="auto"/>
                      <w:highlight w:val="none"/>
                      <w:lang w:val="en-US" w:eastAsia="zh-CN"/>
                    </w:rPr>
                    <w:t>/</w:t>
                  </w:r>
                </w:p>
              </w:tc>
              <w:tc>
                <w:tcPr>
                  <w:tcW w:w="775" w:type="pct"/>
                  <w:tcBorders>
                    <w:left w:val="single" w:color="auto" w:sz="2" w:space="0"/>
                    <w:right w:val="single" w:color="auto" w:sz="2" w:space="0"/>
                  </w:tcBorders>
                  <w:shd w:val="clear" w:color="auto" w:fill="auto"/>
                  <w:noWrap w:val="0"/>
                  <w:vAlign w:val="center"/>
                </w:tcPr>
                <w:p w14:paraId="4D3BA6B8">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highlight w:val="none"/>
                      <w:lang w:val="en-US" w:eastAsia="zh-CN"/>
                    </w:rPr>
                  </w:pPr>
                  <w:r>
                    <w:rPr>
                      <w:rFonts w:hint="eastAsia"/>
                      <w:color w:val="auto"/>
                      <w:lang w:val="en-US" w:eastAsia="zh-CN"/>
                    </w:rPr>
                    <w:t>台</w:t>
                  </w:r>
                </w:p>
              </w:tc>
              <w:tc>
                <w:tcPr>
                  <w:tcW w:w="1028" w:type="pct"/>
                  <w:tcBorders>
                    <w:top w:val="single" w:color="auto" w:sz="2" w:space="0"/>
                    <w:left w:val="single" w:color="auto" w:sz="2" w:space="0"/>
                    <w:bottom w:val="single" w:color="auto" w:sz="2" w:space="0"/>
                  </w:tcBorders>
                  <w:shd w:val="clear" w:color="auto" w:fill="auto"/>
                  <w:noWrap w:val="0"/>
                  <w:vAlign w:val="center"/>
                </w:tcPr>
                <w:p w14:paraId="6A01FF31">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1</w:t>
                  </w:r>
                </w:p>
              </w:tc>
            </w:tr>
            <w:tr w14:paraId="45E72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2" w:type="pct"/>
                  <w:noWrap w:val="0"/>
                  <w:vAlign w:val="center"/>
                </w:tcPr>
                <w:p w14:paraId="3C54E683">
                  <w:pPr>
                    <w:pStyle w:val="30"/>
                    <w:bidi w:val="0"/>
                    <w:rPr>
                      <w:rFonts w:hint="default"/>
                      <w:color w:val="auto"/>
                      <w:highlight w:val="none"/>
                      <w:lang w:val="en-US" w:eastAsia="zh-CN"/>
                    </w:rPr>
                  </w:pPr>
                  <w:r>
                    <w:rPr>
                      <w:rFonts w:hint="default"/>
                      <w:color w:val="auto"/>
                      <w:highlight w:val="none"/>
                      <w:lang w:val="en-US" w:eastAsia="zh-CN"/>
                    </w:rPr>
                    <w:t>14</w:t>
                  </w:r>
                </w:p>
              </w:tc>
              <w:tc>
                <w:tcPr>
                  <w:tcW w:w="1678" w:type="pct"/>
                  <w:shd w:val="clear" w:color="auto" w:fill="auto"/>
                  <w:noWrap w:val="0"/>
                  <w:vAlign w:val="center"/>
                </w:tcPr>
                <w:p w14:paraId="3C6E8869">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highlight w:val="none"/>
                      <w:lang w:val="en-US" w:eastAsia="zh-CN"/>
                    </w:rPr>
                  </w:pPr>
                  <w:r>
                    <w:rPr>
                      <w:rFonts w:hint="eastAsia"/>
                      <w:color w:val="auto"/>
                      <w:lang w:val="en-US" w:eastAsia="zh-CN"/>
                    </w:rPr>
                    <w:t>血球仪</w:t>
                  </w:r>
                </w:p>
              </w:tc>
              <w:tc>
                <w:tcPr>
                  <w:tcW w:w="1084" w:type="pct"/>
                  <w:tcBorders>
                    <w:left w:val="single" w:color="auto" w:sz="2" w:space="0"/>
                    <w:right w:val="single" w:color="auto" w:sz="2" w:space="0"/>
                  </w:tcBorders>
                  <w:shd w:val="clear" w:color="auto" w:fill="auto"/>
                  <w:noWrap w:val="0"/>
                  <w:vAlign w:val="center"/>
                </w:tcPr>
                <w:p w14:paraId="7841A84B">
                  <w:pPr>
                    <w:pStyle w:val="30"/>
                    <w:bidi w:val="0"/>
                    <w:rPr>
                      <w:rFonts w:hint="default" w:ascii="Times New Roman" w:hAnsi="Times New Roman" w:eastAsia="宋体" w:cs="Times New Roman"/>
                      <w:bCs/>
                      <w:snapToGrid w:val="0"/>
                      <w:color w:val="auto"/>
                      <w:spacing w:val="8"/>
                      <w:kern w:val="0"/>
                      <w:sz w:val="21"/>
                      <w:szCs w:val="72"/>
                      <w:highlight w:val="none"/>
                      <w:lang w:val="en-US" w:eastAsia="zh-CN"/>
                    </w:rPr>
                  </w:pPr>
                  <w:r>
                    <w:rPr>
                      <w:rFonts w:hint="default"/>
                      <w:color w:val="auto"/>
                      <w:highlight w:val="none"/>
                      <w:lang w:val="en-US" w:eastAsia="zh-CN"/>
                    </w:rPr>
                    <w:t>/</w:t>
                  </w:r>
                </w:p>
              </w:tc>
              <w:tc>
                <w:tcPr>
                  <w:tcW w:w="775" w:type="pct"/>
                  <w:tcBorders>
                    <w:left w:val="single" w:color="auto" w:sz="2" w:space="0"/>
                    <w:right w:val="single" w:color="auto" w:sz="2" w:space="0"/>
                  </w:tcBorders>
                  <w:shd w:val="clear" w:color="auto" w:fill="auto"/>
                  <w:noWrap w:val="0"/>
                  <w:vAlign w:val="center"/>
                </w:tcPr>
                <w:p w14:paraId="54A6DCB8">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highlight w:val="none"/>
                      <w:lang w:val="en-US" w:eastAsia="zh-CN"/>
                    </w:rPr>
                  </w:pPr>
                  <w:r>
                    <w:rPr>
                      <w:rFonts w:hint="eastAsia"/>
                      <w:color w:val="auto"/>
                      <w:lang w:val="en-US" w:eastAsia="zh-CN"/>
                    </w:rPr>
                    <w:t>台</w:t>
                  </w:r>
                </w:p>
              </w:tc>
              <w:tc>
                <w:tcPr>
                  <w:tcW w:w="1028" w:type="pct"/>
                  <w:tcBorders>
                    <w:top w:val="single" w:color="auto" w:sz="2" w:space="0"/>
                    <w:left w:val="single" w:color="auto" w:sz="2" w:space="0"/>
                    <w:bottom w:val="single" w:color="auto" w:sz="2" w:space="0"/>
                  </w:tcBorders>
                  <w:shd w:val="clear" w:color="auto" w:fill="auto"/>
                  <w:noWrap w:val="0"/>
                  <w:vAlign w:val="center"/>
                </w:tcPr>
                <w:p w14:paraId="5A29C242">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1</w:t>
                  </w:r>
                </w:p>
              </w:tc>
            </w:tr>
            <w:tr w14:paraId="2E5BF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2" w:type="pct"/>
                  <w:noWrap w:val="0"/>
                  <w:vAlign w:val="center"/>
                </w:tcPr>
                <w:p w14:paraId="5B0622FD">
                  <w:pPr>
                    <w:pStyle w:val="30"/>
                    <w:bidi w:val="0"/>
                    <w:rPr>
                      <w:rFonts w:hint="default"/>
                      <w:color w:val="auto"/>
                      <w:highlight w:val="none"/>
                      <w:lang w:val="en-US" w:eastAsia="zh-CN"/>
                    </w:rPr>
                  </w:pPr>
                  <w:r>
                    <w:rPr>
                      <w:rFonts w:hint="default"/>
                      <w:color w:val="auto"/>
                      <w:highlight w:val="none"/>
                      <w:lang w:val="en-US" w:eastAsia="zh-CN"/>
                    </w:rPr>
                    <w:t>15</w:t>
                  </w:r>
                </w:p>
              </w:tc>
              <w:tc>
                <w:tcPr>
                  <w:tcW w:w="1678" w:type="pct"/>
                  <w:shd w:val="clear" w:color="auto" w:fill="auto"/>
                  <w:noWrap w:val="0"/>
                  <w:vAlign w:val="center"/>
                </w:tcPr>
                <w:p w14:paraId="6B3B1132">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highlight w:val="none"/>
                      <w:lang w:val="en-US" w:eastAsia="zh-CN"/>
                    </w:rPr>
                  </w:pPr>
                  <w:r>
                    <w:rPr>
                      <w:rFonts w:hint="eastAsia"/>
                      <w:color w:val="auto"/>
                      <w:lang w:val="en-US" w:eastAsia="zh-CN"/>
                    </w:rPr>
                    <w:t>离心机</w:t>
                  </w:r>
                </w:p>
              </w:tc>
              <w:tc>
                <w:tcPr>
                  <w:tcW w:w="1084" w:type="pct"/>
                  <w:tcBorders>
                    <w:left w:val="single" w:color="auto" w:sz="2" w:space="0"/>
                    <w:right w:val="single" w:color="auto" w:sz="2" w:space="0"/>
                  </w:tcBorders>
                  <w:shd w:val="clear" w:color="auto" w:fill="auto"/>
                  <w:noWrap w:val="0"/>
                  <w:vAlign w:val="center"/>
                </w:tcPr>
                <w:p w14:paraId="19CB51E2">
                  <w:pPr>
                    <w:pStyle w:val="30"/>
                    <w:bidi w:val="0"/>
                    <w:rPr>
                      <w:rFonts w:hint="default" w:ascii="Times New Roman" w:hAnsi="Times New Roman" w:eastAsia="宋体" w:cs="Times New Roman"/>
                      <w:bCs/>
                      <w:snapToGrid w:val="0"/>
                      <w:color w:val="auto"/>
                      <w:spacing w:val="8"/>
                      <w:kern w:val="0"/>
                      <w:sz w:val="21"/>
                      <w:szCs w:val="72"/>
                      <w:highlight w:val="none"/>
                      <w:lang w:val="en-US" w:eastAsia="zh-CN"/>
                    </w:rPr>
                  </w:pPr>
                  <w:r>
                    <w:rPr>
                      <w:rFonts w:hint="default"/>
                      <w:color w:val="auto"/>
                      <w:highlight w:val="none"/>
                      <w:lang w:val="en-US" w:eastAsia="zh-CN"/>
                    </w:rPr>
                    <w:t>/</w:t>
                  </w:r>
                </w:p>
              </w:tc>
              <w:tc>
                <w:tcPr>
                  <w:tcW w:w="775" w:type="pct"/>
                  <w:tcBorders>
                    <w:left w:val="single" w:color="auto" w:sz="2" w:space="0"/>
                    <w:right w:val="single" w:color="auto" w:sz="2" w:space="0"/>
                  </w:tcBorders>
                  <w:shd w:val="clear" w:color="auto" w:fill="auto"/>
                  <w:noWrap w:val="0"/>
                  <w:vAlign w:val="center"/>
                </w:tcPr>
                <w:p w14:paraId="61D267D0">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highlight w:val="none"/>
                      <w:lang w:val="en-US" w:eastAsia="zh-CN"/>
                    </w:rPr>
                  </w:pPr>
                  <w:r>
                    <w:rPr>
                      <w:rFonts w:hint="eastAsia"/>
                      <w:color w:val="auto"/>
                      <w:lang w:val="en-US" w:eastAsia="zh-CN"/>
                    </w:rPr>
                    <w:t>台</w:t>
                  </w:r>
                </w:p>
              </w:tc>
              <w:tc>
                <w:tcPr>
                  <w:tcW w:w="1028" w:type="pct"/>
                  <w:tcBorders>
                    <w:top w:val="single" w:color="auto" w:sz="2" w:space="0"/>
                    <w:left w:val="single" w:color="auto" w:sz="2" w:space="0"/>
                    <w:bottom w:val="single" w:color="auto" w:sz="2" w:space="0"/>
                  </w:tcBorders>
                  <w:shd w:val="clear" w:color="auto" w:fill="auto"/>
                  <w:noWrap w:val="0"/>
                  <w:vAlign w:val="center"/>
                </w:tcPr>
                <w:p w14:paraId="11226AA6">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1</w:t>
                  </w:r>
                </w:p>
              </w:tc>
            </w:tr>
            <w:tr w14:paraId="0D5E2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2" w:type="pct"/>
                  <w:noWrap w:val="0"/>
                  <w:vAlign w:val="center"/>
                </w:tcPr>
                <w:p w14:paraId="256E8F52">
                  <w:pPr>
                    <w:pStyle w:val="30"/>
                    <w:bidi w:val="0"/>
                    <w:rPr>
                      <w:rFonts w:hint="default"/>
                      <w:color w:val="auto"/>
                      <w:highlight w:val="none"/>
                      <w:lang w:val="en-US" w:eastAsia="zh-CN"/>
                    </w:rPr>
                  </w:pPr>
                  <w:r>
                    <w:rPr>
                      <w:rFonts w:hint="default"/>
                      <w:color w:val="auto"/>
                      <w:highlight w:val="none"/>
                      <w:lang w:val="en-US" w:eastAsia="zh-CN"/>
                    </w:rPr>
                    <w:t>16</w:t>
                  </w:r>
                </w:p>
              </w:tc>
              <w:tc>
                <w:tcPr>
                  <w:tcW w:w="1678" w:type="pct"/>
                  <w:shd w:val="clear" w:color="auto" w:fill="auto"/>
                  <w:noWrap w:val="0"/>
                  <w:vAlign w:val="center"/>
                </w:tcPr>
                <w:p w14:paraId="68E4A3F2">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highlight w:val="none"/>
                      <w:lang w:val="en-US" w:eastAsia="zh-CN"/>
                    </w:rPr>
                  </w:pPr>
                  <w:r>
                    <w:rPr>
                      <w:rFonts w:hint="eastAsia"/>
                      <w:color w:val="auto"/>
                      <w:lang w:val="en-US" w:eastAsia="zh-CN"/>
                    </w:rPr>
                    <w:t>手术无影灯</w:t>
                  </w:r>
                </w:p>
              </w:tc>
              <w:tc>
                <w:tcPr>
                  <w:tcW w:w="1084" w:type="pct"/>
                  <w:tcBorders>
                    <w:left w:val="single" w:color="auto" w:sz="2" w:space="0"/>
                    <w:right w:val="single" w:color="auto" w:sz="2" w:space="0"/>
                  </w:tcBorders>
                  <w:shd w:val="clear" w:color="auto" w:fill="auto"/>
                  <w:noWrap w:val="0"/>
                  <w:vAlign w:val="center"/>
                </w:tcPr>
                <w:p w14:paraId="09568A1A">
                  <w:pPr>
                    <w:pStyle w:val="30"/>
                    <w:bidi w:val="0"/>
                    <w:rPr>
                      <w:rFonts w:hint="default" w:ascii="Times New Roman" w:hAnsi="Times New Roman" w:eastAsia="宋体" w:cs="Times New Roman"/>
                      <w:bCs/>
                      <w:snapToGrid w:val="0"/>
                      <w:color w:val="auto"/>
                      <w:spacing w:val="8"/>
                      <w:kern w:val="0"/>
                      <w:sz w:val="21"/>
                      <w:szCs w:val="72"/>
                      <w:highlight w:val="none"/>
                      <w:lang w:val="en-US" w:eastAsia="zh-CN"/>
                    </w:rPr>
                  </w:pPr>
                  <w:r>
                    <w:rPr>
                      <w:rFonts w:hint="default"/>
                      <w:color w:val="auto"/>
                      <w:highlight w:val="none"/>
                      <w:lang w:val="en-US" w:eastAsia="zh-CN"/>
                    </w:rPr>
                    <w:t>/</w:t>
                  </w:r>
                </w:p>
              </w:tc>
              <w:tc>
                <w:tcPr>
                  <w:tcW w:w="775" w:type="pct"/>
                  <w:tcBorders>
                    <w:left w:val="single" w:color="auto" w:sz="2" w:space="0"/>
                    <w:right w:val="single" w:color="auto" w:sz="2" w:space="0"/>
                  </w:tcBorders>
                  <w:shd w:val="clear" w:color="auto" w:fill="auto"/>
                  <w:noWrap w:val="0"/>
                  <w:vAlign w:val="center"/>
                </w:tcPr>
                <w:p w14:paraId="09BA77B2">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highlight w:val="none"/>
                      <w:lang w:val="en-US" w:eastAsia="zh-CN"/>
                    </w:rPr>
                  </w:pPr>
                  <w:r>
                    <w:rPr>
                      <w:rFonts w:hint="eastAsia"/>
                      <w:color w:val="auto"/>
                      <w:lang w:val="en-US" w:eastAsia="zh-CN"/>
                    </w:rPr>
                    <w:t>台</w:t>
                  </w:r>
                </w:p>
              </w:tc>
              <w:tc>
                <w:tcPr>
                  <w:tcW w:w="1028" w:type="pct"/>
                  <w:tcBorders>
                    <w:top w:val="single" w:color="auto" w:sz="2" w:space="0"/>
                    <w:left w:val="single" w:color="auto" w:sz="2" w:space="0"/>
                    <w:bottom w:val="single" w:color="auto" w:sz="2" w:space="0"/>
                  </w:tcBorders>
                  <w:shd w:val="clear" w:color="auto" w:fill="auto"/>
                  <w:noWrap w:val="0"/>
                  <w:vAlign w:val="center"/>
                </w:tcPr>
                <w:p w14:paraId="74AA38C0">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1</w:t>
                  </w:r>
                </w:p>
              </w:tc>
            </w:tr>
            <w:tr w14:paraId="701B6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2" w:type="pct"/>
                  <w:noWrap w:val="0"/>
                  <w:vAlign w:val="center"/>
                </w:tcPr>
                <w:p w14:paraId="76013940">
                  <w:pPr>
                    <w:pStyle w:val="30"/>
                    <w:bidi w:val="0"/>
                    <w:rPr>
                      <w:rFonts w:hint="default"/>
                      <w:color w:val="auto"/>
                      <w:highlight w:val="none"/>
                      <w:lang w:val="en-US" w:eastAsia="zh-CN"/>
                    </w:rPr>
                  </w:pPr>
                  <w:r>
                    <w:rPr>
                      <w:rFonts w:hint="default"/>
                      <w:color w:val="auto"/>
                      <w:highlight w:val="none"/>
                      <w:lang w:val="en-US" w:eastAsia="zh-CN"/>
                    </w:rPr>
                    <w:t>17</w:t>
                  </w:r>
                </w:p>
              </w:tc>
              <w:tc>
                <w:tcPr>
                  <w:tcW w:w="1678" w:type="pct"/>
                  <w:shd w:val="clear" w:color="auto" w:fill="auto"/>
                  <w:noWrap w:val="0"/>
                  <w:vAlign w:val="center"/>
                </w:tcPr>
                <w:p w14:paraId="353D208B">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highlight w:val="none"/>
                      <w:lang w:val="en-US" w:eastAsia="zh-CN"/>
                    </w:rPr>
                  </w:pPr>
                  <w:r>
                    <w:rPr>
                      <w:rFonts w:hint="eastAsia"/>
                      <w:color w:val="auto"/>
                      <w:lang w:val="en-US" w:eastAsia="zh-CN"/>
                    </w:rPr>
                    <w:t>小动物中型输液笼</w:t>
                  </w:r>
                </w:p>
              </w:tc>
              <w:tc>
                <w:tcPr>
                  <w:tcW w:w="1084" w:type="pct"/>
                  <w:tcBorders>
                    <w:left w:val="single" w:color="auto" w:sz="2" w:space="0"/>
                    <w:right w:val="single" w:color="auto" w:sz="2" w:space="0"/>
                  </w:tcBorders>
                  <w:shd w:val="clear" w:color="auto" w:fill="auto"/>
                  <w:noWrap w:val="0"/>
                  <w:vAlign w:val="center"/>
                </w:tcPr>
                <w:p w14:paraId="658A3B6E">
                  <w:pPr>
                    <w:pStyle w:val="30"/>
                    <w:bidi w:val="0"/>
                    <w:rPr>
                      <w:rFonts w:hint="default" w:ascii="Times New Roman" w:hAnsi="Times New Roman" w:eastAsia="宋体" w:cs="Times New Roman"/>
                      <w:bCs/>
                      <w:snapToGrid w:val="0"/>
                      <w:color w:val="auto"/>
                      <w:spacing w:val="8"/>
                      <w:kern w:val="0"/>
                      <w:sz w:val="21"/>
                      <w:szCs w:val="72"/>
                      <w:highlight w:val="none"/>
                      <w:lang w:val="en-US" w:eastAsia="zh-CN"/>
                    </w:rPr>
                  </w:pPr>
                  <w:r>
                    <w:rPr>
                      <w:rFonts w:hint="default"/>
                      <w:color w:val="auto"/>
                      <w:highlight w:val="none"/>
                      <w:lang w:val="en-US" w:eastAsia="zh-CN"/>
                    </w:rPr>
                    <w:t>/</w:t>
                  </w:r>
                </w:p>
              </w:tc>
              <w:tc>
                <w:tcPr>
                  <w:tcW w:w="775" w:type="pct"/>
                  <w:tcBorders>
                    <w:left w:val="single" w:color="auto" w:sz="2" w:space="0"/>
                    <w:right w:val="single" w:color="auto" w:sz="2" w:space="0"/>
                  </w:tcBorders>
                  <w:shd w:val="clear" w:color="auto" w:fill="auto"/>
                  <w:noWrap w:val="0"/>
                  <w:vAlign w:val="center"/>
                </w:tcPr>
                <w:p w14:paraId="63CBC356">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highlight w:val="none"/>
                      <w:lang w:val="en-US" w:eastAsia="zh-CN"/>
                    </w:rPr>
                  </w:pPr>
                  <w:r>
                    <w:rPr>
                      <w:rFonts w:hint="eastAsia"/>
                      <w:color w:val="auto"/>
                      <w:lang w:val="en-US" w:eastAsia="zh-CN"/>
                    </w:rPr>
                    <w:t>台</w:t>
                  </w:r>
                </w:p>
              </w:tc>
              <w:tc>
                <w:tcPr>
                  <w:tcW w:w="1028" w:type="pct"/>
                  <w:tcBorders>
                    <w:top w:val="single" w:color="auto" w:sz="2" w:space="0"/>
                    <w:left w:val="single" w:color="auto" w:sz="2" w:space="0"/>
                    <w:bottom w:val="single" w:color="auto" w:sz="2" w:space="0"/>
                  </w:tcBorders>
                  <w:shd w:val="clear" w:color="auto" w:fill="auto"/>
                  <w:noWrap w:val="0"/>
                  <w:vAlign w:val="center"/>
                </w:tcPr>
                <w:p w14:paraId="5285ADB3">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5</w:t>
                  </w:r>
                </w:p>
              </w:tc>
            </w:tr>
            <w:tr w14:paraId="4A435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2" w:type="pct"/>
                  <w:noWrap w:val="0"/>
                  <w:vAlign w:val="center"/>
                </w:tcPr>
                <w:p w14:paraId="3CC16A4E">
                  <w:pPr>
                    <w:pStyle w:val="30"/>
                    <w:bidi w:val="0"/>
                    <w:rPr>
                      <w:rFonts w:hint="default"/>
                      <w:color w:val="auto"/>
                      <w:highlight w:val="none"/>
                      <w:lang w:val="en-US" w:eastAsia="zh-CN"/>
                    </w:rPr>
                  </w:pPr>
                  <w:r>
                    <w:rPr>
                      <w:rFonts w:hint="default"/>
                      <w:color w:val="auto"/>
                      <w:highlight w:val="none"/>
                      <w:lang w:val="en-US" w:eastAsia="zh-CN"/>
                    </w:rPr>
                    <w:t>18</w:t>
                  </w:r>
                </w:p>
              </w:tc>
              <w:tc>
                <w:tcPr>
                  <w:tcW w:w="1678" w:type="pct"/>
                  <w:shd w:val="clear" w:color="auto" w:fill="auto"/>
                  <w:noWrap w:val="0"/>
                  <w:vAlign w:val="center"/>
                </w:tcPr>
                <w:p w14:paraId="343E311F">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highlight w:val="none"/>
                      <w:lang w:val="en-US" w:eastAsia="zh-CN"/>
                    </w:rPr>
                  </w:pPr>
                  <w:r>
                    <w:rPr>
                      <w:rFonts w:hint="eastAsia"/>
                      <w:color w:val="auto"/>
                      <w:lang w:val="en-US" w:eastAsia="zh-CN"/>
                    </w:rPr>
                    <w:t>小动物免疫台</w:t>
                  </w:r>
                </w:p>
              </w:tc>
              <w:tc>
                <w:tcPr>
                  <w:tcW w:w="1084" w:type="pct"/>
                  <w:tcBorders>
                    <w:left w:val="single" w:color="auto" w:sz="2" w:space="0"/>
                    <w:right w:val="single" w:color="auto" w:sz="2" w:space="0"/>
                  </w:tcBorders>
                  <w:shd w:val="clear" w:color="auto" w:fill="auto"/>
                  <w:noWrap w:val="0"/>
                  <w:vAlign w:val="center"/>
                </w:tcPr>
                <w:p w14:paraId="3412AAB3">
                  <w:pPr>
                    <w:pStyle w:val="30"/>
                    <w:bidi w:val="0"/>
                    <w:rPr>
                      <w:rFonts w:hint="default" w:ascii="Times New Roman" w:hAnsi="Times New Roman" w:eastAsia="宋体" w:cs="Times New Roman"/>
                      <w:bCs/>
                      <w:snapToGrid w:val="0"/>
                      <w:color w:val="auto"/>
                      <w:spacing w:val="8"/>
                      <w:kern w:val="0"/>
                      <w:sz w:val="21"/>
                      <w:szCs w:val="72"/>
                      <w:highlight w:val="none"/>
                      <w:lang w:val="en-US" w:eastAsia="zh-CN"/>
                    </w:rPr>
                  </w:pPr>
                  <w:r>
                    <w:rPr>
                      <w:rFonts w:hint="default"/>
                      <w:color w:val="auto"/>
                      <w:highlight w:val="none"/>
                      <w:lang w:val="en-US" w:eastAsia="zh-CN"/>
                    </w:rPr>
                    <w:t>/</w:t>
                  </w:r>
                </w:p>
              </w:tc>
              <w:tc>
                <w:tcPr>
                  <w:tcW w:w="775" w:type="pct"/>
                  <w:tcBorders>
                    <w:left w:val="single" w:color="auto" w:sz="2" w:space="0"/>
                    <w:right w:val="single" w:color="auto" w:sz="2" w:space="0"/>
                  </w:tcBorders>
                  <w:shd w:val="clear" w:color="auto" w:fill="auto"/>
                  <w:noWrap w:val="0"/>
                  <w:vAlign w:val="center"/>
                </w:tcPr>
                <w:p w14:paraId="549A9B99">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highlight w:val="none"/>
                      <w:lang w:val="en-US" w:eastAsia="zh-CN"/>
                    </w:rPr>
                  </w:pPr>
                  <w:r>
                    <w:rPr>
                      <w:rFonts w:hint="eastAsia"/>
                      <w:color w:val="auto"/>
                      <w:lang w:val="en-US" w:eastAsia="zh-CN"/>
                    </w:rPr>
                    <w:t>台</w:t>
                  </w:r>
                </w:p>
              </w:tc>
              <w:tc>
                <w:tcPr>
                  <w:tcW w:w="1028" w:type="pct"/>
                  <w:tcBorders>
                    <w:top w:val="single" w:color="auto" w:sz="2" w:space="0"/>
                    <w:left w:val="single" w:color="auto" w:sz="2" w:space="0"/>
                    <w:bottom w:val="single" w:color="auto" w:sz="2" w:space="0"/>
                  </w:tcBorders>
                  <w:shd w:val="clear" w:color="auto" w:fill="auto"/>
                  <w:noWrap w:val="0"/>
                  <w:vAlign w:val="center"/>
                </w:tcPr>
                <w:p w14:paraId="7583F6BE">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1</w:t>
                  </w:r>
                </w:p>
              </w:tc>
            </w:tr>
            <w:tr w14:paraId="4D308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2" w:type="pct"/>
                  <w:noWrap w:val="0"/>
                  <w:vAlign w:val="center"/>
                </w:tcPr>
                <w:p w14:paraId="230D23A4">
                  <w:pPr>
                    <w:pStyle w:val="30"/>
                    <w:bidi w:val="0"/>
                    <w:rPr>
                      <w:rFonts w:hint="default"/>
                      <w:color w:val="auto"/>
                      <w:highlight w:val="none"/>
                      <w:lang w:val="en-US" w:eastAsia="zh-CN"/>
                    </w:rPr>
                  </w:pPr>
                  <w:r>
                    <w:rPr>
                      <w:rFonts w:hint="default"/>
                      <w:color w:val="auto"/>
                      <w:highlight w:val="none"/>
                      <w:lang w:val="en-US" w:eastAsia="zh-CN"/>
                    </w:rPr>
                    <w:t>19</w:t>
                  </w:r>
                </w:p>
              </w:tc>
              <w:tc>
                <w:tcPr>
                  <w:tcW w:w="1678" w:type="pct"/>
                  <w:shd w:val="clear" w:color="auto" w:fill="auto"/>
                  <w:noWrap w:val="0"/>
                  <w:vAlign w:val="center"/>
                </w:tcPr>
                <w:p w14:paraId="2452867E">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highlight w:val="none"/>
                      <w:lang w:val="en-US" w:eastAsia="zh-CN"/>
                    </w:rPr>
                  </w:pPr>
                  <w:r>
                    <w:rPr>
                      <w:rFonts w:hint="eastAsia"/>
                      <w:color w:val="auto"/>
                      <w:lang w:val="en-US" w:eastAsia="zh-CN"/>
                    </w:rPr>
                    <w:t>动物手术台</w:t>
                  </w:r>
                </w:p>
              </w:tc>
              <w:tc>
                <w:tcPr>
                  <w:tcW w:w="1084" w:type="pct"/>
                  <w:tcBorders>
                    <w:left w:val="single" w:color="auto" w:sz="2" w:space="0"/>
                    <w:right w:val="single" w:color="auto" w:sz="2" w:space="0"/>
                  </w:tcBorders>
                  <w:shd w:val="clear" w:color="auto" w:fill="auto"/>
                  <w:noWrap w:val="0"/>
                  <w:vAlign w:val="center"/>
                </w:tcPr>
                <w:p w14:paraId="3510F2C0">
                  <w:pPr>
                    <w:pStyle w:val="30"/>
                    <w:bidi w:val="0"/>
                    <w:rPr>
                      <w:rFonts w:hint="default" w:ascii="Times New Roman" w:hAnsi="Times New Roman" w:eastAsia="宋体" w:cs="Times New Roman"/>
                      <w:bCs/>
                      <w:snapToGrid w:val="0"/>
                      <w:color w:val="auto"/>
                      <w:spacing w:val="8"/>
                      <w:kern w:val="0"/>
                      <w:sz w:val="21"/>
                      <w:szCs w:val="72"/>
                      <w:highlight w:val="none"/>
                      <w:lang w:val="en-US" w:eastAsia="zh-CN"/>
                    </w:rPr>
                  </w:pPr>
                  <w:r>
                    <w:rPr>
                      <w:rFonts w:hint="default"/>
                      <w:color w:val="auto"/>
                      <w:highlight w:val="none"/>
                      <w:lang w:val="en-US" w:eastAsia="zh-CN"/>
                    </w:rPr>
                    <w:t>/</w:t>
                  </w:r>
                </w:p>
              </w:tc>
              <w:tc>
                <w:tcPr>
                  <w:tcW w:w="775" w:type="pct"/>
                  <w:tcBorders>
                    <w:left w:val="single" w:color="auto" w:sz="2" w:space="0"/>
                    <w:right w:val="single" w:color="auto" w:sz="2" w:space="0"/>
                  </w:tcBorders>
                  <w:shd w:val="clear" w:color="auto" w:fill="auto"/>
                  <w:noWrap w:val="0"/>
                  <w:vAlign w:val="center"/>
                </w:tcPr>
                <w:p w14:paraId="3F405F81">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highlight w:val="none"/>
                      <w:lang w:val="en-US" w:eastAsia="zh-CN"/>
                    </w:rPr>
                  </w:pPr>
                  <w:r>
                    <w:rPr>
                      <w:rFonts w:hint="eastAsia"/>
                      <w:color w:val="auto"/>
                      <w:lang w:val="en-US" w:eastAsia="zh-CN"/>
                    </w:rPr>
                    <w:t>台</w:t>
                  </w:r>
                </w:p>
              </w:tc>
              <w:tc>
                <w:tcPr>
                  <w:tcW w:w="1028" w:type="pct"/>
                  <w:tcBorders>
                    <w:top w:val="single" w:color="auto" w:sz="2" w:space="0"/>
                    <w:left w:val="single" w:color="auto" w:sz="2" w:space="0"/>
                    <w:bottom w:val="single" w:color="auto" w:sz="2" w:space="0"/>
                  </w:tcBorders>
                  <w:shd w:val="clear" w:color="auto" w:fill="auto"/>
                  <w:noWrap w:val="0"/>
                  <w:vAlign w:val="center"/>
                </w:tcPr>
                <w:p w14:paraId="52D76774">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1</w:t>
                  </w:r>
                </w:p>
              </w:tc>
            </w:tr>
            <w:tr w14:paraId="23AA7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2" w:type="pct"/>
                  <w:noWrap w:val="0"/>
                  <w:vAlign w:val="center"/>
                </w:tcPr>
                <w:p w14:paraId="04309D5E">
                  <w:pPr>
                    <w:pStyle w:val="30"/>
                    <w:bidi w:val="0"/>
                    <w:rPr>
                      <w:rFonts w:hint="default"/>
                      <w:color w:val="auto"/>
                      <w:highlight w:val="none"/>
                      <w:lang w:val="en-US" w:eastAsia="zh-CN"/>
                    </w:rPr>
                  </w:pPr>
                  <w:r>
                    <w:rPr>
                      <w:rFonts w:hint="default"/>
                      <w:color w:val="auto"/>
                      <w:highlight w:val="none"/>
                      <w:lang w:val="en-US" w:eastAsia="zh-CN"/>
                    </w:rPr>
                    <w:t>20</w:t>
                  </w:r>
                </w:p>
              </w:tc>
              <w:tc>
                <w:tcPr>
                  <w:tcW w:w="1678" w:type="pct"/>
                  <w:shd w:val="clear" w:color="auto" w:fill="auto"/>
                  <w:noWrap w:val="0"/>
                  <w:vAlign w:val="center"/>
                </w:tcPr>
                <w:p w14:paraId="0B97BE8D">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highlight w:val="none"/>
                      <w:lang w:val="en-US" w:eastAsia="zh-CN"/>
                    </w:rPr>
                  </w:pPr>
                  <w:r>
                    <w:rPr>
                      <w:rFonts w:hint="eastAsia"/>
                      <w:color w:val="auto"/>
                      <w:lang w:val="en-US" w:eastAsia="zh-CN"/>
                    </w:rPr>
                    <w:t>动物手术监护仪</w:t>
                  </w:r>
                </w:p>
              </w:tc>
              <w:tc>
                <w:tcPr>
                  <w:tcW w:w="1084" w:type="pct"/>
                  <w:tcBorders>
                    <w:left w:val="single" w:color="auto" w:sz="2" w:space="0"/>
                    <w:right w:val="single" w:color="auto" w:sz="2" w:space="0"/>
                  </w:tcBorders>
                  <w:shd w:val="clear" w:color="auto" w:fill="auto"/>
                  <w:noWrap w:val="0"/>
                  <w:vAlign w:val="center"/>
                </w:tcPr>
                <w:p w14:paraId="3BBF9EEE">
                  <w:pPr>
                    <w:pStyle w:val="30"/>
                    <w:bidi w:val="0"/>
                    <w:rPr>
                      <w:rFonts w:hint="default" w:ascii="Times New Roman" w:hAnsi="Times New Roman" w:eastAsia="宋体" w:cs="Times New Roman"/>
                      <w:bCs/>
                      <w:snapToGrid w:val="0"/>
                      <w:color w:val="auto"/>
                      <w:spacing w:val="8"/>
                      <w:kern w:val="0"/>
                      <w:sz w:val="21"/>
                      <w:szCs w:val="72"/>
                      <w:highlight w:val="none"/>
                      <w:lang w:val="en-US" w:eastAsia="zh-CN"/>
                    </w:rPr>
                  </w:pPr>
                  <w:r>
                    <w:rPr>
                      <w:rFonts w:hint="default"/>
                      <w:color w:val="auto"/>
                      <w:highlight w:val="none"/>
                      <w:lang w:val="en-US" w:eastAsia="zh-CN"/>
                    </w:rPr>
                    <w:t>/</w:t>
                  </w:r>
                </w:p>
              </w:tc>
              <w:tc>
                <w:tcPr>
                  <w:tcW w:w="775" w:type="pct"/>
                  <w:tcBorders>
                    <w:left w:val="single" w:color="auto" w:sz="2" w:space="0"/>
                    <w:right w:val="single" w:color="auto" w:sz="2" w:space="0"/>
                  </w:tcBorders>
                  <w:shd w:val="clear" w:color="auto" w:fill="auto"/>
                  <w:noWrap w:val="0"/>
                  <w:vAlign w:val="center"/>
                </w:tcPr>
                <w:p w14:paraId="31805AF9">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highlight w:val="none"/>
                      <w:lang w:val="en-US" w:eastAsia="zh-CN"/>
                    </w:rPr>
                  </w:pPr>
                  <w:r>
                    <w:rPr>
                      <w:rFonts w:hint="eastAsia"/>
                      <w:color w:val="auto"/>
                      <w:lang w:val="en-US" w:eastAsia="zh-CN"/>
                    </w:rPr>
                    <w:t>台</w:t>
                  </w:r>
                </w:p>
              </w:tc>
              <w:tc>
                <w:tcPr>
                  <w:tcW w:w="1028" w:type="pct"/>
                  <w:tcBorders>
                    <w:top w:val="single" w:color="auto" w:sz="2" w:space="0"/>
                    <w:left w:val="single" w:color="auto" w:sz="2" w:space="0"/>
                    <w:bottom w:val="single" w:color="auto" w:sz="2" w:space="0"/>
                  </w:tcBorders>
                  <w:shd w:val="clear" w:color="auto" w:fill="auto"/>
                  <w:noWrap w:val="0"/>
                  <w:vAlign w:val="center"/>
                </w:tcPr>
                <w:p w14:paraId="7213D45F">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1</w:t>
                  </w:r>
                </w:p>
              </w:tc>
            </w:tr>
            <w:tr w14:paraId="389D1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2" w:type="pct"/>
                  <w:noWrap w:val="0"/>
                  <w:vAlign w:val="center"/>
                </w:tcPr>
                <w:p w14:paraId="1FF66513">
                  <w:pPr>
                    <w:pStyle w:val="30"/>
                    <w:bidi w:val="0"/>
                    <w:rPr>
                      <w:rFonts w:hint="default"/>
                      <w:color w:val="auto"/>
                      <w:highlight w:val="none"/>
                      <w:lang w:val="en-US" w:eastAsia="zh-CN"/>
                    </w:rPr>
                  </w:pPr>
                  <w:r>
                    <w:rPr>
                      <w:rFonts w:hint="default"/>
                      <w:color w:val="auto"/>
                      <w:highlight w:val="none"/>
                      <w:lang w:val="en-US" w:eastAsia="zh-CN"/>
                    </w:rPr>
                    <w:t>21</w:t>
                  </w:r>
                </w:p>
              </w:tc>
              <w:tc>
                <w:tcPr>
                  <w:tcW w:w="1678" w:type="pct"/>
                  <w:shd w:val="clear" w:color="auto" w:fill="auto"/>
                  <w:noWrap w:val="0"/>
                  <w:vAlign w:val="center"/>
                </w:tcPr>
                <w:p w14:paraId="400AB8CF">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highlight w:val="none"/>
                      <w:lang w:val="en-US" w:eastAsia="zh-CN"/>
                    </w:rPr>
                  </w:pPr>
                  <w:r>
                    <w:rPr>
                      <w:rFonts w:hint="eastAsia"/>
                      <w:color w:val="auto"/>
                      <w:lang w:val="en-US" w:eastAsia="zh-CN"/>
                    </w:rPr>
                    <w:t>雾化机</w:t>
                  </w:r>
                </w:p>
              </w:tc>
              <w:tc>
                <w:tcPr>
                  <w:tcW w:w="1084" w:type="pct"/>
                  <w:tcBorders>
                    <w:left w:val="single" w:color="auto" w:sz="2" w:space="0"/>
                    <w:right w:val="single" w:color="auto" w:sz="2" w:space="0"/>
                  </w:tcBorders>
                  <w:shd w:val="clear" w:color="auto" w:fill="auto"/>
                  <w:noWrap w:val="0"/>
                  <w:vAlign w:val="center"/>
                </w:tcPr>
                <w:p w14:paraId="0141335E">
                  <w:pPr>
                    <w:pStyle w:val="30"/>
                    <w:bidi w:val="0"/>
                    <w:rPr>
                      <w:rFonts w:hint="default" w:ascii="Times New Roman" w:hAnsi="Times New Roman" w:eastAsia="宋体" w:cs="Times New Roman"/>
                      <w:bCs/>
                      <w:snapToGrid w:val="0"/>
                      <w:color w:val="auto"/>
                      <w:spacing w:val="8"/>
                      <w:kern w:val="0"/>
                      <w:sz w:val="21"/>
                      <w:szCs w:val="72"/>
                      <w:highlight w:val="none"/>
                      <w:lang w:val="en-US" w:eastAsia="zh-CN"/>
                    </w:rPr>
                  </w:pPr>
                  <w:r>
                    <w:rPr>
                      <w:rFonts w:hint="default"/>
                      <w:color w:val="auto"/>
                      <w:highlight w:val="none"/>
                      <w:lang w:val="en-US" w:eastAsia="zh-CN"/>
                    </w:rPr>
                    <w:t>/</w:t>
                  </w:r>
                </w:p>
              </w:tc>
              <w:tc>
                <w:tcPr>
                  <w:tcW w:w="775" w:type="pct"/>
                  <w:tcBorders>
                    <w:left w:val="single" w:color="auto" w:sz="2" w:space="0"/>
                    <w:right w:val="single" w:color="auto" w:sz="2" w:space="0"/>
                  </w:tcBorders>
                  <w:shd w:val="clear" w:color="auto" w:fill="auto"/>
                  <w:noWrap w:val="0"/>
                  <w:vAlign w:val="center"/>
                </w:tcPr>
                <w:p w14:paraId="1784F5DA">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highlight w:val="none"/>
                      <w:lang w:val="en-US" w:eastAsia="zh-CN"/>
                    </w:rPr>
                  </w:pPr>
                  <w:r>
                    <w:rPr>
                      <w:rFonts w:hint="eastAsia"/>
                      <w:color w:val="auto"/>
                      <w:lang w:val="en-US" w:eastAsia="zh-CN"/>
                    </w:rPr>
                    <w:t>台</w:t>
                  </w:r>
                </w:p>
              </w:tc>
              <w:tc>
                <w:tcPr>
                  <w:tcW w:w="1028" w:type="pct"/>
                  <w:tcBorders>
                    <w:top w:val="single" w:color="auto" w:sz="2" w:space="0"/>
                    <w:left w:val="single" w:color="auto" w:sz="2" w:space="0"/>
                    <w:bottom w:val="single" w:color="auto" w:sz="2" w:space="0"/>
                  </w:tcBorders>
                  <w:shd w:val="clear" w:color="auto" w:fill="auto"/>
                  <w:noWrap w:val="0"/>
                  <w:vAlign w:val="center"/>
                </w:tcPr>
                <w:p w14:paraId="305A4CFA">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1</w:t>
                  </w:r>
                </w:p>
              </w:tc>
            </w:tr>
            <w:tr w14:paraId="19B66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2" w:type="pct"/>
                  <w:noWrap w:val="0"/>
                  <w:vAlign w:val="center"/>
                </w:tcPr>
                <w:p w14:paraId="62BF2043">
                  <w:pPr>
                    <w:pStyle w:val="30"/>
                    <w:bidi w:val="0"/>
                    <w:rPr>
                      <w:rFonts w:hint="default"/>
                      <w:color w:val="auto"/>
                      <w:highlight w:val="none"/>
                      <w:lang w:val="en-US" w:eastAsia="zh-CN"/>
                    </w:rPr>
                  </w:pPr>
                  <w:r>
                    <w:rPr>
                      <w:rFonts w:hint="default"/>
                      <w:color w:val="auto"/>
                      <w:highlight w:val="none"/>
                      <w:lang w:val="en-US" w:eastAsia="zh-CN"/>
                    </w:rPr>
                    <w:t>22</w:t>
                  </w:r>
                </w:p>
              </w:tc>
              <w:tc>
                <w:tcPr>
                  <w:tcW w:w="1678" w:type="pct"/>
                  <w:shd w:val="clear" w:color="auto" w:fill="auto"/>
                  <w:noWrap w:val="0"/>
                  <w:vAlign w:val="center"/>
                </w:tcPr>
                <w:p w14:paraId="00587B84">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highlight w:val="none"/>
                      <w:lang w:val="en-US" w:eastAsia="zh-CN"/>
                    </w:rPr>
                  </w:pPr>
                  <w:r>
                    <w:rPr>
                      <w:rFonts w:hint="eastAsia"/>
                      <w:color w:val="auto"/>
                      <w:lang w:val="en-US" w:eastAsia="zh-CN"/>
                    </w:rPr>
                    <w:t>宠物医院信息管理系统</w:t>
                  </w:r>
                </w:p>
              </w:tc>
              <w:tc>
                <w:tcPr>
                  <w:tcW w:w="1084" w:type="pct"/>
                  <w:tcBorders>
                    <w:left w:val="single" w:color="auto" w:sz="2" w:space="0"/>
                    <w:right w:val="single" w:color="auto" w:sz="2" w:space="0"/>
                  </w:tcBorders>
                  <w:shd w:val="clear" w:color="auto" w:fill="auto"/>
                  <w:noWrap w:val="0"/>
                  <w:vAlign w:val="center"/>
                </w:tcPr>
                <w:p w14:paraId="61F5E863">
                  <w:pPr>
                    <w:pStyle w:val="30"/>
                    <w:bidi w:val="0"/>
                    <w:rPr>
                      <w:rFonts w:hint="default" w:ascii="Times New Roman" w:hAnsi="Times New Roman" w:eastAsia="宋体" w:cs="Times New Roman"/>
                      <w:bCs/>
                      <w:snapToGrid w:val="0"/>
                      <w:color w:val="auto"/>
                      <w:spacing w:val="8"/>
                      <w:kern w:val="0"/>
                      <w:sz w:val="21"/>
                      <w:szCs w:val="72"/>
                      <w:highlight w:val="none"/>
                      <w:lang w:val="en-US" w:eastAsia="zh-CN"/>
                    </w:rPr>
                  </w:pPr>
                  <w:r>
                    <w:rPr>
                      <w:rFonts w:hint="default"/>
                      <w:color w:val="auto"/>
                      <w:highlight w:val="none"/>
                      <w:lang w:val="en-US" w:eastAsia="zh-CN"/>
                    </w:rPr>
                    <w:t>/</w:t>
                  </w:r>
                </w:p>
              </w:tc>
              <w:tc>
                <w:tcPr>
                  <w:tcW w:w="775" w:type="pct"/>
                  <w:tcBorders>
                    <w:left w:val="single" w:color="auto" w:sz="2" w:space="0"/>
                    <w:right w:val="single" w:color="auto" w:sz="2" w:space="0"/>
                  </w:tcBorders>
                  <w:shd w:val="clear" w:color="auto" w:fill="auto"/>
                  <w:noWrap w:val="0"/>
                  <w:vAlign w:val="center"/>
                </w:tcPr>
                <w:p w14:paraId="726FCC9D">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highlight w:val="none"/>
                      <w:lang w:val="en-US" w:eastAsia="zh-CN"/>
                    </w:rPr>
                  </w:pPr>
                  <w:r>
                    <w:rPr>
                      <w:rFonts w:hint="eastAsia"/>
                      <w:color w:val="auto"/>
                      <w:lang w:val="en-US" w:eastAsia="zh-CN"/>
                    </w:rPr>
                    <w:t>个</w:t>
                  </w:r>
                </w:p>
              </w:tc>
              <w:tc>
                <w:tcPr>
                  <w:tcW w:w="1028" w:type="pct"/>
                  <w:tcBorders>
                    <w:top w:val="single" w:color="auto" w:sz="2" w:space="0"/>
                    <w:left w:val="single" w:color="auto" w:sz="2" w:space="0"/>
                    <w:bottom w:val="single" w:color="auto" w:sz="2" w:space="0"/>
                  </w:tcBorders>
                  <w:shd w:val="clear" w:color="auto" w:fill="auto"/>
                  <w:noWrap w:val="0"/>
                  <w:vAlign w:val="center"/>
                </w:tcPr>
                <w:p w14:paraId="6E851361">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1</w:t>
                  </w:r>
                </w:p>
              </w:tc>
            </w:tr>
            <w:tr w14:paraId="187E8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2" w:type="pct"/>
                  <w:noWrap w:val="0"/>
                  <w:vAlign w:val="center"/>
                </w:tcPr>
                <w:p w14:paraId="10EC52EB">
                  <w:pPr>
                    <w:pStyle w:val="30"/>
                    <w:bidi w:val="0"/>
                    <w:rPr>
                      <w:rFonts w:hint="default"/>
                      <w:color w:val="auto"/>
                      <w:highlight w:val="none"/>
                      <w:lang w:val="en-US" w:eastAsia="zh-CN"/>
                    </w:rPr>
                  </w:pPr>
                  <w:r>
                    <w:rPr>
                      <w:rFonts w:hint="default"/>
                      <w:color w:val="auto"/>
                      <w:highlight w:val="none"/>
                      <w:lang w:val="en-US" w:eastAsia="zh-CN"/>
                    </w:rPr>
                    <w:t>23</w:t>
                  </w:r>
                </w:p>
              </w:tc>
              <w:tc>
                <w:tcPr>
                  <w:tcW w:w="1678" w:type="pct"/>
                  <w:shd w:val="clear" w:color="auto" w:fill="auto"/>
                  <w:noWrap w:val="0"/>
                  <w:vAlign w:val="center"/>
                </w:tcPr>
                <w:p w14:paraId="08803DAD">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highlight w:val="none"/>
                      <w:lang w:val="en-US" w:eastAsia="zh-CN"/>
                    </w:rPr>
                  </w:pPr>
                  <w:r>
                    <w:rPr>
                      <w:rFonts w:hint="eastAsia"/>
                      <w:color w:val="auto"/>
                      <w:lang w:val="en-US" w:eastAsia="zh-CN"/>
                    </w:rPr>
                    <w:t>电脑</w:t>
                  </w:r>
                </w:p>
              </w:tc>
              <w:tc>
                <w:tcPr>
                  <w:tcW w:w="1084" w:type="pct"/>
                  <w:tcBorders>
                    <w:left w:val="single" w:color="auto" w:sz="2" w:space="0"/>
                    <w:right w:val="single" w:color="auto" w:sz="2" w:space="0"/>
                  </w:tcBorders>
                  <w:shd w:val="clear" w:color="auto" w:fill="auto"/>
                  <w:noWrap w:val="0"/>
                  <w:vAlign w:val="center"/>
                </w:tcPr>
                <w:p w14:paraId="6C9FAB2E">
                  <w:pPr>
                    <w:pStyle w:val="30"/>
                    <w:bidi w:val="0"/>
                    <w:rPr>
                      <w:rFonts w:hint="default" w:ascii="Times New Roman" w:hAnsi="Times New Roman" w:eastAsia="宋体" w:cs="Times New Roman"/>
                      <w:bCs/>
                      <w:snapToGrid w:val="0"/>
                      <w:color w:val="auto"/>
                      <w:spacing w:val="8"/>
                      <w:kern w:val="0"/>
                      <w:sz w:val="21"/>
                      <w:szCs w:val="72"/>
                      <w:highlight w:val="none"/>
                      <w:lang w:val="en-US" w:eastAsia="zh-CN"/>
                    </w:rPr>
                  </w:pPr>
                  <w:r>
                    <w:rPr>
                      <w:rFonts w:hint="default"/>
                      <w:color w:val="auto"/>
                      <w:highlight w:val="none"/>
                      <w:lang w:val="en-US" w:eastAsia="zh-CN"/>
                    </w:rPr>
                    <w:t>/</w:t>
                  </w:r>
                </w:p>
              </w:tc>
              <w:tc>
                <w:tcPr>
                  <w:tcW w:w="775" w:type="pct"/>
                  <w:tcBorders>
                    <w:left w:val="single" w:color="auto" w:sz="2" w:space="0"/>
                    <w:right w:val="single" w:color="auto" w:sz="2" w:space="0"/>
                  </w:tcBorders>
                  <w:shd w:val="clear" w:color="auto" w:fill="auto"/>
                  <w:noWrap w:val="0"/>
                  <w:vAlign w:val="center"/>
                </w:tcPr>
                <w:p w14:paraId="73D34826">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highlight w:val="none"/>
                      <w:lang w:val="en-US" w:eastAsia="zh-CN"/>
                    </w:rPr>
                  </w:pPr>
                  <w:r>
                    <w:rPr>
                      <w:rFonts w:hint="eastAsia"/>
                      <w:color w:val="auto"/>
                      <w:lang w:val="en-US" w:eastAsia="zh-CN"/>
                    </w:rPr>
                    <w:t>台</w:t>
                  </w:r>
                </w:p>
              </w:tc>
              <w:tc>
                <w:tcPr>
                  <w:tcW w:w="1028" w:type="pct"/>
                  <w:tcBorders>
                    <w:top w:val="single" w:color="auto" w:sz="2" w:space="0"/>
                    <w:left w:val="single" w:color="auto" w:sz="2" w:space="0"/>
                    <w:bottom w:val="single" w:color="auto" w:sz="2" w:space="0"/>
                  </w:tcBorders>
                  <w:shd w:val="clear" w:color="auto" w:fill="auto"/>
                  <w:noWrap w:val="0"/>
                  <w:vAlign w:val="center"/>
                </w:tcPr>
                <w:p w14:paraId="4DEF8909">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7</w:t>
                  </w:r>
                </w:p>
              </w:tc>
            </w:tr>
            <w:tr w14:paraId="73160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2" w:type="pct"/>
                  <w:noWrap w:val="0"/>
                  <w:vAlign w:val="center"/>
                </w:tcPr>
                <w:p w14:paraId="055B7C21">
                  <w:pPr>
                    <w:pStyle w:val="30"/>
                    <w:bidi w:val="0"/>
                    <w:rPr>
                      <w:rFonts w:hint="default"/>
                      <w:color w:val="auto"/>
                      <w:highlight w:val="none"/>
                      <w:lang w:val="en-US" w:eastAsia="zh-CN"/>
                    </w:rPr>
                  </w:pPr>
                  <w:r>
                    <w:rPr>
                      <w:rFonts w:hint="default"/>
                      <w:color w:val="auto"/>
                      <w:highlight w:val="none"/>
                      <w:lang w:val="en-US" w:eastAsia="zh-CN"/>
                    </w:rPr>
                    <w:t>24</w:t>
                  </w:r>
                </w:p>
              </w:tc>
              <w:tc>
                <w:tcPr>
                  <w:tcW w:w="1678" w:type="pct"/>
                  <w:shd w:val="clear" w:color="auto" w:fill="auto"/>
                  <w:noWrap w:val="0"/>
                  <w:vAlign w:val="center"/>
                </w:tcPr>
                <w:p w14:paraId="61FA407A">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highlight w:val="none"/>
                      <w:lang w:val="en-US" w:eastAsia="zh-CN"/>
                    </w:rPr>
                  </w:pPr>
                  <w:r>
                    <w:rPr>
                      <w:rFonts w:hint="eastAsia"/>
                      <w:color w:val="auto"/>
                      <w:lang w:val="en-US" w:eastAsia="zh-CN"/>
                    </w:rPr>
                    <w:t>地秤</w:t>
                  </w:r>
                </w:p>
              </w:tc>
              <w:tc>
                <w:tcPr>
                  <w:tcW w:w="1084" w:type="pct"/>
                  <w:tcBorders>
                    <w:left w:val="single" w:color="auto" w:sz="2" w:space="0"/>
                    <w:right w:val="single" w:color="auto" w:sz="2" w:space="0"/>
                  </w:tcBorders>
                  <w:shd w:val="clear" w:color="auto" w:fill="auto"/>
                  <w:noWrap w:val="0"/>
                  <w:vAlign w:val="center"/>
                </w:tcPr>
                <w:p w14:paraId="0E0A6E4B">
                  <w:pPr>
                    <w:pStyle w:val="30"/>
                    <w:bidi w:val="0"/>
                    <w:rPr>
                      <w:rFonts w:hint="default" w:ascii="Times New Roman" w:hAnsi="Times New Roman" w:eastAsia="宋体" w:cs="Times New Roman"/>
                      <w:bCs/>
                      <w:snapToGrid w:val="0"/>
                      <w:color w:val="auto"/>
                      <w:spacing w:val="8"/>
                      <w:kern w:val="0"/>
                      <w:sz w:val="21"/>
                      <w:szCs w:val="72"/>
                      <w:highlight w:val="none"/>
                      <w:lang w:val="en-US" w:eastAsia="zh-CN"/>
                    </w:rPr>
                  </w:pPr>
                  <w:r>
                    <w:rPr>
                      <w:rFonts w:hint="default"/>
                      <w:color w:val="auto"/>
                      <w:highlight w:val="none"/>
                      <w:lang w:val="en-US" w:eastAsia="zh-CN"/>
                    </w:rPr>
                    <w:t>/</w:t>
                  </w:r>
                </w:p>
              </w:tc>
              <w:tc>
                <w:tcPr>
                  <w:tcW w:w="775" w:type="pct"/>
                  <w:tcBorders>
                    <w:left w:val="single" w:color="auto" w:sz="2" w:space="0"/>
                    <w:right w:val="single" w:color="auto" w:sz="2" w:space="0"/>
                  </w:tcBorders>
                  <w:shd w:val="clear" w:color="auto" w:fill="auto"/>
                  <w:noWrap w:val="0"/>
                  <w:vAlign w:val="center"/>
                </w:tcPr>
                <w:p w14:paraId="1258BC90">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highlight w:val="none"/>
                      <w:lang w:val="en-US" w:eastAsia="zh-CN"/>
                    </w:rPr>
                  </w:pPr>
                  <w:r>
                    <w:rPr>
                      <w:rFonts w:hint="eastAsia"/>
                      <w:color w:val="auto"/>
                      <w:lang w:val="en-US" w:eastAsia="zh-CN"/>
                    </w:rPr>
                    <w:t>个</w:t>
                  </w:r>
                </w:p>
              </w:tc>
              <w:tc>
                <w:tcPr>
                  <w:tcW w:w="1028" w:type="pct"/>
                  <w:tcBorders>
                    <w:top w:val="single" w:color="auto" w:sz="2" w:space="0"/>
                    <w:left w:val="single" w:color="auto" w:sz="2" w:space="0"/>
                    <w:bottom w:val="single" w:color="auto" w:sz="2" w:space="0"/>
                  </w:tcBorders>
                  <w:shd w:val="clear" w:color="auto" w:fill="auto"/>
                  <w:noWrap w:val="0"/>
                  <w:vAlign w:val="center"/>
                </w:tcPr>
                <w:p w14:paraId="098BF4E6">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1</w:t>
                  </w:r>
                </w:p>
              </w:tc>
            </w:tr>
            <w:tr w14:paraId="592D2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2" w:type="pct"/>
                  <w:noWrap w:val="0"/>
                  <w:vAlign w:val="center"/>
                </w:tcPr>
                <w:p w14:paraId="264B7999">
                  <w:pPr>
                    <w:pStyle w:val="30"/>
                    <w:bidi w:val="0"/>
                    <w:rPr>
                      <w:rFonts w:hint="default"/>
                      <w:color w:val="auto"/>
                      <w:highlight w:val="none"/>
                      <w:lang w:val="en-US" w:eastAsia="zh-CN"/>
                    </w:rPr>
                  </w:pPr>
                  <w:r>
                    <w:rPr>
                      <w:rFonts w:hint="default"/>
                      <w:color w:val="auto"/>
                      <w:highlight w:val="none"/>
                      <w:lang w:val="en-US" w:eastAsia="zh-CN"/>
                    </w:rPr>
                    <w:t>25</w:t>
                  </w:r>
                </w:p>
              </w:tc>
              <w:tc>
                <w:tcPr>
                  <w:tcW w:w="1678" w:type="pct"/>
                  <w:shd w:val="clear" w:color="auto" w:fill="auto"/>
                  <w:noWrap w:val="0"/>
                  <w:vAlign w:val="center"/>
                </w:tcPr>
                <w:p w14:paraId="06CD30E1">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highlight w:val="none"/>
                      <w:lang w:val="en-US" w:eastAsia="zh-CN"/>
                    </w:rPr>
                  </w:pPr>
                  <w:r>
                    <w:rPr>
                      <w:rFonts w:hint="eastAsia"/>
                      <w:color w:val="auto"/>
                      <w:lang w:val="en-US" w:eastAsia="zh-CN"/>
                    </w:rPr>
                    <w:t>荧光检测分析仪</w:t>
                  </w:r>
                </w:p>
              </w:tc>
              <w:tc>
                <w:tcPr>
                  <w:tcW w:w="1084" w:type="pct"/>
                  <w:tcBorders>
                    <w:left w:val="single" w:color="auto" w:sz="2" w:space="0"/>
                    <w:right w:val="single" w:color="auto" w:sz="2" w:space="0"/>
                  </w:tcBorders>
                  <w:shd w:val="clear" w:color="auto" w:fill="auto"/>
                  <w:noWrap w:val="0"/>
                  <w:vAlign w:val="center"/>
                </w:tcPr>
                <w:p w14:paraId="495F611D">
                  <w:pPr>
                    <w:pStyle w:val="30"/>
                    <w:bidi w:val="0"/>
                    <w:rPr>
                      <w:rFonts w:hint="default" w:ascii="Times New Roman" w:hAnsi="Times New Roman" w:eastAsia="宋体" w:cs="Times New Roman"/>
                      <w:bCs/>
                      <w:snapToGrid w:val="0"/>
                      <w:color w:val="auto"/>
                      <w:spacing w:val="8"/>
                      <w:kern w:val="0"/>
                      <w:sz w:val="21"/>
                      <w:szCs w:val="72"/>
                      <w:highlight w:val="none"/>
                      <w:lang w:val="en-US" w:eastAsia="zh-CN"/>
                    </w:rPr>
                  </w:pPr>
                  <w:r>
                    <w:rPr>
                      <w:rFonts w:hint="default"/>
                      <w:color w:val="auto"/>
                      <w:highlight w:val="none"/>
                      <w:lang w:val="en-US" w:eastAsia="zh-CN"/>
                    </w:rPr>
                    <w:t>/</w:t>
                  </w:r>
                </w:p>
              </w:tc>
              <w:tc>
                <w:tcPr>
                  <w:tcW w:w="775" w:type="pct"/>
                  <w:tcBorders>
                    <w:left w:val="single" w:color="auto" w:sz="2" w:space="0"/>
                    <w:right w:val="single" w:color="auto" w:sz="2" w:space="0"/>
                  </w:tcBorders>
                  <w:shd w:val="clear" w:color="auto" w:fill="auto"/>
                  <w:noWrap w:val="0"/>
                  <w:vAlign w:val="center"/>
                </w:tcPr>
                <w:p w14:paraId="3E5E274D">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highlight w:val="none"/>
                      <w:lang w:val="en-US" w:eastAsia="zh-CN"/>
                    </w:rPr>
                  </w:pPr>
                  <w:r>
                    <w:rPr>
                      <w:rFonts w:hint="eastAsia"/>
                      <w:color w:val="auto"/>
                      <w:lang w:val="en-US" w:eastAsia="zh-CN"/>
                    </w:rPr>
                    <w:t>台</w:t>
                  </w:r>
                </w:p>
              </w:tc>
              <w:tc>
                <w:tcPr>
                  <w:tcW w:w="1028" w:type="pct"/>
                  <w:tcBorders>
                    <w:top w:val="single" w:color="auto" w:sz="2" w:space="0"/>
                    <w:left w:val="single" w:color="auto" w:sz="2" w:space="0"/>
                    <w:bottom w:val="single" w:color="auto" w:sz="2" w:space="0"/>
                  </w:tcBorders>
                  <w:shd w:val="clear" w:color="auto" w:fill="auto"/>
                  <w:noWrap w:val="0"/>
                  <w:vAlign w:val="center"/>
                </w:tcPr>
                <w:p w14:paraId="7DD8903A">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1</w:t>
                  </w:r>
                </w:p>
              </w:tc>
            </w:tr>
            <w:tr w14:paraId="5574C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2" w:type="pct"/>
                  <w:noWrap w:val="0"/>
                  <w:vAlign w:val="center"/>
                </w:tcPr>
                <w:p w14:paraId="4CFDDF60">
                  <w:pPr>
                    <w:pStyle w:val="30"/>
                    <w:bidi w:val="0"/>
                    <w:rPr>
                      <w:rFonts w:hint="default"/>
                      <w:color w:val="auto"/>
                      <w:highlight w:val="none"/>
                      <w:lang w:val="en-US" w:eastAsia="zh-CN"/>
                    </w:rPr>
                  </w:pPr>
                  <w:r>
                    <w:rPr>
                      <w:rFonts w:hint="default"/>
                      <w:color w:val="auto"/>
                      <w:highlight w:val="none"/>
                      <w:lang w:val="en-US" w:eastAsia="zh-CN"/>
                    </w:rPr>
                    <w:t>26</w:t>
                  </w:r>
                </w:p>
              </w:tc>
              <w:tc>
                <w:tcPr>
                  <w:tcW w:w="1678" w:type="pct"/>
                  <w:shd w:val="clear" w:color="auto" w:fill="auto"/>
                  <w:noWrap w:val="0"/>
                  <w:vAlign w:val="center"/>
                </w:tcPr>
                <w:p w14:paraId="68D7957C">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highlight w:val="none"/>
                      <w:lang w:val="en-US" w:eastAsia="zh-CN"/>
                    </w:rPr>
                  </w:pPr>
                  <w:r>
                    <w:rPr>
                      <w:rFonts w:hint="eastAsia"/>
                      <w:color w:val="auto"/>
                      <w:lang w:val="en-US" w:eastAsia="zh-CN"/>
                    </w:rPr>
                    <w:t>高压消毒锅</w:t>
                  </w:r>
                </w:p>
              </w:tc>
              <w:tc>
                <w:tcPr>
                  <w:tcW w:w="1084" w:type="pct"/>
                  <w:tcBorders>
                    <w:left w:val="single" w:color="auto" w:sz="2" w:space="0"/>
                    <w:right w:val="single" w:color="auto" w:sz="2" w:space="0"/>
                  </w:tcBorders>
                  <w:shd w:val="clear" w:color="auto" w:fill="auto"/>
                  <w:noWrap w:val="0"/>
                  <w:vAlign w:val="center"/>
                </w:tcPr>
                <w:p w14:paraId="337A8A94">
                  <w:pPr>
                    <w:pStyle w:val="30"/>
                    <w:bidi w:val="0"/>
                    <w:rPr>
                      <w:rFonts w:hint="default" w:ascii="Times New Roman" w:hAnsi="Times New Roman" w:eastAsia="宋体" w:cs="Times New Roman"/>
                      <w:bCs/>
                      <w:snapToGrid w:val="0"/>
                      <w:color w:val="auto"/>
                      <w:spacing w:val="8"/>
                      <w:kern w:val="0"/>
                      <w:sz w:val="21"/>
                      <w:szCs w:val="72"/>
                      <w:highlight w:val="none"/>
                      <w:lang w:val="en-US" w:eastAsia="zh-CN"/>
                    </w:rPr>
                  </w:pPr>
                  <w:r>
                    <w:rPr>
                      <w:rFonts w:hint="default"/>
                      <w:color w:val="auto"/>
                      <w:highlight w:val="none"/>
                      <w:lang w:val="en-US" w:eastAsia="zh-CN"/>
                    </w:rPr>
                    <w:t>/</w:t>
                  </w:r>
                </w:p>
              </w:tc>
              <w:tc>
                <w:tcPr>
                  <w:tcW w:w="775" w:type="pct"/>
                  <w:tcBorders>
                    <w:left w:val="single" w:color="auto" w:sz="2" w:space="0"/>
                    <w:right w:val="single" w:color="auto" w:sz="2" w:space="0"/>
                  </w:tcBorders>
                  <w:shd w:val="clear" w:color="auto" w:fill="auto"/>
                  <w:noWrap w:val="0"/>
                  <w:vAlign w:val="center"/>
                </w:tcPr>
                <w:p w14:paraId="395618F9">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highlight w:val="none"/>
                      <w:lang w:val="en-US" w:eastAsia="zh-CN"/>
                    </w:rPr>
                  </w:pPr>
                  <w:r>
                    <w:rPr>
                      <w:rFonts w:hint="eastAsia"/>
                      <w:color w:val="auto"/>
                      <w:lang w:val="en-US" w:eastAsia="zh-CN"/>
                    </w:rPr>
                    <w:t>台</w:t>
                  </w:r>
                </w:p>
              </w:tc>
              <w:tc>
                <w:tcPr>
                  <w:tcW w:w="1028" w:type="pct"/>
                  <w:tcBorders>
                    <w:top w:val="single" w:color="auto" w:sz="2" w:space="0"/>
                    <w:left w:val="single" w:color="auto" w:sz="2" w:space="0"/>
                    <w:bottom w:val="single" w:color="auto" w:sz="2" w:space="0"/>
                  </w:tcBorders>
                  <w:shd w:val="clear" w:color="auto" w:fill="auto"/>
                  <w:noWrap w:val="0"/>
                  <w:vAlign w:val="center"/>
                </w:tcPr>
                <w:p w14:paraId="5A98F401">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1</w:t>
                  </w:r>
                </w:p>
              </w:tc>
            </w:tr>
            <w:tr w14:paraId="2DFD3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2" w:type="pct"/>
                  <w:noWrap w:val="0"/>
                  <w:vAlign w:val="center"/>
                </w:tcPr>
                <w:p w14:paraId="568E121D">
                  <w:pPr>
                    <w:pStyle w:val="30"/>
                    <w:bidi w:val="0"/>
                    <w:rPr>
                      <w:rFonts w:hint="default"/>
                      <w:color w:val="auto"/>
                      <w:highlight w:val="none"/>
                      <w:lang w:val="en-US" w:eastAsia="zh-CN"/>
                    </w:rPr>
                  </w:pPr>
                  <w:r>
                    <w:rPr>
                      <w:rFonts w:hint="default"/>
                      <w:color w:val="auto"/>
                      <w:highlight w:val="none"/>
                      <w:lang w:val="en-US" w:eastAsia="zh-CN"/>
                    </w:rPr>
                    <w:t>27</w:t>
                  </w:r>
                </w:p>
              </w:tc>
              <w:tc>
                <w:tcPr>
                  <w:tcW w:w="1678" w:type="pct"/>
                  <w:shd w:val="clear" w:color="auto" w:fill="auto"/>
                  <w:noWrap w:val="0"/>
                  <w:vAlign w:val="center"/>
                </w:tcPr>
                <w:p w14:paraId="11CE64BD">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highlight w:val="none"/>
                      <w:lang w:val="en-US" w:eastAsia="zh-CN"/>
                    </w:rPr>
                  </w:pPr>
                  <w:r>
                    <w:rPr>
                      <w:rFonts w:hint="eastAsia"/>
                      <w:color w:val="auto"/>
                      <w:lang w:val="en-US" w:eastAsia="zh-CN"/>
                    </w:rPr>
                    <w:t>小动物诊疗台</w:t>
                  </w:r>
                </w:p>
              </w:tc>
              <w:tc>
                <w:tcPr>
                  <w:tcW w:w="1084" w:type="pct"/>
                  <w:tcBorders>
                    <w:left w:val="single" w:color="auto" w:sz="2" w:space="0"/>
                    <w:right w:val="single" w:color="auto" w:sz="2" w:space="0"/>
                  </w:tcBorders>
                  <w:shd w:val="clear" w:color="auto" w:fill="auto"/>
                  <w:noWrap w:val="0"/>
                  <w:vAlign w:val="center"/>
                </w:tcPr>
                <w:p w14:paraId="364B47AA">
                  <w:pPr>
                    <w:pStyle w:val="30"/>
                    <w:bidi w:val="0"/>
                    <w:rPr>
                      <w:rFonts w:hint="default" w:ascii="Times New Roman" w:hAnsi="Times New Roman" w:eastAsia="宋体" w:cs="Times New Roman"/>
                      <w:bCs/>
                      <w:snapToGrid w:val="0"/>
                      <w:color w:val="auto"/>
                      <w:spacing w:val="8"/>
                      <w:kern w:val="0"/>
                      <w:sz w:val="21"/>
                      <w:szCs w:val="72"/>
                      <w:highlight w:val="none"/>
                      <w:lang w:val="en-US" w:eastAsia="zh-CN"/>
                    </w:rPr>
                  </w:pPr>
                  <w:r>
                    <w:rPr>
                      <w:rFonts w:hint="default"/>
                      <w:color w:val="auto"/>
                      <w:highlight w:val="none"/>
                      <w:lang w:val="en-US" w:eastAsia="zh-CN"/>
                    </w:rPr>
                    <w:t>/</w:t>
                  </w:r>
                </w:p>
              </w:tc>
              <w:tc>
                <w:tcPr>
                  <w:tcW w:w="775" w:type="pct"/>
                  <w:tcBorders>
                    <w:left w:val="single" w:color="auto" w:sz="2" w:space="0"/>
                    <w:right w:val="single" w:color="auto" w:sz="2" w:space="0"/>
                  </w:tcBorders>
                  <w:shd w:val="clear" w:color="auto" w:fill="auto"/>
                  <w:noWrap w:val="0"/>
                  <w:vAlign w:val="center"/>
                </w:tcPr>
                <w:p w14:paraId="47C4835C">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highlight w:val="none"/>
                      <w:lang w:val="en-US" w:eastAsia="zh-CN"/>
                    </w:rPr>
                  </w:pPr>
                  <w:r>
                    <w:rPr>
                      <w:rFonts w:hint="eastAsia"/>
                      <w:color w:val="auto"/>
                      <w:lang w:val="en-US" w:eastAsia="zh-CN"/>
                    </w:rPr>
                    <w:t>台</w:t>
                  </w:r>
                </w:p>
              </w:tc>
              <w:tc>
                <w:tcPr>
                  <w:tcW w:w="1028" w:type="pct"/>
                  <w:tcBorders>
                    <w:top w:val="single" w:color="auto" w:sz="2" w:space="0"/>
                    <w:left w:val="single" w:color="auto" w:sz="2" w:space="0"/>
                    <w:bottom w:val="single" w:color="auto" w:sz="2" w:space="0"/>
                  </w:tcBorders>
                  <w:shd w:val="clear" w:color="auto" w:fill="auto"/>
                  <w:noWrap w:val="0"/>
                  <w:vAlign w:val="center"/>
                </w:tcPr>
                <w:p w14:paraId="6EB67160">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3</w:t>
                  </w:r>
                </w:p>
              </w:tc>
            </w:tr>
            <w:tr w14:paraId="29469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2" w:type="pct"/>
                  <w:noWrap w:val="0"/>
                  <w:vAlign w:val="center"/>
                </w:tcPr>
                <w:p w14:paraId="1E03ED12">
                  <w:pPr>
                    <w:pStyle w:val="30"/>
                    <w:bidi w:val="0"/>
                    <w:rPr>
                      <w:rFonts w:hint="default"/>
                      <w:color w:val="auto"/>
                      <w:highlight w:val="none"/>
                      <w:lang w:val="en-US" w:eastAsia="zh-CN"/>
                    </w:rPr>
                  </w:pPr>
                  <w:r>
                    <w:rPr>
                      <w:rFonts w:hint="default"/>
                      <w:color w:val="auto"/>
                      <w:highlight w:val="none"/>
                      <w:lang w:val="en-US" w:eastAsia="zh-CN"/>
                    </w:rPr>
                    <w:t>28</w:t>
                  </w:r>
                </w:p>
              </w:tc>
              <w:tc>
                <w:tcPr>
                  <w:tcW w:w="1678" w:type="pct"/>
                  <w:shd w:val="clear" w:color="auto" w:fill="auto"/>
                  <w:noWrap w:val="0"/>
                  <w:vAlign w:val="center"/>
                </w:tcPr>
                <w:p w14:paraId="05F38B61">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highlight w:val="none"/>
                      <w:lang w:val="en-US" w:eastAsia="zh-CN"/>
                    </w:rPr>
                  </w:pPr>
                  <w:r>
                    <w:rPr>
                      <w:rFonts w:hint="eastAsia"/>
                      <w:color w:val="auto"/>
                      <w:lang w:val="en-US" w:eastAsia="zh-CN"/>
                    </w:rPr>
                    <w:t>动物处置台</w:t>
                  </w:r>
                </w:p>
              </w:tc>
              <w:tc>
                <w:tcPr>
                  <w:tcW w:w="1084" w:type="pct"/>
                  <w:tcBorders>
                    <w:left w:val="single" w:color="auto" w:sz="2" w:space="0"/>
                    <w:right w:val="single" w:color="auto" w:sz="2" w:space="0"/>
                  </w:tcBorders>
                  <w:shd w:val="clear" w:color="auto" w:fill="auto"/>
                  <w:noWrap w:val="0"/>
                  <w:vAlign w:val="center"/>
                </w:tcPr>
                <w:p w14:paraId="0F05C6E5">
                  <w:pPr>
                    <w:pStyle w:val="30"/>
                    <w:bidi w:val="0"/>
                    <w:rPr>
                      <w:rFonts w:hint="default" w:ascii="Times New Roman" w:hAnsi="Times New Roman" w:eastAsia="宋体" w:cs="Times New Roman"/>
                      <w:bCs/>
                      <w:snapToGrid w:val="0"/>
                      <w:color w:val="auto"/>
                      <w:spacing w:val="8"/>
                      <w:kern w:val="0"/>
                      <w:sz w:val="21"/>
                      <w:szCs w:val="72"/>
                      <w:highlight w:val="none"/>
                      <w:lang w:val="en-US" w:eastAsia="zh-CN"/>
                    </w:rPr>
                  </w:pPr>
                  <w:r>
                    <w:rPr>
                      <w:rFonts w:hint="default"/>
                      <w:color w:val="auto"/>
                      <w:highlight w:val="none"/>
                      <w:lang w:val="en-US" w:eastAsia="zh-CN"/>
                    </w:rPr>
                    <w:t>/</w:t>
                  </w:r>
                </w:p>
              </w:tc>
              <w:tc>
                <w:tcPr>
                  <w:tcW w:w="775" w:type="pct"/>
                  <w:tcBorders>
                    <w:left w:val="single" w:color="auto" w:sz="2" w:space="0"/>
                    <w:right w:val="single" w:color="auto" w:sz="2" w:space="0"/>
                  </w:tcBorders>
                  <w:shd w:val="clear" w:color="auto" w:fill="auto"/>
                  <w:noWrap w:val="0"/>
                  <w:vAlign w:val="center"/>
                </w:tcPr>
                <w:p w14:paraId="2B7A1191">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highlight w:val="none"/>
                      <w:lang w:val="en-US" w:eastAsia="zh-CN"/>
                    </w:rPr>
                  </w:pPr>
                  <w:r>
                    <w:rPr>
                      <w:rFonts w:hint="eastAsia"/>
                      <w:color w:val="auto"/>
                      <w:lang w:val="en-US" w:eastAsia="zh-CN"/>
                    </w:rPr>
                    <w:t>台</w:t>
                  </w:r>
                </w:p>
              </w:tc>
              <w:tc>
                <w:tcPr>
                  <w:tcW w:w="1028" w:type="pct"/>
                  <w:tcBorders>
                    <w:top w:val="single" w:color="auto" w:sz="2" w:space="0"/>
                    <w:left w:val="single" w:color="auto" w:sz="2" w:space="0"/>
                    <w:bottom w:val="single" w:color="auto" w:sz="2" w:space="0"/>
                  </w:tcBorders>
                  <w:shd w:val="clear" w:color="auto" w:fill="auto"/>
                  <w:noWrap w:val="0"/>
                  <w:vAlign w:val="center"/>
                </w:tcPr>
                <w:p w14:paraId="07AD984D">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1</w:t>
                  </w:r>
                </w:p>
              </w:tc>
            </w:tr>
            <w:tr w14:paraId="61BC0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2" w:type="pct"/>
                  <w:noWrap w:val="0"/>
                  <w:vAlign w:val="center"/>
                </w:tcPr>
                <w:p w14:paraId="5EAE502B">
                  <w:pPr>
                    <w:pStyle w:val="30"/>
                    <w:bidi w:val="0"/>
                    <w:rPr>
                      <w:rFonts w:hint="default"/>
                      <w:color w:val="auto"/>
                      <w:highlight w:val="none"/>
                      <w:lang w:val="en-US" w:eastAsia="zh-CN"/>
                    </w:rPr>
                  </w:pPr>
                  <w:r>
                    <w:rPr>
                      <w:rFonts w:hint="default"/>
                      <w:color w:val="auto"/>
                      <w:highlight w:val="none"/>
                      <w:lang w:val="en-US" w:eastAsia="zh-CN"/>
                    </w:rPr>
                    <w:t>29</w:t>
                  </w:r>
                </w:p>
              </w:tc>
              <w:tc>
                <w:tcPr>
                  <w:tcW w:w="1678" w:type="pct"/>
                  <w:shd w:val="clear" w:color="auto" w:fill="auto"/>
                  <w:noWrap w:val="0"/>
                  <w:vAlign w:val="center"/>
                </w:tcPr>
                <w:p w14:paraId="4988F06C">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highlight w:val="none"/>
                      <w:lang w:val="en-US" w:eastAsia="zh-CN"/>
                    </w:rPr>
                  </w:pPr>
                  <w:r>
                    <w:rPr>
                      <w:rFonts w:hint="eastAsia"/>
                      <w:color w:val="auto"/>
                      <w:lang w:val="en-US" w:eastAsia="zh-CN"/>
                    </w:rPr>
                    <w:t>超声波洁牙机</w:t>
                  </w:r>
                </w:p>
              </w:tc>
              <w:tc>
                <w:tcPr>
                  <w:tcW w:w="1084" w:type="pct"/>
                  <w:tcBorders>
                    <w:left w:val="single" w:color="auto" w:sz="2" w:space="0"/>
                    <w:right w:val="single" w:color="auto" w:sz="2" w:space="0"/>
                  </w:tcBorders>
                  <w:shd w:val="clear" w:color="auto" w:fill="auto"/>
                  <w:noWrap w:val="0"/>
                  <w:vAlign w:val="center"/>
                </w:tcPr>
                <w:p w14:paraId="0C8B7175">
                  <w:pPr>
                    <w:pStyle w:val="30"/>
                    <w:bidi w:val="0"/>
                    <w:rPr>
                      <w:rFonts w:hint="default" w:ascii="Times New Roman" w:hAnsi="Times New Roman" w:eastAsia="宋体" w:cs="Times New Roman"/>
                      <w:bCs/>
                      <w:snapToGrid w:val="0"/>
                      <w:color w:val="auto"/>
                      <w:spacing w:val="8"/>
                      <w:kern w:val="0"/>
                      <w:sz w:val="21"/>
                      <w:szCs w:val="72"/>
                      <w:highlight w:val="none"/>
                      <w:lang w:val="en-US" w:eastAsia="zh-CN"/>
                    </w:rPr>
                  </w:pPr>
                  <w:r>
                    <w:rPr>
                      <w:rFonts w:hint="default"/>
                      <w:color w:val="auto"/>
                      <w:highlight w:val="none"/>
                      <w:lang w:val="en-US" w:eastAsia="zh-CN"/>
                    </w:rPr>
                    <w:t>/</w:t>
                  </w:r>
                </w:p>
              </w:tc>
              <w:tc>
                <w:tcPr>
                  <w:tcW w:w="775" w:type="pct"/>
                  <w:tcBorders>
                    <w:left w:val="single" w:color="auto" w:sz="2" w:space="0"/>
                    <w:right w:val="single" w:color="auto" w:sz="2" w:space="0"/>
                  </w:tcBorders>
                  <w:shd w:val="clear" w:color="auto" w:fill="auto"/>
                  <w:noWrap w:val="0"/>
                  <w:vAlign w:val="center"/>
                </w:tcPr>
                <w:p w14:paraId="6A16B719">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highlight w:val="none"/>
                      <w:lang w:val="en-US" w:eastAsia="zh-CN"/>
                    </w:rPr>
                  </w:pPr>
                  <w:r>
                    <w:rPr>
                      <w:rFonts w:hint="eastAsia"/>
                      <w:color w:val="auto"/>
                      <w:lang w:val="en-US" w:eastAsia="zh-CN"/>
                    </w:rPr>
                    <w:t>台</w:t>
                  </w:r>
                </w:p>
              </w:tc>
              <w:tc>
                <w:tcPr>
                  <w:tcW w:w="1028" w:type="pct"/>
                  <w:tcBorders>
                    <w:top w:val="single" w:color="auto" w:sz="2" w:space="0"/>
                    <w:left w:val="single" w:color="auto" w:sz="2" w:space="0"/>
                    <w:bottom w:val="single" w:color="auto" w:sz="2" w:space="0"/>
                  </w:tcBorders>
                  <w:shd w:val="clear" w:color="auto" w:fill="auto"/>
                  <w:noWrap w:val="0"/>
                  <w:vAlign w:val="center"/>
                </w:tcPr>
                <w:p w14:paraId="4BE494AB">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1</w:t>
                  </w:r>
                </w:p>
              </w:tc>
            </w:tr>
            <w:tr w14:paraId="67FD4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2" w:type="pct"/>
                  <w:noWrap w:val="0"/>
                  <w:vAlign w:val="center"/>
                </w:tcPr>
                <w:p w14:paraId="366417E9">
                  <w:pPr>
                    <w:pStyle w:val="30"/>
                    <w:bidi w:val="0"/>
                    <w:rPr>
                      <w:rFonts w:hint="default"/>
                      <w:color w:val="auto"/>
                      <w:highlight w:val="none"/>
                      <w:lang w:val="en-US" w:eastAsia="zh-CN"/>
                    </w:rPr>
                  </w:pPr>
                  <w:r>
                    <w:rPr>
                      <w:rFonts w:hint="default"/>
                      <w:color w:val="auto"/>
                      <w:highlight w:val="none"/>
                      <w:lang w:val="en-US" w:eastAsia="zh-CN"/>
                    </w:rPr>
                    <w:t>30</w:t>
                  </w:r>
                </w:p>
              </w:tc>
              <w:tc>
                <w:tcPr>
                  <w:tcW w:w="1678" w:type="pct"/>
                  <w:shd w:val="clear" w:color="auto" w:fill="auto"/>
                  <w:noWrap w:val="0"/>
                  <w:vAlign w:val="center"/>
                </w:tcPr>
                <w:p w14:paraId="3A91293C">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highlight w:val="none"/>
                      <w:lang w:val="en-US" w:eastAsia="zh-CN"/>
                    </w:rPr>
                  </w:pPr>
                  <w:r>
                    <w:rPr>
                      <w:rFonts w:hint="eastAsia"/>
                      <w:color w:val="auto"/>
                      <w:lang w:val="en-US" w:eastAsia="zh-CN"/>
                    </w:rPr>
                    <w:t>伍德氏灯</w:t>
                  </w:r>
                </w:p>
              </w:tc>
              <w:tc>
                <w:tcPr>
                  <w:tcW w:w="1084" w:type="pct"/>
                  <w:tcBorders>
                    <w:left w:val="single" w:color="auto" w:sz="2" w:space="0"/>
                    <w:right w:val="single" w:color="auto" w:sz="2" w:space="0"/>
                  </w:tcBorders>
                  <w:shd w:val="clear" w:color="auto" w:fill="auto"/>
                  <w:noWrap w:val="0"/>
                  <w:vAlign w:val="center"/>
                </w:tcPr>
                <w:p w14:paraId="0CAEEBD4">
                  <w:pPr>
                    <w:pStyle w:val="30"/>
                    <w:bidi w:val="0"/>
                    <w:rPr>
                      <w:rFonts w:hint="default" w:ascii="Times New Roman" w:hAnsi="Times New Roman" w:eastAsia="宋体" w:cs="Times New Roman"/>
                      <w:bCs/>
                      <w:snapToGrid w:val="0"/>
                      <w:color w:val="auto"/>
                      <w:spacing w:val="8"/>
                      <w:kern w:val="0"/>
                      <w:sz w:val="21"/>
                      <w:szCs w:val="72"/>
                      <w:highlight w:val="none"/>
                      <w:lang w:val="en-US" w:eastAsia="zh-CN"/>
                    </w:rPr>
                  </w:pPr>
                  <w:r>
                    <w:rPr>
                      <w:rFonts w:hint="default"/>
                      <w:color w:val="auto"/>
                      <w:highlight w:val="none"/>
                      <w:lang w:val="en-US" w:eastAsia="zh-CN"/>
                    </w:rPr>
                    <w:t>/</w:t>
                  </w:r>
                </w:p>
              </w:tc>
              <w:tc>
                <w:tcPr>
                  <w:tcW w:w="775" w:type="pct"/>
                  <w:tcBorders>
                    <w:left w:val="single" w:color="auto" w:sz="2" w:space="0"/>
                    <w:right w:val="single" w:color="auto" w:sz="2" w:space="0"/>
                  </w:tcBorders>
                  <w:shd w:val="clear" w:color="auto" w:fill="auto"/>
                  <w:noWrap w:val="0"/>
                  <w:vAlign w:val="center"/>
                </w:tcPr>
                <w:p w14:paraId="05B5E6DE">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highlight w:val="none"/>
                      <w:lang w:val="en-US" w:eastAsia="zh-CN"/>
                    </w:rPr>
                  </w:pPr>
                  <w:r>
                    <w:rPr>
                      <w:rFonts w:hint="eastAsia"/>
                      <w:color w:val="auto"/>
                      <w:lang w:val="en-US" w:eastAsia="zh-CN"/>
                    </w:rPr>
                    <w:t>个</w:t>
                  </w:r>
                </w:p>
              </w:tc>
              <w:tc>
                <w:tcPr>
                  <w:tcW w:w="1028" w:type="pct"/>
                  <w:tcBorders>
                    <w:top w:val="single" w:color="auto" w:sz="2" w:space="0"/>
                    <w:left w:val="single" w:color="auto" w:sz="2" w:space="0"/>
                    <w:bottom w:val="single" w:color="auto" w:sz="2" w:space="0"/>
                  </w:tcBorders>
                  <w:shd w:val="clear" w:color="auto" w:fill="auto"/>
                  <w:noWrap w:val="0"/>
                  <w:vAlign w:val="center"/>
                </w:tcPr>
                <w:p w14:paraId="06FF4C3A">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3</w:t>
                  </w:r>
                </w:p>
              </w:tc>
            </w:tr>
            <w:tr w14:paraId="0CE80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2" w:type="pct"/>
                  <w:noWrap w:val="0"/>
                  <w:vAlign w:val="center"/>
                </w:tcPr>
                <w:p w14:paraId="419E5F45">
                  <w:pPr>
                    <w:pStyle w:val="30"/>
                    <w:bidi w:val="0"/>
                    <w:rPr>
                      <w:rFonts w:hint="default"/>
                      <w:color w:val="auto"/>
                      <w:highlight w:val="none"/>
                      <w:lang w:val="en-US" w:eastAsia="zh-CN"/>
                    </w:rPr>
                  </w:pPr>
                  <w:r>
                    <w:rPr>
                      <w:rFonts w:hint="default"/>
                      <w:color w:val="auto"/>
                      <w:highlight w:val="none"/>
                      <w:lang w:val="en-US" w:eastAsia="zh-CN"/>
                    </w:rPr>
                    <w:t>31</w:t>
                  </w:r>
                </w:p>
              </w:tc>
              <w:tc>
                <w:tcPr>
                  <w:tcW w:w="1678" w:type="pct"/>
                  <w:shd w:val="clear" w:color="auto" w:fill="auto"/>
                  <w:noWrap w:val="0"/>
                  <w:vAlign w:val="center"/>
                </w:tcPr>
                <w:p w14:paraId="4107CB15">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highlight w:val="none"/>
                      <w:lang w:val="en-US" w:eastAsia="zh-CN"/>
                    </w:rPr>
                  </w:pPr>
                  <w:r>
                    <w:rPr>
                      <w:rFonts w:hint="eastAsia"/>
                      <w:color w:val="auto"/>
                      <w:lang w:val="en-US" w:eastAsia="zh-CN"/>
                    </w:rPr>
                    <w:t>宠物智能输液泵</w:t>
                  </w:r>
                </w:p>
              </w:tc>
              <w:tc>
                <w:tcPr>
                  <w:tcW w:w="1084" w:type="pct"/>
                  <w:tcBorders>
                    <w:left w:val="single" w:color="auto" w:sz="2" w:space="0"/>
                    <w:right w:val="single" w:color="auto" w:sz="2" w:space="0"/>
                  </w:tcBorders>
                  <w:shd w:val="clear" w:color="auto" w:fill="auto"/>
                  <w:noWrap w:val="0"/>
                  <w:vAlign w:val="center"/>
                </w:tcPr>
                <w:p w14:paraId="71D3A234">
                  <w:pPr>
                    <w:pStyle w:val="30"/>
                    <w:bidi w:val="0"/>
                    <w:rPr>
                      <w:rFonts w:hint="default" w:ascii="Times New Roman" w:hAnsi="Times New Roman" w:eastAsia="宋体" w:cs="Times New Roman"/>
                      <w:bCs/>
                      <w:snapToGrid w:val="0"/>
                      <w:color w:val="auto"/>
                      <w:spacing w:val="8"/>
                      <w:kern w:val="0"/>
                      <w:sz w:val="21"/>
                      <w:szCs w:val="72"/>
                      <w:highlight w:val="none"/>
                      <w:lang w:val="en-US" w:eastAsia="zh-CN"/>
                    </w:rPr>
                  </w:pPr>
                  <w:r>
                    <w:rPr>
                      <w:rFonts w:hint="default"/>
                      <w:color w:val="auto"/>
                      <w:highlight w:val="none"/>
                      <w:lang w:val="en-US" w:eastAsia="zh-CN"/>
                    </w:rPr>
                    <w:t>/</w:t>
                  </w:r>
                </w:p>
              </w:tc>
              <w:tc>
                <w:tcPr>
                  <w:tcW w:w="775" w:type="pct"/>
                  <w:tcBorders>
                    <w:left w:val="single" w:color="auto" w:sz="2" w:space="0"/>
                    <w:right w:val="single" w:color="auto" w:sz="2" w:space="0"/>
                  </w:tcBorders>
                  <w:shd w:val="clear" w:color="auto" w:fill="auto"/>
                  <w:noWrap w:val="0"/>
                  <w:vAlign w:val="center"/>
                </w:tcPr>
                <w:p w14:paraId="0C5E4DBC">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highlight w:val="none"/>
                      <w:lang w:val="en-US" w:eastAsia="zh-CN"/>
                    </w:rPr>
                  </w:pPr>
                  <w:r>
                    <w:rPr>
                      <w:rFonts w:hint="eastAsia"/>
                      <w:color w:val="auto"/>
                      <w:lang w:val="en-US" w:eastAsia="zh-CN"/>
                    </w:rPr>
                    <w:t>个</w:t>
                  </w:r>
                </w:p>
              </w:tc>
              <w:tc>
                <w:tcPr>
                  <w:tcW w:w="1028" w:type="pct"/>
                  <w:tcBorders>
                    <w:top w:val="single" w:color="auto" w:sz="2" w:space="0"/>
                    <w:left w:val="single" w:color="auto" w:sz="2" w:space="0"/>
                    <w:bottom w:val="single" w:color="auto" w:sz="2" w:space="0"/>
                  </w:tcBorders>
                  <w:shd w:val="clear" w:color="auto" w:fill="auto"/>
                  <w:noWrap w:val="0"/>
                  <w:vAlign w:val="center"/>
                </w:tcPr>
                <w:p w14:paraId="09700709">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8</w:t>
                  </w:r>
                </w:p>
              </w:tc>
            </w:tr>
            <w:tr w14:paraId="1C1B1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2" w:type="pct"/>
                  <w:noWrap w:val="0"/>
                  <w:vAlign w:val="center"/>
                </w:tcPr>
                <w:p w14:paraId="5E6D04CD">
                  <w:pPr>
                    <w:pStyle w:val="30"/>
                    <w:bidi w:val="0"/>
                    <w:rPr>
                      <w:rFonts w:hint="default"/>
                      <w:color w:val="auto"/>
                      <w:highlight w:val="none"/>
                      <w:lang w:val="en-US" w:eastAsia="zh-CN"/>
                    </w:rPr>
                  </w:pPr>
                  <w:r>
                    <w:rPr>
                      <w:rFonts w:hint="default"/>
                      <w:color w:val="auto"/>
                      <w:highlight w:val="none"/>
                      <w:lang w:val="en-US" w:eastAsia="zh-CN"/>
                    </w:rPr>
                    <w:t>32</w:t>
                  </w:r>
                </w:p>
              </w:tc>
              <w:tc>
                <w:tcPr>
                  <w:tcW w:w="1678" w:type="pct"/>
                  <w:shd w:val="clear" w:color="auto" w:fill="auto"/>
                  <w:noWrap w:val="0"/>
                  <w:vAlign w:val="center"/>
                </w:tcPr>
                <w:p w14:paraId="141DE493">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highlight w:val="none"/>
                      <w:lang w:val="en-US" w:eastAsia="zh-CN"/>
                    </w:rPr>
                  </w:pPr>
                  <w:r>
                    <w:rPr>
                      <w:rFonts w:hint="eastAsia"/>
                      <w:color w:val="auto"/>
                      <w:lang w:val="en-US" w:eastAsia="zh-CN"/>
                    </w:rPr>
                    <w:t>移液器</w:t>
                  </w:r>
                </w:p>
              </w:tc>
              <w:tc>
                <w:tcPr>
                  <w:tcW w:w="1084" w:type="pct"/>
                  <w:tcBorders>
                    <w:left w:val="single" w:color="auto" w:sz="2" w:space="0"/>
                    <w:right w:val="single" w:color="auto" w:sz="2" w:space="0"/>
                  </w:tcBorders>
                  <w:shd w:val="clear" w:color="auto" w:fill="auto"/>
                  <w:noWrap w:val="0"/>
                  <w:vAlign w:val="center"/>
                </w:tcPr>
                <w:p w14:paraId="7E210A19">
                  <w:pPr>
                    <w:pStyle w:val="30"/>
                    <w:bidi w:val="0"/>
                    <w:rPr>
                      <w:rFonts w:hint="default" w:ascii="Times New Roman" w:hAnsi="Times New Roman" w:eastAsia="宋体" w:cs="Times New Roman"/>
                      <w:bCs/>
                      <w:snapToGrid w:val="0"/>
                      <w:color w:val="auto"/>
                      <w:spacing w:val="8"/>
                      <w:kern w:val="0"/>
                      <w:sz w:val="21"/>
                      <w:szCs w:val="72"/>
                      <w:highlight w:val="none"/>
                      <w:lang w:val="en-US" w:eastAsia="zh-CN"/>
                    </w:rPr>
                  </w:pPr>
                  <w:r>
                    <w:rPr>
                      <w:rFonts w:hint="default"/>
                      <w:color w:val="auto"/>
                      <w:highlight w:val="none"/>
                      <w:lang w:val="en-US" w:eastAsia="zh-CN"/>
                    </w:rPr>
                    <w:t>/</w:t>
                  </w:r>
                </w:p>
              </w:tc>
              <w:tc>
                <w:tcPr>
                  <w:tcW w:w="775" w:type="pct"/>
                  <w:tcBorders>
                    <w:left w:val="single" w:color="auto" w:sz="2" w:space="0"/>
                    <w:right w:val="single" w:color="auto" w:sz="2" w:space="0"/>
                  </w:tcBorders>
                  <w:shd w:val="clear" w:color="auto" w:fill="auto"/>
                  <w:noWrap w:val="0"/>
                  <w:vAlign w:val="center"/>
                </w:tcPr>
                <w:p w14:paraId="27F6F4B0">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highlight w:val="none"/>
                      <w:lang w:val="en-US" w:eastAsia="zh-CN"/>
                    </w:rPr>
                  </w:pPr>
                  <w:r>
                    <w:rPr>
                      <w:rFonts w:hint="eastAsia"/>
                      <w:color w:val="auto"/>
                      <w:lang w:val="en-US" w:eastAsia="zh-CN"/>
                    </w:rPr>
                    <w:t>个</w:t>
                  </w:r>
                </w:p>
              </w:tc>
              <w:tc>
                <w:tcPr>
                  <w:tcW w:w="1028" w:type="pct"/>
                  <w:tcBorders>
                    <w:top w:val="single" w:color="auto" w:sz="2" w:space="0"/>
                    <w:left w:val="single" w:color="auto" w:sz="2" w:space="0"/>
                    <w:bottom w:val="single" w:color="auto" w:sz="2" w:space="0"/>
                  </w:tcBorders>
                  <w:shd w:val="clear" w:color="auto" w:fill="auto"/>
                  <w:noWrap w:val="0"/>
                  <w:vAlign w:val="center"/>
                </w:tcPr>
                <w:p w14:paraId="49A0D93B">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10</w:t>
                  </w:r>
                </w:p>
              </w:tc>
            </w:tr>
            <w:tr w14:paraId="10BE6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2" w:type="pct"/>
                  <w:noWrap w:val="0"/>
                  <w:vAlign w:val="center"/>
                </w:tcPr>
                <w:p w14:paraId="0D1EC5FF">
                  <w:pPr>
                    <w:pStyle w:val="30"/>
                    <w:bidi w:val="0"/>
                    <w:rPr>
                      <w:rFonts w:hint="default"/>
                      <w:color w:val="auto"/>
                      <w:highlight w:val="none"/>
                      <w:lang w:val="en-US" w:eastAsia="zh-CN"/>
                    </w:rPr>
                  </w:pPr>
                  <w:r>
                    <w:rPr>
                      <w:rFonts w:hint="default"/>
                      <w:color w:val="auto"/>
                      <w:highlight w:val="none"/>
                      <w:lang w:val="en-US" w:eastAsia="zh-CN"/>
                    </w:rPr>
                    <w:t>33</w:t>
                  </w:r>
                </w:p>
              </w:tc>
              <w:tc>
                <w:tcPr>
                  <w:tcW w:w="1678" w:type="pct"/>
                  <w:shd w:val="clear" w:color="auto" w:fill="auto"/>
                  <w:noWrap w:val="0"/>
                  <w:vAlign w:val="center"/>
                </w:tcPr>
                <w:p w14:paraId="2CD619B5">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highlight w:val="none"/>
                      <w:lang w:val="en-US" w:eastAsia="zh-CN"/>
                    </w:rPr>
                  </w:pPr>
                  <w:r>
                    <w:rPr>
                      <w:rFonts w:hint="eastAsia"/>
                      <w:color w:val="auto"/>
                      <w:lang w:val="en-US" w:eastAsia="zh-CN"/>
                    </w:rPr>
                    <w:t>监控摄像头</w:t>
                  </w:r>
                </w:p>
              </w:tc>
              <w:tc>
                <w:tcPr>
                  <w:tcW w:w="1084" w:type="pct"/>
                  <w:tcBorders>
                    <w:left w:val="single" w:color="auto" w:sz="2" w:space="0"/>
                    <w:right w:val="single" w:color="auto" w:sz="2" w:space="0"/>
                  </w:tcBorders>
                  <w:shd w:val="clear" w:color="auto" w:fill="auto"/>
                  <w:noWrap w:val="0"/>
                  <w:vAlign w:val="center"/>
                </w:tcPr>
                <w:p w14:paraId="7FC4D657">
                  <w:pPr>
                    <w:pStyle w:val="30"/>
                    <w:bidi w:val="0"/>
                    <w:rPr>
                      <w:rFonts w:hint="default" w:ascii="Times New Roman" w:hAnsi="Times New Roman" w:eastAsia="宋体" w:cs="Times New Roman"/>
                      <w:bCs/>
                      <w:snapToGrid w:val="0"/>
                      <w:color w:val="auto"/>
                      <w:spacing w:val="8"/>
                      <w:kern w:val="0"/>
                      <w:sz w:val="21"/>
                      <w:szCs w:val="72"/>
                      <w:highlight w:val="none"/>
                      <w:lang w:val="en-US" w:eastAsia="zh-CN"/>
                    </w:rPr>
                  </w:pPr>
                  <w:r>
                    <w:rPr>
                      <w:rFonts w:hint="default"/>
                      <w:color w:val="auto"/>
                      <w:highlight w:val="none"/>
                      <w:lang w:val="en-US" w:eastAsia="zh-CN"/>
                    </w:rPr>
                    <w:t>/</w:t>
                  </w:r>
                </w:p>
              </w:tc>
              <w:tc>
                <w:tcPr>
                  <w:tcW w:w="775" w:type="pct"/>
                  <w:tcBorders>
                    <w:left w:val="single" w:color="auto" w:sz="2" w:space="0"/>
                    <w:right w:val="single" w:color="auto" w:sz="2" w:space="0"/>
                  </w:tcBorders>
                  <w:shd w:val="clear" w:color="auto" w:fill="auto"/>
                  <w:noWrap w:val="0"/>
                  <w:vAlign w:val="center"/>
                </w:tcPr>
                <w:p w14:paraId="6B72CB59">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highlight w:val="none"/>
                      <w:lang w:val="en-US" w:eastAsia="zh-CN"/>
                    </w:rPr>
                  </w:pPr>
                  <w:r>
                    <w:rPr>
                      <w:rFonts w:hint="eastAsia"/>
                      <w:color w:val="auto"/>
                      <w:lang w:val="en-US" w:eastAsia="zh-CN"/>
                    </w:rPr>
                    <w:t>个</w:t>
                  </w:r>
                </w:p>
              </w:tc>
              <w:tc>
                <w:tcPr>
                  <w:tcW w:w="1028" w:type="pct"/>
                  <w:tcBorders>
                    <w:top w:val="single" w:color="auto" w:sz="2" w:space="0"/>
                    <w:left w:val="single" w:color="auto" w:sz="2" w:space="0"/>
                    <w:bottom w:val="single" w:color="auto" w:sz="2" w:space="0"/>
                  </w:tcBorders>
                  <w:shd w:val="clear" w:color="auto" w:fill="auto"/>
                  <w:noWrap w:val="0"/>
                  <w:vAlign w:val="center"/>
                </w:tcPr>
                <w:p w14:paraId="75CAF987">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7</w:t>
                  </w:r>
                </w:p>
              </w:tc>
            </w:tr>
            <w:tr w14:paraId="1F777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2" w:type="pct"/>
                  <w:noWrap w:val="0"/>
                  <w:vAlign w:val="center"/>
                </w:tcPr>
                <w:p w14:paraId="4CC5FA74">
                  <w:pPr>
                    <w:pStyle w:val="30"/>
                    <w:bidi w:val="0"/>
                    <w:rPr>
                      <w:rFonts w:hint="default"/>
                      <w:color w:val="auto"/>
                      <w:highlight w:val="none"/>
                      <w:lang w:val="en-US" w:eastAsia="zh-CN"/>
                    </w:rPr>
                  </w:pPr>
                  <w:r>
                    <w:rPr>
                      <w:rFonts w:hint="default"/>
                      <w:color w:val="auto"/>
                      <w:highlight w:val="none"/>
                      <w:lang w:val="en-US" w:eastAsia="zh-CN"/>
                    </w:rPr>
                    <w:t>34</w:t>
                  </w:r>
                </w:p>
              </w:tc>
              <w:tc>
                <w:tcPr>
                  <w:tcW w:w="1678" w:type="pct"/>
                  <w:shd w:val="clear" w:color="auto" w:fill="auto"/>
                  <w:noWrap w:val="0"/>
                  <w:vAlign w:val="center"/>
                </w:tcPr>
                <w:p w14:paraId="232258E9">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highlight w:val="none"/>
                      <w:lang w:val="en-US" w:eastAsia="zh-CN"/>
                    </w:rPr>
                  </w:pPr>
                  <w:r>
                    <w:rPr>
                      <w:rFonts w:hint="eastAsia"/>
                      <w:color w:val="auto"/>
                      <w:lang w:val="en-US" w:eastAsia="zh-CN"/>
                    </w:rPr>
                    <w:t>打印机</w:t>
                  </w:r>
                </w:p>
              </w:tc>
              <w:tc>
                <w:tcPr>
                  <w:tcW w:w="1084" w:type="pct"/>
                  <w:tcBorders>
                    <w:left w:val="single" w:color="auto" w:sz="2" w:space="0"/>
                    <w:right w:val="single" w:color="auto" w:sz="2" w:space="0"/>
                  </w:tcBorders>
                  <w:shd w:val="clear" w:color="auto" w:fill="auto"/>
                  <w:noWrap w:val="0"/>
                  <w:vAlign w:val="center"/>
                </w:tcPr>
                <w:p w14:paraId="6DA02C60">
                  <w:pPr>
                    <w:pStyle w:val="30"/>
                    <w:bidi w:val="0"/>
                    <w:rPr>
                      <w:rFonts w:hint="default" w:ascii="Times New Roman" w:hAnsi="Times New Roman" w:eastAsia="宋体" w:cs="Times New Roman"/>
                      <w:bCs/>
                      <w:snapToGrid w:val="0"/>
                      <w:color w:val="auto"/>
                      <w:spacing w:val="8"/>
                      <w:kern w:val="0"/>
                      <w:sz w:val="21"/>
                      <w:szCs w:val="72"/>
                      <w:highlight w:val="none"/>
                      <w:lang w:val="en-US" w:eastAsia="zh-CN"/>
                    </w:rPr>
                  </w:pPr>
                  <w:r>
                    <w:rPr>
                      <w:rFonts w:hint="default" w:ascii="Times New Roman" w:hAnsi="Times New Roman" w:eastAsia="宋体" w:cs="Times New Roman"/>
                      <w:color w:val="auto"/>
                      <w:highlight w:val="none"/>
                      <w:lang w:val="en-US" w:eastAsia="zh-CN"/>
                    </w:rPr>
                    <w:t>/</w:t>
                  </w:r>
                </w:p>
              </w:tc>
              <w:tc>
                <w:tcPr>
                  <w:tcW w:w="775" w:type="pct"/>
                  <w:tcBorders>
                    <w:left w:val="single" w:color="auto" w:sz="2" w:space="0"/>
                    <w:right w:val="single" w:color="auto" w:sz="2" w:space="0"/>
                  </w:tcBorders>
                  <w:shd w:val="clear" w:color="auto" w:fill="auto"/>
                  <w:noWrap w:val="0"/>
                  <w:vAlign w:val="center"/>
                </w:tcPr>
                <w:p w14:paraId="1CD0AA50">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highlight w:val="none"/>
                      <w:lang w:val="en-US" w:eastAsia="zh-CN"/>
                    </w:rPr>
                  </w:pPr>
                  <w:r>
                    <w:rPr>
                      <w:rFonts w:hint="eastAsia"/>
                      <w:color w:val="auto"/>
                      <w:lang w:val="en-US" w:eastAsia="zh-CN"/>
                    </w:rPr>
                    <w:t>台</w:t>
                  </w:r>
                </w:p>
              </w:tc>
              <w:tc>
                <w:tcPr>
                  <w:tcW w:w="1028" w:type="pct"/>
                  <w:tcBorders>
                    <w:top w:val="single" w:color="auto" w:sz="2" w:space="0"/>
                    <w:left w:val="single" w:color="auto" w:sz="2" w:space="0"/>
                    <w:bottom w:val="single" w:color="auto" w:sz="2" w:space="0"/>
                  </w:tcBorders>
                  <w:shd w:val="clear" w:color="auto" w:fill="auto"/>
                  <w:noWrap w:val="0"/>
                  <w:vAlign w:val="center"/>
                </w:tcPr>
                <w:p w14:paraId="4294E019">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4</w:t>
                  </w:r>
                </w:p>
              </w:tc>
            </w:tr>
            <w:tr w14:paraId="6E890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2" w:type="pct"/>
                  <w:noWrap w:val="0"/>
                  <w:vAlign w:val="center"/>
                </w:tcPr>
                <w:p w14:paraId="6ED534E1">
                  <w:pPr>
                    <w:pStyle w:val="30"/>
                    <w:bidi w:val="0"/>
                    <w:rPr>
                      <w:rFonts w:hint="default"/>
                      <w:color w:val="auto"/>
                      <w:highlight w:val="none"/>
                      <w:lang w:val="en-US" w:eastAsia="zh-CN"/>
                    </w:rPr>
                  </w:pPr>
                  <w:r>
                    <w:rPr>
                      <w:rFonts w:hint="default"/>
                      <w:color w:val="auto"/>
                      <w:highlight w:val="none"/>
                      <w:lang w:val="en-US" w:eastAsia="zh-CN"/>
                    </w:rPr>
                    <w:t>35</w:t>
                  </w:r>
                </w:p>
              </w:tc>
              <w:tc>
                <w:tcPr>
                  <w:tcW w:w="1678" w:type="pct"/>
                  <w:shd w:val="clear" w:color="auto" w:fill="auto"/>
                  <w:noWrap w:val="0"/>
                  <w:vAlign w:val="center"/>
                </w:tcPr>
                <w:p w14:paraId="07478576">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highlight w:val="none"/>
                      <w:lang w:val="en-US" w:eastAsia="zh-CN"/>
                    </w:rPr>
                  </w:pPr>
                  <w:r>
                    <w:rPr>
                      <w:rFonts w:hint="eastAsia"/>
                      <w:color w:val="auto"/>
                      <w:lang w:val="en-US" w:eastAsia="zh-CN"/>
                    </w:rPr>
                    <w:t>宠物桌称</w:t>
                  </w:r>
                </w:p>
              </w:tc>
              <w:tc>
                <w:tcPr>
                  <w:tcW w:w="1084" w:type="pct"/>
                  <w:tcBorders>
                    <w:left w:val="single" w:color="auto" w:sz="2" w:space="0"/>
                    <w:right w:val="single" w:color="auto" w:sz="2" w:space="0"/>
                  </w:tcBorders>
                  <w:shd w:val="clear" w:color="auto" w:fill="auto"/>
                  <w:noWrap w:val="0"/>
                  <w:vAlign w:val="center"/>
                </w:tcPr>
                <w:p w14:paraId="5505C824">
                  <w:pPr>
                    <w:pStyle w:val="30"/>
                    <w:bidi w:val="0"/>
                    <w:rPr>
                      <w:rFonts w:hint="default" w:ascii="Times New Roman" w:hAnsi="Times New Roman" w:eastAsia="宋体" w:cs="Times New Roman"/>
                      <w:bCs/>
                      <w:snapToGrid w:val="0"/>
                      <w:color w:val="auto"/>
                      <w:spacing w:val="8"/>
                      <w:kern w:val="0"/>
                      <w:sz w:val="21"/>
                      <w:szCs w:val="72"/>
                      <w:highlight w:val="none"/>
                      <w:lang w:val="en-US" w:eastAsia="zh-CN"/>
                    </w:rPr>
                  </w:pPr>
                  <w:r>
                    <w:rPr>
                      <w:rFonts w:hint="default" w:ascii="Times New Roman" w:hAnsi="Times New Roman" w:eastAsia="宋体" w:cs="Times New Roman"/>
                      <w:color w:val="auto"/>
                      <w:highlight w:val="none"/>
                      <w:lang w:val="en-US" w:eastAsia="zh-CN"/>
                    </w:rPr>
                    <w:t>/</w:t>
                  </w:r>
                </w:p>
              </w:tc>
              <w:tc>
                <w:tcPr>
                  <w:tcW w:w="775" w:type="pct"/>
                  <w:tcBorders>
                    <w:left w:val="single" w:color="auto" w:sz="2" w:space="0"/>
                    <w:right w:val="single" w:color="auto" w:sz="2" w:space="0"/>
                  </w:tcBorders>
                  <w:shd w:val="clear" w:color="auto" w:fill="auto"/>
                  <w:noWrap w:val="0"/>
                  <w:vAlign w:val="center"/>
                </w:tcPr>
                <w:p w14:paraId="380F3DE0">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highlight w:val="none"/>
                      <w:lang w:val="en-US" w:eastAsia="zh-CN"/>
                    </w:rPr>
                  </w:pPr>
                  <w:r>
                    <w:rPr>
                      <w:rFonts w:hint="eastAsia"/>
                      <w:color w:val="auto"/>
                      <w:lang w:val="en-US" w:eastAsia="zh-CN"/>
                    </w:rPr>
                    <w:t>个</w:t>
                  </w:r>
                </w:p>
              </w:tc>
              <w:tc>
                <w:tcPr>
                  <w:tcW w:w="1028" w:type="pct"/>
                  <w:tcBorders>
                    <w:top w:val="single" w:color="auto" w:sz="2" w:space="0"/>
                    <w:left w:val="single" w:color="auto" w:sz="2" w:space="0"/>
                    <w:bottom w:val="single" w:color="auto" w:sz="2" w:space="0"/>
                  </w:tcBorders>
                  <w:shd w:val="clear" w:color="auto" w:fill="auto"/>
                  <w:noWrap w:val="0"/>
                  <w:vAlign w:val="center"/>
                </w:tcPr>
                <w:p w14:paraId="11AC2949">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4</w:t>
                  </w:r>
                </w:p>
              </w:tc>
            </w:tr>
            <w:tr w14:paraId="33CDC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2" w:type="pct"/>
                  <w:noWrap w:val="0"/>
                  <w:vAlign w:val="center"/>
                </w:tcPr>
                <w:p w14:paraId="72B73025">
                  <w:pPr>
                    <w:pStyle w:val="30"/>
                    <w:bidi w:val="0"/>
                    <w:rPr>
                      <w:rFonts w:hint="default"/>
                      <w:color w:val="auto"/>
                      <w:highlight w:val="none"/>
                      <w:lang w:val="en-US" w:eastAsia="zh-CN"/>
                    </w:rPr>
                  </w:pPr>
                  <w:r>
                    <w:rPr>
                      <w:rFonts w:hint="default"/>
                      <w:color w:val="auto"/>
                      <w:highlight w:val="none"/>
                      <w:lang w:val="en-US" w:eastAsia="zh-CN"/>
                    </w:rPr>
                    <w:t>36</w:t>
                  </w:r>
                </w:p>
              </w:tc>
              <w:tc>
                <w:tcPr>
                  <w:tcW w:w="1678" w:type="pct"/>
                  <w:shd w:val="clear" w:color="auto" w:fill="auto"/>
                  <w:noWrap w:val="0"/>
                  <w:vAlign w:val="center"/>
                </w:tcPr>
                <w:p w14:paraId="30CE5AA3">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highlight w:val="none"/>
                      <w:lang w:val="en-US" w:eastAsia="zh-CN"/>
                    </w:rPr>
                  </w:pPr>
                  <w:r>
                    <w:rPr>
                      <w:rFonts w:hint="eastAsia"/>
                      <w:color w:val="auto"/>
                      <w:lang w:val="en-US" w:eastAsia="zh-CN"/>
                    </w:rPr>
                    <w:t>斯玛特生化分析仪</w:t>
                  </w:r>
                </w:p>
              </w:tc>
              <w:tc>
                <w:tcPr>
                  <w:tcW w:w="1084" w:type="pct"/>
                  <w:tcBorders>
                    <w:left w:val="single" w:color="auto" w:sz="2" w:space="0"/>
                    <w:right w:val="single" w:color="auto" w:sz="2" w:space="0"/>
                  </w:tcBorders>
                  <w:shd w:val="clear" w:color="auto" w:fill="auto"/>
                  <w:noWrap w:val="0"/>
                  <w:vAlign w:val="center"/>
                </w:tcPr>
                <w:p w14:paraId="2365BF91">
                  <w:pPr>
                    <w:pStyle w:val="30"/>
                    <w:bidi w:val="0"/>
                    <w:rPr>
                      <w:rFonts w:hint="default" w:ascii="Times New Roman" w:hAnsi="Times New Roman" w:eastAsia="宋体" w:cs="Times New Roman"/>
                      <w:bCs/>
                      <w:snapToGrid w:val="0"/>
                      <w:color w:val="auto"/>
                      <w:spacing w:val="8"/>
                      <w:kern w:val="0"/>
                      <w:sz w:val="21"/>
                      <w:szCs w:val="72"/>
                      <w:highlight w:val="none"/>
                      <w:lang w:val="en-US" w:eastAsia="zh-CN"/>
                    </w:rPr>
                  </w:pPr>
                  <w:r>
                    <w:rPr>
                      <w:rFonts w:hint="default" w:ascii="Times New Roman" w:hAnsi="Times New Roman" w:eastAsia="宋体" w:cs="Times New Roman"/>
                      <w:color w:val="auto"/>
                      <w:highlight w:val="none"/>
                      <w:lang w:val="en-US" w:eastAsia="zh-CN"/>
                    </w:rPr>
                    <w:t>/</w:t>
                  </w:r>
                </w:p>
              </w:tc>
              <w:tc>
                <w:tcPr>
                  <w:tcW w:w="775" w:type="pct"/>
                  <w:tcBorders>
                    <w:left w:val="single" w:color="auto" w:sz="2" w:space="0"/>
                    <w:right w:val="single" w:color="auto" w:sz="2" w:space="0"/>
                  </w:tcBorders>
                  <w:shd w:val="clear" w:color="auto" w:fill="auto"/>
                  <w:noWrap w:val="0"/>
                  <w:vAlign w:val="center"/>
                </w:tcPr>
                <w:p w14:paraId="12703585">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highlight w:val="none"/>
                      <w:lang w:val="en-US" w:eastAsia="zh-CN"/>
                    </w:rPr>
                  </w:pPr>
                  <w:r>
                    <w:rPr>
                      <w:rFonts w:hint="eastAsia"/>
                      <w:color w:val="auto"/>
                      <w:lang w:val="en-US" w:eastAsia="zh-CN"/>
                    </w:rPr>
                    <w:t>台</w:t>
                  </w:r>
                </w:p>
              </w:tc>
              <w:tc>
                <w:tcPr>
                  <w:tcW w:w="1028" w:type="pct"/>
                  <w:tcBorders>
                    <w:top w:val="single" w:color="auto" w:sz="2" w:space="0"/>
                    <w:left w:val="single" w:color="auto" w:sz="2" w:space="0"/>
                    <w:bottom w:val="single" w:color="auto" w:sz="2" w:space="0"/>
                  </w:tcBorders>
                  <w:shd w:val="clear" w:color="auto" w:fill="auto"/>
                  <w:noWrap w:val="0"/>
                  <w:vAlign w:val="center"/>
                </w:tcPr>
                <w:p w14:paraId="1A104529">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1</w:t>
                  </w:r>
                </w:p>
              </w:tc>
            </w:tr>
            <w:tr w14:paraId="1AADF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2" w:type="pct"/>
                  <w:noWrap w:val="0"/>
                  <w:vAlign w:val="center"/>
                </w:tcPr>
                <w:p w14:paraId="1EFD4472">
                  <w:pPr>
                    <w:pStyle w:val="30"/>
                    <w:bidi w:val="0"/>
                    <w:rPr>
                      <w:rFonts w:hint="default"/>
                      <w:color w:val="auto"/>
                      <w:highlight w:val="none"/>
                      <w:lang w:val="en-US" w:eastAsia="zh-CN"/>
                    </w:rPr>
                  </w:pPr>
                  <w:r>
                    <w:rPr>
                      <w:rFonts w:hint="default"/>
                      <w:color w:val="auto"/>
                      <w:highlight w:val="none"/>
                      <w:lang w:val="en-US" w:eastAsia="zh-CN"/>
                    </w:rPr>
                    <w:t>37</w:t>
                  </w:r>
                </w:p>
              </w:tc>
              <w:tc>
                <w:tcPr>
                  <w:tcW w:w="1678" w:type="pct"/>
                  <w:shd w:val="clear" w:color="auto" w:fill="auto"/>
                  <w:noWrap w:val="0"/>
                  <w:vAlign w:val="center"/>
                </w:tcPr>
                <w:p w14:paraId="3D04274A">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highlight w:val="none"/>
                      <w:lang w:val="en-US" w:eastAsia="zh-CN"/>
                    </w:rPr>
                  </w:pPr>
                  <w:r>
                    <w:rPr>
                      <w:rFonts w:hint="eastAsia"/>
                      <w:color w:val="auto"/>
                      <w:lang w:val="en-US" w:eastAsia="zh-CN"/>
                    </w:rPr>
                    <w:t>紫外线灯</w:t>
                  </w:r>
                </w:p>
              </w:tc>
              <w:tc>
                <w:tcPr>
                  <w:tcW w:w="1084" w:type="pct"/>
                  <w:tcBorders>
                    <w:left w:val="single" w:color="auto" w:sz="2" w:space="0"/>
                    <w:right w:val="single" w:color="auto" w:sz="2" w:space="0"/>
                  </w:tcBorders>
                  <w:shd w:val="clear" w:color="auto" w:fill="auto"/>
                  <w:noWrap w:val="0"/>
                  <w:vAlign w:val="center"/>
                </w:tcPr>
                <w:p w14:paraId="65EC32C6">
                  <w:pPr>
                    <w:pStyle w:val="30"/>
                    <w:bidi w:val="0"/>
                    <w:rPr>
                      <w:rFonts w:hint="default" w:ascii="Times New Roman" w:hAnsi="Times New Roman" w:eastAsia="宋体" w:cs="Times New Roman"/>
                      <w:bCs/>
                      <w:snapToGrid w:val="0"/>
                      <w:color w:val="auto"/>
                      <w:spacing w:val="8"/>
                      <w:kern w:val="0"/>
                      <w:sz w:val="21"/>
                      <w:szCs w:val="72"/>
                      <w:highlight w:val="none"/>
                      <w:lang w:val="en-US" w:eastAsia="zh-CN"/>
                    </w:rPr>
                  </w:pPr>
                  <w:r>
                    <w:rPr>
                      <w:rFonts w:hint="default" w:ascii="Times New Roman" w:hAnsi="Times New Roman" w:eastAsia="宋体" w:cs="Times New Roman"/>
                      <w:color w:val="auto"/>
                      <w:highlight w:val="none"/>
                      <w:lang w:val="en-US" w:eastAsia="zh-CN"/>
                    </w:rPr>
                    <w:t>/</w:t>
                  </w:r>
                </w:p>
              </w:tc>
              <w:tc>
                <w:tcPr>
                  <w:tcW w:w="775" w:type="pct"/>
                  <w:tcBorders>
                    <w:left w:val="single" w:color="auto" w:sz="2" w:space="0"/>
                    <w:right w:val="single" w:color="auto" w:sz="2" w:space="0"/>
                  </w:tcBorders>
                  <w:shd w:val="clear" w:color="auto" w:fill="auto"/>
                  <w:noWrap w:val="0"/>
                  <w:vAlign w:val="center"/>
                </w:tcPr>
                <w:p w14:paraId="66353899">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highlight w:val="none"/>
                      <w:lang w:val="en-US" w:eastAsia="zh-CN"/>
                    </w:rPr>
                  </w:pPr>
                  <w:r>
                    <w:rPr>
                      <w:rFonts w:hint="eastAsia"/>
                      <w:color w:val="auto"/>
                      <w:lang w:val="en-US" w:eastAsia="zh-CN"/>
                    </w:rPr>
                    <w:t>个</w:t>
                  </w:r>
                </w:p>
              </w:tc>
              <w:tc>
                <w:tcPr>
                  <w:tcW w:w="1028" w:type="pct"/>
                  <w:tcBorders>
                    <w:top w:val="single" w:color="auto" w:sz="2" w:space="0"/>
                    <w:left w:val="single" w:color="auto" w:sz="2" w:space="0"/>
                    <w:bottom w:val="single" w:color="auto" w:sz="2" w:space="0"/>
                  </w:tcBorders>
                  <w:shd w:val="clear" w:color="auto" w:fill="auto"/>
                  <w:noWrap w:val="0"/>
                  <w:vAlign w:val="center"/>
                </w:tcPr>
                <w:p w14:paraId="73DC2EE6">
                  <w:pPr>
                    <w:pStyle w:val="30"/>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2</w:t>
                  </w:r>
                </w:p>
              </w:tc>
            </w:tr>
          </w:tbl>
          <w:p w14:paraId="38AE935B">
            <w:pPr>
              <w:pStyle w:val="3"/>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val="en-US" w:eastAsia="zh-CN"/>
              </w:rPr>
              <w:t>2.</w:t>
            </w:r>
            <w:r>
              <w:rPr>
                <w:rFonts w:hint="eastAsia" w:cs="Times New Roman"/>
                <w:color w:val="auto"/>
                <w:highlight w:val="none"/>
                <w:lang w:val="en-US" w:eastAsia="zh-CN"/>
              </w:rPr>
              <w:t>5</w:t>
            </w:r>
            <w:r>
              <w:rPr>
                <w:rFonts w:hint="default" w:ascii="Times New Roman" w:hAnsi="Times New Roman" w:cs="Times New Roman"/>
                <w:color w:val="auto"/>
                <w:highlight w:val="none"/>
                <w:lang w:eastAsia="zh-CN"/>
              </w:rPr>
              <w:t>、主要原辅材料表</w:t>
            </w:r>
          </w:p>
          <w:p w14:paraId="74116BCE">
            <w:pPr>
              <w:pStyle w:val="31"/>
              <w:bidi w:val="0"/>
              <w:rPr>
                <w:rFonts w:hint="eastAsia"/>
                <w:color w:val="auto"/>
                <w:lang w:val="en-US" w:eastAsia="zh-CN"/>
              </w:rPr>
            </w:pPr>
            <w:r>
              <w:rPr>
                <w:rFonts w:hint="eastAsia"/>
                <w:color w:val="auto"/>
                <w:lang w:val="en-US" w:eastAsia="zh-CN"/>
              </w:rPr>
              <w:t>医院的主要原辅材料种类繁多，包括药物、试剂、消毒液以及除此之外的其他各类物资。原辅材料运输、贮存和使用须严格遵守相关管理规范，避免扩散到人群和环境中造成危害。项目主要药物使用见表2-3，主要医疗用品及能源消耗见表2-4。</w:t>
            </w:r>
          </w:p>
          <w:p w14:paraId="1C35E833">
            <w:pPr>
              <w:pStyle w:val="29"/>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eastAsia="zh-CN"/>
              </w:rPr>
              <w:t>表2-</w:t>
            </w:r>
            <w:r>
              <w:rPr>
                <w:rFonts w:hint="default" w:ascii="Times New Roman" w:hAnsi="Times New Roman" w:cs="Times New Roman"/>
                <w:color w:val="auto"/>
                <w:highlight w:val="none"/>
                <w:lang w:val="en-US" w:eastAsia="zh-CN"/>
              </w:rPr>
              <w:t>3</w:t>
            </w:r>
            <w:r>
              <w:rPr>
                <w:rFonts w:hint="default" w:ascii="Times New Roman" w:hAnsi="Times New Roman" w:cs="Times New Roman"/>
                <w:color w:val="auto"/>
                <w:highlight w:val="none"/>
                <w:lang w:eastAsia="zh-CN"/>
              </w:rPr>
              <w:t xml:space="preserve">    主要</w:t>
            </w:r>
            <w:r>
              <w:rPr>
                <w:rFonts w:hint="default" w:ascii="Times New Roman" w:hAnsi="Times New Roman" w:cs="Times New Roman"/>
                <w:color w:val="auto"/>
                <w:highlight w:val="none"/>
                <w:lang w:val="en-US" w:eastAsia="zh-CN"/>
              </w:rPr>
              <w:t>药物使用情况</w:t>
            </w:r>
          </w:p>
          <w:tbl>
            <w:tblPr>
              <w:tblStyle w:val="19"/>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554"/>
              <w:gridCol w:w="3158"/>
              <w:gridCol w:w="1757"/>
              <w:gridCol w:w="1400"/>
              <w:gridCol w:w="1274"/>
            </w:tblGrid>
            <w:tr w14:paraId="78512B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340" w:type="pct"/>
                  <w:tcBorders>
                    <w:tl2br w:val="nil"/>
                    <w:tr2bl w:val="nil"/>
                  </w:tcBorders>
                  <w:noWrap w:val="0"/>
                  <w:vAlign w:val="center"/>
                </w:tcPr>
                <w:p w14:paraId="0281324F">
                  <w:pPr>
                    <w:widowControl w:val="0"/>
                    <w:snapToGrid w:val="0"/>
                    <w:spacing w:line="240" w:lineRule="auto"/>
                    <w:ind w:firstLine="0" w:firstLineChars="0"/>
                    <w:jc w:val="center"/>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序号</w:t>
                  </w:r>
                </w:p>
              </w:tc>
              <w:tc>
                <w:tcPr>
                  <w:tcW w:w="1938" w:type="pct"/>
                  <w:tcBorders>
                    <w:tl2br w:val="nil"/>
                    <w:tr2bl w:val="nil"/>
                  </w:tcBorders>
                  <w:noWrap w:val="0"/>
                  <w:vAlign w:val="center"/>
                </w:tcPr>
                <w:p w14:paraId="5AFA10AD">
                  <w:pPr>
                    <w:widowControl w:val="0"/>
                    <w:snapToGrid w:val="0"/>
                    <w:spacing w:line="240" w:lineRule="auto"/>
                    <w:ind w:firstLine="0" w:firstLineChars="0"/>
                    <w:jc w:val="center"/>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品名</w:t>
                  </w:r>
                </w:p>
              </w:tc>
              <w:tc>
                <w:tcPr>
                  <w:tcW w:w="1078" w:type="pct"/>
                  <w:tcBorders>
                    <w:tl2br w:val="nil"/>
                    <w:tr2bl w:val="nil"/>
                  </w:tcBorders>
                  <w:noWrap w:val="0"/>
                  <w:vAlign w:val="center"/>
                </w:tcPr>
                <w:p w14:paraId="0113A6A7">
                  <w:pPr>
                    <w:widowControl w:val="0"/>
                    <w:snapToGrid w:val="0"/>
                    <w:spacing w:line="240" w:lineRule="auto"/>
                    <w:ind w:firstLine="0" w:firstLineChars="0"/>
                    <w:jc w:val="center"/>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规格</w:t>
                  </w:r>
                </w:p>
              </w:tc>
              <w:tc>
                <w:tcPr>
                  <w:tcW w:w="859" w:type="pct"/>
                  <w:tcBorders>
                    <w:tl2br w:val="nil"/>
                    <w:tr2bl w:val="nil"/>
                  </w:tcBorders>
                  <w:noWrap w:val="0"/>
                  <w:vAlign w:val="center"/>
                </w:tcPr>
                <w:p w14:paraId="4CE2B2EC">
                  <w:pPr>
                    <w:widowControl w:val="0"/>
                    <w:snapToGrid w:val="0"/>
                    <w:spacing w:line="240" w:lineRule="auto"/>
                    <w:ind w:firstLine="0" w:firstLineChars="0"/>
                    <w:jc w:val="center"/>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年耗量</w:t>
                  </w:r>
                </w:p>
              </w:tc>
              <w:tc>
                <w:tcPr>
                  <w:tcW w:w="782" w:type="pct"/>
                  <w:tcBorders>
                    <w:tl2br w:val="nil"/>
                    <w:tr2bl w:val="nil"/>
                  </w:tcBorders>
                  <w:noWrap w:val="0"/>
                  <w:vAlign w:val="center"/>
                </w:tcPr>
                <w:p w14:paraId="062A1A67">
                  <w:pPr>
                    <w:widowControl w:val="0"/>
                    <w:snapToGrid w:val="0"/>
                    <w:spacing w:line="240" w:lineRule="auto"/>
                    <w:ind w:firstLine="0" w:firstLineChars="0"/>
                    <w:jc w:val="center"/>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备注</w:t>
                  </w:r>
                </w:p>
              </w:tc>
            </w:tr>
            <w:tr w14:paraId="61A007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40" w:type="pct"/>
                  <w:tcBorders>
                    <w:tl2br w:val="nil"/>
                    <w:tr2bl w:val="nil"/>
                  </w:tcBorders>
                  <w:noWrap w:val="0"/>
                  <w:vAlign w:val="top"/>
                </w:tcPr>
                <w:p w14:paraId="1AB9E7E2">
                  <w:pPr>
                    <w:widowControl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w:t>
                  </w:r>
                </w:p>
              </w:tc>
              <w:tc>
                <w:tcPr>
                  <w:tcW w:w="1938" w:type="pct"/>
                  <w:tcBorders>
                    <w:tl2br w:val="nil"/>
                    <w:tr2bl w:val="nil"/>
                  </w:tcBorders>
                  <w:noWrap w:val="0"/>
                  <w:vAlign w:val="center"/>
                </w:tcPr>
                <w:p w14:paraId="29B942B5">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拜有利</w:t>
                  </w:r>
                </w:p>
              </w:tc>
              <w:tc>
                <w:tcPr>
                  <w:tcW w:w="1078" w:type="pct"/>
                  <w:tcBorders>
                    <w:tl2br w:val="nil"/>
                    <w:tr2bl w:val="nil"/>
                  </w:tcBorders>
                  <w:noWrap w:val="0"/>
                  <w:vAlign w:val="center"/>
                </w:tcPr>
                <w:p w14:paraId="50197A3E">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10毫升</w:t>
                  </w:r>
                </w:p>
              </w:tc>
              <w:tc>
                <w:tcPr>
                  <w:tcW w:w="859" w:type="pct"/>
                  <w:tcBorders>
                    <w:tl2br w:val="nil"/>
                    <w:tr2bl w:val="nil"/>
                  </w:tcBorders>
                  <w:noWrap w:val="0"/>
                  <w:vAlign w:val="center"/>
                </w:tcPr>
                <w:p w14:paraId="0D8D93C8">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195瓶</w:t>
                  </w:r>
                </w:p>
              </w:tc>
              <w:tc>
                <w:tcPr>
                  <w:tcW w:w="782" w:type="pct"/>
                  <w:vMerge w:val="restart"/>
                  <w:tcBorders>
                    <w:tl2br w:val="nil"/>
                    <w:tr2bl w:val="nil"/>
                  </w:tcBorders>
                  <w:noWrap w:val="0"/>
                  <w:vAlign w:val="center"/>
                </w:tcPr>
                <w:p w14:paraId="27350DBA">
                  <w:pPr>
                    <w:widowControl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抗生素</w:t>
                  </w:r>
                </w:p>
              </w:tc>
            </w:tr>
            <w:tr w14:paraId="55DCF6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40" w:type="pct"/>
                  <w:vMerge w:val="restart"/>
                  <w:tcBorders>
                    <w:tl2br w:val="nil"/>
                    <w:tr2bl w:val="nil"/>
                  </w:tcBorders>
                  <w:noWrap w:val="0"/>
                  <w:vAlign w:val="center"/>
                </w:tcPr>
                <w:p w14:paraId="4F87BAA9">
                  <w:pPr>
                    <w:widowControl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w:t>
                  </w:r>
                </w:p>
              </w:tc>
              <w:tc>
                <w:tcPr>
                  <w:tcW w:w="1938" w:type="pct"/>
                  <w:vMerge w:val="restart"/>
                  <w:tcBorders>
                    <w:tl2br w:val="nil"/>
                    <w:tr2bl w:val="nil"/>
                  </w:tcBorders>
                  <w:noWrap w:val="0"/>
                  <w:vAlign w:val="center"/>
                </w:tcPr>
                <w:p w14:paraId="170A4100">
                  <w:pPr>
                    <w:widowControl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莫可迪</w:t>
                  </w:r>
                </w:p>
              </w:tc>
              <w:tc>
                <w:tcPr>
                  <w:tcW w:w="1078" w:type="pct"/>
                  <w:tcBorders>
                    <w:tl2br w:val="nil"/>
                    <w:tr2bl w:val="nil"/>
                  </w:tcBorders>
                  <w:noWrap w:val="0"/>
                  <w:vAlign w:val="center"/>
                </w:tcPr>
                <w:p w14:paraId="688DC2CA">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50毫克</w:t>
                  </w:r>
                </w:p>
              </w:tc>
              <w:tc>
                <w:tcPr>
                  <w:tcW w:w="859" w:type="pct"/>
                  <w:tcBorders>
                    <w:tl2br w:val="nil"/>
                    <w:tr2bl w:val="nil"/>
                  </w:tcBorders>
                  <w:noWrap w:val="0"/>
                  <w:vAlign w:val="center"/>
                </w:tcPr>
                <w:p w14:paraId="7DE4D3A5">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98片10盒</w:t>
                  </w:r>
                </w:p>
              </w:tc>
              <w:tc>
                <w:tcPr>
                  <w:tcW w:w="782" w:type="pct"/>
                  <w:vMerge w:val="continue"/>
                  <w:tcBorders>
                    <w:tl2br w:val="nil"/>
                    <w:tr2bl w:val="nil"/>
                  </w:tcBorders>
                  <w:noWrap w:val="0"/>
                  <w:vAlign w:val="center"/>
                </w:tcPr>
                <w:p w14:paraId="3058EE90">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r>
            <w:tr w14:paraId="431D0E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40" w:type="pct"/>
                  <w:vMerge w:val="continue"/>
                  <w:tcBorders>
                    <w:tl2br w:val="nil"/>
                    <w:tr2bl w:val="nil"/>
                  </w:tcBorders>
                  <w:noWrap w:val="0"/>
                  <w:vAlign w:val="top"/>
                </w:tcPr>
                <w:p w14:paraId="6FD32E1E">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c>
                <w:tcPr>
                  <w:tcW w:w="1938" w:type="pct"/>
                  <w:vMerge w:val="continue"/>
                  <w:tcBorders>
                    <w:tl2br w:val="nil"/>
                    <w:tr2bl w:val="nil"/>
                  </w:tcBorders>
                  <w:noWrap w:val="0"/>
                  <w:vAlign w:val="top"/>
                </w:tcPr>
                <w:p w14:paraId="000736D2">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c>
                <w:tcPr>
                  <w:tcW w:w="1078" w:type="pct"/>
                  <w:tcBorders>
                    <w:tl2br w:val="nil"/>
                    <w:tr2bl w:val="nil"/>
                  </w:tcBorders>
                  <w:noWrap w:val="0"/>
                  <w:vAlign w:val="center"/>
                </w:tcPr>
                <w:p w14:paraId="2E14A384">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250毫克</w:t>
                  </w:r>
                </w:p>
              </w:tc>
              <w:tc>
                <w:tcPr>
                  <w:tcW w:w="859" w:type="pct"/>
                  <w:tcBorders>
                    <w:tl2br w:val="nil"/>
                    <w:tr2bl w:val="nil"/>
                  </w:tcBorders>
                  <w:noWrap w:val="0"/>
                  <w:vAlign w:val="center"/>
                </w:tcPr>
                <w:p w14:paraId="5E354E9F">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8盒</w:t>
                  </w:r>
                </w:p>
              </w:tc>
              <w:tc>
                <w:tcPr>
                  <w:tcW w:w="782" w:type="pct"/>
                  <w:vMerge w:val="continue"/>
                  <w:tcBorders>
                    <w:tl2br w:val="nil"/>
                    <w:tr2bl w:val="nil"/>
                  </w:tcBorders>
                  <w:noWrap w:val="0"/>
                  <w:vAlign w:val="center"/>
                </w:tcPr>
                <w:p w14:paraId="3377C5B5">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r>
            <w:tr w14:paraId="4B86F8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40" w:type="pct"/>
                  <w:vMerge w:val="continue"/>
                  <w:tcBorders>
                    <w:tl2br w:val="nil"/>
                    <w:tr2bl w:val="nil"/>
                  </w:tcBorders>
                  <w:noWrap w:val="0"/>
                  <w:vAlign w:val="top"/>
                </w:tcPr>
                <w:p w14:paraId="6040559B">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c>
                <w:tcPr>
                  <w:tcW w:w="1938" w:type="pct"/>
                  <w:vMerge w:val="continue"/>
                  <w:tcBorders>
                    <w:tl2br w:val="nil"/>
                    <w:tr2bl w:val="nil"/>
                  </w:tcBorders>
                  <w:noWrap w:val="0"/>
                  <w:vAlign w:val="top"/>
                </w:tcPr>
                <w:p w14:paraId="5B294320">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c>
                <w:tcPr>
                  <w:tcW w:w="1078" w:type="pct"/>
                  <w:tcBorders>
                    <w:tl2br w:val="nil"/>
                    <w:tr2bl w:val="nil"/>
                  </w:tcBorders>
                  <w:noWrap w:val="0"/>
                  <w:vAlign w:val="center"/>
                </w:tcPr>
                <w:p w14:paraId="5C10402E">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500毫克</w:t>
                  </w:r>
                </w:p>
              </w:tc>
              <w:tc>
                <w:tcPr>
                  <w:tcW w:w="859" w:type="pct"/>
                  <w:tcBorders>
                    <w:tl2br w:val="nil"/>
                    <w:tr2bl w:val="nil"/>
                  </w:tcBorders>
                  <w:noWrap w:val="0"/>
                  <w:vAlign w:val="center"/>
                </w:tcPr>
                <w:p w14:paraId="6DBF5BB2">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5盒</w:t>
                  </w:r>
                </w:p>
              </w:tc>
              <w:tc>
                <w:tcPr>
                  <w:tcW w:w="782" w:type="pct"/>
                  <w:vMerge w:val="continue"/>
                  <w:tcBorders>
                    <w:tl2br w:val="nil"/>
                    <w:tr2bl w:val="nil"/>
                  </w:tcBorders>
                  <w:noWrap w:val="0"/>
                  <w:vAlign w:val="center"/>
                </w:tcPr>
                <w:p w14:paraId="540E8091">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r>
            <w:tr w14:paraId="459E19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340" w:type="pct"/>
                  <w:tcBorders>
                    <w:tl2br w:val="nil"/>
                    <w:tr2bl w:val="nil"/>
                  </w:tcBorders>
                  <w:noWrap w:val="0"/>
                  <w:vAlign w:val="center"/>
                </w:tcPr>
                <w:p w14:paraId="2C51A554">
                  <w:pPr>
                    <w:widowControl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w:t>
                  </w:r>
                </w:p>
              </w:tc>
              <w:tc>
                <w:tcPr>
                  <w:tcW w:w="1938" w:type="pct"/>
                  <w:tcBorders>
                    <w:tl2br w:val="nil"/>
                    <w:tr2bl w:val="nil"/>
                  </w:tcBorders>
                  <w:shd w:val="clear" w:color="auto" w:fill="auto"/>
                  <w:noWrap w:val="0"/>
                  <w:vAlign w:val="center"/>
                </w:tcPr>
                <w:p w14:paraId="3C101937">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大宠爱</w:t>
                  </w:r>
                </w:p>
              </w:tc>
              <w:tc>
                <w:tcPr>
                  <w:tcW w:w="1078" w:type="pct"/>
                  <w:tcBorders>
                    <w:tl2br w:val="nil"/>
                    <w:tr2bl w:val="nil"/>
                  </w:tcBorders>
                  <w:shd w:val="clear" w:color="auto" w:fill="auto"/>
                  <w:noWrap w:val="0"/>
                  <w:vAlign w:val="center"/>
                </w:tcPr>
                <w:p w14:paraId="3C8B5522">
                  <w:pPr>
                    <w:widowControl w:val="0"/>
                    <w:snapToGrid w:val="0"/>
                    <w:spacing w:line="240" w:lineRule="auto"/>
                    <w:ind w:firstLine="0" w:firstLineChars="0"/>
                    <w:jc w:val="center"/>
                    <w:rPr>
                      <w:rFonts w:hint="default"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0.25毫升</w:t>
                  </w:r>
                </w:p>
              </w:tc>
              <w:tc>
                <w:tcPr>
                  <w:tcW w:w="859" w:type="pct"/>
                  <w:tcBorders>
                    <w:tl2br w:val="nil"/>
                    <w:tr2bl w:val="nil"/>
                  </w:tcBorders>
                  <w:shd w:val="clear" w:color="auto" w:fill="auto"/>
                  <w:noWrap w:val="0"/>
                  <w:vAlign w:val="center"/>
                </w:tcPr>
                <w:p w14:paraId="3B874BD9">
                  <w:pPr>
                    <w:widowControl w:val="0"/>
                    <w:snapToGrid w:val="0"/>
                    <w:spacing w:line="240" w:lineRule="auto"/>
                    <w:ind w:firstLine="0" w:firstLineChars="0"/>
                    <w:jc w:val="center"/>
                    <w:rPr>
                      <w:rFonts w:hint="default"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90盒</w:t>
                  </w:r>
                </w:p>
              </w:tc>
              <w:tc>
                <w:tcPr>
                  <w:tcW w:w="782" w:type="pct"/>
                  <w:tcBorders>
                    <w:tl2br w:val="nil"/>
                    <w:tr2bl w:val="nil"/>
                  </w:tcBorders>
                  <w:shd w:val="clear" w:color="auto" w:fill="auto"/>
                  <w:noWrap w:val="0"/>
                  <w:vAlign w:val="center"/>
                </w:tcPr>
                <w:p w14:paraId="6CD93AA8">
                  <w:pPr>
                    <w:widowControl w:val="0"/>
                    <w:snapToGrid w:val="0"/>
                    <w:spacing w:line="240" w:lineRule="auto"/>
                    <w:ind w:firstLine="0" w:firstLineChars="0"/>
                    <w:jc w:val="center"/>
                    <w:rPr>
                      <w:rFonts w:hint="default"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体外驱虫</w:t>
                  </w:r>
                </w:p>
              </w:tc>
            </w:tr>
            <w:tr w14:paraId="44856F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40" w:type="pct"/>
                  <w:tcBorders>
                    <w:tl2br w:val="nil"/>
                    <w:tr2bl w:val="nil"/>
                  </w:tcBorders>
                  <w:noWrap w:val="0"/>
                  <w:vAlign w:val="top"/>
                </w:tcPr>
                <w:p w14:paraId="5A49CE61">
                  <w:pPr>
                    <w:widowControl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4</w:t>
                  </w:r>
                </w:p>
              </w:tc>
              <w:tc>
                <w:tcPr>
                  <w:tcW w:w="1938" w:type="pct"/>
                  <w:tcBorders>
                    <w:tl2br w:val="nil"/>
                    <w:tr2bl w:val="nil"/>
                  </w:tcBorders>
                  <w:shd w:val="clear" w:color="auto" w:fill="auto"/>
                  <w:noWrap w:val="0"/>
                  <w:vAlign w:val="center"/>
                </w:tcPr>
                <w:p w14:paraId="5AEB34AB">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海乐妙</w:t>
                  </w:r>
                </w:p>
              </w:tc>
              <w:tc>
                <w:tcPr>
                  <w:tcW w:w="1078" w:type="pct"/>
                  <w:tcBorders>
                    <w:tl2br w:val="nil"/>
                    <w:tr2bl w:val="nil"/>
                  </w:tcBorders>
                  <w:shd w:val="clear" w:color="auto" w:fill="auto"/>
                  <w:noWrap w:val="0"/>
                  <w:vAlign w:val="center"/>
                </w:tcPr>
                <w:p w14:paraId="2FE57112">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6片/盒</w:t>
                  </w:r>
                </w:p>
              </w:tc>
              <w:tc>
                <w:tcPr>
                  <w:tcW w:w="859" w:type="pct"/>
                  <w:tcBorders>
                    <w:tl2br w:val="nil"/>
                    <w:tr2bl w:val="nil"/>
                  </w:tcBorders>
                  <w:shd w:val="clear" w:color="auto" w:fill="auto"/>
                  <w:noWrap w:val="0"/>
                  <w:vAlign w:val="center"/>
                </w:tcPr>
                <w:p w14:paraId="56D56702">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9盒</w:t>
                  </w:r>
                </w:p>
              </w:tc>
              <w:tc>
                <w:tcPr>
                  <w:tcW w:w="782" w:type="pct"/>
                  <w:tcBorders>
                    <w:tl2br w:val="nil"/>
                    <w:tr2bl w:val="nil"/>
                  </w:tcBorders>
                  <w:shd w:val="clear" w:color="auto" w:fill="auto"/>
                  <w:noWrap w:val="0"/>
                  <w:vAlign w:val="center"/>
                </w:tcPr>
                <w:p w14:paraId="01C55088">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体内驱虫</w:t>
                  </w:r>
                </w:p>
              </w:tc>
            </w:tr>
            <w:tr w14:paraId="1B74E5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40" w:type="pct"/>
                  <w:tcBorders>
                    <w:tl2br w:val="nil"/>
                    <w:tr2bl w:val="nil"/>
                  </w:tcBorders>
                  <w:noWrap w:val="0"/>
                  <w:vAlign w:val="top"/>
                </w:tcPr>
                <w:p w14:paraId="6FCF8486">
                  <w:pPr>
                    <w:widowControl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w:t>
                  </w:r>
                </w:p>
              </w:tc>
              <w:tc>
                <w:tcPr>
                  <w:tcW w:w="1938" w:type="pct"/>
                  <w:tcBorders>
                    <w:tl2br w:val="nil"/>
                    <w:tr2bl w:val="nil"/>
                  </w:tcBorders>
                  <w:shd w:val="clear" w:color="auto" w:fill="auto"/>
                  <w:noWrap w:val="0"/>
                  <w:vAlign w:val="center"/>
                </w:tcPr>
                <w:p w14:paraId="7E3C1948">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拜宠清</w:t>
                  </w:r>
                </w:p>
              </w:tc>
              <w:tc>
                <w:tcPr>
                  <w:tcW w:w="1078" w:type="pct"/>
                  <w:tcBorders>
                    <w:tl2br w:val="nil"/>
                    <w:tr2bl w:val="nil"/>
                  </w:tcBorders>
                  <w:shd w:val="clear" w:color="auto" w:fill="auto"/>
                  <w:noWrap w:val="0"/>
                  <w:vAlign w:val="center"/>
                </w:tcPr>
                <w:p w14:paraId="7D337592">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6片/盒</w:t>
                  </w:r>
                </w:p>
              </w:tc>
              <w:tc>
                <w:tcPr>
                  <w:tcW w:w="859" w:type="pct"/>
                  <w:tcBorders>
                    <w:tl2br w:val="nil"/>
                    <w:tr2bl w:val="nil"/>
                  </w:tcBorders>
                  <w:shd w:val="clear" w:color="auto" w:fill="auto"/>
                  <w:noWrap w:val="0"/>
                  <w:vAlign w:val="center"/>
                </w:tcPr>
                <w:p w14:paraId="40C619E6">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43盒</w:t>
                  </w:r>
                </w:p>
              </w:tc>
              <w:tc>
                <w:tcPr>
                  <w:tcW w:w="782" w:type="pct"/>
                  <w:tcBorders>
                    <w:tl2br w:val="nil"/>
                    <w:tr2bl w:val="nil"/>
                  </w:tcBorders>
                  <w:shd w:val="clear" w:color="auto" w:fill="auto"/>
                  <w:noWrap w:val="0"/>
                  <w:vAlign w:val="center"/>
                </w:tcPr>
                <w:p w14:paraId="61DD24DA">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体内驱虫</w:t>
                  </w:r>
                </w:p>
              </w:tc>
            </w:tr>
            <w:tr w14:paraId="318C0E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40" w:type="pct"/>
                  <w:tcBorders>
                    <w:tl2br w:val="nil"/>
                    <w:tr2bl w:val="nil"/>
                  </w:tcBorders>
                  <w:noWrap w:val="0"/>
                  <w:vAlign w:val="top"/>
                </w:tcPr>
                <w:p w14:paraId="0D849088">
                  <w:pPr>
                    <w:widowControl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6</w:t>
                  </w:r>
                </w:p>
              </w:tc>
              <w:tc>
                <w:tcPr>
                  <w:tcW w:w="1938" w:type="pct"/>
                  <w:tcBorders>
                    <w:tl2br w:val="nil"/>
                    <w:tr2bl w:val="nil"/>
                  </w:tcBorders>
                  <w:shd w:val="clear" w:color="auto" w:fill="auto"/>
                  <w:noWrap w:val="0"/>
                  <w:vAlign w:val="center"/>
                </w:tcPr>
                <w:p w14:paraId="1FFF14B8">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赛瑞宁</w:t>
                  </w:r>
                </w:p>
              </w:tc>
              <w:tc>
                <w:tcPr>
                  <w:tcW w:w="1078" w:type="pct"/>
                  <w:tcBorders>
                    <w:tl2br w:val="nil"/>
                    <w:tr2bl w:val="nil"/>
                  </w:tcBorders>
                  <w:shd w:val="clear" w:color="auto" w:fill="auto"/>
                  <w:noWrap w:val="0"/>
                  <w:vAlign w:val="center"/>
                </w:tcPr>
                <w:p w14:paraId="5B508FAC">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cs="Times New Roman"/>
                      <w:color w:val="auto"/>
                      <w:sz w:val="21"/>
                      <w:szCs w:val="21"/>
                      <w:lang w:val="en-US" w:eastAsia="zh-CN"/>
                    </w:rPr>
                    <w:t>20</w:t>
                  </w:r>
                  <w:r>
                    <w:rPr>
                      <w:rFonts w:hint="eastAsia" w:ascii="Times New Roman" w:hAnsi="Times New Roman" w:eastAsia="宋体" w:cs="Times New Roman"/>
                      <w:color w:val="auto"/>
                      <w:sz w:val="21"/>
                      <w:szCs w:val="21"/>
                      <w:lang w:val="en-US" w:eastAsia="zh-CN"/>
                    </w:rPr>
                    <w:t>毫升/盒</w:t>
                  </w:r>
                </w:p>
              </w:tc>
              <w:tc>
                <w:tcPr>
                  <w:tcW w:w="859" w:type="pct"/>
                  <w:tcBorders>
                    <w:tl2br w:val="nil"/>
                    <w:tr2bl w:val="nil"/>
                  </w:tcBorders>
                  <w:shd w:val="clear" w:color="auto" w:fill="auto"/>
                  <w:noWrap w:val="0"/>
                  <w:vAlign w:val="center"/>
                </w:tcPr>
                <w:p w14:paraId="7A296D6B">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39瓶</w:t>
                  </w:r>
                </w:p>
              </w:tc>
              <w:tc>
                <w:tcPr>
                  <w:tcW w:w="782" w:type="pct"/>
                  <w:tcBorders>
                    <w:tl2br w:val="nil"/>
                    <w:tr2bl w:val="nil"/>
                  </w:tcBorders>
                  <w:shd w:val="clear" w:color="auto" w:fill="auto"/>
                  <w:noWrap w:val="0"/>
                  <w:vAlign w:val="center"/>
                </w:tcPr>
                <w:p w14:paraId="0B725480">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止吐</w:t>
                  </w:r>
                </w:p>
              </w:tc>
            </w:tr>
            <w:tr w14:paraId="320759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40" w:type="pct"/>
                  <w:tcBorders>
                    <w:tl2br w:val="nil"/>
                    <w:tr2bl w:val="nil"/>
                  </w:tcBorders>
                  <w:shd w:val="clear" w:color="auto" w:fill="auto"/>
                  <w:noWrap w:val="0"/>
                  <w:vAlign w:val="top"/>
                </w:tcPr>
                <w:p w14:paraId="4F135D42">
                  <w:pPr>
                    <w:widowControl w:val="0"/>
                    <w:snapToGrid w:val="0"/>
                    <w:spacing w:line="240" w:lineRule="auto"/>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ascii="Times New Roman" w:hAnsi="Times New Roman" w:eastAsia="宋体" w:cs="Times New Roman"/>
                      <w:color w:val="auto"/>
                      <w:sz w:val="21"/>
                      <w:szCs w:val="21"/>
                      <w:lang w:val="en-US" w:eastAsia="zh-CN"/>
                    </w:rPr>
                    <w:t>7</w:t>
                  </w:r>
                </w:p>
              </w:tc>
              <w:tc>
                <w:tcPr>
                  <w:tcW w:w="1938" w:type="pct"/>
                  <w:tcBorders>
                    <w:tl2br w:val="nil"/>
                    <w:tr2bl w:val="nil"/>
                  </w:tcBorders>
                  <w:shd w:val="clear" w:color="auto" w:fill="auto"/>
                  <w:noWrap w:val="0"/>
                  <w:vAlign w:val="center"/>
                </w:tcPr>
                <w:p w14:paraId="791E96FF">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生理盐水</w:t>
                  </w:r>
                </w:p>
              </w:tc>
              <w:tc>
                <w:tcPr>
                  <w:tcW w:w="1078" w:type="pct"/>
                  <w:tcBorders>
                    <w:tl2br w:val="nil"/>
                    <w:tr2bl w:val="nil"/>
                  </w:tcBorders>
                  <w:shd w:val="clear" w:color="auto" w:fill="auto"/>
                  <w:noWrap w:val="0"/>
                  <w:vAlign w:val="center"/>
                </w:tcPr>
                <w:p w14:paraId="367832F9">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24瓶</w:t>
                  </w:r>
                </w:p>
              </w:tc>
              <w:tc>
                <w:tcPr>
                  <w:tcW w:w="859" w:type="pct"/>
                  <w:tcBorders>
                    <w:tl2br w:val="nil"/>
                    <w:tr2bl w:val="nil"/>
                  </w:tcBorders>
                  <w:shd w:val="clear" w:color="auto" w:fill="auto"/>
                  <w:noWrap w:val="0"/>
                  <w:vAlign w:val="center"/>
                </w:tcPr>
                <w:p w14:paraId="52827AB6">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10箱</w:t>
                  </w:r>
                </w:p>
              </w:tc>
              <w:tc>
                <w:tcPr>
                  <w:tcW w:w="782" w:type="pct"/>
                  <w:tcBorders>
                    <w:tl2br w:val="nil"/>
                    <w:tr2bl w:val="nil"/>
                  </w:tcBorders>
                  <w:shd w:val="clear" w:color="auto" w:fill="auto"/>
                  <w:noWrap w:val="0"/>
                  <w:vAlign w:val="center"/>
                </w:tcPr>
                <w:p w14:paraId="68294D48">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液体</w:t>
                  </w:r>
                </w:p>
              </w:tc>
            </w:tr>
            <w:tr w14:paraId="5FF4B4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40" w:type="pct"/>
                  <w:tcBorders>
                    <w:tl2br w:val="nil"/>
                    <w:tr2bl w:val="nil"/>
                  </w:tcBorders>
                  <w:shd w:val="clear" w:color="auto" w:fill="auto"/>
                  <w:noWrap w:val="0"/>
                  <w:vAlign w:val="top"/>
                </w:tcPr>
                <w:p w14:paraId="0B8F26A4">
                  <w:pPr>
                    <w:widowControl w:val="0"/>
                    <w:snapToGrid w:val="0"/>
                    <w:spacing w:line="240" w:lineRule="auto"/>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ascii="Times New Roman" w:hAnsi="Times New Roman" w:eastAsia="宋体" w:cs="Times New Roman"/>
                      <w:color w:val="auto"/>
                      <w:sz w:val="21"/>
                      <w:szCs w:val="21"/>
                      <w:lang w:val="en-US" w:eastAsia="zh-CN"/>
                    </w:rPr>
                    <w:t>8</w:t>
                  </w:r>
                </w:p>
              </w:tc>
              <w:tc>
                <w:tcPr>
                  <w:tcW w:w="1938" w:type="pct"/>
                  <w:tcBorders>
                    <w:tl2br w:val="nil"/>
                    <w:tr2bl w:val="nil"/>
                  </w:tcBorders>
                  <w:shd w:val="clear" w:color="auto" w:fill="auto"/>
                  <w:noWrap w:val="0"/>
                  <w:vAlign w:val="center"/>
                </w:tcPr>
                <w:p w14:paraId="44FCD33F">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5%葡萄糖注射液</w:t>
                  </w:r>
                </w:p>
              </w:tc>
              <w:tc>
                <w:tcPr>
                  <w:tcW w:w="1078" w:type="pct"/>
                  <w:tcBorders>
                    <w:tl2br w:val="nil"/>
                    <w:tr2bl w:val="nil"/>
                  </w:tcBorders>
                  <w:shd w:val="clear" w:color="auto" w:fill="auto"/>
                  <w:noWrap w:val="0"/>
                  <w:vAlign w:val="center"/>
                </w:tcPr>
                <w:p w14:paraId="0A6202E7">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24瓶</w:t>
                  </w:r>
                </w:p>
              </w:tc>
              <w:tc>
                <w:tcPr>
                  <w:tcW w:w="859" w:type="pct"/>
                  <w:tcBorders>
                    <w:tl2br w:val="nil"/>
                    <w:tr2bl w:val="nil"/>
                  </w:tcBorders>
                  <w:shd w:val="clear" w:color="auto" w:fill="auto"/>
                  <w:noWrap w:val="0"/>
                  <w:vAlign w:val="center"/>
                </w:tcPr>
                <w:p w14:paraId="29728B20">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6箱</w:t>
                  </w:r>
                </w:p>
              </w:tc>
              <w:tc>
                <w:tcPr>
                  <w:tcW w:w="782" w:type="pct"/>
                  <w:tcBorders>
                    <w:tl2br w:val="nil"/>
                    <w:tr2bl w:val="nil"/>
                  </w:tcBorders>
                  <w:shd w:val="clear" w:color="auto" w:fill="auto"/>
                  <w:noWrap w:val="0"/>
                  <w:vAlign w:val="center"/>
                </w:tcPr>
                <w:p w14:paraId="36EB7181">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液体</w:t>
                  </w:r>
                </w:p>
              </w:tc>
            </w:tr>
            <w:tr w14:paraId="4FA218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40" w:type="pct"/>
                  <w:tcBorders>
                    <w:tl2br w:val="nil"/>
                    <w:tr2bl w:val="nil"/>
                  </w:tcBorders>
                  <w:shd w:val="clear" w:color="auto" w:fill="auto"/>
                  <w:noWrap w:val="0"/>
                  <w:vAlign w:val="top"/>
                </w:tcPr>
                <w:p w14:paraId="7B85247A">
                  <w:pPr>
                    <w:widowControl w:val="0"/>
                    <w:snapToGrid w:val="0"/>
                    <w:spacing w:line="240" w:lineRule="auto"/>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ascii="Times New Roman" w:hAnsi="Times New Roman" w:eastAsia="宋体" w:cs="Times New Roman"/>
                      <w:color w:val="auto"/>
                      <w:sz w:val="21"/>
                      <w:szCs w:val="21"/>
                      <w:lang w:val="en-US" w:eastAsia="zh-CN"/>
                    </w:rPr>
                    <w:t>9</w:t>
                  </w:r>
                </w:p>
              </w:tc>
              <w:tc>
                <w:tcPr>
                  <w:tcW w:w="1938" w:type="pct"/>
                  <w:tcBorders>
                    <w:tl2br w:val="nil"/>
                    <w:tr2bl w:val="nil"/>
                  </w:tcBorders>
                  <w:shd w:val="clear" w:color="auto" w:fill="auto"/>
                  <w:noWrap w:val="0"/>
                  <w:vAlign w:val="center"/>
                </w:tcPr>
                <w:p w14:paraId="048C8A0C">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cs="Times New Roman"/>
                      <w:color w:val="auto"/>
                      <w:sz w:val="21"/>
                      <w:szCs w:val="21"/>
                      <w:lang w:val="en-US" w:eastAsia="zh-CN"/>
                    </w:rPr>
                    <w:t>洗耳液</w:t>
                  </w:r>
                </w:p>
              </w:tc>
              <w:tc>
                <w:tcPr>
                  <w:tcW w:w="1078" w:type="pct"/>
                  <w:tcBorders>
                    <w:tl2br w:val="nil"/>
                    <w:tr2bl w:val="nil"/>
                  </w:tcBorders>
                  <w:shd w:val="clear" w:color="auto" w:fill="auto"/>
                  <w:noWrap w:val="0"/>
                  <w:vAlign w:val="center"/>
                </w:tcPr>
                <w:p w14:paraId="08296120">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瓶</w:t>
                  </w:r>
                </w:p>
              </w:tc>
              <w:tc>
                <w:tcPr>
                  <w:tcW w:w="859" w:type="pct"/>
                  <w:tcBorders>
                    <w:tl2br w:val="nil"/>
                    <w:tr2bl w:val="nil"/>
                  </w:tcBorders>
                  <w:shd w:val="clear" w:color="auto" w:fill="auto"/>
                  <w:noWrap w:val="0"/>
                  <w:vAlign w:val="center"/>
                </w:tcPr>
                <w:p w14:paraId="355A00C9">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176盒</w:t>
                  </w:r>
                </w:p>
              </w:tc>
              <w:tc>
                <w:tcPr>
                  <w:tcW w:w="782" w:type="pct"/>
                  <w:tcBorders>
                    <w:tl2br w:val="nil"/>
                    <w:tr2bl w:val="nil"/>
                  </w:tcBorders>
                  <w:shd w:val="clear" w:color="auto" w:fill="auto"/>
                  <w:noWrap w:val="0"/>
                  <w:vAlign w:val="center"/>
                </w:tcPr>
                <w:p w14:paraId="223FD431">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洗耳水</w:t>
                  </w:r>
                </w:p>
              </w:tc>
            </w:tr>
            <w:tr w14:paraId="391AF3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40" w:type="pct"/>
                  <w:tcBorders>
                    <w:tl2br w:val="nil"/>
                    <w:tr2bl w:val="nil"/>
                  </w:tcBorders>
                  <w:shd w:val="clear" w:color="auto" w:fill="auto"/>
                  <w:noWrap w:val="0"/>
                  <w:vAlign w:val="top"/>
                </w:tcPr>
                <w:p w14:paraId="03DB0810">
                  <w:pPr>
                    <w:widowControl w:val="0"/>
                    <w:snapToGrid w:val="0"/>
                    <w:spacing w:line="240" w:lineRule="auto"/>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ascii="Times New Roman" w:hAnsi="Times New Roman" w:eastAsia="宋体" w:cs="Times New Roman"/>
                      <w:color w:val="auto"/>
                      <w:sz w:val="21"/>
                      <w:szCs w:val="21"/>
                      <w:lang w:val="en-US" w:eastAsia="zh-CN"/>
                    </w:rPr>
                    <w:t>10</w:t>
                  </w:r>
                </w:p>
              </w:tc>
              <w:tc>
                <w:tcPr>
                  <w:tcW w:w="1938" w:type="pct"/>
                  <w:tcBorders>
                    <w:tl2br w:val="nil"/>
                    <w:tr2bl w:val="nil"/>
                  </w:tcBorders>
                  <w:shd w:val="clear" w:color="auto" w:fill="auto"/>
                  <w:noWrap w:val="0"/>
                  <w:vAlign w:val="center"/>
                </w:tcPr>
                <w:p w14:paraId="0ADABEDE">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安立消</w:t>
                  </w:r>
                </w:p>
              </w:tc>
              <w:tc>
                <w:tcPr>
                  <w:tcW w:w="1078" w:type="pct"/>
                  <w:tcBorders>
                    <w:tl2br w:val="nil"/>
                    <w:tr2bl w:val="nil"/>
                  </w:tcBorders>
                  <w:shd w:val="clear" w:color="auto" w:fill="auto"/>
                  <w:noWrap w:val="0"/>
                  <w:vAlign w:val="center"/>
                </w:tcPr>
                <w:p w14:paraId="51EC72DD">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500毫升</w:t>
                  </w:r>
                </w:p>
              </w:tc>
              <w:tc>
                <w:tcPr>
                  <w:tcW w:w="859" w:type="pct"/>
                  <w:tcBorders>
                    <w:tl2br w:val="nil"/>
                    <w:tr2bl w:val="nil"/>
                  </w:tcBorders>
                  <w:shd w:val="clear" w:color="auto" w:fill="auto"/>
                  <w:noWrap w:val="0"/>
                  <w:vAlign w:val="center"/>
                </w:tcPr>
                <w:p w14:paraId="7A125C8B">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35瓶</w:t>
                  </w:r>
                </w:p>
              </w:tc>
              <w:tc>
                <w:tcPr>
                  <w:tcW w:w="782" w:type="pct"/>
                  <w:tcBorders>
                    <w:tl2br w:val="nil"/>
                    <w:tr2bl w:val="nil"/>
                  </w:tcBorders>
                  <w:shd w:val="clear" w:color="auto" w:fill="auto"/>
                  <w:noWrap w:val="0"/>
                  <w:vAlign w:val="center"/>
                </w:tcPr>
                <w:p w14:paraId="05D8712B">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消毒液</w:t>
                  </w:r>
                </w:p>
              </w:tc>
            </w:tr>
            <w:tr w14:paraId="74E8BA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40" w:type="pct"/>
                  <w:tcBorders>
                    <w:tl2br w:val="nil"/>
                    <w:tr2bl w:val="nil"/>
                  </w:tcBorders>
                  <w:shd w:val="clear" w:color="auto" w:fill="auto"/>
                  <w:noWrap w:val="0"/>
                  <w:vAlign w:val="top"/>
                </w:tcPr>
                <w:p w14:paraId="038BDCF1">
                  <w:pPr>
                    <w:widowControl w:val="0"/>
                    <w:snapToGrid w:val="0"/>
                    <w:spacing w:line="240" w:lineRule="auto"/>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ascii="Times New Roman" w:hAnsi="Times New Roman" w:eastAsia="宋体" w:cs="Times New Roman"/>
                      <w:color w:val="auto"/>
                      <w:sz w:val="21"/>
                      <w:szCs w:val="21"/>
                      <w:lang w:val="en-US" w:eastAsia="zh-CN"/>
                    </w:rPr>
                    <w:t>11</w:t>
                  </w:r>
                </w:p>
              </w:tc>
              <w:tc>
                <w:tcPr>
                  <w:tcW w:w="1938" w:type="pct"/>
                  <w:tcBorders>
                    <w:tl2br w:val="nil"/>
                    <w:tr2bl w:val="nil"/>
                  </w:tcBorders>
                  <w:shd w:val="clear" w:color="auto" w:fill="auto"/>
                  <w:noWrap w:val="0"/>
                  <w:vAlign w:val="center"/>
                </w:tcPr>
                <w:p w14:paraId="3FFAFE02">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异氟烷</w:t>
                  </w:r>
                </w:p>
              </w:tc>
              <w:tc>
                <w:tcPr>
                  <w:tcW w:w="1078" w:type="pct"/>
                  <w:tcBorders>
                    <w:tl2br w:val="nil"/>
                    <w:tr2bl w:val="nil"/>
                  </w:tcBorders>
                  <w:shd w:val="clear" w:color="auto" w:fill="auto"/>
                  <w:noWrap w:val="0"/>
                  <w:vAlign w:val="center"/>
                </w:tcPr>
                <w:p w14:paraId="05385AAF">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100毫升/瓶</w:t>
                  </w:r>
                </w:p>
              </w:tc>
              <w:tc>
                <w:tcPr>
                  <w:tcW w:w="859" w:type="pct"/>
                  <w:tcBorders>
                    <w:tl2br w:val="nil"/>
                    <w:tr2bl w:val="nil"/>
                  </w:tcBorders>
                  <w:shd w:val="clear" w:color="auto" w:fill="auto"/>
                  <w:noWrap w:val="0"/>
                  <w:vAlign w:val="center"/>
                </w:tcPr>
                <w:p w14:paraId="746E782C">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8瓶</w:t>
                  </w:r>
                </w:p>
              </w:tc>
              <w:tc>
                <w:tcPr>
                  <w:tcW w:w="782" w:type="pct"/>
                  <w:tcBorders>
                    <w:tl2br w:val="nil"/>
                    <w:tr2bl w:val="nil"/>
                  </w:tcBorders>
                  <w:shd w:val="clear" w:color="auto" w:fill="auto"/>
                  <w:noWrap w:val="0"/>
                  <w:vAlign w:val="center"/>
                </w:tcPr>
                <w:p w14:paraId="51B75A58">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麻醉剂</w:t>
                  </w:r>
                </w:p>
              </w:tc>
            </w:tr>
            <w:tr w14:paraId="3D1FE7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40" w:type="pct"/>
                  <w:tcBorders>
                    <w:tl2br w:val="nil"/>
                    <w:tr2bl w:val="nil"/>
                  </w:tcBorders>
                  <w:shd w:val="clear" w:color="auto" w:fill="auto"/>
                  <w:noWrap w:val="0"/>
                  <w:vAlign w:val="top"/>
                </w:tcPr>
                <w:p w14:paraId="5EA70514">
                  <w:pPr>
                    <w:widowControl w:val="0"/>
                    <w:snapToGrid w:val="0"/>
                    <w:spacing w:line="240" w:lineRule="auto"/>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ascii="Times New Roman" w:hAnsi="Times New Roman" w:eastAsia="宋体" w:cs="Times New Roman"/>
                      <w:color w:val="auto"/>
                      <w:sz w:val="21"/>
                      <w:szCs w:val="21"/>
                      <w:lang w:val="en-US" w:eastAsia="zh-CN"/>
                    </w:rPr>
                    <w:t>12</w:t>
                  </w:r>
                </w:p>
              </w:tc>
              <w:tc>
                <w:tcPr>
                  <w:tcW w:w="1938" w:type="pct"/>
                  <w:tcBorders>
                    <w:tl2br w:val="nil"/>
                    <w:tr2bl w:val="nil"/>
                  </w:tcBorders>
                  <w:shd w:val="clear" w:color="auto" w:fill="auto"/>
                  <w:noWrap w:val="0"/>
                  <w:vAlign w:val="center"/>
                </w:tcPr>
                <w:p w14:paraId="57DD177A">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舒泰50</w:t>
                  </w:r>
                </w:p>
              </w:tc>
              <w:tc>
                <w:tcPr>
                  <w:tcW w:w="1078" w:type="pct"/>
                  <w:tcBorders>
                    <w:tl2br w:val="nil"/>
                    <w:tr2bl w:val="nil"/>
                  </w:tcBorders>
                  <w:shd w:val="clear" w:color="auto" w:fill="auto"/>
                  <w:noWrap w:val="0"/>
                  <w:vAlign w:val="center"/>
                </w:tcPr>
                <w:p w14:paraId="093901AB">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250毫克/瓶</w:t>
                  </w:r>
                </w:p>
              </w:tc>
              <w:tc>
                <w:tcPr>
                  <w:tcW w:w="859" w:type="pct"/>
                  <w:tcBorders>
                    <w:tl2br w:val="nil"/>
                    <w:tr2bl w:val="nil"/>
                  </w:tcBorders>
                  <w:shd w:val="clear" w:color="auto" w:fill="auto"/>
                  <w:noWrap w:val="0"/>
                  <w:vAlign w:val="center"/>
                </w:tcPr>
                <w:p w14:paraId="7D3A013A">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6瓶</w:t>
                  </w:r>
                </w:p>
              </w:tc>
              <w:tc>
                <w:tcPr>
                  <w:tcW w:w="782" w:type="pct"/>
                  <w:tcBorders>
                    <w:tl2br w:val="nil"/>
                    <w:tr2bl w:val="nil"/>
                  </w:tcBorders>
                  <w:shd w:val="clear" w:color="auto" w:fill="auto"/>
                  <w:noWrap w:val="0"/>
                  <w:vAlign w:val="center"/>
                </w:tcPr>
                <w:p w14:paraId="4A004A0F">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麻醉剂</w:t>
                  </w:r>
                </w:p>
              </w:tc>
            </w:tr>
            <w:tr w14:paraId="157E14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40" w:type="pct"/>
                  <w:tcBorders>
                    <w:tl2br w:val="nil"/>
                    <w:tr2bl w:val="nil"/>
                  </w:tcBorders>
                  <w:shd w:val="clear" w:color="auto" w:fill="auto"/>
                  <w:noWrap w:val="0"/>
                  <w:vAlign w:val="top"/>
                </w:tcPr>
                <w:p w14:paraId="7D0A3D48">
                  <w:pPr>
                    <w:widowControl w:val="0"/>
                    <w:snapToGrid w:val="0"/>
                    <w:spacing w:line="240" w:lineRule="auto"/>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ascii="Times New Roman" w:hAnsi="Times New Roman" w:eastAsia="宋体" w:cs="Times New Roman"/>
                      <w:color w:val="auto"/>
                      <w:sz w:val="21"/>
                      <w:szCs w:val="21"/>
                      <w:lang w:val="en-US" w:eastAsia="zh-CN"/>
                    </w:rPr>
                    <w:t>13</w:t>
                  </w:r>
                </w:p>
              </w:tc>
              <w:tc>
                <w:tcPr>
                  <w:tcW w:w="1938" w:type="pct"/>
                  <w:tcBorders>
                    <w:tl2br w:val="nil"/>
                    <w:tr2bl w:val="nil"/>
                  </w:tcBorders>
                  <w:shd w:val="clear" w:color="auto" w:fill="auto"/>
                  <w:noWrap w:val="0"/>
                  <w:vAlign w:val="center"/>
                </w:tcPr>
                <w:p w14:paraId="6C02D679">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棉制品</w:t>
                  </w:r>
                </w:p>
              </w:tc>
              <w:tc>
                <w:tcPr>
                  <w:tcW w:w="1078" w:type="pct"/>
                  <w:tcBorders>
                    <w:tl2br w:val="nil"/>
                    <w:tr2bl w:val="nil"/>
                  </w:tcBorders>
                  <w:shd w:val="clear" w:color="auto" w:fill="auto"/>
                  <w:noWrap w:val="0"/>
                  <w:vAlign w:val="center"/>
                </w:tcPr>
                <w:p w14:paraId="2DE83C69">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100支/包</w:t>
                  </w:r>
                </w:p>
              </w:tc>
              <w:tc>
                <w:tcPr>
                  <w:tcW w:w="859" w:type="pct"/>
                  <w:tcBorders>
                    <w:tl2br w:val="nil"/>
                    <w:tr2bl w:val="nil"/>
                  </w:tcBorders>
                  <w:shd w:val="clear" w:color="auto" w:fill="auto"/>
                  <w:noWrap w:val="0"/>
                  <w:vAlign w:val="center"/>
                </w:tcPr>
                <w:p w14:paraId="217DED90">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5包</w:t>
                  </w:r>
                </w:p>
              </w:tc>
              <w:tc>
                <w:tcPr>
                  <w:tcW w:w="782" w:type="pct"/>
                  <w:tcBorders>
                    <w:tl2br w:val="nil"/>
                    <w:tr2bl w:val="nil"/>
                  </w:tcBorders>
                  <w:shd w:val="clear" w:color="auto" w:fill="auto"/>
                  <w:noWrap w:val="0"/>
                  <w:vAlign w:val="center"/>
                </w:tcPr>
                <w:p w14:paraId="7063DA34">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cs="Times New Roman"/>
                      <w:color w:val="auto"/>
                      <w:sz w:val="21"/>
                      <w:szCs w:val="21"/>
                      <w:lang w:val="en-US" w:eastAsia="zh-CN"/>
                    </w:rPr>
                    <w:t>耗材</w:t>
                  </w:r>
                </w:p>
              </w:tc>
            </w:tr>
            <w:tr w14:paraId="03593F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40" w:type="pct"/>
                  <w:tcBorders>
                    <w:tl2br w:val="nil"/>
                    <w:tr2bl w:val="nil"/>
                  </w:tcBorders>
                  <w:shd w:val="clear" w:color="auto" w:fill="auto"/>
                  <w:noWrap w:val="0"/>
                  <w:vAlign w:val="top"/>
                </w:tcPr>
                <w:p w14:paraId="2F9C039E">
                  <w:pPr>
                    <w:widowControl w:val="0"/>
                    <w:snapToGrid w:val="0"/>
                    <w:spacing w:line="240" w:lineRule="auto"/>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ascii="Times New Roman" w:hAnsi="Times New Roman" w:eastAsia="宋体" w:cs="Times New Roman"/>
                      <w:color w:val="auto"/>
                      <w:sz w:val="21"/>
                      <w:szCs w:val="21"/>
                      <w:lang w:val="en-US" w:eastAsia="zh-CN"/>
                    </w:rPr>
                    <w:t>14</w:t>
                  </w:r>
                </w:p>
              </w:tc>
              <w:tc>
                <w:tcPr>
                  <w:tcW w:w="1938" w:type="pct"/>
                  <w:tcBorders>
                    <w:tl2br w:val="nil"/>
                    <w:tr2bl w:val="nil"/>
                  </w:tcBorders>
                  <w:shd w:val="clear" w:color="auto" w:fill="auto"/>
                  <w:noWrap w:val="0"/>
                  <w:vAlign w:val="center"/>
                </w:tcPr>
                <w:p w14:paraId="2E03BF06">
                  <w:pPr>
                    <w:widowControl w:val="0"/>
                    <w:snapToGrid w:val="0"/>
                    <w:spacing w:line="240" w:lineRule="auto"/>
                    <w:ind w:firstLine="0" w:firstLineChars="0"/>
                    <w:jc w:val="center"/>
                    <w:rPr>
                      <w:rFonts w:hint="default"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丙泊酚</w:t>
                  </w:r>
                </w:p>
              </w:tc>
              <w:tc>
                <w:tcPr>
                  <w:tcW w:w="1078" w:type="pct"/>
                  <w:tcBorders>
                    <w:tl2br w:val="nil"/>
                    <w:tr2bl w:val="nil"/>
                  </w:tcBorders>
                  <w:shd w:val="clear" w:color="auto" w:fill="auto"/>
                  <w:noWrap w:val="0"/>
                  <w:vAlign w:val="center"/>
                </w:tcPr>
                <w:p w14:paraId="1559792A">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20毫升</w:t>
                  </w:r>
                </w:p>
              </w:tc>
              <w:tc>
                <w:tcPr>
                  <w:tcW w:w="859" w:type="pct"/>
                  <w:tcBorders>
                    <w:tl2br w:val="nil"/>
                    <w:tr2bl w:val="nil"/>
                  </w:tcBorders>
                  <w:shd w:val="clear" w:color="auto" w:fill="auto"/>
                  <w:noWrap w:val="0"/>
                  <w:vAlign w:val="center"/>
                </w:tcPr>
                <w:p w14:paraId="38275A54">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15盒</w:t>
                  </w:r>
                </w:p>
              </w:tc>
              <w:tc>
                <w:tcPr>
                  <w:tcW w:w="782" w:type="pct"/>
                  <w:tcBorders>
                    <w:tl2br w:val="nil"/>
                    <w:tr2bl w:val="nil"/>
                  </w:tcBorders>
                  <w:shd w:val="clear" w:color="auto" w:fill="auto"/>
                  <w:noWrap w:val="0"/>
                  <w:vAlign w:val="center"/>
                </w:tcPr>
                <w:p w14:paraId="3ED8B9AD">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麻醉剂</w:t>
                  </w:r>
                </w:p>
              </w:tc>
            </w:tr>
            <w:tr w14:paraId="2EB30F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40" w:type="pct"/>
                  <w:tcBorders>
                    <w:tl2br w:val="nil"/>
                    <w:tr2bl w:val="nil"/>
                  </w:tcBorders>
                  <w:shd w:val="clear" w:color="auto" w:fill="auto"/>
                  <w:noWrap w:val="0"/>
                  <w:vAlign w:val="top"/>
                </w:tcPr>
                <w:p w14:paraId="2A13F492">
                  <w:pPr>
                    <w:widowControl w:val="0"/>
                    <w:snapToGrid w:val="0"/>
                    <w:spacing w:line="240" w:lineRule="auto"/>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ascii="Times New Roman" w:hAnsi="Times New Roman" w:eastAsia="宋体" w:cs="Times New Roman"/>
                      <w:color w:val="auto"/>
                      <w:sz w:val="21"/>
                      <w:szCs w:val="21"/>
                      <w:lang w:val="en-US" w:eastAsia="zh-CN"/>
                    </w:rPr>
                    <w:t>15</w:t>
                  </w:r>
                </w:p>
              </w:tc>
              <w:tc>
                <w:tcPr>
                  <w:tcW w:w="1938" w:type="pct"/>
                  <w:tcBorders>
                    <w:tl2br w:val="nil"/>
                    <w:tr2bl w:val="nil"/>
                  </w:tcBorders>
                  <w:shd w:val="clear" w:color="auto" w:fill="auto"/>
                  <w:noWrap w:val="0"/>
                  <w:vAlign w:val="center"/>
                </w:tcPr>
                <w:p w14:paraId="57E502E4">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一次性手套</w:t>
                  </w:r>
                </w:p>
              </w:tc>
              <w:tc>
                <w:tcPr>
                  <w:tcW w:w="1078" w:type="pct"/>
                  <w:tcBorders>
                    <w:tl2br w:val="nil"/>
                    <w:tr2bl w:val="nil"/>
                  </w:tcBorders>
                  <w:shd w:val="clear" w:color="auto" w:fill="auto"/>
                  <w:noWrap w:val="0"/>
                  <w:vAlign w:val="center"/>
                </w:tcPr>
                <w:p w14:paraId="56939EAA">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盒</w:t>
                  </w:r>
                </w:p>
              </w:tc>
              <w:tc>
                <w:tcPr>
                  <w:tcW w:w="859" w:type="pct"/>
                  <w:tcBorders>
                    <w:tl2br w:val="nil"/>
                    <w:tr2bl w:val="nil"/>
                  </w:tcBorders>
                  <w:shd w:val="clear" w:color="auto" w:fill="auto"/>
                  <w:noWrap w:val="0"/>
                  <w:vAlign w:val="center"/>
                </w:tcPr>
                <w:p w14:paraId="2625EF10">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15盒</w:t>
                  </w:r>
                </w:p>
              </w:tc>
              <w:tc>
                <w:tcPr>
                  <w:tcW w:w="782" w:type="pct"/>
                  <w:tcBorders>
                    <w:tl2br w:val="nil"/>
                    <w:tr2bl w:val="nil"/>
                  </w:tcBorders>
                  <w:shd w:val="clear" w:color="auto" w:fill="auto"/>
                  <w:noWrap w:val="0"/>
                  <w:vAlign w:val="center"/>
                </w:tcPr>
                <w:p w14:paraId="4DF31F64">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cs="Times New Roman"/>
                      <w:color w:val="auto"/>
                      <w:sz w:val="21"/>
                      <w:szCs w:val="21"/>
                      <w:lang w:val="en-US" w:eastAsia="zh-CN"/>
                    </w:rPr>
                    <w:t>耗材</w:t>
                  </w:r>
                </w:p>
              </w:tc>
            </w:tr>
            <w:tr w14:paraId="0D540E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40" w:type="pct"/>
                  <w:tcBorders>
                    <w:tl2br w:val="nil"/>
                    <w:tr2bl w:val="nil"/>
                  </w:tcBorders>
                  <w:shd w:val="clear" w:color="auto" w:fill="auto"/>
                  <w:noWrap w:val="0"/>
                  <w:vAlign w:val="top"/>
                </w:tcPr>
                <w:p w14:paraId="231CA58F">
                  <w:pPr>
                    <w:widowControl w:val="0"/>
                    <w:snapToGrid w:val="0"/>
                    <w:spacing w:line="240" w:lineRule="auto"/>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ascii="Times New Roman" w:hAnsi="Times New Roman" w:eastAsia="宋体" w:cs="Times New Roman"/>
                      <w:color w:val="auto"/>
                      <w:sz w:val="21"/>
                      <w:szCs w:val="21"/>
                      <w:lang w:val="en-US" w:eastAsia="zh-CN"/>
                    </w:rPr>
                    <w:t>16</w:t>
                  </w:r>
                </w:p>
              </w:tc>
              <w:tc>
                <w:tcPr>
                  <w:tcW w:w="1938" w:type="pct"/>
                  <w:tcBorders>
                    <w:tl2br w:val="nil"/>
                    <w:tr2bl w:val="nil"/>
                  </w:tcBorders>
                  <w:shd w:val="clear" w:color="auto" w:fill="auto"/>
                  <w:noWrap w:val="0"/>
                  <w:vAlign w:val="center"/>
                </w:tcPr>
                <w:p w14:paraId="0FAF0ADA">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一次性口罩</w:t>
                  </w:r>
                </w:p>
              </w:tc>
              <w:tc>
                <w:tcPr>
                  <w:tcW w:w="1078" w:type="pct"/>
                  <w:tcBorders>
                    <w:tl2br w:val="nil"/>
                    <w:tr2bl w:val="nil"/>
                  </w:tcBorders>
                  <w:shd w:val="clear" w:color="auto" w:fill="auto"/>
                  <w:noWrap w:val="0"/>
                  <w:vAlign w:val="center"/>
                </w:tcPr>
                <w:p w14:paraId="19FF7F9F">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包</w:t>
                  </w:r>
                </w:p>
              </w:tc>
              <w:tc>
                <w:tcPr>
                  <w:tcW w:w="859" w:type="pct"/>
                  <w:tcBorders>
                    <w:tl2br w:val="nil"/>
                    <w:tr2bl w:val="nil"/>
                  </w:tcBorders>
                  <w:shd w:val="clear" w:color="auto" w:fill="auto"/>
                  <w:noWrap w:val="0"/>
                  <w:vAlign w:val="center"/>
                </w:tcPr>
                <w:p w14:paraId="68A86E0A">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120包</w:t>
                  </w:r>
                </w:p>
              </w:tc>
              <w:tc>
                <w:tcPr>
                  <w:tcW w:w="782" w:type="pct"/>
                  <w:tcBorders>
                    <w:tl2br w:val="nil"/>
                    <w:tr2bl w:val="nil"/>
                  </w:tcBorders>
                  <w:shd w:val="clear" w:color="auto" w:fill="auto"/>
                  <w:noWrap w:val="0"/>
                  <w:vAlign w:val="center"/>
                </w:tcPr>
                <w:p w14:paraId="655045ED">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cs="Times New Roman"/>
                      <w:color w:val="auto"/>
                      <w:sz w:val="21"/>
                      <w:szCs w:val="21"/>
                      <w:lang w:val="en-US" w:eastAsia="zh-CN"/>
                    </w:rPr>
                    <w:t>耗材</w:t>
                  </w:r>
                </w:p>
              </w:tc>
            </w:tr>
            <w:tr w14:paraId="3A1454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40" w:type="pct"/>
                  <w:tcBorders>
                    <w:tl2br w:val="nil"/>
                    <w:tr2bl w:val="nil"/>
                  </w:tcBorders>
                  <w:shd w:val="clear" w:color="auto" w:fill="auto"/>
                  <w:noWrap w:val="0"/>
                  <w:vAlign w:val="top"/>
                </w:tcPr>
                <w:p w14:paraId="0A53CDA8">
                  <w:pPr>
                    <w:widowControl w:val="0"/>
                    <w:snapToGrid w:val="0"/>
                    <w:spacing w:line="240" w:lineRule="auto"/>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ascii="Times New Roman" w:hAnsi="Times New Roman" w:eastAsia="宋体" w:cs="Times New Roman"/>
                      <w:color w:val="auto"/>
                      <w:sz w:val="21"/>
                      <w:szCs w:val="21"/>
                      <w:lang w:val="en-US" w:eastAsia="zh-CN"/>
                    </w:rPr>
                    <w:t>17</w:t>
                  </w:r>
                </w:p>
              </w:tc>
              <w:tc>
                <w:tcPr>
                  <w:tcW w:w="1938" w:type="pct"/>
                  <w:tcBorders>
                    <w:tl2br w:val="nil"/>
                    <w:tr2bl w:val="nil"/>
                  </w:tcBorders>
                  <w:shd w:val="clear" w:color="auto" w:fill="auto"/>
                  <w:noWrap w:val="0"/>
                  <w:vAlign w:val="center"/>
                </w:tcPr>
                <w:p w14:paraId="173440EC">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双氧水</w:t>
                  </w:r>
                </w:p>
              </w:tc>
              <w:tc>
                <w:tcPr>
                  <w:tcW w:w="1078" w:type="pct"/>
                  <w:tcBorders>
                    <w:tl2br w:val="nil"/>
                    <w:tr2bl w:val="nil"/>
                  </w:tcBorders>
                  <w:shd w:val="clear" w:color="auto" w:fill="auto"/>
                  <w:noWrap w:val="0"/>
                  <w:vAlign w:val="center"/>
                </w:tcPr>
                <w:p w14:paraId="48C1AC3A">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cs="Times New Roman"/>
                      <w:color w:val="auto"/>
                      <w:sz w:val="21"/>
                      <w:szCs w:val="21"/>
                      <w:lang w:val="en-US" w:eastAsia="zh-CN"/>
                    </w:rPr>
                    <w:t>500</w:t>
                  </w:r>
                  <w:r>
                    <w:rPr>
                      <w:rFonts w:hint="eastAsia" w:ascii="Times New Roman" w:hAnsi="Times New Roman" w:eastAsia="宋体" w:cs="Times New Roman"/>
                      <w:color w:val="auto"/>
                      <w:sz w:val="21"/>
                      <w:szCs w:val="21"/>
                      <w:lang w:val="en-US" w:eastAsia="zh-CN"/>
                    </w:rPr>
                    <w:t>毫升/瓶</w:t>
                  </w:r>
                </w:p>
              </w:tc>
              <w:tc>
                <w:tcPr>
                  <w:tcW w:w="859" w:type="pct"/>
                  <w:tcBorders>
                    <w:tl2br w:val="nil"/>
                    <w:tr2bl w:val="nil"/>
                  </w:tcBorders>
                  <w:shd w:val="clear" w:color="auto" w:fill="auto"/>
                  <w:noWrap w:val="0"/>
                  <w:vAlign w:val="center"/>
                </w:tcPr>
                <w:p w14:paraId="16E17488">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50</w:t>
                  </w:r>
                </w:p>
              </w:tc>
              <w:tc>
                <w:tcPr>
                  <w:tcW w:w="782" w:type="pct"/>
                  <w:tcBorders>
                    <w:tl2br w:val="nil"/>
                    <w:tr2bl w:val="nil"/>
                  </w:tcBorders>
                  <w:shd w:val="clear" w:color="auto" w:fill="auto"/>
                  <w:noWrap w:val="0"/>
                  <w:vAlign w:val="center"/>
                </w:tcPr>
                <w:p w14:paraId="2FBC9006">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cs="Times New Roman"/>
                      <w:color w:val="auto"/>
                      <w:sz w:val="21"/>
                      <w:szCs w:val="21"/>
                      <w:lang w:val="en-US" w:eastAsia="zh-CN"/>
                    </w:rPr>
                    <w:t>耗材</w:t>
                  </w:r>
                </w:p>
              </w:tc>
            </w:tr>
            <w:tr w14:paraId="0A32AE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40" w:type="pct"/>
                  <w:tcBorders>
                    <w:tl2br w:val="nil"/>
                    <w:tr2bl w:val="nil"/>
                  </w:tcBorders>
                  <w:shd w:val="clear" w:color="auto" w:fill="auto"/>
                  <w:noWrap w:val="0"/>
                  <w:vAlign w:val="top"/>
                </w:tcPr>
                <w:p w14:paraId="6C6E3361">
                  <w:pPr>
                    <w:widowControl w:val="0"/>
                    <w:snapToGrid w:val="0"/>
                    <w:spacing w:line="240" w:lineRule="auto"/>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ascii="Times New Roman" w:hAnsi="Times New Roman" w:eastAsia="宋体" w:cs="Times New Roman"/>
                      <w:color w:val="auto"/>
                      <w:sz w:val="21"/>
                      <w:szCs w:val="21"/>
                      <w:lang w:val="en-US" w:eastAsia="zh-CN"/>
                    </w:rPr>
                    <w:t>18</w:t>
                  </w:r>
                </w:p>
              </w:tc>
              <w:tc>
                <w:tcPr>
                  <w:tcW w:w="1938" w:type="pct"/>
                  <w:tcBorders>
                    <w:tl2br w:val="nil"/>
                    <w:tr2bl w:val="nil"/>
                  </w:tcBorders>
                  <w:shd w:val="clear" w:color="auto" w:fill="auto"/>
                  <w:noWrap w:val="0"/>
                  <w:vAlign w:val="center"/>
                </w:tcPr>
                <w:p w14:paraId="141563D8">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生理盐水</w:t>
                  </w:r>
                </w:p>
              </w:tc>
              <w:tc>
                <w:tcPr>
                  <w:tcW w:w="1078" w:type="pct"/>
                  <w:tcBorders>
                    <w:tl2br w:val="nil"/>
                    <w:tr2bl w:val="nil"/>
                  </w:tcBorders>
                  <w:shd w:val="clear" w:color="auto" w:fill="auto"/>
                  <w:noWrap w:val="0"/>
                  <w:vAlign w:val="center"/>
                </w:tcPr>
                <w:p w14:paraId="723F3578">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250毫升/瓶</w:t>
                  </w:r>
                </w:p>
              </w:tc>
              <w:tc>
                <w:tcPr>
                  <w:tcW w:w="859" w:type="pct"/>
                  <w:tcBorders>
                    <w:tl2br w:val="nil"/>
                    <w:tr2bl w:val="nil"/>
                  </w:tcBorders>
                  <w:shd w:val="clear" w:color="auto" w:fill="auto"/>
                  <w:noWrap w:val="0"/>
                  <w:vAlign w:val="center"/>
                </w:tcPr>
                <w:p w14:paraId="427E9E80">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240瓶</w:t>
                  </w:r>
                </w:p>
              </w:tc>
              <w:tc>
                <w:tcPr>
                  <w:tcW w:w="782" w:type="pct"/>
                  <w:tcBorders>
                    <w:tl2br w:val="nil"/>
                    <w:tr2bl w:val="nil"/>
                  </w:tcBorders>
                  <w:shd w:val="clear" w:color="auto" w:fill="auto"/>
                  <w:noWrap w:val="0"/>
                  <w:vAlign w:val="center"/>
                </w:tcPr>
                <w:p w14:paraId="57295727">
                  <w:pPr>
                    <w:widowControl w:val="0"/>
                    <w:snapToGrid w:val="0"/>
                    <w:spacing w:line="240" w:lineRule="auto"/>
                    <w:ind w:left="0" w:leftChars="0"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cs="Times New Roman"/>
                      <w:color w:val="auto"/>
                      <w:sz w:val="21"/>
                      <w:szCs w:val="21"/>
                      <w:lang w:val="en-US" w:eastAsia="zh-CN"/>
                    </w:rPr>
                    <w:t>液体</w:t>
                  </w:r>
                </w:p>
              </w:tc>
            </w:tr>
            <w:tr w14:paraId="5593D4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40" w:type="pct"/>
                  <w:tcBorders>
                    <w:tl2br w:val="nil"/>
                    <w:tr2bl w:val="nil"/>
                  </w:tcBorders>
                  <w:shd w:val="clear" w:color="auto" w:fill="auto"/>
                  <w:noWrap w:val="0"/>
                  <w:vAlign w:val="top"/>
                </w:tcPr>
                <w:p w14:paraId="0046B7E4">
                  <w:pPr>
                    <w:widowControl w:val="0"/>
                    <w:snapToGrid w:val="0"/>
                    <w:spacing w:line="240" w:lineRule="auto"/>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ascii="Times New Roman" w:hAnsi="Times New Roman" w:eastAsia="宋体" w:cs="Times New Roman"/>
                      <w:color w:val="auto"/>
                      <w:sz w:val="21"/>
                      <w:szCs w:val="21"/>
                      <w:lang w:val="en-US" w:eastAsia="zh-CN"/>
                    </w:rPr>
                    <w:t>19</w:t>
                  </w:r>
                </w:p>
              </w:tc>
              <w:tc>
                <w:tcPr>
                  <w:tcW w:w="1938" w:type="pct"/>
                  <w:tcBorders>
                    <w:tl2br w:val="nil"/>
                    <w:tr2bl w:val="nil"/>
                  </w:tcBorders>
                  <w:shd w:val="clear" w:color="auto" w:fill="auto"/>
                  <w:noWrap w:val="0"/>
                  <w:vAlign w:val="center"/>
                </w:tcPr>
                <w:p w14:paraId="4775FBF6">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医用酒精</w:t>
                  </w:r>
                  <w:r>
                    <w:rPr>
                      <w:rFonts w:hint="eastAsia" w:cs="Times New Roman"/>
                      <w:color w:val="auto"/>
                      <w:sz w:val="21"/>
                      <w:szCs w:val="21"/>
                      <w:lang w:val="en-US" w:eastAsia="zh-CN"/>
                    </w:rPr>
                    <w:t>（75%）</w:t>
                  </w:r>
                </w:p>
              </w:tc>
              <w:tc>
                <w:tcPr>
                  <w:tcW w:w="1078" w:type="pct"/>
                  <w:tcBorders>
                    <w:tl2br w:val="nil"/>
                    <w:tr2bl w:val="nil"/>
                  </w:tcBorders>
                  <w:shd w:val="clear" w:color="auto" w:fill="auto"/>
                  <w:noWrap w:val="0"/>
                  <w:vAlign w:val="center"/>
                </w:tcPr>
                <w:p w14:paraId="2FB9F3E3">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500毫升</w:t>
                  </w:r>
                </w:p>
              </w:tc>
              <w:tc>
                <w:tcPr>
                  <w:tcW w:w="859" w:type="pct"/>
                  <w:tcBorders>
                    <w:tl2br w:val="nil"/>
                    <w:tr2bl w:val="nil"/>
                  </w:tcBorders>
                  <w:shd w:val="clear" w:color="auto" w:fill="auto"/>
                  <w:noWrap w:val="0"/>
                  <w:vAlign w:val="center"/>
                </w:tcPr>
                <w:p w14:paraId="3B0A8291">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60瓶</w:t>
                  </w:r>
                </w:p>
              </w:tc>
              <w:tc>
                <w:tcPr>
                  <w:tcW w:w="782" w:type="pct"/>
                  <w:tcBorders>
                    <w:tl2br w:val="nil"/>
                    <w:tr2bl w:val="nil"/>
                  </w:tcBorders>
                  <w:shd w:val="clear" w:color="auto" w:fill="auto"/>
                  <w:noWrap w:val="0"/>
                  <w:vAlign w:val="center"/>
                </w:tcPr>
                <w:p w14:paraId="19224557">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cs="Times New Roman"/>
                      <w:color w:val="auto"/>
                      <w:sz w:val="21"/>
                      <w:szCs w:val="21"/>
                      <w:lang w:val="en-US" w:eastAsia="zh-CN"/>
                    </w:rPr>
                    <w:t>耗材</w:t>
                  </w:r>
                </w:p>
              </w:tc>
            </w:tr>
            <w:tr w14:paraId="2D95D7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40" w:type="pct"/>
                  <w:tcBorders>
                    <w:tl2br w:val="nil"/>
                    <w:tr2bl w:val="nil"/>
                  </w:tcBorders>
                  <w:shd w:val="clear" w:color="auto" w:fill="auto"/>
                  <w:noWrap w:val="0"/>
                  <w:vAlign w:val="top"/>
                </w:tcPr>
                <w:p w14:paraId="10B3F6C3">
                  <w:pPr>
                    <w:widowControl w:val="0"/>
                    <w:snapToGrid w:val="0"/>
                    <w:spacing w:line="240" w:lineRule="auto"/>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ascii="Times New Roman" w:hAnsi="Times New Roman" w:eastAsia="宋体" w:cs="Times New Roman"/>
                      <w:color w:val="auto"/>
                      <w:sz w:val="21"/>
                      <w:szCs w:val="21"/>
                      <w:lang w:val="en-US" w:eastAsia="zh-CN"/>
                    </w:rPr>
                    <w:t>20</w:t>
                  </w:r>
                </w:p>
              </w:tc>
              <w:tc>
                <w:tcPr>
                  <w:tcW w:w="1938" w:type="pct"/>
                  <w:tcBorders>
                    <w:tl2br w:val="nil"/>
                    <w:tr2bl w:val="nil"/>
                  </w:tcBorders>
                  <w:shd w:val="clear" w:color="auto" w:fill="auto"/>
                  <w:noWrap w:val="0"/>
                  <w:vAlign w:val="center"/>
                </w:tcPr>
                <w:p w14:paraId="29A0643C">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注射器</w:t>
                  </w:r>
                </w:p>
              </w:tc>
              <w:tc>
                <w:tcPr>
                  <w:tcW w:w="1078" w:type="pct"/>
                  <w:tcBorders>
                    <w:tl2br w:val="nil"/>
                    <w:tr2bl w:val="nil"/>
                  </w:tcBorders>
                  <w:shd w:val="clear" w:color="auto" w:fill="auto"/>
                  <w:noWrap w:val="0"/>
                  <w:vAlign w:val="center"/>
                </w:tcPr>
                <w:p w14:paraId="770F66B6">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100支/盒</w:t>
                  </w:r>
                </w:p>
              </w:tc>
              <w:tc>
                <w:tcPr>
                  <w:tcW w:w="859" w:type="pct"/>
                  <w:tcBorders>
                    <w:tl2br w:val="nil"/>
                    <w:tr2bl w:val="nil"/>
                  </w:tcBorders>
                  <w:shd w:val="clear" w:color="auto" w:fill="auto"/>
                  <w:noWrap w:val="0"/>
                  <w:vAlign w:val="center"/>
                </w:tcPr>
                <w:p w14:paraId="044DF137">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100盒</w:t>
                  </w:r>
                </w:p>
              </w:tc>
              <w:tc>
                <w:tcPr>
                  <w:tcW w:w="782" w:type="pct"/>
                  <w:tcBorders>
                    <w:tl2br w:val="nil"/>
                    <w:tr2bl w:val="nil"/>
                  </w:tcBorders>
                  <w:shd w:val="clear" w:color="auto" w:fill="auto"/>
                  <w:noWrap w:val="0"/>
                  <w:vAlign w:val="center"/>
                </w:tcPr>
                <w:p w14:paraId="497BE590">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cs="Times New Roman"/>
                      <w:color w:val="auto"/>
                      <w:sz w:val="21"/>
                      <w:szCs w:val="21"/>
                      <w:lang w:val="en-US" w:eastAsia="zh-CN"/>
                    </w:rPr>
                    <w:t>耗材</w:t>
                  </w:r>
                </w:p>
              </w:tc>
            </w:tr>
            <w:tr w14:paraId="7313B0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40" w:type="pct"/>
                  <w:tcBorders>
                    <w:tl2br w:val="nil"/>
                    <w:tr2bl w:val="nil"/>
                  </w:tcBorders>
                  <w:shd w:val="clear" w:color="auto" w:fill="auto"/>
                  <w:noWrap w:val="0"/>
                  <w:vAlign w:val="top"/>
                </w:tcPr>
                <w:p w14:paraId="52506FA2">
                  <w:pPr>
                    <w:widowControl w:val="0"/>
                    <w:snapToGrid w:val="0"/>
                    <w:spacing w:line="240" w:lineRule="auto"/>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ascii="Times New Roman" w:hAnsi="Times New Roman" w:eastAsia="宋体" w:cs="Times New Roman"/>
                      <w:color w:val="auto"/>
                      <w:sz w:val="21"/>
                      <w:szCs w:val="21"/>
                      <w:lang w:val="en-US" w:eastAsia="zh-CN"/>
                    </w:rPr>
                    <w:t>21</w:t>
                  </w:r>
                </w:p>
              </w:tc>
              <w:tc>
                <w:tcPr>
                  <w:tcW w:w="1938" w:type="pct"/>
                  <w:tcBorders>
                    <w:tl2br w:val="nil"/>
                    <w:tr2bl w:val="nil"/>
                  </w:tcBorders>
                  <w:shd w:val="clear" w:color="auto" w:fill="auto"/>
                  <w:noWrap w:val="0"/>
                  <w:vAlign w:val="center"/>
                </w:tcPr>
                <w:p w14:paraId="5EE2D3EF">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一次性垫单</w:t>
                  </w:r>
                </w:p>
              </w:tc>
              <w:tc>
                <w:tcPr>
                  <w:tcW w:w="1078" w:type="pct"/>
                  <w:tcBorders>
                    <w:tl2br w:val="nil"/>
                    <w:tr2bl w:val="nil"/>
                  </w:tcBorders>
                  <w:shd w:val="clear" w:color="auto" w:fill="auto"/>
                  <w:noWrap w:val="0"/>
                  <w:vAlign w:val="center"/>
                </w:tcPr>
                <w:p w14:paraId="3E6A29B1">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10张/袋</w:t>
                  </w:r>
                </w:p>
              </w:tc>
              <w:tc>
                <w:tcPr>
                  <w:tcW w:w="859" w:type="pct"/>
                  <w:tcBorders>
                    <w:tl2br w:val="nil"/>
                    <w:tr2bl w:val="nil"/>
                  </w:tcBorders>
                  <w:shd w:val="clear" w:color="auto" w:fill="auto"/>
                  <w:noWrap w:val="0"/>
                  <w:vAlign w:val="center"/>
                </w:tcPr>
                <w:p w14:paraId="2476DFE8">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15袋</w:t>
                  </w:r>
                </w:p>
              </w:tc>
              <w:tc>
                <w:tcPr>
                  <w:tcW w:w="782" w:type="pct"/>
                  <w:tcBorders>
                    <w:tl2br w:val="nil"/>
                    <w:tr2bl w:val="nil"/>
                  </w:tcBorders>
                  <w:shd w:val="clear" w:color="auto" w:fill="auto"/>
                  <w:noWrap w:val="0"/>
                  <w:vAlign w:val="center"/>
                </w:tcPr>
                <w:p w14:paraId="7F98520D">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cs="Times New Roman"/>
                      <w:color w:val="auto"/>
                      <w:sz w:val="21"/>
                      <w:szCs w:val="21"/>
                      <w:lang w:val="en-US" w:eastAsia="zh-CN"/>
                    </w:rPr>
                    <w:t>耗材</w:t>
                  </w:r>
                </w:p>
              </w:tc>
            </w:tr>
            <w:tr w14:paraId="4D274E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40" w:type="pct"/>
                  <w:tcBorders>
                    <w:tl2br w:val="nil"/>
                    <w:tr2bl w:val="nil"/>
                  </w:tcBorders>
                  <w:shd w:val="clear" w:color="auto" w:fill="auto"/>
                  <w:noWrap w:val="0"/>
                  <w:vAlign w:val="top"/>
                </w:tcPr>
                <w:p w14:paraId="116B5676">
                  <w:pPr>
                    <w:widowControl w:val="0"/>
                    <w:snapToGrid w:val="0"/>
                    <w:spacing w:line="240" w:lineRule="auto"/>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ascii="Times New Roman" w:hAnsi="Times New Roman" w:eastAsia="宋体" w:cs="Times New Roman"/>
                      <w:color w:val="auto"/>
                      <w:sz w:val="21"/>
                      <w:szCs w:val="21"/>
                      <w:lang w:val="en-US" w:eastAsia="zh-CN"/>
                    </w:rPr>
                    <w:t>22</w:t>
                  </w:r>
                </w:p>
              </w:tc>
              <w:tc>
                <w:tcPr>
                  <w:tcW w:w="1938" w:type="pct"/>
                  <w:tcBorders>
                    <w:tl2br w:val="nil"/>
                    <w:tr2bl w:val="nil"/>
                  </w:tcBorders>
                  <w:shd w:val="clear" w:color="auto" w:fill="auto"/>
                  <w:noWrap w:val="0"/>
                  <w:vAlign w:val="center"/>
                </w:tcPr>
                <w:p w14:paraId="348F464B">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疫苗</w:t>
                  </w:r>
                </w:p>
              </w:tc>
              <w:tc>
                <w:tcPr>
                  <w:tcW w:w="1078" w:type="pct"/>
                  <w:tcBorders>
                    <w:tl2br w:val="nil"/>
                    <w:tr2bl w:val="nil"/>
                  </w:tcBorders>
                  <w:shd w:val="clear" w:color="auto" w:fill="auto"/>
                  <w:noWrap w:val="0"/>
                  <w:vAlign w:val="center"/>
                </w:tcPr>
                <w:p w14:paraId="6C12BA13">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cs="Times New Roman"/>
                      <w:color w:val="auto"/>
                      <w:sz w:val="21"/>
                      <w:szCs w:val="21"/>
                      <w:lang w:val="en-US" w:eastAsia="zh-CN"/>
                    </w:rPr>
                    <w:t>50</w:t>
                  </w:r>
                  <w:r>
                    <w:rPr>
                      <w:rFonts w:hint="eastAsia" w:ascii="Times New Roman" w:hAnsi="Times New Roman" w:eastAsia="宋体" w:cs="Times New Roman"/>
                      <w:color w:val="auto"/>
                      <w:sz w:val="21"/>
                      <w:szCs w:val="21"/>
                      <w:lang w:val="en-US" w:eastAsia="zh-CN"/>
                    </w:rPr>
                    <w:t>支/盒</w:t>
                  </w:r>
                </w:p>
              </w:tc>
              <w:tc>
                <w:tcPr>
                  <w:tcW w:w="859" w:type="pct"/>
                  <w:tcBorders>
                    <w:tl2br w:val="nil"/>
                    <w:tr2bl w:val="nil"/>
                  </w:tcBorders>
                  <w:shd w:val="clear" w:color="auto" w:fill="auto"/>
                  <w:noWrap w:val="0"/>
                  <w:vAlign w:val="center"/>
                </w:tcPr>
                <w:p w14:paraId="71CD40E1">
                  <w:pPr>
                    <w:widowControl w:val="0"/>
                    <w:snapToGrid w:val="0"/>
                    <w:spacing w:line="240" w:lineRule="auto"/>
                    <w:ind w:firstLine="0" w:firstLineChars="0"/>
                    <w:jc w:val="center"/>
                    <w:rPr>
                      <w:rFonts w:hint="default"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48盒</w:t>
                  </w:r>
                </w:p>
              </w:tc>
              <w:tc>
                <w:tcPr>
                  <w:tcW w:w="782" w:type="pct"/>
                  <w:tcBorders>
                    <w:tl2br w:val="nil"/>
                    <w:tr2bl w:val="nil"/>
                  </w:tcBorders>
                  <w:shd w:val="clear" w:color="auto" w:fill="auto"/>
                  <w:noWrap w:val="0"/>
                  <w:vAlign w:val="center"/>
                </w:tcPr>
                <w:p w14:paraId="148B25C9">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cs="Times New Roman"/>
                      <w:color w:val="auto"/>
                      <w:sz w:val="21"/>
                      <w:szCs w:val="21"/>
                      <w:lang w:val="en-US" w:eastAsia="zh-CN"/>
                    </w:rPr>
                    <w:t>疫苗</w:t>
                  </w:r>
                </w:p>
              </w:tc>
            </w:tr>
            <w:tr w14:paraId="52B77B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40" w:type="pct"/>
                  <w:tcBorders>
                    <w:tl2br w:val="nil"/>
                    <w:tr2bl w:val="nil"/>
                  </w:tcBorders>
                  <w:shd w:val="clear" w:color="auto" w:fill="auto"/>
                  <w:noWrap w:val="0"/>
                  <w:vAlign w:val="top"/>
                </w:tcPr>
                <w:p w14:paraId="70358187">
                  <w:pPr>
                    <w:widowControl w:val="0"/>
                    <w:snapToGrid w:val="0"/>
                    <w:spacing w:line="240" w:lineRule="auto"/>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ascii="Times New Roman" w:hAnsi="Times New Roman" w:eastAsia="宋体" w:cs="Times New Roman"/>
                      <w:color w:val="auto"/>
                      <w:sz w:val="21"/>
                      <w:szCs w:val="21"/>
                      <w:lang w:val="en-US" w:eastAsia="zh-CN"/>
                    </w:rPr>
                    <w:t>23</w:t>
                  </w:r>
                </w:p>
              </w:tc>
              <w:tc>
                <w:tcPr>
                  <w:tcW w:w="1938" w:type="pct"/>
                  <w:tcBorders>
                    <w:tl2br w:val="nil"/>
                    <w:tr2bl w:val="nil"/>
                  </w:tcBorders>
                  <w:shd w:val="clear" w:color="auto" w:fill="auto"/>
                  <w:noWrap w:val="0"/>
                  <w:vAlign w:val="center"/>
                </w:tcPr>
                <w:p w14:paraId="675AAA48">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生命元</w:t>
                  </w:r>
                </w:p>
              </w:tc>
              <w:tc>
                <w:tcPr>
                  <w:tcW w:w="1078" w:type="pct"/>
                  <w:tcBorders>
                    <w:tl2br w:val="nil"/>
                    <w:tr2bl w:val="nil"/>
                  </w:tcBorders>
                  <w:shd w:val="clear" w:color="auto" w:fill="auto"/>
                  <w:noWrap w:val="0"/>
                  <w:vAlign w:val="center"/>
                </w:tcPr>
                <w:p w14:paraId="1B9A8026">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30毫升/瓶</w:t>
                  </w:r>
                </w:p>
              </w:tc>
              <w:tc>
                <w:tcPr>
                  <w:tcW w:w="859" w:type="pct"/>
                  <w:tcBorders>
                    <w:tl2br w:val="nil"/>
                    <w:tr2bl w:val="nil"/>
                  </w:tcBorders>
                  <w:shd w:val="clear" w:color="auto" w:fill="auto"/>
                  <w:noWrap w:val="0"/>
                  <w:vAlign w:val="center"/>
                </w:tcPr>
                <w:p w14:paraId="10B7E08D">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5</w:t>
                  </w:r>
                </w:p>
              </w:tc>
              <w:tc>
                <w:tcPr>
                  <w:tcW w:w="782" w:type="pct"/>
                  <w:tcBorders>
                    <w:tl2br w:val="nil"/>
                    <w:tr2bl w:val="nil"/>
                  </w:tcBorders>
                  <w:shd w:val="clear" w:color="auto" w:fill="auto"/>
                  <w:noWrap w:val="0"/>
                  <w:vAlign w:val="center"/>
                </w:tcPr>
                <w:p w14:paraId="662481CA">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cs="Times New Roman"/>
                      <w:color w:val="auto"/>
                      <w:sz w:val="21"/>
                      <w:szCs w:val="21"/>
                      <w:lang w:val="en-US" w:eastAsia="zh-CN"/>
                    </w:rPr>
                    <w:t>/</w:t>
                  </w:r>
                </w:p>
              </w:tc>
            </w:tr>
            <w:tr w14:paraId="7CD3D7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40" w:type="pct"/>
                  <w:tcBorders>
                    <w:tl2br w:val="nil"/>
                    <w:tr2bl w:val="nil"/>
                  </w:tcBorders>
                  <w:shd w:val="clear" w:color="auto" w:fill="auto"/>
                  <w:noWrap w:val="0"/>
                  <w:vAlign w:val="top"/>
                </w:tcPr>
                <w:p w14:paraId="768DE46A">
                  <w:pPr>
                    <w:widowControl w:val="0"/>
                    <w:snapToGrid w:val="0"/>
                    <w:spacing w:line="240" w:lineRule="auto"/>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ascii="Times New Roman" w:hAnsi="Times New Roman" w:eastAsia="宋体" w:cs="Times New Roman"/>
                      <w:color w:val="auto"/>
                      <w:sz w:val="21"/>
                      <w:szCs w:val="21"/>
                      <w:lang w:val="en-US" w:eastAsia="zh-CN"/>
                    </w:rPr>
                    <w:t>24</w:t>
                  </w:r>
                </w:p>
              </w:tc>
              <w:tc>
                <w:tcPr>
                  <w:tcW w:w="1938" w:type="pct"/>
                  <w:tcBorders>
                    <w:tl2br w:val="nil"/>
                    <w:tr2bl w:val="nil"/>
                  </w:tcBorders>
                  <w:shd w:val="clear" w:color="auto" w:fill="auto"/>
                  <w:noWrap w:val="0"/>
                  <w:vAlign w:val="center"/>
                </w:tcPr>
                <w:p w14:paraId="0851E5E8">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地塞米松磷酸钠注射液</w:t>
                  </w:r>
                </w:p>
              </w:tc>
              <w:tc>
                <w:tcPr>
                  <w:tcW w:w="1078" w:type="pct"/>
                  <w:tcBorders>
                    <w:tl2br w:val="nil"/>
                    <w:tr2bl w:val="nil"/>
                  </w:tcBorders>
                  <w:shd w:val="clear" w:color="auto" w:fill="auto"/>
                  <w:noWrap w:val="0"/>
                  <w:vAlign w:val="center"/>
                </w:tcPr>
                <w:p w14:paraId="2B91A3DB">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1毫升；5毫克</w:t>
                  </w:r>
                </w:p>
              </w:tc>
              <w:tc>
                <w:tcPr>
                  <w:tcW w:w="859" w:type="pct"/>
                  <w:tcBorders>
                    <w:tl2br w:val="nil"/>
                    <w:tr2bl w:val="nil"/>
                  </w:tcBorders>
                  <w:shd w:val="clear" w:color="auto" w:fill="auto"/>
                  <w:noWrap w:val="0"/>
                  <w:vAlign w:val="center"/>
                </w:tcPr>
                <w:p w14:paraId="5504AAF9">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1</w:t>
                  </w:r>
                </w:p>
              </w:tc>
              <w:tc>
                <w:tcPr>
                  <w:tcW w:w="782" w:type="pct"/>
                  <w:tcBorders>
                    <w:tl2br w:val="nil"/>
                    <w:tr2bl w:val="nil"/>
                  </w:tcBorders>
                  <w:noWrap w:val="0"/>
                  <w:vAlign w:val="center"/>
                </w:tcPr>
                <w:p w14:paraId="2B94C168">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r>
            <w:tr w14:paraId="4BC132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40" w:type="pct"/>
                  <w:tcBorders>
                    <w:tl2br w:val="nil"/>
                    <w:tr2bl w:val="nil"/>
                  </w:tcBorders>
                  <w:shd w:val="clear" w:color="auto" w:fill="auto"/>
                  <w:noWrap w:val="0"/>
                  <w:vAlign w:val="top"/>
                </w:tcPr>
                <w:p w14:paraId="7C426579">
                  <w:pPr>
                    <w:widowControl w:val="0"/>
                    <w:snapToGrid w:val="0"/>
                    <w:spacing w:line="240" w:lineRule="auto"/>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ascii="Times New Roman" w:hAnsi="Times New Roman" w:eastAsia="宋体" w:cs="Times New Roman"/>
                      <w:color w:val="auto"/>
                      <w:sz w:val="21"/>
                      <w:szCs w:val="21"/>
                      <w:lang w:val="en-US" w:eastAsia="zh-CN"/>
                    </w:rPr>
                    <w:t>25</w:t>
                  </w:r>
                </w:p>
              </w:tc>
              <w:tc>
                <w:tcPr>
                  <w:tcW w:w="1938" w:type="pct"/>
                  <w:tcBorders>
                    <w:tl2br w:val="nil"/>
                    <w:tr2bl w:val="nil"/>
                  </w:tcBorders>
                  <w:shd w:val="clear" w:color="auto" w:fill="auto"/>
                  <w:noWrap w:val="0"/>
                  <w:vAlign w:val="center"/>
                </w:tcPr>
                <w:p w14:paraId="07D6A505">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维生素C注射液</w:t>
                  </w:r>
                </w:p>
              </w:tc>
              <w:tc>
                <w:tcPr>
                  <w:tcW w:w="1078" w:type="pct"/>
                  <w:tcBorders>
                    <w:tl2br w:val="nil"/>
                    <w:tr2bl w:val="nil"/>
                  </w:tcBorders>
                  <w:shd w:val="clear" w:color="auto" w:fill="auto"/>
                  <w:noWrap w:val="0"/>
                  <w:vAlign w:val="center"/>
                </w:tcPr>
                <w:p w14:paraId="4A593760">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2毫克；0.1克</w:t>
                  </w:r>
                </w:p>
              </w:tc>
              <w:tc>
                <w:tcPr>
                  <w:tcW w:w="859" w:type="pct"/>
                  <w:tcBorders>
                    <w:tl2br w:val="nil"/>
                    <w:tr2bl w:val="nil"/>
                  </w:tcBorders>
                  <w:shd w:val="clear" w:color="auto" w:fill="auto"/>
                  <w:noWrap w:val="0"/>
                  <w:vAlign w:val="center"/>
                </w:tcPr>
                <w:p w14:paraId="5B8A8DA9">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1盒</w:t>
                  </w:r>
                </w:p>
              </w:tc>
              <w:tc>
                <w:tcPr>
                  <w:tcW w:w="782" w:type="pct"/>
                  <w:tcBorders>
                    <w:tl2br w:val="nil"/>
                    <w:tr2bl w:val="nil"/>
                  </w:tcBorders>
                  <w:noWrap w:val="0"/>
                  <w:vAlign w:val="center"/>
                </w:tcPr>
                <w:p w14:paraId="709ABAB9">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r>
            <w:tr w14:paraId="4A3EFA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40" w:type="pct"/>
                  <w:tcBorders>
                    <w:tl2br w:val="nil"/>
                    <w:tr2bl w:val="nil"/>
                  </w:tcBorders>
                  <w:shd w:val="clear" w:color="auto" w:fill="auto"/>
                  <w:noWrap w:val="0"/>
                  <w:vAlign w:val="top"/>
                </w:tcPr>
                <w:p w14:paraId="67D9C05E">
                  <w:pPr>
                    <w:widowControl w:val="0"/>
                    <w:snapToGrid w:val="0"/>
                    <w:spacing w:line="240" w:lineRule="auto"/>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ascii="Times New Roman" w:hAnsi="Times New Roman" w:eastAsia="宋体" w:cs="Times New Roman"/>
                      <w:color w:val="auto"/>
                      <w:sz w:val="21"/>
                      <w:szCs w:val="21"/>
                      <w:lang w:val="en-US" w:eastAsia="zh-CN"/>
                    </w:rPr>
                    <w:t>26</w:t>
                  </w:r>
                </w:p>
              </w:tc>
              <w:tc>
                <w:tcPr>
                  <w:tcW w:w="1938" w:type="pct"/>
                  <w:tcBorders>
                    <w:tl2br w:val="nil"/>
                    <w:tr2bl w:val="nil"/>
                  </w:tcBorders>
                  <w:shd w:val="clear" w:color="auto" w:fill="auto"/>
                  <w:noWrap w:val="0"/>
                  <w:vAlign w:val="center"/>
                </w:tcPr>
                <w:p w14:paraId="762594B2">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复合维生素B注射液</w:t>
                  </w:r>
                </w:p>
              </w:tc>
              <w:tc>
                <w:tcPr>
                  <w:tcW w:w="1078" w:type="pct"/>
                  <w:tcBorders>
                    <w:tl2br w:val="nil"/>
                    <w:tr2bl w:val="nil"/>
                  </w:tcBorders>
                  <w:shd w:val="clear" w:color="auto" w:fill="auto"/>
                  <w:noWrap w:val="0"/>
                  <w:vAlign w:val="center"/>
                </w:tcPr>
                <w:p w14:paraId="3909DF1F">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2毫升</w:t>
                  </w:r>
                </w:p>
              </w:tc>
              <w:tc>
                <w:tcPr>
                  <w:tcW w:w="859" w:type="pct"/>
                  <w:tcBorders>
                    <w:tl2br w:val="nil"/>
                    <w:tr2bl w:val="nil"/>
                  </w:tcBorders>
                  <w:shd w:val="clear" w:color="auto" w:fill="auto"/>
                  <w:noWrap w:val="0"/>
                  <w:vAlign w:val="center"/>
                </w:tcPr>
                <w:p w14:paraId="26F1BB2F">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5盒</w:t>
                  </w:r>
                </w:p>
              </w:tc>
              <w:tc>
                <w:tcPr>
                  <w:tcW w:w="782" w:type="pct"/>
                  <w:tcBorders>
                    <w:tl2br w:val="nil"/>
                    <w:tr2bl w:val="nil"/>
                  </w:tcBorders>
                  <w:noWrap w:val="0"/>
                  <w:vAlign w:val="center"/>
                </w:tcPr>
                <w:p w14:paraId="10808B87">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r>
            <w:tr w14:paraId="6D8D2B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40" w:type="pct"/>
                  <w:tcBorders>
                    <w:tl2br w:val="nil"/>
                    <w:tr2bl w:val="nil"/>
                  </w:tcBorders>
                  <w:shd w:val="clear" w:color="auto" w:fill="auto"/>
                  <w:noWrap w:val="0"/>
                  <w:vAlign w:val="top"/>
                </w:tcPr>
                <w:p w14:paraId="2510948B">
                  <w:pPr>
                    <w:widowControl w:val="0"/>
                    <w:snapToGrid w:val="0"/>
                    <w:spacing w:line="240" w:lineRule="auto"/>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ascii="Times New Roman" w:hAnsi="Times New Roman" w:eastAsia="宋体" w:cs="Times New Roman"/>
                      <w:color w:val="auto"/>
                      <w:sz w:val="21"/>
                      <w:szCs w:val="21"/>
                      <w:lang w:val="en-US" w:eastAsia="zh-CN"/>
                    </w:rPr>
                    <w:t>27</w:t>
                  </w:r>
                </w:p>
              </w:tc>
              <w:tc>
                <w:tcPr>
                  <w:tcW w:w="1938" w:type="pct"/>
                  <w:tcBorders>
                    <w:tl2br w:val="nil"/>
                    <w:tr2bl w:val="nil"/>
                  </w:tcBorders>
                  <w:shd w:val="clear" w:color="auto" w:fill="auto"/>
                  <w:noWrap w:val="0"/>
                  <w:vAlign w:val="center"/>
                </w:tcPr>
                <w:p w14:paraId="05E17C2E">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维生素B12注射液</w:t>
                  </w:r>
                </w:p>
              </w:tc>
              <w:tc>
                <w:tcPr>
                  <w:tcW w:w="1078" w:type="pct"/>
                  <w:tcBorders>
                    <w:tl2br w:val="nil"/>
                    <w:tr2bl w:val="nil"/>
                  </w:tcBorders>
                  <w:shd w:val="clear" w:color="auto" w:fill="auto"/>
                  <w:noWrap w:val="0"/>
                  <w:vAlign w:val="center"/>
                </w:tcPr>
                <w:p w14:paraId="61BA4613">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1毫升；0.5毫克</w:t>
                  </w:r>
                </w:p>
              </w:tc>
              <w:tc>
                <w:tcPr>
                  <w:tcW w:w="859" w:type="pct"/>
                  <w:tcBorders>
                    <w:tl2br w:val="nil"/>
                    <w:tr2bl w:val="nil"/>
                  </w:tcBorders>
                  <w:shd w:val="clear" w:color="auto" w:fill="auto"/>
                  <w:noWrap w:val="0"/>
                  <w:vAlign w:val="center"/>
                </w:tcPr>
                <w:p w14:paraId="30AEFBD0">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20盒</w:t>
                  </w:r>
                </w:p>
              </w:tc>
              <w:tc>
                <w:tcPr>
                  <w:tcW w:w="782" w:type="pct"/>
                  <w:tcBorders>
                    <w:tl2br w:val="nil"/>
                    <w:tr2bl w:val="nil"/>
                  </w:tcBorders>
                  <w:noWrap w:val="0"/>
                  <w:vAlign w:val="center"/>
                </w:tcPr>
                <w:p w14:paraId="3B18EA8D">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r>
            <w:tr w14:paraId="42130B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40" w:type="pct"/>
                  <w:tcBorders>
                    <w:tl2br w:val="nil"/>
                    <w:tr2bl w:val="nil"/>
                  </w:tcBorders>
                  <w:shd w:val="clear" w:color="auto" w:fill="auto"/>
                  <w:noWrap w:val="0"/>
                  <w:vAlign w:val="top"/>
                </w:tcPr>
                <w:p w14:paraId="5921AD46">
                  <w:pPr>
                    <w:widowControl w:val="0"/>
                    <w:snapToGrid w:val="0"/>
                    <w:spacing w:line="240" w:lineRule="auto"/>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ascii="Times New Roman" w:hAnsi="Times New Roman" w:eastAsia="宋体" w:cs="Times New Roman"/>
                      <w:color w:val="auto"/>
                      <w:sz w:val="21"/>
                      <w:szCs w:val="21"/>
                      <w:lang w:val="en-US" w:eastAsia="zh-CN"/>
                    </w:rPr>
                    <w:t>28</w:t>
                  </w:r>
                </w:p>
              </w:tc>
              <w:tc>
                <w:tcPr>
                  <w:tcW w:w="1938" w:type="pct"/>
                  <w:tcBorders>
                    <w:tl2br w:val="nil"/>
                    <w:tr2bl w:val="nil"/>
                  </w:tcBorders>
                  <w:shd w:val="clear" w:color="auto" w:fill="auto"/>
                  <w:noWrap w:val="0"/>
                  <w:vAlign w:val="center"/>
                </w:tcPr>
                <w:p w14:paraId="51ADE05E">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敏清舒马来酸氯苯那敏注射液</w:t>
                  </w:r>
                </w:p>
              </w:tc>
              <w:tc>
                <w:tcPr>
                  <w:tcW w:w="1078" w:type="pct"/>
                  <w:tcBorders>
                    <w:tl2br w:val="nil"/>
                    <w:tr2bl w:val="nil"/>
                  </w:tcBorders>
                  <w:shd w:val="clear" w:color="auto" w:fill="auto"/>
                  <w:noWrap w:val="0"/>
                  <w:vAlign w:val="center"/>
                </w:tcPr>
                <w:p w14:paraId="053E218F">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1毫升；10毫克</w:t>
                  </w:r>
                </w:p>
              </w:tc>
              <w:tc>
                <w:tcPr>
                  <w:tcW w:w="859" w:type="pct"/>
                  <w:tcBorders>
                    <w:tl2br w:val="nil"/>
                    <w:tr2bl w:val="nil"/>
                  </w:tcBorders>
                  <w:shd w:val="clear" w:color="auto" w:fill="auto"/>
                  <w:noWrap w:val="0"/>
                  <w:vAlign w:val="center"/>
                </w:tcPr>
                <w:p w14:paraId="4988F430">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10盒</w:t>
                  </w:r>
                </w:p>
              </w:tc>
              <w:tc>
                <w:tcPr>
                  <w:tcW w:w="782" w:type="pct"/>
                  <w:tcBorders>
                    <w:tl2br w:val="nil"/>
                    <w:tr2bl w:val="nil"/>
                  </w:tcBorders>
                  <w:noWrap w:val="0"/>
                  <w:vAlign w:val="center"/>
                </w:tcPr>
                <w:p w14:paraId="6C9E711F">
                  <w:pPr>
                    <w:widowControl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p>
              </w:tc>
            </w:tr>
            <w:tr w14:paraId="71102F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40" w:type="pct"/>
                  <w:tcBorders>
                    <w:tl2br w:val="nil"/>
                    <w:tr2bl w:val="nil"/>
                  </w:tcBorders>
                  <w:shd w:val="clear" w:color="auto" w:fill="auto"/>
                  <w:noWrap w:val="0"/>
                  <w:vAlign w:val="top"/>
                </w:tcPr>
                <w:p w14:paraId="1B86477B">
                  <w:pPr>
                    <w:widowControl w:val="0"/>
                    <w:snapToGrid w:val="0"/>
                    <w:spacing w:line="240" w:lineRule="auto"/>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ascii="Times New Roman" w:hAnsi="Times New Roman" w:eastAsia="宋体" w:cs="Times New Roman"/>
                      <w:color w:val="auto"/>
                      <w:sz w:val="21"/>
                      <w:szCs w:val="21"/>
                      <w:lang w:val="en-US" w:eastAsia="zh-CN"/>
                    </w:rPr>
                    <w:t>29</w:t>
                  </w:r>
                </w:p>
              </w:tc>
              <w:tc>
                <w:tcPr>
                  <w:tcW w:w="1938" w:type="pct"/>
                  <w:tcBorders>
                    <w:tl2br w:val="nil"/>
                    <w:tr2bl w:val="nil"/>
                  </w:tcBorders>
                  <w:shd w:val="clear" w:color="auto" w:fill="auto"/>
                  <w:noWrap w:val="0"/>
                  <w:vAlign w:val="center"/>
                </w:tcPr>
                <w:p w14:paraId="52A385D7">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灭菌注射用水</w:t>
                  </w:r>
                </w:p>
              </w:tc>
              <w:tc>
                <w:tcPr>
                  <w:tcW w:w="1078" w:type="pct"/>
                  <w:tcBorders>
                    <w:tl2br w:val="nil"/>
                    <w:tr2bl w:val="nil"/>
                  </w:tcBorders>
                  <w:shd w:val="clear" w:color="auto" w:fill="auto"/>
                  <w:noWrap w:val="0"/>
                  <w:vAlign w:val="center"/>
                </w:tcPr>
                <w:p w14:paraId="2C1AC710">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p>
              </w:tc>
              <w:tc>
                <w:tcPr>
                  <w:tcW w:w="859" w:type="pct"/>
                  <w:tcBorders>
                    <w:tl2br w:val="nil"/>
                    <w:tr2bl w:val="nil"/>
                  </w:tcBorders>
                  <w:shd w:val="clear" w:color="auto" w:fill="auto"/>
                  <w:noWrap w:val="0"/>
                  <w:vAlign w:val="center"/>
                </w:tcPr>
                <w:p w14:paraId="4CC48B70">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20盒</w:t>
                  </w:r>
                </w:p>
              </w:tc>
              <w:tc>
                <w:tcPr>
                  <w:tcW w:w="782" w:type="pct"/>
                  <w:tcBorders>
                    <w:tl2br w:val="nil"/>
                    <w:tr2bl w:val="nil"/>
                  </w:tcBorders>
                  <w:noWrap w:val="0"/>
                  <w:vAlign w:val="center"/>
                </w:tcPr>
                <w:p w14:paraId="5A7A82BF">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r>
            <w:tr w14:paraId="0DDA8E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40" w:type="pct"/>
                  <w:tcBorders>
                    <w:tl2br w:val="nil"/>
                    <w:tr2bl w:val="nil"/>
                  </w:tcBorders>
                  <w:shd w:val="clear" w:color="auto" w:fill="auto"/>
                  <w:noWrap w:val="0"/>
                  <w:vAlign w:val="top"/>
                </w:tcPr>
                <w:p w14:paraId="3DFA511E">
                  <w:pPr>
                    <w:widowControl w:val="0"/>
                    <w:snapToGrid w:val="0"/>
                    <w:spacing w:line="240" w:lineRule="auto"/>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ascii="Times New Roman" w:hAnsi="Times New Roman" w:eastAsia="宋体" w:cs="Times New Roman"/>
                      <w:color w:val="auto"/>
                      <w:sz w:val="21"/>
                      <w:szCs w:val="21"/>
                      <w:lang w:val="en-US" w:eastAsia="zh-CN"/>
                    </w:rPr>
                    <w:t>30</w:t>
                  </w:r>
                </w:p>
              </w:tc>
              <w:tc>
                <w:tcPr>
                  <w:tcW w:w="1938" w:type="pct"/>
                  <w:tcBorders>
                    <w:tl2br w:val="nil"/>
                    <w:tr2bl w:val="nil"/>
                  </w:tcBorders>
                  <w:shd w:val="clear" w:color="auto" w:fill="auto"/>
                  <w:noWrap w:val="0"/>
                  <w:vAlign w:val="center"/>
                </w:tcPr>
                <w:p w14:paraId="5C8F8131">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氯化钾注射液</w:t>
                  </w:r>
                </w:p>
              </w:tc>
              <w:tc>
                <w:tcPr>
                  <w:tcW w:w="1078" w:type="pct"/>
                  <w:tcBorders>
                    <w:tl2br w:val="nil"/>
                    <w:tr2bl w:val="nil"/>
                  </w:tcBorders>
                  <w:shd w:val="clear" w:color="auto" w:fill="auto"/>
                  <w:noWrap w:val="0"/>
                  <w:vAlign w:val="center"/>
                </w:tcPr>
                <w:p w14:paraId="4E26932A">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10毫克/10支</w:t>
                  </w:r>
                </w:p>
              </w:tc>
              <w:tc>
                <w:tcPr>
                  <w:tcW w:w="859" w:type="pct"/>
                  <w:tcBorders>
                    <w:tl2br w:val="nil"/>
                    <w:tr2bl w:val="nil"/>
                  </w:tcBorders>
                  <w:shd w:val="clear" w:color="auto" w:fill="auto"/>
                  <w:noWrap w:val="0"/>
                  <w:vAlign w:val="center"/>
                </w:tcPr>
                <w:p w14:paraId="5125B87E">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50盒</w:t>
                  </w:r>
                </w:p>
              </w:tc>
              <w:tc>
                <w:tcPr>
                  <w:tcW w:w="782" w:type="pct"/>
                  <w:tcBorders>
                    <w:tl2br w:val="nil"/>
                    <w:tr2bl w:val="nil"/>
                  </w:tcBorders>
                  <w:noWrap w:val="0"/>
                  <w:vAlign w:val="center"/>
                </w:tcPr>
                <w:p w14:paraId="7D10CB27">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r>
            <w:tr w14:paraId="7129FB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40" w:type="pct"/>
                  <w:tcBorders>
                    <w:tl2br w:val="nil"/>
                    <w:tr2bl w:val="nil"/>
                  </w:tcBorders>
                  <w:shd w:val="clear" w:color="auto" w:fill="auto"/>
                  <w:noWrap w:val="0"/>
                  <w:vAlign w:val="top"/>
                </w:tcPr>
                <w:p w14:paraId="3CD86313">
                  <w:pPr>
                    <w:widowControl w:val="0"/>
                    <w:snapToGrid w:val="0"/>
                    <w:spacing w:line="240" w:lineRule="auto"/>
                    <w:ind w:firstLine="0" w:firstLineChars="0"/>
                    <w:jc w:val="center"/>
                    <w:rPr>
                      <w:rFonts w:hint="default" w:ascii="Times New Roman" w:hAnsi="Times New Roman" w:eastAsia="宋体" w:cs="Times New Roman"/>
                      <w:snapToGrid w:val="0"/>
                      <w:color w:val="auto"/>
                      <w:kern w:val="0"/>
                      <w:sz w:val="21"/>
                      <w:szCs w:val="21"/>
                      <w:lang w:val="en-US" w:eastAsia="zh-CN" w:bidi="ar-SA"/>
                    </w:rPr>
                  </w:pPr>
                  <w:r>
                    <w:rPr>
                      <w:rFonts w:hint="eastAsia" w:ascii="Times New Roman" w:hAnsi="Times New Roman" w:eastAsia="宋体" w:cs="Times New Roman"/>
                      <w:color w:val="auto"/>
                      <w:sz w:val="21"/>
                      <w:szCs w:val="21"/>
                      <w:lang w:val="en-US" w:eastAsia="zh-CN"/>
                    </w:rPr>
                    <w:t>31</w:t>
                  </w:r>
                </w:p>
              </w:tc>
              <w:tc>
                <w:tcPr>
                  <w:tcW w:w="1938" w:type="pct"/>
                  <w:tcBorders>
                    <w:tl2br w:val="nil"/>
                    <w:tr2bl w:val="nil"/>
                  </w:tcBorders>
                  <w:shd w:val="clear" w:color="auto" w:fill="auto"/>
                  <w:noWrap w:val="0"/>
                  <w:vAlign w:val="center"/>
                </w:tcPr>
                <w:p w14:paraId="1246E787">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cs="Times New Roman"/>
                      <w:color w:val="auto"/>
                      <w:sz w:val="21"/>
                      <w:szCs w:val="21"/>
                      <w:lang w:val="en-US" w:eastAsia="zh-CN"/>
                    </w:rPr>
                    <w:t>乳酸林格注射液</w:t>
                  </w:r>
                </w:p>
              </w:tc>
              <w:tc>
                <w:tcPr>
                  <w:tcW w:w="1078" w:type="pct"/>
                  <w:tcBorders>
                    <w:tl2br w:val="nil"/>
                    <w:tr2bl w:val="nil"/>
                  </w:tcBorders>
                  <w:shd w:val="clear" w:color="auto" w:fill="auto"/>
                  <w:noWrap w:val="0"/>
                  <w:vAlign w:val="center"/>
                </w:tcPr>
                <w:p w14:paraId="1985E7F4">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cs="Times New Roman"/>
                      <w:color w:val="auto"/>
                      <w:sz w:val="21"/>
                      <w:szCs w:val="21"/>
                      <w:lang w:val="en-US" w:eastAsia="zh-CN"/>
                    </w:rPr>
                    <w:t>500</w:t>
                  </w:r>
                  <w:r>
                    <w:rPr>
                      <w:rFonts w:hint="eastAsia" w:ascii="Times New Roman" w:hAnsi="Times New Roman" w:eastAsia="宋体" w:cs="Times New Roman"/>
                      <w:color w:val="auto"/>
                      <w:sz w:val="21"/>
                      <w:szCs w:val="21"/>
                      <w:lang w:val="en-US" w:eastAsia="zh-CN"/>
                    </w:rPr>
                    <w:t>毫升/瓶</w:t>
                  </w:r>
                </w:p>
              </w:tc>
              <w:tc>
                <w:tcPr>
                  <w:tcW w:w="859" w:type="pct"/>
                  <w:tcBorders>
                    <w:tl2br w:val="nil"/>
                    <w:tr2bl w:val="nil"/>
                  </w:tcBorders>
                  <w:shd w:val="clear" w:color="auto" w:fill="auto"/>
                  <w:noWrap w:val="0"/>
                  <w:vAlign w:val="center"/>
                </w:tcPr>
                <w:p w14:paraId="15D64BDB">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5箱</w:t>
                  </w:r>
                </w:p>
              </w:tc>
              <w:tc>
                <w:tcPr>
                  <w:tcW w:w="782" w:type="pct"/>
                  <w:tcBorders>
                    <w:tl2br w:val="nil"/>
                    <w:tr2bl w:val="nil"/>
                  </w:tcBorders>
                  <w:noWrap w:val="0"/>
                  <w:vAlign w:val="center"/>
                </w:tcPr>
                <w:p w14:paraId="615DE5FC">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r>
          </w:tbl>
          <w:p w14:paraId="1907BE60">
            <w:pPr>
              <w:pStyle w:val="29"/>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eastAsia="zh-CN"/>
              </w:rPr>
              <w:t>表2-</w:t>
            </w:r>
            <w:r>
              <w:rPr>
                <w:rFonts w:hint="default" w:ascii="Times New Roman" w:hAnsi="Times New Roman" w:cs="Times New Roman"/>
                <w:color w:val="auto"/>
                <w:highlight w:val="none"/>
                <w:lang w:val="en-US" w:eastAsia="zh-CN"/>
              </w:rPr>
              <w:t xml:space="preserve">4   </w:t>
            </w:r>
            <w:r>
              <w:rPr>
                <w:rFonts w:hint="default" w:ascii="Times New Roman" w:hAnsi="Times New Roman" w:cs="Times New Roman"/>
                <w:color w:val="auto"/>
                <w:highlight w:val="none"/>
                <w:lang w:eastAsia="zh-CN"/>
              </w:rPr>
              <w:t>主要</w:t>
            </w:r>
            <w:r>
              <w:rPr>
                <w:rFonts w:hint="default" w:ascii="Times New Roman" w:hAnsi="Times New Roman" w:cs="Times New Roman"/>
                <w:color w:val="auto"/>
                <w:highlight w:val="none"/>
                <w:lang w:val="en-US" w:eastAsia="zh-CN"/>
              </w:rPr>
              <w:t>医疗用品及能源消耗</w:t>
            </w:r>
          </w:p>
          <w:tbl>
            <w:tblPr>
              <w:tblStyle w:val="19"/>
              <w:tblW w:w="4999" w:type="pct"/>
              <w:tblInd w:w="0" w:type="dxa"/>
              <w:tblBorders>
                <w:top w:val="single" w:color="auto" w:sz="12" w:space="0"/>
                <w:left w:val="none" w:color="auto" w:sz="0" w:space="0"/>
                <w:bottom w:val="single" w:color="auto" w:sz="12"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7"/>
              <w:gridCol w:w="1628"/>
              <w:gridCol w:w="1628"/>
              <w:gridCol w:w="1628"/>
              <w:gridCol w:w="1628"/>
            </w:tblGrid>
            <w:tr w14:paraId="761AC1B5">
              <w:tblPrEx>
                <w:tblBorders>
                  <w:top w:val="single" w:color="auto" w:sz="12" w:space="0"/>
                  <w:left w:val="none" w:color="auto" w:sz="0"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pct"/>
                  <w:tcBorders>
                    <w:tl2br w:val="nil"/>
                    <w:tr2bl w:val="nil"/>
                  </w:tcBorders>
                  <w:noWrap w:val="0"/>
                  <w:vAlign w:val="center"/>
                </w:tcPr>
                <w:p w14:paraId="73138C2D">
                  <w:pPr>
                    <w:widowControl w:val="0"/>
                    <w:snapToGrid w:val="0"/>
                    <w:spacing w:line="240" w:lineRule="auto"/>
                    <w:ind w:firstLine="0" w:firstLineChars="0"/>
                    <w:jc w:val="center"/>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序号</w:t>
                  </w:r>
                </w:p>
              </w:tc>
              <w:tc>
                <w:tcPr>
                  <w:tcW w:w="1000" w:type="pct"/>
                  <w:tcBorders>
                    <w:tl2br w:val="nil"/>
                    <w:tr2bl w:val="nil"/>
                  </w:tcBorders>
                  <w:noWrap w:val="0"/>
                  <w:vAlign w:val="center"/>
                </w:tcPr>
                <w:p w14:paraId="307ED93D">
                  <w:pPr>
                    <w:widowControl w:val="0"/>
                    <w:snapToGrid w:val="0"/>
                    <w:spacing w:line="240" w:lineRule="auto"/>
                    <w:ind w:firstLine="0" w:firstLineChars="0"/>
                    <w:jc w:val="center"/>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品名</w:t>
                  </w:r>
                </w:p>
              </w:tc>
              <w:tc>
                <w:tcPr>
                  <w:tcW w:w="1000" w:type="pct"/>
                  <w:tcBorders>
                    <w:tl2br w:val="nil"/>
                    <w:tr2bl w:val="nil"/>
                  </w:tcBorders>
                  <w:noWrap w:val="0"/>
                  <w:vAlign w:val="center"/>
                </w:tcPr>
                <w:p w14:paraId="69B4671A">
                  <w:pPr>
                    <w:widowControl w:val="0"/>
                    <w:snapToGrid w:val="0"/>
                    <w:spacing w:line="240" w:lineRule="auto"/>
                    <w:ind w:firstLine="0" w:firstLineChars="0"/>
                    <w:jc w:val="center"/>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单位</w:t>
                  </w:r>
                </w:p>
              </w:tc>
              <w:tc>
                <w:tcPr>
                  <w:tcW w:w="1000" w:type="pct"/>
                  <w:tcBorders>
                    <w:tl2br w:val="nil"/>
                    <w:tr2bl w:val="nil"/>
                  </w:tcBorders>
                  <w:noWrap w:val="0"/>
                  <w:vAlign w:val="center"/>
                </w:tcPr>
                <w:p w14:paraId="41ACFD2F">
                  <w:pPr>
                    <w:widowControl w:val="0"/>
                    <w:snapToGrid w:val="0"/>
                    <w:spacing w:line="240" w:lineRule="auto"/>
                    <w:ind w:firstLine="0" w:firstLineChars="0"/>
                    <w:jc w:val="center"/>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年使用量</w:t>
                  </w:r>
                </w:p>
              </w:tc>
              <w:tc>
                <w:tcPr>
                  <w:tcW w:w="1000" w:type="pct"/>
                  <w:tcBorders>
                    <w:tl2br w:val="nil"/>
                    <w:tr2bl w:val="nil"/>
                  </w:tcBorders>
                  <w:noWrap w:val="0"/>
                  <w:vAlign w:val="center"/>
                </w:tcPr>
                <w:p w14:paraId="3ACA1F49">
                  <w:pPr>
                    <w:widowControl w:val="0"/>
                    <w:snapToGrid w:val="0"/>
                    <w:spacing w:line="240" w:lineRule="auto"/>
                    <w:ind w:firstLine="0" w:firstLineChars="0"/>
                    <w:jc w:val="center"/>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类别</w:t>
                  </w:r>
                </w:p>
              </w:tc>
            </w:tr>
            <w:tr w14:paraId="4D0FB60D">
              <w:tblPrEx>
                <w:tblBorders>
                  <w:top w:val="single" w:color="auto" w:sz="12" w:space="0"/>
                  <w:left w:val="none" w:color="auto" w:sz="0"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pct"/>
                  <w:tcBorders>
                    <w:tl2br w:val="nil"/>
                    <w:tr2bl w:val="nil"/>
                  </w:tcBorders>
                  <w:noWrap w:val="0"/>
                  <w:vAlign w:val="center"/>
                </w:tcPr>
                <w:p w14:paraId="5071B59F">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w:t>
                  </w:r>
                </w:p>
              </w:tc>
              <w:tc>
                <w:tcPr>
                  <w:tcW w:w="1000" w:type="pct"/>
                  <w:tcBorders>
                    <w:tl2br w:val="nil"/>
                    <w:tr2bl w:val="nil"/>
                  </w:tcBorders>
                  <w:noWrap w:val="0"/>
                  <w:vAlign w:val="center"/>
                </w:tcPr>
                <w:p w14:paraId="533DD9AF">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一次性注射器</w:t>
                  </w:r>
                </w:p>
              </w:tc>
              <w:tc>
                <w:tcPr>
                  <w:tcW w:w="1000" w:type="pct"/>
                  <w:tcBorders>
                    <w:tl2br w:val="nil"/>
                    <w:tr2bl w:val="nil"/>
                  </w:tcBorders>
                  <w:noWrap w:val="0"/>
                  <w:vAlign w:val="center"/>
                </w:tcPr>
                <w:p w14:paraId="37AEFDAD">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盒</w:t>
                  </w:r>
                </w:p>
              </w:tc>
              <w:tc>
                <w:tcPr>
                  <w:tcW w:w="1000" w:type="pct"/>
                  <w:tcBorders>
                    <w:tl2br w:val="nil"/>
                    <w:tr2bl w:val="nil"/>
                  </w:tcBorders>
                  <w:noWrap w:val="0"/>
                  <w:vAlign w:val="center"/>
                </w:tcPr>
                <w:p w14:paraId="0F6F612A">
                  <w:pPr>
                    <w:widowControl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100</w:t>
                  </w:r>
                </w:p>
              </w:tc>
              <w:tc>
                <w:tcPr>
                  <w:tcW w:w="1000" w:type="pct"/>
                  <w:tcBorders>
                    <w:tl2br w:val="nil"/>
                    <w:tr2bl w:val="nil"/>
                  </w:tcBorders>
                  <w:noWrap w:val="0"/>
                  <w:vAlign w:val="center"/>
                </w:tcPr>
                <w:p w14:paraId="212FEA8E">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r>
            <w:tr w14:paraId="0877E81B">
              <w:tblPrEx>
                <w:tblBorders>
                  <w:top w:val="single" w:color="auto" w:sz="12" w:space="0"/>
                  <w:left w:val="none" w:color="auto" w:sz="0"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pct"/>
                  <w:tcBorders>
                    <w:tl2br w:val="nil"/>
                    <w:tr2bl w:val="nil"/>
                  </w:tcBorders>
                  <w:noWrap w:val="0"/>
                  <w:vAlign w:val="center"/>
                </w:tcPr>
                <w:p w14:paraId="45EF3FFA">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w:t>
                  </w:r>
                </w:p>
              </w:tc>
              <w:tc>
                <w:tcPr>
                  <w:tcW w:w="1000" w:type="pct"/>
                  <w:tcBorders>
                    <w:tl2br w:val="nil"/>
                    <w:tr2bl w:val="nil"/>
                  </w:tcBorders>
                  <w:noWrap w:val="0"/>
                  <w:vAlign w:val="center"/>
                </w:tcPr>
                <w:p w14:paraId="2CC1429C">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一次性口罩</w:t>
                  </w:r>
                </w:p>
              </w:tc>
              <w:tc>
                <w:tcPr>
                  <w:tcW w:w="1000" w:type="pct"/>
                  <w:tcBorders>
                    <w:tl2br w:val="nil"/>
                    <w:tr2bl w:val="nil"/>
                  </w:tcBorders>
                  <w:noWrap w:val="0"/>
                  <w:vAlign w:val="center"/>
                </w:tcPr>
                <w:p w14:paraId="536EFAB9">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包</w:t>
                  </w:r>
                </w:p>
              </w:tc>
              <w:tc>
                <w:tcPr>
                  <w:tcW w:w="1000" w:type="pct"/>
                  <w:tcBorders>
                    <w:tl2br w:val="nil"/>
                    <w:tr2bl w:val="nil"/>
                  </w:tcBorders>
                  <w:noWrap w:val="0"/>
                  <w:vAlign w:val="center"/>
                </w:tcPr>
                <w:p w14:paraId="312BAE0F">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100</w:t>
                  </w:r>
                </w:p>
              </w:tc>
              <w:tc>
                <w:tcPr>
                  <w:tcW w:w="1000" w:type="pct"/>
                  <w:tcBorders>
                    <w:tl2br w:val="nil"/>
                    <w:tr2bl w:val="nil"/>
                  </w:tcBorders>
                  <w:noWrap w:val="0"/>
                  <w:vAlign w:val="center"/>
                </w:tcPr>
                <w:p w14:paraId="32C0B529">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r>
            <w:tr w14:paraId="30163982">
              <w:tblPrEx>
                <w:tblBorders>
                  <w:top w:val="single" w:color="auto" w:sz="12" w:space="0"/>
                  <w:left w:val="none" w:color="auto" w:sz="0"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pct"/>
                  <w:tcBorders>
                    <w:tl2br w:val="nil"/>
                    <w:tr2bl w:val="nil"/>
                  </w:tcBorders>
                  <w:noWrap w:val="0"/>
                  <w:vAlign w:val="center"/>
                </w:tcPr>
                <w:p w14:paraId="2612D9B7">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w:t>
                  </w:r>
                </w:p>
              </w:tc>
              <w:tc>
                <w:tcPr>
                  <w:tcW w:w="1000" w:type="pct"/>
                  <w:tcBorders>
                    <w:tl2br w:val="nil"/>
                    <w:tr2bl w:val="nil"/>
                  </w:tcBorders>
                  <w:noWrap w:val="0"/>
                  <w:vAlign w:val="center"/>
                </w:tcPr>
                <w:p w14:paraId="27B7FCC6">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一次性手套</w:t>
                  </w:r>
                </w:p>
              </w:tc>
              <w:tc>
                <w:tcPr>
                  <w:tcW w:w="1000" w:type="pct"/>
                  <w:tcBorders>
                    <w:tl2br w:val="nil"/>
                    <w:tr2bl w:val="nil"/>
                  </w:tcBorders>
                  <w:noWrap w:val="0"/>
                  <w:vAlign w:val="center"/>
                </w:tcPr>
                <w:p w14:paraId="290CF2EE">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盒</w:t>
                  </w:r>
                </w:p>
              </w:tc>
              <w:tc>
                <w:tcPr>
                  <w:tcW w:w="1000" w:type="pct"/>
                  <w:tcBorders>
                    <w:tl2br w:val="nil"/>
                    <w:tr2bl w:val="nil"/>
                  </w:tcBorders>
                  <w:noWrap w:val="0"/>
                  <w:vAlign w:val="center"/>
                </w:tcPr>
                <w:p w14:paraId="67A43B19">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15</w:t>
                  </w:r>
                </w:p>
              </w:tc>
              <w:tc>
                <w:tcPr>
                  <w:tcW w:w="1000" w:type="pct"/>
                  <w:tcBorders>
                    <w:tl2br w:val="nil"/>
                    <w:tr2bl w:val="nil"/>
                  </w:tcBorders>
                  <w:noWrap w:val="0"/>
                  <w:vAlign w:val="center"/>
                </w:tcPr>
                <w:p w14:paraId="2424FA3A">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r>
            <w:tr w14:paraId="673E780D">
              <w:tblPrEx>
                <w:tblBorders>
                  <w:top w:val="single" w:color="auto" w:sz="12" w:space="0"/>
                  <w:left w:val="none" w:color="auto" w:sz="0"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pct"/>
                  <w:tcBorders>
                    <w:tl2br w:val="nil"/>
                    <w:tr2bl w:val="nil"/>
                  </w:tcBorders>
                  <w:noWrap w:val="0"/>
                  <w:vAlign w:val="center"/>
                </w:tcPr>
                <w:p w14:paraId="7A41BF26">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4</w:t>
                  </w:r>
                </w:p>
              </w:tc>
              <w:tc>
                <w:tcPr>
                  <w:tcW w:w="1000" w:type="pct"/>
                  <w:tcBorders>
                    <w:tl2br w:val="nil"/>
                    <w:tr2bl w:val="nil"/>
                  </w:tcBorders>
                  <w:noWrap w:val="0"/>
                  <w:vAlign w:val="center"/>
                </w:tcPr>
                <w:p w14:paraId="66AFC468">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纱布棉球</w:t>
                  </w:r>
                </w:p>
              </w:tc>
              <w:tc>
                <w:tcPr>
                  <w:tcW w:w="1000" w:type="pct"/>
                  <w:tcBorders>
                    <w:tl2br w:val="nil"/>
                    <w:tr2bl w:val="nil"/>
                  </w:tcBorders>
                  <w:noWrap w:val="0"/>
                  <w:vAlign w:val="center"/>
                </w:tcPr>
                <w:p w14:paraId="0D48E6EB">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包</w:t>
                  </w:r>
                </w:p>
              </w:tc>
              <w:tc>
                <w:tcPr>
                  <w:tcW w:w="1000" w:type="pct"/>
                  <w:tcBorders>
                    <w:tl2br w:val="nil"/>
                    <w:tr2bl w:val="nil"/>
                  </w:tcBorders>
                  <w:noWrap w:val="0"/>
                  <w:vAlign w:val="center"/>
                </w:tcPr>
                <w:p w14:paraId="2B81FE72">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30</w:t>
                  </w:r>
                </w:p>
              </w:tc>
              <w:tc>
                <w:tcPr>
                  <w:tcW w:w="1000" w:type="pct"/>
                  <w:tcBorders>
                    <w:tl2br w:val="nil"/>
                    <w:tr2bl w:val="nil"/>
                  </w:tcBorders>
                  <w:noWrap w:val="0"/>
                  <w:vAlign w:val="center"/>
                </w:tcPr>
                <w:p w14:paraId="7D787F0C">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r>
            <w:tr w14:paraId="4E337B6F">
              <w:tblPrEx>
                <w:tblBorders>
                  <w:top w:val="single" w:color="auto" w:sz="12" w:space="0"/>
                  <w:left w:val="none" w:color="auto" w:sz="0"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pct"/>
                  <w:tcBorders>
                    <w:tl2br w:val="nil"/>
                    <w:tr2bl w:val="nil"/>
                  </w:tcBorders>
                  <w:noWrap w:val="0"/>
                  <w:vAlign w:val="center"/>
                </w:tcPr>
                <w:p w14:paraId="1120813C">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w:t>
                  </w:r>
                </w:p>
              </w:tc>
              <w:tc>
                <w:tcPr>
                  <w:tcW w:w="1000" w:type="pct"/>
                  <w:tcBorders>
                    <w:tl2br w:val="nil"/>
                    <w:tr2bl w:val="nil"/>
                  </w:tcBorders>
                  <w:noWrap w:val="0"/>
                  <w:vAlign w:val="center"/>
                </w:tcPr>
                <w:p w14:paraId="7B7BD82C">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输液袋</w:t>
                  </w:r>
                </w:p>
              </w:tc>
              <w:tc>
                <w:tcPr>
                  <w:tcW w:w="1000" w:type="pct"/>
                  <w:tcBorders>
                    <w:tl2br w:val="nil"/>
                    <w:tr2bl w:val="nil"/>
                  </w:tcBorders>
                  <w:noWrap w:val="0"/>
                  <w:vAlign w:val="center"/>
                </w:tcPr>
                <w:p w14:paraId="7A0B0975">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个</w:t>
                  </w:r>
                </w:p>
              </w:tc>
              <w:tc>
                <w:tcPr>
                  <w:tcW w:w="1000" w:type="pct"/>
                  <w:tcBorders>
                    <w:tl2br w:val="nil"/>
                    <w:tr2bl w:val="nil"/>
                  </w:tcBorders>
                  <w:noWrap w:val="0"/>
                  <w:vAlign w:val="center"/>
                </w:tcPr>
                <w:p w14:paraId="697B13F7">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300</w:t>
                  </w:r>
                </w:p>
              </w:tc>
              <w:tc>
                <w:tcPr>
                  <w:tcW w:w="1000" w:type="pct"/>
                  <w:tcBorders>
                    <w:tl2br w:val="nil"/>
                    <w:tr2bl w:val="nil"/>
                  </w:tcBorders>
                  <w:noWrap w:val="0"/>
                  <w:vAlign w:val="center"/>
                </w:tcPr>
                <w:p w14:paraId="75990BF2">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r>
            <w:tr w14:paraId="5C6573D3">
              <w:tblPrEx>
                <w:tblBorders>
                  <w:top w:val="single" w:color="auto" w:sz="12" w:space="0"/>
                  <w:left w:val="none" w:color="auto" w:sz="0"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pct"/>
                  <w:tcBorders>
                    <w:tl2br w:val="nil"/>
                    <w:tr2bl w:val="nil"/>
                  </w:tcBorders>
                  <w:noWrap w:val="0"/>
                  <w:vAlign w:val="center"/>
                </w:tcPr>
                <w:p w14:paraId="2DD42946">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6</w:t>
                  </w:r>
                </w:p>
              </w:tc>
              <w:tc>
                <w:tcPr>
                  <w:tcW w:w="1000" w:type="pct"/>
                  <w:tcBorders>
                    <w:tl2br w:val="nil"/>
                    <w:tr2bl w:val="nil"/>
                  </w:tcBorders>
                  <w:noWrap w:val="0"/>
                  <w:vAlign w:val="center"/>
                </w:tcPr>
                <w:p w14:paraId="3BA5889F">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兽用血细胞分析溶血剂</w:t>
                  </w:r>
                </w:p>
              </w:tc>
              <w:tc>
                <w:tcPr>
                  <w:tcW w:w="1000" w:type="pct"/>
                  <w:tcBorders>
                    <w:tl2br w:val="nil"/>
                    <w:tr2bl w:val="nil"/>
                  </w:tcBorders>
                  <w:noWrap w:val="0"/>
                  <w:vAlign w:val="center"/>
                </w:tcPr>
                <w:p w14:paraId="700DF651">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瓶</w:t>
                  </w:r>
                </w:p>
              </w:tc>
              <w:tc>
                <w:tcPr>
                  <w:tcW w:w="1000" w:type="pct"/>
                  <w:tcBorders>
                    <w:tl2br w:val="nil"/>
                    <w:tr2bl w:val="nil"/>
                  </w:tcBorders>
                  <w:noWrap w:val="0"/>
                  <w:vAlign w:val="center"/>
                </w:tcPr>
                <w:p w14:paraId="7E5618C3">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w:t>
                  </w:r>
                </w:p>
              </w:tc>
              <w:tc>
                <w:tcPr>
                  <w:tcW w:w="1000" w:type="pct"/>
                  <w:tcBorders>
                    <w:tl2br w:val="nil"/>
                    <w:tr2bl w:val="nil"/>
                  </w:tcBorders>
                  <w:noWrap w:val="0"/>
                  <w:vAlign w:val="center"/>
                </w:tcPr>
                <w:p w14:paraId="0810BAFB">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0.5升/瓶</w:t>
                  </w:r>
                </w:p>
              </w:tc>
            </w:tr>
            <w:tr w14:paraId="7E0CE3EB">
              <w:tblPrEx>
                <w:tblBorders>
                  <w:top w:val="single" w:color="auto" w:sz="12" w:space="0"/>
                  <w:left w:val="none" w:color="auto" w:sz="0"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trPr>
              <w:tc>
                <w:tcPr>
                  <w:tcW w:w="1000" w:type="pct"/>
                  <w:tcBorders>
                    <w:tl2br w:val="nil"/>
                    <w:tr2bl w:val="nil"/>
                  </w:tcBorders>
                  <w:noWrap w:val="0"/>
                  <w:vAlign w:val="center"/>
                </w:tcPr>
                <w:p w14:paraId="32BE8B62">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7</w:t>
                  </w:r>
                </w:p>
              </w:tc>
              <w:tc>
                <w:tcPr>
                  <w:tcW w:w="1000" w:type="pct"/>
                  <w:tcBorders>
                    <w:tl2br w:val="nil"/>
                    <w:tr2bl w:val="nil"/>
                  </w:tcBorders>
                  <w:noWrap w:val="0"/>
                  <w:vAlign w:val="center"/>
                </w:tcPr>
                <w:p w14:paraId="6E3A817B">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兽用血细胞分析稀释剂</w:t>
                  </w:r>
                </w:p>
              </w:tc>
              <w:tc>
                <w:tcPr>
                  <w:tcW w:w="1000" w:type="pct"/>
                  <w:tcBorders>
                    <w:tl2br w:val="nil"/>
                    <w:tr2bl w:val="nil"/>
                  </w:tcBorders>
                  <w:noWrap w:val="0"/>
                  <w:vAlign w:val="center"/>
                </w:tcPr>
                <w:p w14:paraId="4A619683">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瓶</w:t>
                  </w:r>
                </w:p>
              </w:tc>
              <w:tc>
                <w:tcPr>
                  <w:tcW w:w="1000" w:type="pct"/>
                  <w:tcBorders>
                    <w:tl2br w:val="nil"/>
                    <w:tr2bl w:val="nil"/>
                  </w:tcBorders>
                  <w:noWrap w:val="0"/>
                  <w:vAlign w:val="center"/>
                </w:tcPr>
                <w:p w14:paraId="75C22744">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w:t>
                  </w:r>
                </w:p>
              </w:tc>
              <w:tc>
                <w:tcPr>
                  <w:tcW w:w="1000" w:type="pct"/>
                  <w:tcBorders>
                    <w:tl2br w:val="nil"/>
                    <w:tr2bl w:val="nil"/>
                  </w:tcBorders>
                  <w:noWrap w:val="0"/>
                  <w:vAlign w:val="center"/>
                </w:tcPr>
                <w:p w14:paraId="75C805B5">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0.5升/瓶</w:t>
                  </w:r>
                </w:p>
              </w:tc>
            </w:tr>
            <w:tr w14:paraId="7A40E435">
              <w:tblPrEx>
                <w:tblBorders>
                  <w:top w:val="single" w:color="auto" w:sz="12" w:space="0"/>
                  <w:left w:val="none" w:color="auto" w:sz="0"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pct"/>
                  <w:tcBorders>
                    <w:tl2br w:val="nil"/>
                    <w:tr2bl w:val="nil"/>
                  </w:tcBorders>
                  <w:noWrap w:val="0"/>
                  <w:vAlign w:val="center"/>
                </w:tcPr>
                <w:p w14:paraId="4F59BBFD">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8</w:t>
                  </w:r>
                </w:p>
              </w:tc>
              <w:tc>
                <w:tcPr>
                  <w:tcW w:w="1000" w:type="pct"/>
                  <w:tcBorders>
                    <w:tl2br w:val="nil"/>
                    <w:tr2bl w:val="nil"/>
                  </w:tcBorders>
                  <w:noWrap w:val="0"/>
                  <w:vAlign w:val="center"/>
                </w:tcPr>
                <w:p w14:paraId="1E12DEC7">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头孢噻呋</w:t>
                  </w:r>
                </w:p>
              </w:tc>
              <w:tc>
                <w:tcPr>
                  <w:tcW w:w="1000" w:type="pct"/>
                  <w:tcBorders>
                    <w:tl2br w:val="nil"/>
                    <w:tr2bl w:val="nil"/>
                  </w:tcBorders>
                  <w:noWrap w:val="0"/>
                  <w:vAlign w:val="center"/>
                </w:tcPr>
                <w:p w14:paraId="752620B0">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瓶</w:t>
                  </w:r>
                </w:p>
              </w:tc>
              <w:tc>
                <w:tcPr>
                  <w:tcW w:w="1000" w:type="pct"/>
                  <w:tcBorders>
                    <w:tl2br w:val="nil"/>
                    <w:tr2bl w:val="nil"/>
                  </w:tcBorders>
                  <w:noWrap w:val="0"/>
                  <w:vAlign w:val="center"/>
                </w:tcPr>
                <w:p w14:paraId="7738B4ED">
                  <w:pPr>
                    <w:widowControl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25</w:t>
                  </w:r>
                </w:p>
              </w:tc>
              <w:tc>
                <w:tcPr>
                  <w:tcW w:w="1000" w:type="pct"/>
                  <w:tcBorders>
                    <w:tl2br w:val="nil"/>
                    <w:tr2bl w:val="nil"/>
                  </w:tcBorders>
                  <w:noWrap w:val="0"/>
                  <w:vAlign w:val="center"/>
                </w:tcPr>
                <w:p w14:paraId="345BEE82">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r>
            <w:tr w14:paraId="62A1606B">
              <w:tblPrEx>
                <w:tblBorders>
                  <w:top w:val="single" w:color="auto" w:sz="12" w:space="0"/>
                  <w:left w:val="none" w:color="auto" w:sz="0"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pct"/>
                  <w:tcBorders>
                    <w:tl2br w:val="nil"/>
                    <w:tr2bl w:val="nil"/>
                  </w:tcBorders>
                  <w:noWrap w:val="0"/>
                  <w:vAlign w:val="center"/>
                </w:tcPr>
                <w:p w14:paraId="06F63294">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9</w:t>
                  </w:r>
                </w:p>
              </w:tc>
              <w:tc>
                <w:tcPr>
                  <w:tcW w:w="1000" w:type="pct"/>
                  <w:tcBorders>
                    <w:tl2br w:val="nil"/>
                    <w:tr2bl w:val="nil"/>
                  </w:tcBorders>
                  <w:noWrap w:val="0"/>
                  <w:vAlign w:val="center"/>
                </w:tcPr>
                <w:p w14:paraId="2DB705BE">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碘伏</w:t>
                  </w:r>
                </w:p>
              </w:tc>
              <w:tc>
                <w:tcPr>
                  <w:tcW w:w="1000" w:type="pct"/>
                  <w:tcBorders>
                    <w:tl2br w:val="nil"/>
                    <w:tr2bl w:val="nil"/>
                  </w:tcBorders>
                  <w:noWrap w:val="0"/>
                  <w:vAlign w:val="center"/>
                </w:tcPr>
                <w:p w14:paraId="54F59C9B">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瓶</w:t>
                  </w:r>
                </w:p>
              </w:tc>
              <w:tc>
                <w:tcPr>
                  <w:tcW w:w="1000" w:type="pct"/>
                  <w:tcBorders>
                    <w:tl2br w:val="nil"/>
                    <w:tr2bl w:val="nil"/>
                  </w:tcBorders>
                  <w:noWrap w:val="0"/>
                  <w:vAlign w:val="center"/>
                </w:tcPr>
                <w:p w14:paraId="20F85417">
                  <w:pPr>
                    <w:widowControl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60</w:t>
                  </w:r>
                </w:p>
              </w:tc>
              <w:tc>
                <w:tcPr>
                  <w:tcW w:w="1000" w:type="pct"/>
                  <w:tcBorders>
                    <w:tl2br w:val="nil"/>
                    <w:tr2bl w:val="nil"/>
                  </w:tcBorders>
                  <w:noWrap w:val="0"/>
                  <w:vAlign w:val="center"/>
                </w:tcPr>
                <w:p w14:paraId="21B32044">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0.1升/瓶</w:t>
                  </w:r>
                </w:p>
              </w:tc>
            </w:tr>
            <w:tr w14:paraId="10DBF4BE">
              <w:tblPrEx>
                <w:tblBorders>
                  <w:top w:val="single" w:color="auto" w:sz="12" w:space="0"/>
                  <w:left w:val="none" w:color="auto" w:sz="0"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pct"/>
                  <w:tcBorders>
                    <w:tl2br w:val="nil"/>
                    <w:tr2bl w:val="nil"/>
                  </w:tcBorders>
                  <w:noWrap w:val="0"/>
                  <w:vAlign w:val="center"/>
                </w:tcPr>
                <w:p w14:paraId="71FF8579">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10</w:t>
                  </w:r>
                </w:p>
              </w:tc>
              <w:tc>
                <w:tcPr>
                  <w:tcW w:w="1000" w:type="pct"/>
                  <w:tcBorders>
                    <w:tl2br w:val="nil"/>
                    <w:tr2bl w:val="nil"/>
                  </w:tcBorders>
                  <w:noWrap w:val="0"/>
                  <w:vAlign w:val="center"/>
                </w:tcPr>
                <w:p w14:paraId="1286EB88">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酒精</w:t>
                  </w:r>
                </w:p>
              </w:tc>
              <w:tc>
                <w:tcPr>
                  <w:tcW w:w="1000" w:type="pct"/>
                  <w:tcBorders>
                    <w:tl2br w:val="nil"/>
                    <w:tr2bl w:val="nil"/>
                  </w:tcBorders>
                  <w:noWrap w:val="0"/>
                  <w:vAlign w:val="center"/>
                </w:tcPr>
                <w:p w14:paraId="07A0B138">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瓶</w:t>
                  </w:r>
                </w:p>
              </w:tc>
              <w:tc>
                <w:tcPr>
                  <w:tcW w:w="1000" w:type="pct"/>
                  <w:tcBorders>
                    <w:tl2br w:val="nil"/>
                    <w:tr2bl w:val="nil"/>
                  </w:tcBorders>
                  <w:noWrap w:val="0"/>
                  <w:vAlign w:val="center"/>
                </w:tcPr>
                <w:p w14:paraId="15C34C93">
                  <w:pPr>
                    <w:widowControl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60</w:t>
                  </w:r>
                </w:p>
              </w:tc>
              <w:tc>
                <w:tcPr>
                  <w:tcW w:w="1000" w:type="pct"/>
                  <w:tcBorders>
                    <w:tl2br w:val="nil"/>
                    <w:tr2bl w:val="nil"/>
                  </w:tcBorders>
                  <w:noWrap w:val="0"/>
                  <w:vAlign w:val="center"/>
                </w:tcPr>
                <w:p w14:paraId="4F8C5DCF">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0.5升/瓶</w:t>
                  </w:r>
                </w:p>
              </w:tc>
            </w:tr>
            <w:tr w14:paraId="6C27AFC0">
              <w:tblPrEx>
                <w:tblBorders>
                  <w:top w:val="single" w:color="auto" w:sz="12" w:space="0"/>
                  <w:left w:val="none" w:color="auto" w:sz="0"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pct"/>
                  <w:tcBorders>
                    <w:tl2br w:val="nil"/>
                    <w:tr2bl w:val="nil"/>
                  </w:tcBorders>
                  <w:noWrap w:val="0"/>
                  <w:vAlign w:val="center"/>
                </w:tcPr>
                <w:p w14:paraId="7BBCA353">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11</w:t>
                  </w:r>
                </w:p>
              </w:tc>
              <w:tc>
                <w:tcPr>
                  <w:tcW w:w="1000" w:type="pct"/>
                  <w:tcBorders>
                    <w:tl2br w:val="nil"/>
                    <w:tr2bl w:val="nil"/>
                  </w:tcBorders>
                  <w:noWrap w:val="0"/>
                  <w:vAlign w:val="center"/>
                </w:tcPr>
                <w:p w14:paraId="2F1097B0">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消毒液</w:t>
                  </w:r>
                </w:p>
              </w:tc>
              <w:tc>
                <w:tcPr>
                  <w:tcW w:w="1000" w:type="pct"/>
                  <w:tcBorders>
                    <w:tl2br w:val="nil"/>
                    <w:tr2bl w:val="nil"/>
                  </w:tcBorders>
                  <w:noWrap w:val="0"/>
                  <w:vAlign w:val="center"/>
                </w:tcPr>
                <w:p w14:paraId="659867A0">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瓶</w:t>
                  </w:r>
                </w:p>
              </w:tc>
              <w:tc>
                <w:tcPr>
                  <w:tcW w:w="1000" w:type="pct"/>
                  <w:tcBorders>
                    <w:tl2br w:val="nil"/>
                    <w:tr2bl w:val="nil"/>
                  </w:tcBorders>
                  <w:noWrap w:val="0"/>
                  <w:vAlign w:val="center"/>
                </w:tcPr>
                <w:p w14:paraId="0C1F5F97">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10</w:t>
                  </w:r>
                </w:p>
              </w:tc>
              <w:tc>
                <w:tcPr>
                  <w:tcW w:w="1000" w:type="pct"/>
                  <w:tcBorders>
                    <w:tl2br w:val="nil"/>
                    <w:tr2bl w:val="nil"/>
                  </w:tcBorders>
                  <w:noWrap w:val="0"/>
                  <w:vAlign w:val="center"/>
                </w:tcPr>
                <w:p w14:paraId="1CBA6401">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0.5升/瓶</w:t>
                  </w:r>
                </w:p>
              </w:tc>
            </w:tr>
            <w:tr w14:paraId="5304FACF">
              <w:tblPrEx>
                <w:tblBorders>
                  <w:top w:val="single" w:color="auto" w:sz="12" w:space="0"/>
                  <w:left w:val="none" w:color="auto" w:sz="0"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pct"/>
                  <w:tcBorders>
                    <w:tl2br w:val="nil"/>
                    <w:tr2bl w:val="nil"/>
                  </w:tcBorders>
                  <w:noWrap w:val="0"/>
                  <w:vAlign w:val="center"/>
                </w:tcPr>
                <w:p w14:paraId="234537B4">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12</w:t>
                  </w:r>
                </w:p>
              </w:tc>
              <w:tc>
                <w:tcPr>
                  <w:tcW w:w="1000" w:type="pct"/>
                  <w:tcBorders>
                    <w:tl2br w:val="nil"/>
                    <w:tr2bl w:val="nil"/>
                  </w:tcBorders>
                  <w:shd w:val="clear" w:color="auto" w:fill="auto"/>
                  <w:noWrap w:val="0"/>
                  <w:vAlign w:val="center"/>
                </w:tcPr>
                <w:p w14:paraId="24113C1E">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bidi="ar-SA"/>
                    </w:rPr>
                  </w:pPr>
                  <w:r>
                    <w:rPr>
                      <w:rFonts w:hint="eastAsia" w:ascii="Times New Roman" w:hAnsi="Times New Roman" w:eastAsia="宋体" w:cs="Times New Roman"/>
                      <w:color w:val="auto"/>
                      <w:sz w:val="21"/>
                      <w:szCs w:val="21"/>
                      <w:lang w:val="en-US" w:eastAsia="zh-CN"/>
                    </w:rPr>
                    <w:t>猫导尿管</w:t>
                  </w:r>
                </w:p>
              </w:tc>
              <w:tc>
                <w:tcPr>
                  <w:tcW w:w="1000" w:type="pct"/>
                  <w:tcBorders>
                    <w:tl2br w:val="nil"/>
                    <w:tr2bl w:val="nil"/>
                  </w:tcBorders>
                  <w:shd w:val="clear" w:color="auto" w:fill="auto"/>
                  <w:noWrap w:val="0"/>
                  <w:vAlign w:val="center"/>
                </w:tcPr>
                <w:p w14:paraId="607F0EE4">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bidi="ar-SA"/>
                    </w:rPr>
                  </w:pPr>
                  <w:r>
                    <w:rPr>
                      <w:rFonts w:hint="eastAsia" w:ascii="Times New Roman" w:hAnsi="Times New Roman" w:eastAsia="宋体" w:cs="Times New Roman"/>
                      <w:color w:val="auto"/>
                      <w:sz w:val="21"/>
                      <w:szCs w:val="21"/>
                      <w:lang w:val="en-US" w:eastAsia="zh-CN"/>
                    </w:rPr>
                    <w:t>支</w:t>
                  </w:r>
                </w:p>
              </w:tc>
              <w:tc>
                <w:tcPr>
                  <w:tcW w:w="1000" w:type="pct"/>
                  <w:tcBorders>
                    <w:tl2br w:val="nil"/>
                    <w:tr2bl w:val="nil"/>
                  </w:tcBorders>
                  <w:shd w:val="clear" w:color="auto" w:fill="auto"/>
                  <w:noWrap w:val="0"/>
                  <w:vAlign w:val="center"/>
                </w:tcPr>
                <w:p w14:paraId="2A297B49">
                  <w:pPr>
                    <w:widowControl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50</w:t>
                  </w:r>
                </w:p>
              </w:tc>
              <w:tc>
                <w:tcPr>
                  <w:tcW w:w="1000" w:type="pct"/>
                  <w:tcBorders>
                    <w:tl2br w:val="nil"/>
                    <w:tr2bl w:val="nil"/>
                  </w:tcBorders>
                  <w:shd w:val="clear" w:color="auto" w:fill="auto"/>
                  <w:noWrap w:val="0"/>
                  <w:vAlign w:val="center"/>
                </w:tcPr>
                <w:p w14:paraId="3B8F4176">
                  <w:pPr>
                    <w:widowControl w:val="0"/>
                    <w:snapToGrid w:val="0"/>
                    <w:spacing w:line="240" w:lineRule="auto"/>
                    <w:ind w:firstLine="0" w:firstLineChars="0"/>
                    <w:jc w:val="center"/>
                    <w:rPr>
                      <w:rFonts w:hint="default" w:ascii="Times New Roman" w:hAnsi="Times New Roman" w:eastAsia="宋体" w:cs="Times New Roman"/>
                      <w:snapToGrid w:val="0"/>
                      <w:color w:val="auto"/>
                      <w:kern w:val="0"/>
                      <w:sz w:val="21"/>
                      <w:szCs w:val="21"/>
                      <w:lang w:val="en-US" w:eastAsia="zh-CN" w:bidi="ar-SA"/>
                    </w:rPr>
                  </w:pPr>
                </w:p>
              </w:tc>
            </w:tr>
            <w:tr w14:paraId="0631C6EA">
              <w:tblPrEx>
                <w:tblBorders>
                  <w:top w:val="single" w:color="auto" w:sz="12" w:space="0"/>
                  <w:left w:val="none" w:color="auto" w:sz="0"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pct"/>
                  <w:tcBorders>
                    <w:tl2br w:val="nil"/>
                    <w:tr2bl w:val="nil"/>
                  </w:tcBorders>
                  <w:noWrap w:val="0"/>
                  <w:vAlign w:val="center"/>
                </w:tcPr>
                <w:p w14:paraId="7AE46F54">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13</w:t>
                  </w:r>
                </w:p>
              </w:tc>
              <w:tc>
                <w:tcPr>
                  <w:tcW w:w="1000" w:type="pct"/>
                  <w:tcBorders>
                    <w:tl2br w:val="nil"/>
                    <w:tr2bl w:val="nil"/>
                  </w:tcBorders>
                  <w:shd w:val="clear" w:color="auto" w:fill="auto"/>
                  <w:noWrap w:val="0"/>
                  <w:vAlign w:val="center"/>
                </w:tcPr>
                <w:p w14:paraId="4FC641C5">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bidi="ar-SA"/>
                    </w:rPr>
                  </w:pPr>
                  <w:r>
                    <w:rPr>
                      <w:rFonts w:hint="eastAsia" w:ascii="Times New Roman" w:hAnsi="Times New Roman" w:eastAsia="宋体" w:cs="Times New Roman"/>
                      <w:color w:val="auto"/>
                      <w:sz w:val="21"/>
                      <w:szCs w:val="21"/>
                      <w:lang w:val="en-US" w:eastAsia="zh-CN"/>
                    </w:rPr>
                    <w:t>犬双腔道尿管</w:t>
                  </w:r>
                </w:p>
              </w:tc>
              <w:tc>
                <w:tcPr>
                  <w:tcW w:w="1000" w:type="pct"/>
                  <w:tcBorders>
                    <w:tl2br w:val="nil"/>
                    <w:tr2bl w:val="nil"/>
                  </w:tcBorders>
                  <w:shd w:val="clear" w:color="auto" w:fill="auto"/>
                  <w:noWrap w:val="0"/>
                  <w:vAlign w:val="center"/>
                </w:tcPr>
                <w:p w14:paraId="5D67B146">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bidi="ar-SA"/>
                    </w:rPr>
                  </w:pPr>
                  <w:r>
                    <w:rPr>
                      <w:rFonts w:hint="eastAsia" w:ascii="Times New Roman" w:hAnsi="Times New Roman" w:eastAsia="宋体" w:cs="Times New Roman"/>
                      <w:color w:val="auto"/>
                      <w:sz w:val="21"/>
                      <w:szCs w:val="21"/>
                      <w:lang w:val="en-US" w:eastAsia="zh-CN"/>
                    </w:rPr>
                    <w:t>支</w:t>
                  </w:r>
                </w:p>
              </w:tc>
              <w:tc>
                <w:tcPr>
                  <w:tcW w:w="1000" w:type="pct"/>
                  <w:tcBorders>
                    <w:tl2br w:val="nil"/>
                    <w:tr2bl w:val="nil"/>
                  </w:tcBorders>
                  <w:shd w:val="clear" w:color="auto" w:fill="auto"/>
                  <w:noWrap w:val="0"/>
                  <w:vAlign w:val="center"/>
                </w:tcPr>
                <w:p w14:paraId="3E1BA336">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w:t>
                  </w:r>
                </w:p>
              </w:tc>
              <w:tc>
                <w:tcPr>
                  <w:tcW w:w="1000" w:type="pct"/>
                  <w:tcBorders>
                    <w:tl2br w:val="nil"/>
                    <w:tr2bl w:val="nil"/>
                  </w:tcBorders>
                  <w:shd w:val="clear" w:color="auto" w:fill="auto"/>
                  <w:noWrap w:val="0"/>
                  <w:vAlign w:val="center"/>
                </w:tcPr>
                <w:p w14:paraId="045E7D63">
                  <w:pPr>
                    <w:widowControl w:val="0"/>
                    <w:snapToGrid w:val="0"/>
                    <w:spacing w:line="240" w:lineRule="auto"/>
                    <w:ind w:firstLine="0" w:firstLineChars="0"/>
                    <w:jc w:val="center"/>
                    <w:rPr>
                      <w:rFonts w:hint="default" w:ascii="Times New Roman" w:hAnsi="Times New Roman" w:eastAsia="宋体" w:cs="Times New Roman"/>
                      <w:snapToGrid w:val="0"/>
                      <w:color w:val="auto"/>
                      <w:kern w:val="0"/>
                      <w:sz w:val="21"/>
                      <w:szCs w:val="21"/>
                      <w:lang w:val="en-US" w:eastAsia="zh-CN" w:bidi="ar-SA"/>
                    </w:rPr>
                  </w:pPr>
                </w:p>
              </w:tc>
            </w:tr>
            <w:tr w14:paraId="41BF93AD">
              <w:tblPrEx>
                <w:tblBorders>
                  <w:top w:val="single" w:color="auto" w:sz="12" w:space="0"/>
                  <w:left w:val="none" w:color="auto" w:sz="0"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pct"/>
                  <w:tcBorders>
                    <w:tl2br w:val="nil"/>
                    <w:tr2bl w:val="nil"/>
                  </w:tcBorders>
                  <w:noWrap w:val="0"/>
                  <w:vAlign w:val="center"/>
                </w:tcPr>
                <w:p w14:paraId="3AB7EE66">
                  <w:pPr>
                    <w:widowControl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w:t>
                  </w:r>
                  <w:r>
                    <w:rPr>
                      <w:rFonts w:hint="eastAsia" w:cs="Times New Roman"/>
                      <w:color w:val="auto"/>
                      <w:sz w:val="21"/>
                      <w:szCs w:val="21"/>
                      <w:lang w:val="en-US" w:eastAsia="zh-CN"/>
                    </w:rPr>
                    <w:t>4</w:t>
                  </w:r>
                </w:p>
              </w:tc>
              <w:tc>
                <w:tcPr>
                  <w:tcW w:w="1000" w:type="pct"/>
                  <w:tcBorders>
                    <w:tl2br w:val="nil"/>
                    <w:tr2bl w:val="nil"/>
                  </w:tcBorders>
                  <w:shd w:val="clear" w:color="auto" w:fill="auto"/>
                  <w:noWrap w:val="0"/>
                  <w:vAlign w:val="center"/>
                </w:tcPr>
                <w:p w14:paraId="67FA82F7">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bidi="ar-SA"/>
                    </w:rPr>
                  </w:pPr>
                  <w:r>
                    <w:rPr>
                      <w:rFonts w:hint="eastAsia" w:ascii="Times New Roman" w:hAnsi="Times New Roman" w:eastAsia="宋体" w:cs="Times New Roman"/>
                      <w:color w:val="auto"/>
                      <w:sz w:val="21"/>
                      <w:szCs w:val="21"/>
                      <w:lang w:val="en-US" w:eastAsia="zh-CN"/>
                    </w:rPr>
                    <w:t>骨板</w:t>
                  </w:r>
                </w:p>
              </w:tc>
              <w:tc>
                <w:tcPr>
                  <w:tcW w:w="1000" w:type="pct"/>
                  <w:tcBorders>
                    <w:tl2br w:val="nil"/>
                    <w:tr2bl w:val="nil"/>
                  </w:tcBorders>
                  <w:shd w:val="clear" w:color="auto" w:fill="auto"/>
                  <w:noWrap w:val="0"/>
                  <w:vAlign w:val="center"/>
                </w:tcPr>
                <w:p w14:paraId="0061D125">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bidi="ar-SA"/>
                    </w:rPr>
                  </w:pPr>
                  <w:r>
                    <w:rPr>
                      <w:rFonts w:hint="eastAsia" w:ascii="Times New Roman" w:hAnsi="Times New Roman" w:eastAsia="宋体" w:cs="Times New Roman"/>
                      <w:color w:val="auto"/>
                      <w:sz w:val="21"/>
                      <w:szCs w:val="21"/>
                      <w:lang w:val="en-US" w:eastAsia="zh-CN"/>
                    </w:rPr>
                    <w:t>条</w:t>
                  </w:r>
                </w:p>
              </w:tc>
              <w:tc>
                <w:tcPr>
                  <w:tcW w:w="1000" w:type="pct"/>
                  <w:tcBorders>
                    <w:tl2br w:val="nil"/>
                    <w:tr2bl w:val="nil"/>
                  </w:tcBorders>
                  <w:shd w:val="clear" w:color="auto" w:fill="auto"/>
                  <w:noWrap w:val="0"/>
                  <w:vAlign w:val="center"/>
                </w:tcPr>
                <w:p w14:paraId="506D26D9">
                  <w:pPr>
                    <w:widowControl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10</w:t>
                  </w:r>
                </w:p>
              </w:tc>
              <w:tc>
                <w:tcPr>
                  <w:tcW w:w="1000" w:type="pct"/>
                  <w:tcBorders>
                    <w:tl2br w:val="nil"/>
                    <w:tr2bl w:val="nil"/>
                  </w:tcBorders>
                  <w:shd w:val="clear" w:color="auto" w:fill="auto"/>
                  <w:noWrap w:val="0"/>
                  <w:vAlign w:val="center"/>
                </w:tcPr>
                <w:p w14:paraId="0530A0FA">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bidi="ar-SA"/>
                    </w:rPr>
                  </w:pPr>
                </w:p>
              </w:tc>
            </w:tr>
            <w:tr w14:paraId="723D2D94">
              <w:tblPrEx>
                <w:tblBorders>
                  <w:top w:val="single" w:color="auto" w:sz="12" w:space="0"/>
                  <w:left w:val="none" w:color="auto" w:sz="0"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pct"/>
                  <w:tcBorders>
                    <w:tl2br w:val="nil"/>
                    <w:tr2bl w:val="nil"/>
                  </w:tcBorders>
                  <w:noWrap w:val="0"/>
                  <w:vAlign w:val="center"/>
                </w:tcPr>
                <w:p w14:paraId="2557FCE0">
                  <w:pPr>
                    <w:widowControl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w:t>
                  </w:r>
                  <w:r>
                    <w:rPr>
                      <w:rFonts w:hint="eastAsia" w:cs="Times New Roman"/>
                      <w:color w:val="auto"/>
                      <w:sz w:val="21"/>
                      <w:szCs w:val="21"/>
                      <w:lang w:val="en-US" w:eastAsia="zh-CN"/>
                    </w:rPr>
                    <w:t>5</w:t>
                  </w:r>
                </w:p>
              </w:tc>
              <w:tc>
                <w:tcPr>
                  <w:tcW w:w="1000" w:type="pct"/>
                  <w:tcBorders>
                    <w:tl2br w:val="nil"/>
                    <w:tr2bl w:val="nil"/>
                  </w:tcBorders>
                  <w:shd w:val="clear" w:color="auto" w:fill="auto"/>
                  <w:noWrap w:val="0"/>
                  <w:vAlign w:val="center"/>
                </w:tcPr>
                <w:p w14:paraId="54A2322E">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bidi="ar-SA"/>
                    </w:rPr>
                  </w:pPr>
                  <w:r>
                    <w:rPr>
                      <w:rFonts w:hint="eastAsia" w:ascii="Times New Roman" w:hAnsi="Times New Roman" w:eastAsia="宋体" w:cs="Times New Roman"/>
                      <w:color w:val="auto"/>
                      <w:sz w:val="21"/>
                      <w:szCs w:val="21"/>
                      <w:lang w:val="en-US" w:eastAsia="zh-CN"/>
                    </w:rPr>
                    <w:t>骨钉</w:t>
                  </w:r>
                </w:p>
              </w:tc>
              <w:tc>
                <w:tcPr>
                  <w:tcW w:w="1000" w:type="pct"/>
                  <w:tcBorders>
                    <w:tl2br w:val="nil"/>
                    <w:tr2bl w:val="nil"/>
                  </w:tcBorders>
                  <w:shd w:val="clear" w:color="auto" w:fill="auto"/>
                  <w:noWrap w:val="0"/>
                  <w:vAlign w:val="center"/>
                </w:tcPr>
                <w:p w14:paraId="3246A1D8">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bidi="ar-SA"/>
                    </w:rPr>
                  </w:pPr>
                  <w:r>
                    <w:rPr>
                      <w:rFonts w:hint="eastAsia" w:ascii="Times New Roman" w:hAnsi="Times New Roman" w:eastAsia="宋体" w:cs="Times New Roman"/>
                      <w:color w:val="auto"/>
                      <w:sz w:val="21"/>
                      <w:szCs w:val="21"/>
                      <w:lang w:val="en-US" w:eastAsia="zh-CN"/>
                    </w:rPr>
                    <w:t>个</w:t>
                  </w:r>
                </w:p>
              </w:tc>
              <w:tc>
                <w:tcPr>
                  <w:tcW w:w="1000" w:type="pct"/>
                  <w:tcBorders>
                    <w:tl2br w:val="nil"/>
                    <w:tr2bl w:val="nil"/>
                  </w:tcBorders>
                  <w:shd w:val="clear" w:color="auto" w:fill="auto"/>
                  <w:noWrap w:val="0"/>
                  <w:vAlign w:val="center"/>
                </w:tcPr>
                <w:p w14:paraId="65C0CC48">
                  <w:pPr>
                    <w:widowControl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40</w:t>
                  </w:r>
                </w:p>
              </w:tc>
              <w:tc>
                <w:tcPr>
                  <w:tcW w:w="1000" w:type="pct"/>
                  <w:tcBorders>
                    <w:tl2br w:val="nil"/>
                    <w:tr2bl w:val="nil"/>
                  </w:tcBorders>
                  <w:shd w:val="clear" w:color="auto" w:fill="auto"/>
                  <w:noWrap w:val="0"/>
                  <w:vAlign w:val="center"/>
                </w:tcPr>
                <w:p w14:paraId="5BAE15EF">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bidi="ar-SA"/>
                    </w:rPr>
                  </w:pPr>
                </w:p>
              </w:tc>
            </w:tr>
            <w:tr w14:paraId="659C41AB">
              <w:tblPrEx>
                <w:tblBorders>
                  <w:top w:val="single" w:color="auto" w:sz="12" w:space="0"/>
                  <w:left w:val="none" w:color="auto" w:sz="0"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pct"/>
                  <w:tcBorders>
                    <w:tl2br w:val="nil"/>
                    <w:tr2bl w:val="nil"/>
                  </w:tcBorders>
                  <w:noWrap w:val="0"/>
                  <w:vAlign w:val="center"/>
                </w:tcPr>
                <w:p w14:paraId="25DE5C57">
                  <w:pPr>
                    <w:widowControl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w:t>
                  </w:r>
                  <w:r>
                    <w:rPr>
                      <w:rFonts w:hint="eastAsia" w:cs="Times New Roman"/>
                      <w:color w:val="auto"/>
                      <w:sz w:val="21"/>
                      <w:szCs w:val="21"/>
                      <w:lang w:val="en-US" w:eastAsia="zh-CN"/>
                    </w:rPr>
                    <w:t>6</w:t>
                  </w:r>
                </w:p>
              </w:tc>
              <w:tc>
                <w:tcPr>
                  <w:tcW w:w="1000" w:type="pct"/>
                  <w:tcBorders>
                    <w:tl2br w:val="nil"/>
                    <w:tr2bl w:val="nil"/>
                  </w:tcBorders>
                  <w:shd w:val="clear" w:color="auto" w:fill="auto"/>
                  <w:noWrap w:val="0"/>
                  <w:vAlign w:val="center"/>
                </w:tcPr>
                <w:p w14:paraId="5C78CA0C">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bidi="ar-SA"/>
                    </w:rPr>
                  </w:pPr>
                  <w:r>
                    <w:rPr>
                      <w:rFonts w:hint="eastAsia" w:ascii="Times New Roman" w:hAnsi="Times New Roman" w:eastAsia="宋体" w:cs="Times New Roman"/>
                      <w:color w:val="auto"/>
                      <w:sz w:val="21"/>
                      <w:szCs w:val="21"/>
                      <w:lang w:val="en-US" w:eastAsia="zh-CN"/>
                    </w:rPr>
                    <w:t>留置针</w:t>
                  </w:r>
                </w:p>
              </w:tc>
              <w:tc>
                <w:tcPr>
                  <w:tcW w:w="1000" w:type="pct"/>
                  <w:tcBorders>
                    <w:tl2br w:val="nil"/>
                    <w:tr2bl w:val="nil"/>
                  </w:tcBorders>
                  <w:shd w:val="clear" w:color="auto" w:fill="auto"/>
                  <w:noWrap w:val="0"/>
                  <w:vAlign w:val="center"/>
                </w:tcPr>
                <w:p w14:paraId="5CBA22E4">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bidi="ar-SA"/>
                    </w:rPr>
                  </w:pPr>
                  <w:r>
                    <w:rPr>
                      <w:rFonts w:hint="eastAsia" w:ascii="Times New Roman" w:hAnsi="Times New Roman" w:eastAsia="宋体" w:cs="Times New Roman"/>
                      <w:color w:val="auto"/>
                      <w:sz w:val="21"/>
                      <w:szCs w:val="21"/>
                      <w:lang w:val="en-US" w:eastAsia="zh-CN"/>
                    </w:rPr>
                    <w:t>个</w:t>
                  </w:r>
                </w:p>
              </w:tc>
              <w:tc>
                <w:tcPr>
                  <w:tcW w:w="1000" w:type="pct"/>
                  <w:tcBorders>
                    <w:tl2br w:val="nil"/>
                    <w:tr2bl w:val="nil"/>
                  </w:tcBorders>
                  <w:shd w:val="clear" w:color="auto" w:fill="auto"/>
                  <w:noWrap w:val="0"/>
                  <w:vAlign w:val="center"/>
                </w:tcPr>
                <w:p w14:paraId="6B71E5F5">
                  <w:pPr>
                    <w:widowControl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1000</w:t>
                  </w:r>
                </w:p>
              </w:tc>
              <w:tc>
                <w:tcPr>
                  <w:tcW w:w="1000" w:type="pct"/>
                  <w:tcBorders>
                    <w:tl2br w:val="nil"/>
                    <w:tr2bl w:val="nil"/>
                  </w:tcBorders>
                  <w:shd w:val="clear" w:color="auto" w:fill="auto"/>
                  <w:noWrap w:val="0"/>
                  <w:vAlign w:val="center"/>
                </w:tcPr>
                <w:p w14:paraId="43016120">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bidi="ar-SA"/>
                    </w:rPr>
                  </w:pPr>
                </w:p>
              </w:tc>
            </w:tr>
            <w:tr w14:paraId="6117FEF3">
              <w:tblPrEx>
                <w:tblBorders>
                  <w:top w:val="single" w:color="auto" w:sz="12" w:space="0"/>
                  <w:left w:val="none" w:color="auto" w:sz="0"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pct"/>
                  <w:tcBorders>
                    <w:tl2br w:val="nil"/>
                    <w:tr2bl w:val="nil"/>
                  </w:tcBorders>
                  <w:noWrap w:val="0"/>
                  <w:vAlign w:val="center"/>
                </w:tcPr>
                <w:p w14:paraId="11D3293E">
                  <w:pPr>
                    <w:widowControl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w:t>
                  </w:r>
                  <w:r>
                    <w:rPr>
                      <w:rFonts w:hint="eastAsia" w:cs="Times New Roman"/>
                      <w:color w:val="auto"/>
                      <w:sz w:val="21"/>
                      <w:szCs w:val="21"/>
                      <w:lang w:val="en-US" w:eastAsia="zh-CN"/>
                    </w:rPr>
                    <w:t>7</w:t>
                  </w:r>
                </w:p>
              </w:tc>
              <w:tc>
                <w:tcPr>
                  <w:tcW w:w="1000" w:type="pct"/>
                  <w:tcBorders>
                    <w:tl2br w:val="nil"/>
                    <w:tr2bl w:val="nil"/>
                  </w:tcBorders>
                  <w:shd w:val="clear" w:color="auto" w:fill="auto"/>
                  <w:noWrap w:val="0"/>
                  <w:vAlign w:val="center"/>
                </w:tcPr>
                <w:p w14:paraId="5075605D">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bidi="ar-SA"/>
                    </w:rPr>
                  </w:pPr>
                  <w:r>
                    <w:rPr>
                      <w:rFonts w:hint="eastAsia" w:ascii="Times New Roman" w:hAnsi="Times New Roman" w:eastAsia="宋体" w:cs="Times New Roman"/>
                      <w:color w:val="auto"/>
                      <w:sz w:val="21"/>
                      <w:szCs w:val="21"/>
                      <w:lang w:val="en-US" w:eastAsia="zh-CN"/>
                    </w:rPr>
                    <w:t>缝合线</w:t>
                  </w:r>
                </w:p>
              </w:tc>
              <w:tc>
                <w:tcPr>
                  <w:tcW w:w="1000" w:type="pct"/>
                  <w:tcBorders>
                    <w:tl2br w:val="nil"/>
                    <w:tr2bl w:val="nil"/>
                  </w:tcBorders>
                  <w:shd w:val="clear" w:color="auto" w:fill="auto"/>
                  <w:noWrap w:val="0"/>
                  <w:vAlign w:val="center"/>
                </w:tcPr>
                <w:p w14:paraId="1A54C496">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bidi="ar-SA"/>
                    </w:rPr>
                  </w:pPr>
                  <w:r>
                    <w:rPr>
                      <w:rFonts w:hint="eastAsia" w:ascii="Times New Roman" w:hAnsi="Times New Roman" w:eastAsia="宋体" w:cs="Times New Roman"/>
                      <w:color w:val="auto"/>
                      <w:sz w:val="21"/>
                      <w:szCs w:val="21"/>
                      <w:lang w:val="en-US" w:eastAsia="zh-CN"/>
                    </w:rPr>
                    <w:t>12根/盒</w:t>
                  </w:r>
                </w:p>
              </w:tc>
              <w:tc>
                <w:tcPr>
                  <w:tcW w:w="1000" w:type="pct"/>
                  <w:tcBorders>
                    <w:tl2br w:val="nil"/>
                    <w:tr2bl w:val="nil"/>
                  </w:tcBorders>
                  <w:shd w:val="clear" w:color="auto" w:fill="auto"/>
                  <w:noWrap w:val="0"/>
                  <w:vAlign w:val="center"/>
                </w:tcPr>
                <w:p w14:paraId="76E9DEC2">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20</w:t>
                  </w:r>
                </w:p>
              </w:tc>
              <w:tc>
                <w:tcPr>
                  <w:tcW w:w="1000" w:type="pct"/>
                  <w:tcBorders>
                    <w:tl2br w:val="nil"/>
                    <w:tr2bl w:val="nil"/>
                  </w:tcBorders>
                  <w:shd w:val="clear" w:color="auto" w:fill="auto"/>
                  <w:noWrap w:val="0"/>
                  <w:vAlign w:val="center"/>
                </w:tcPr>
                <w:p w14:paraId="26997B99">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bidi="ar-SA"/>
                    </w:rPr>
                  </w:pPr>
                </w:p>
              </w:tc>
            </w:tr>
            <w:tr w14:paraId="0B3A304E">
              <w:tblPrEx>
                <w:tblBorders>
                  <w:top w:val="single" w:color="auto" w:sz="12" w:space="0"/>
                  <w:left w:val="none" w:color="auto" w:sz="0"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pct"/>
                  <w:tcBorders>
                    <w:tl2br w:val="nil"/>
                    <w:tr2bl w:val="nil"/>
                  </w:tcBorders>
                  <w:noWrap w:val="0"/>
                  <w:vAlign w:val="center"/>
                </w:tcPr>
                <w:p w14:paraId="53B8B6DE">
                  <w:pPr>
                    <w:widowControl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w:t>
                  </w:r>
                  <w:r>
                    <w:rPr>
                      <w:rFonts w:hint="eastAsia" w:cs="Times New Roman"/>
                      <w:color w:val="auto"/>
                      <w:sz w:val="21"/>
                      <w:szCs w:val="21"/>
                      <w:lang w:val="en-US" w:eastAsia="zh-CN"/>
                    </w:rPr>
                    <w:t>8</w:t>
                  </w:r>
                </w:p>
              </w:tc>
              <w:tc>
                <w:tcPr>
                  <w:tcW w:w="1000" w:type="pct"/>
                  <w:tcBorders>
                    <w:tl2br w:val="nil"/>
                    <w:tr2bl w:val="nil"/>
                  </w:tcBorders>
                  <w:shd w:val="clear" w:color="auto" w:fill="auto"/>
                  <w:noWrap w:val="0"/>
                  <w:vAlign w:val="center"/>
                </w:tcPr>
                <w:p w14:paraId="517F216D">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bidi="ar-SA"/>
                    </w:rPr>
                  </w:pPr>
                  <w:r>
                    <w:rPr>
                      <w:rFonts w:hint="eastAsia" w:ascii="Times New Roman" w:hAnsi="Times New Roman" w:eastAsia="宋体" w:cs="Times New Roman"/>
                      <w:color w:val="auto"/>
                      <w:sz w:val="21"/>
                      <w:szCs w:val="21"/>
                      <w:lang w:val="en-US" w:eastAsia="zh-CN"/>
                    </w:rPr>
                    <w:t>刀片</w:t>
                  </w:r>
                </w:p>
              </w:tc>
              <w:tc>
                <w:tcPr>
                  <w:tcW w:w="1000" w:type="pct"/>
                  <w:tcBorders>
                    <w:tl2br w:val="nil"/>
                    <w:tr2bl w:val="nil"/>
                  </w:tcBorders>
                  <w:shd w:val="clear" w:color="auto" w:fill="auto"/>
                  <w:noWrap w:val="0"/>
                  <w:vAlign w:val="center"/>
                </w:tcPr>
                <w:p w14:paraId="7D216416">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bidi="ar-SA"/>
                    </w:rPr>
                  </w:pPr>
                  <w:r>
                    <w:rPr>
                      <w:rFonts w:hint="eastAsia" w:ascii="Times New Roman" w:hAnsi="Times New Roman" w:eastAsia="宋体" w:cs="Times New Roman"/>
                      <w:color w:val="auto"/>
                      <w:sz w:val="21"/>
                      <w:szCs w:val="21"/>
                      <w:lang w:val="en-US" w:eastAsia="zh-CN"/>
                    </w:rPr>
                    <w:t>100/盒</w:t>
                  </w:r>
                </w:p>
              </w:tc>
              <w:tc>
                <w:tcPr>
                  <w:tcW w:w="1000" w:type="pct"/>
                  <w:tcBorders>
                    <w:tl2br w:val="nil"/>
                    <w:tr2bl w:val="nil"/>
                  </w:tcBorders>
                  <w:shd w:val="clear" w:color="auto" w:fill="auto"/>
                  <w:noWrap w:val="0"/>
                  <w:vAlign w:val="center"/>
                </w:tcPr>
                <w:p w14:paraId="6B7B0267">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8</w:t>
                  </w:r>
                </w:p>
              </w:tc>
              <w:tc>
                <w:tcPr>
                  <w:tcW w:w="1000" w:type="pct"/>
                  <w:tcBorders>
                    <w:tl2br w:val="nil"/>
                    <w:tr2bl w:val="nil"/>
                  </w:tcBorders>
                  <w:shd w:val="clear" w:color="auto" w:fill="auto"/>
                  <w:noWrap w:val="0"/>
                  <w:vAlign w:val="center"/>
                </w:tcPr>
                <w:p w14:paraId="6F57B1A6">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bidi="ar-SA"/>
                    </w:rPr>
                  </w:pPr>
                </w:p>
              </w:tc>
            </w:tr>
            <w:tr w14:paraId="2977444E">
              <w:tblPrEx>
                <w:tblBorders>
                  <w:top w:val="single" w:color="auto" w:sz="12" w:space="0"/>
                  <w:left w:val="none" w:color="auto" w:sz="0"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pct"/>
                  <w:tcBorders>
                    <w:tl2br w:val="nil"/>
                    <w:tr2bl w:val="nil"/>
                  </w:tcBorders>
                  <w:noWrap w:val="0"/>
                  <w:vAlign w:val="center"/>
                </w:tcPr>
                <w:p w14:paraId="0DAB5D9C">
                  <w:pPr>
                    <w:widowControl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19</w:t>
                  </w:r>
                </w:p>
              </w:tc>
              <w:tc>
                <w:tcPr>
                  <w:tcW w:w="1000" w:type="pct"/>
                  <w:tcBorders>
                    <w:tl2br w:val="nil"/>
                    <w:tr2bl w:val="nil"/>
                  </w:tcBorders>
                  <w:shd w:val="clear" w:color="auto" w:fill="auto"/>
                  <w:noWrap w:val="0"/>
                  <w:vAlign w:val="center"/>
                </w:tcPr>
                <w:p w14:paraId="28DC3390">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bidi="ar-SA"/>
                    </w:rPr>
                  </w:pPr>
                  <w:r>
                    <w:rPr>
                      <w:rFonts w:hint="eastAsia" w:ascii="Times New Roman" w:hAnsi="Times New Roman" w:eastAsia="宋体" w:cs="Times New Roman"/>
                      <w:color w:val="auto"/>
                      <w:sz w:val="21"/>
                      <w:szCs w:val="21"/>
                      <w:lang w:val="en-US" w:eastAsia="zh-CN"/>
                    </w:rPr>
                    <w:t>纱布块</w:t>
                  </w:r>
                </w:p>
              </w:tc>
              <w:tc>
                <w:tcPr>
                  <w:tcW w:w="1000" w:type="pct"/>
                  <w:tcBorders>
                    <w:tl2br w:val="nil"/>
                    <w:tr2bl w:val="nil"/>
                  </w:tcBorders>
                  <w:shd w:val="clear" w:color="auto" w:fill="auto"/>
                  <w:noWrap w:val="0"/>
                  <w:vAlign w:val="center"/>
                </w:tcPr>
                <w:p w14:paraId="2CC63C2E">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bidi="ar-SA"/>
                    </w:rPr>
                  </w:pPr>
                  <w:r>
                    <w:rPr>
                      <w:rFonts w:hint="eastAsia" w:ascii="Times New Roman" w:hAnsi="Times New Roman" w:eastAsia="宋体" w:cs="Times New Roman"/>
                      <w:color w:val="auto"/>
                      <w:sz w:val="21"/>
                      <w:szCs w:val="21"/>
                      <w:lang w:val="en-US" w:eastAsia="zh-CN"/>
                    </w:rPr>
                    <w:t>24包/袋</w:t>
                  </w:r>
                </w:p>
              </w:tc>
              <w:tc>
                <w:tcPr>
                  <w:tcW w:w="1000" w:type="pct"/>
                  <w:tcBorders>
                    <w:tl2br w:val="nil"/>
                    <w:tr2bl w:val="nil"/>
                  </w:tcBorders>
                  <w:shd w:val="clear" w:color="auto" w:fill="auto"/>
                  <w:noWrap w:val="0"/>
                  <w:vAlign w:val="center"/>
                </w:tcPr>
                <w:p w14:paraId="77A2825F">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15</w:t>
                  </w:r>
                </w:p>
              </w:tc>
              <w:tc>
                <w:tcPr>
                  <w:tcW w:w="1000" w:type="pct"/>
                  <w:tcBorders>
                    <w:tl2br w:val="nil"/>
                    <w:tr2bl w:val="nil"/>
                  </w:tcBorders>
                  <w:shd w:val="clear" w:color="auto" w:fill="auto"/>
                  <w:noWrap w:val="0"/>
                  <w:vAlign w:val="center"/>
                </w:tcPr>
                <w:p w14:paraId="62BD7B65">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bidi="ar-SA"/>
                    </w:rPr>
                  </w:pPr>
                </w:p>
              </w:tc>
            </w:tr>
            <w:tr w14:paraId="3C8B9CC0">
              <w:tblPrEx>
                <w:tblBorders>
                  <w:top w:val="single" w:color="auto" w:sz="12" w:space="0"/>
                  <w:left w:val="none" w:color="auto" w:sz="0"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pct"/>
                  <w:tcBorders>
                    <w:tl2br w:val="nil"/>
                    <w:tr2bl w:val="nil"/>
                  </w:tcBorders>
                  <w:noWrap w:val="0"/>
                  <w:vAlign w:val="center"/>
                </w:tcPr>
                <w:p w14:paraId="79CA2621">
                  <w:pPr>
                    <w:widowControl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w:t>
                  </w:r>
                  <w:r>
                    <w:rPr>
                      <w:rFonts w:hint="eastAsia" w:cs="Times New Roman"/>
                      <w:color w:val="auto"/>
                      <w:sz w:val="21"/>
                      <w:szCs w:val="21"/>
                      <w:lang w:val="en-US" w:eastAsia="zh-CN"/>
                    </w:rPr>
                    <w:t>0</w:t>
                  </w:r>
                </w:p>
              </w:tc>
              <w:tc>
                <w:tcPr>
                  <w:tcW w:w="1000" w:type="pct"/>
                  <w:tcBorders>
                    <w:tl2br w:val="nil"/>
                    <w:tr2bl w:val="nil"/>
                  </w:tcBorders>
                  <w:shd w:val="clear" w:color="auto" w:fill="auto"/>
                  <w:noWrap w:val="0"/>
                  <w:vAlign w:val="center"/>
                </w:tcPr>
                <w:p w14:paraId="0196AB7A">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bidi="ar-SA"/>
                    </w:rPr>
                  </w:pPr>
                  <w:r>
                    <w:rPr>
                      <w:rFonts w:hint="eastAsia" w:ascii="Times New Roman" w:hAnsi="Times New Roman" w:eastAsia="宋体" w:cs="Times New Roman"/>
                      <w:color w:val="auto"/>
                      <w:sz w:val="21"/>
                      <w:szCs w:val="21"/>
                      <w:lang w:val="en-US" w:eastAsia="zh-CN"/>
                    </w:rPr>
                    <w:t>纱布包</w:t>
                  </w:r>
                </w:p>
              </w:tc>
              <w:tc>
                <w:tcPr>
                  <w:tcW w:w="1000" w:type="pct"/>
                  <w:tcBorders>
                    <w:tl2br w:val="nil"/>
                    <w:tr2bl w:val="nil"/>
                  </w:tcBorders>
                  <w:shd w:val="clear" w:color="auto" w:fill="auto"/>
                  <w:noWrap w:val="0"/>
                  <w:vAlign w:val="center"/>
                </w:tcPr>
                <w:p w14:paraId="71985270">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bidi="ar-SA"/>
                    </w:rPr>
                  </w:pPr>
                  <w:r>
                    <w:rPr>
                      <w:rFonts w:hint="eastAsia" w:ascii="Times New Roman" w:hAnsi="Times New Roman" w:eastAsia="宋体" w:cs="Times New Roman"/>
                      <w:color w:val="auto"/>
                      <w:sz w:val="21"/>
                      <w:szCs w:val="21"/>
                      <w:lang w:val="en-US" w:eastAsia="zh-CN"/>
                    </w:rPr>
                    <w:t>包</w:t>
                  </w:r>
                </w:p>
              </w:tc>
              <w:tc>
                <w:tcPr>
                  <w:tcW w:w="1000" w:type="pct"/>
                  <w:tcBorders>
                    <w:tl2br w:val="nil"/>
                    <w:tr2bl w:val="nil"/>
                  </w:tcBorders>
                  <w:shd w:val="clear" w:color="auto" w:fill="auto"/>
                  <w:noWrap w:val="0"/>
                  <w:vAlign w:val="center"/>
                </w:tcPr>
                <w:p w14:paraId="61BF5388">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10</w:t>
                  </w:r>
                </w:p>
              </w:tc>
              <w:tc>
                <w:tcPr>
                  <w:tcW w:w="1000" w:type="pct"/>
                  <w:tcBorders>
                    <w:tl2br w:val="nil"/>
                    <w:tr2bl w:val="nil"/>
                  </w:tcBorders>
                  <w:shd w:val="clear" w:color="auto" w:fill="auto"/>
                  <w:noWrap w:val="0"/>
                  <w:vAlign w:val="center"/>
                </w:tcPr>
                <w:p w14:paraId="0F7032D2">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bidi="ar-SA"/>
                    </w:rPr>
                  </w:pPr>
                </w:p>
              </w:tc>
            </w:tr>
            <w:tr w14:paraId="34298800">
              <w:tblPrEx>
                <w:tblBorders>
                  <w:top w:val="single" w:color="auto" w:sz="12" w:space="0"/>
                  <w:left w:val="none" w:color="auto" w:sz="0"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pct"/>
                  <w:tcBorders>
                    <w:tl2br w:val="nil"/>
                    <w:tr2bl w:val="nil"/>
                  </w:tcBorders>
                  <w:noWrap w:val="0"/>
                  <w:vAlign w:val="center"/>
                </w:tcPr>
                <w:p w14:paraId="6D542F6E">
                  <w:pPr>
                    <w:widowControl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w:t>
                  </w:r>
                  <w:r>
                    <w:rPr>
                      <w:rFonts w:hint="eastAsia" w:cs="Times New Roman"/>
                      <w:color w:val="auto"/>
                      <w:sz w:val="21"/>
                      <w:szCs w:val="21"/>
                      <w:lang w:val="en-US" w:eastAsia="zh-CN"/>
                    </w:rPr>
                    <w:t>1</w:t>
                  </w:r>
                </w:p>
              </w:tc>
              <w:tc>
                <w:tcPr>
                  <w:tcW w:w="1000" w:type="pct"/>
                  <w:tcBorders>
                    <w:tl2br w:val="nil"/>
                    <w:tr2bl w:val="nil"/>
                  </w:tcBorders>
                  <w:shd w:val="clear" w:color="auto" w:fill="auto"/>
                  <w:noWrap w:val="0"/>
                  <w:vAlign w:val="center"/>
                </w:tcPr>
                <w:p w14:paraId="5F89B30A">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bidi="ar-SA"/>
                    </w:rPr>
                  </w:pPr>
                  <w:r>
                    <w:rPr>
                      <w:rFonts w:hint="eastAsia" w:ascii="Times New Roman" w:hAnsi="Times New Roman" w:eastAsia="宋体" w:cs="Times New Roman"/>
                      <w:color w:val="auto"/>
                      <w:sz w:val="21"/>
                      <w:szCs w:val="21"/>
                      <w:lang w:val="en-US" w:eastAsia="zh-CN"/>
                    </w:rPr>
                    <w:t>绷带</w:t>
                  </w:r>
                </w:p>
              </w:tc>
              <w:tc>
                <w:tcPr>
                  <w:tcW w:w="1000" w:type="pct"/>
                  <w:tcBorders>
                    <w:tl2br w:val="nil"/>
                    <w:tr2bl w:val="nil"/>
                  </w:tcBorders>
                  <w:shd w:val="clear" w:color="auto" w:fill="auto"/>
                  <w:noWrap w:val="0"/>
                  <w:vAlign w:val="center"/>
                </w:tcPr>
                <w:p w14:paraId="7D8F83E7">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bidi="ar-SA"/>
                    </w:rPr>
                  </w:pPr>
                  <w:r>
                    <w:rPr>
                      <w:rFonts w:hint="eastAsia" w:ascii="Times New Roman" w:hAnsi="Times New Roman" w:eastAsia="宋体" w:cs="Times New Roman"/>
                      <w:color w:val="auto"/>
                      <w:sz w:val="21"/>
                      <w:szCs w:val="21"/>
                      <w:lang w:val="en-US" w:eastAsia="zh-CN"/>
                    </w:rPr>
                    <w:t>10个/袋</w:t>
                  </w:r>
                </w:p>
              </w:tc>
              <w:tc>
                <w:tcPr>
                  <w:tcW w:w="1000" w:type="pct"/>
                  <w:tcBorders>
                    <w:tl2br w:val="nil"/>
                    <w:tr2bl w:val="nil"/>
                  </w:tcBorders>
                  <w:shd w:val="clear" w:color="auto" w:fill="auto"/>
                  <w:noWrap w:val="0"/>
                  <w:vAlign w:val="center"/>
                </w:tcPr>
                <w:p w14:paraId="321C77B4">
                  <w:pPr>
                    <w:widowControl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30</w:t>
                  </w:r>
                </w:p>
              </w:tc>
              <w:tc>
                <w:tcPr>
                  <w:tcW w:w="1000" w:type="pct"/>
                  <w:tcBorders>
                    <w:tl2br w:val="nil"/>
                    <w:tr2bl w:val="nil"/>
                  </w:tcBorders>
                  <w:shd w:val="clear" w:color="auto" w:fill="auto"/>
                  <w:noWrap w:val="0"/>
                  <w:vAlign w:val="center"/>
                </w:tcPr>
                <w:p w14:paraId="76681441">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bidi="ar-SA"/>
                    </w:rPr>
                  </w:pPr>
                </w:p>
              </w:tc>
            </w:tr>
            <w:tr w14:paraId="56DDA810">
              <w:tblPrEx>
                <w:tblBorders>
                  <w:top w:val="single" w:color="auto" w:sz="12" w:space="0"/>
                  <w:left w:val="none" w:color="auto" w:sz="0"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pct"/>
                  <w:tcBorders>
                    <w:tl2br w:val="nil"/>
                    <w:tr2bl w:val="nil"/>
                  </w:tcBorders>
                  <w:noWrap w:val="0"/>
                  <w:vAlign w:val="center"/>
                </w:tcPr>
                <w:p w14:paraId="5AD2DE1B">
                  <w:pPr>
                    <w:widowControl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w:t>
                  </w:r>
                  <w:r>
                    <w:rPr>
                      <w:rFonts w:hint="eastAsia" w:cs="Times New Roman"/>
                      <w:color w:val="auto"/>
                      <w:sz w:val="21"/>
                      <w:szCs w:val="21"/>
                      <w:lang w:val="en-US" w:eastAsia="zh-CN"/>
                    </w:rPr>
                    <w:t>2</w:t>
                  </w:r>
                </w:p>
              </w:tc>
              <w:tc>
                <w:tcPr>
                  <w:tcW w:w="1000" w:type="pct"/>
                  <w:tcBorders>
                    <w:tl2br w:val="nil"/>
                    <w:tr2bl w:val="nil"/>
                  </w:tcBorders>
                  <w:shd w:val="clear" w:color="auto" w:fill="auto"/>
                  <w:noWrap w:val="0"/>
                  <w:vAlign w:val="center"/>
                </w:tcPr>
                <w:p w14:paraId="060DF766">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新鲜水</w:t>
                  </w:r>
                </w:p>
              </w:tc>
              <w:tc>
                <w:tcPr>
                  <w:tcW w:w="1000" w:type="pct"/>
                  <w:tcBorders>
                    <w:tl2br w:val="nil"/>
                    <w:tr2bl w:val="nil"/>
                  </w:tcBorders>
                  <w:shd w:val="clear" w:color="auto" w:fill="auto"/>
                  <w:noWrap w:val="0"/>
                  <w:vAlign w:val="center"/>
                </w:tcPr>
                <w:p w14:paraId="7B6B3032">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highlight w:val="none"/>
                      <w:lang w:val="en-US" w:eastAsia="zh-CN" w:bidi="ar-SA"/>
                    </w:rPr>
                  </w:pPr>
                  <w:r>
                    <w:rPr>
                      <w:rFonts w:hint="eastAsia" w:cs="Times New Roman"/>
                      <w:color w:val="auto"/>
                      <w:sz w:val="21"/>
                      <w:szCs w:val="21"/>
                      <w:highlight w:val="none"/>
                      <w:lang w:val="en-US" w:eastAsia="zh-CN"/>
                    </w:rPr>
                    <w:t>m</w:t>
                  </w:r>
                  <w:r>
                    <w:rPr>
                      <w:rFonts w:hint="eastAsia" w:cs="Times New Roman"/>
                      <w:color w:val="auto"/>
                      <w:sz w:val="21"/>
                      <w:szCs w:val="21"/>
                      <w:highlight w:val="none"/>
                      <w:vertAlign w:val="superscript"/>
                      <w:lang w:val="en-US" w:eastAsia="zh-CN"/>
                    </w:rPr>
                    <w:t>3</w:t>
                  </w:r>
                  <w:r>
                    <w:rPr>
                      <w:rFonts w:hint="eastAsia" w:ascii="Times New Roman" w:hAnsi="Times New Roman" w:eastAsia="宋体" w:cs="Times New Roman"/>
                      <w:color w:val="auto"/>
                      <w:sz w:val="21"/>
                      <w:szCs w:val="21"/>
                      <w:highlight w:val="none"/>
                      <w:lang w:val="en-US" w:eastAsia="zh-CN"/>
                    </w:rPr>
                    <w:t>/</w:t>
                  </w:r>
                  <w:r>
                    <w:rPr>
                      <w:rFonts w:hint="eastAsia" w:cs="Times New Roman"/>
                      <w:color w:val="auto"/>
                      <w:sz w:val="21"/>
                      <w:szCs w:val="21"/>
                      <w:highlight w:val="none"/>
                      <w:lang w:val="en-US" w:eastAsia="zh-CN"/>
                    </w:rPr>
                    <w:t>a</w:t>
                  </w:r>
                </w:p>
              </w:tc>
              <w:tc>
                <w:tcPr>
                  <w:tcW w:w="1000" w:type="pct"/>
                  <w:tcBorders>
                    <w:tl2br w:val="nil"/>
                    <w:tr2bl w:val="nil"/>
                  </w:tcBorders>
                  <w:shd w:val="clear" w:color="auto" w:fill="auto"/>
                  <w:noWrap w:val="0"/>
                  <w:vAlign w:val="center"/>
                </w:tcPr>
                <w:p w14:paraId="4C3BF8BE">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419.969</w:t>
                  </w:r>
                </w:p>
              </w:tc>
              <w:tc>
                <w:tcPr>
                  <w:tcW w:w="1000" w:type="pct"/>
                  <w:tcBorders>
                    <w:tl2br w:val="nil"/>
                    <w:tr2bl w:val="nil"/>
                  </w:tcBorders>
                  <w:shd w:val="clear" w:color="auto" w:fill="auto"/>
                  <w:noWrap w:val="0"/>
                  <w:vAlign w:val="center"/>
                </w:tcPr>
                <w:p w14:paraId="19769934">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bidi="ar-SA"/>
                    </w:rPr>
                  </w:pPr>
                  <w:r>
                    <w:rPr>
                      <w:rFonts w:hint="eastAsia" w:ascii="Times New Roman" w:hAnsi="Times New Roman" w:eastAsia="宋体" w:cs="Times New Roman"/>
                      <w:color w:val="auto"/>
                      <w:sz w:val="21"/>
                      <w:szCs w:val="21"/>
                      <w:lang w:val="en-US" w:eastAsia="zh-CN"/>
                    </w:rPr>
                    <w:t>市政供水</w:t>
                  </w:r>
                </w:p>
              </w:tc>
            </w:tr>
            <w:tr w14:paraId="5974B681">
              <w:tblPrEx>
                <w:tblBorders>
                  <w:top w:val="single" w:color="auto" w:sz="12" w:space="0"/>
                  <w:left w:val="none" w:color="auto" w:sz="0"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pct"/>
                  <w:tcBorders>
                    <w:tl2br w:val="nil"/>
                    <w:tr2bl w:val="nil"/>
                  </w:tcBorders>
                  <w:noWrap w:val="0"/>
                  <w:vAlign w:val="center"/>
                </w:tcPr>
                <w:p w14:paraId="39E191CB">
                  <w:pPr>
                    <w:widowControl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w:t>
                  </w:r>
                  <w:r>
                    <w:rPr>
                      <w:rFonts w:hint="eastAsia" w:cs="Times New Roman"/>
                      <w:color w:val="auto"/>
                      <w:sz w:val="21"/>
                      <w:szCs w:val="21"/>
                      <w:lang w:val="en-US" w:eastAsia="zh-CN"/>
                    </w:rPr>
                    <w:t>3</w:t>
                  </w:r>
                </w:p>
              </w:tc>
              <w:tc>
                <w:tcPr>
                  <w:tcW w:w="1000" w:type="pct"/>
                  <w:tcBorders>
                    <w:tl2br w:val="nil"/>
                    <w:tr2bl w:val="nil"/>
                  </w:tcBorders>
                  <w:shd w:val="clear" w:color="auto" w:fill="auto"/>
                  <w:noWrap w:val="0"/>
                  <w:vAlign w:val="center"/>
                </w:tcPr>
                <w:p w14:paraId="5A676DD9">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bidi="ar-SA"/>
                    </w:rPr>
                  </w:pPr>
                  <w:r>
                    <w:rPr>
                      <w:rFonts w:hint="eastAsia" w:ascii="Times New Roman" w:hAnsi="Times New Roman" w:eastAsia="宋体" w:cs="Times New Roman"/>
                      <w:color w:val="auto"/>
                      <w:sz w:val="21"/>
                      <w:szCs w:val="21"/>
                      <w:lang w:val="en-US" w:eastAsia="zh-CN"/>
                    </w:rPr>
                    <w:t>电</w:t>
                  </w:r>
                </w:p>
              </w:tc>
              <w:tc>
                <w:tcPr>
                  <w:tcW w:w="1000" w:type="pct"/>
                  <w:tcBorders>
                    <w:tl2br w:val="nil"/>
                    <w:tr2bl w:val="nil"/>
                  </w:tcBorders>
                  <w:shd w:val="clear" w:color="auto" w:fill="auto"/>
                  <w:noWrap w:val="0"/>
                  <w:vAlign w:val="center"/>
                </w:tcPr>
                <w:p w14:paraId="2D74753C">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bidi="ar-SA"/>
                    </w:rPr>
                  </w:pPr>
                  <w:r>
                    <w:rPr>
                      <w:rFonts w:hint="eastAsia" w:cs="Times New Roman"/>
                      <w:color w:val="auto"/>
                      <w:sz w:val="21"/>
                      <w:szCs w:val="21"/>
                      <w:lang w:val="en-US" w:eastAsia="zh-CN"/>
                    </w:rPr>
                    <w:t>kwh</w:t>
                  </w:r>
                  <w:r>
                    <w:rPr>
                      <w:rFonts w:hint="eastAsia" w:ascii="Times New Roman" w:hAnsi="Times New Roman" w:eastAsia="宋体" w:cs="Times New Roman"/>
                      <w:color w:val="auto"/>
                      <w:sz w:val="21"/>
                      <w:szCs w:val="21"/>
                      <w:lang w:val="en-US" w:eastAsia="zh-CN"/>
                    </w:rPr>
                    <w:t>/</w:t>
                  </w:r>
                  <w:r>
                    <w:rPr>
                      <w:rFonts w:hint="eastAsia" w:cs="Times New Roman"/>
                      <w:color w:val="auto"/>
                      <w:sz w:val="21"/>
                      <w:szCs w:val="21"/>
                      <w:lang w:val="en-US" w:eastAsia="zh-CN"/>
                    </w:rPr>
                    <w:t>a</w:t>
                  </w:r>
                </w:p>
              </w:tc>
              <w:tc>
                <w:tcPr>
                  <w:tcW w:w="1000" w:type="pct"/>
                  <w:tcBorders>
                    <w:tl2br w:val="nil"/>
                    <w:tr2bl w:val="nil"/>
                  </w:tcBorders>
                  <w:shd w:val="clear" w:color="auto" w:fill="auto"/>
                  <w:noWrap w:val="0"/>
                  <w:vAlign w:val="center"/>
                </w:tcPr>
                <w:p w14:paraId="62F86A46">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3000</w:t>
                  </w:r>
                </w:p>
              </w:tc>
              <w:tc>
                <w:tcPr>
                  <w:tcW w:w="1000" w:type="pct"/>
                  <w:tcBorders>
                    <w:tl2br w:val="nil"/>
                    <w:tr2bl w:val="nil"/>
                  </w:tcBorders>
                  <w:shd w:val="clear" w:color="auto" w:fill="auto"/>
                  <w:noWrap w:val="0"/>
                  <w:vAlign w:val="center"/>
                </w:tcPr>
                <w:p w14:paraId="22FFF026">
                  <w:pPr>
                    <w:widowControl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bidi="ar-SA"/>
                    </w:rPr>
                  </w:pPr>
                  <w:r>
                    <w:rPr>
                      <w:rFonts w:hint="eastAsia" w:ascii="Times New Roman" w:hAnsi="Times New Roman" w:eastAsia="宋体" w:cs="Times New Roman"/>
                      <w:color w:val="auto"/>
                      <w:sz w:val="21"/>
                      <w:szCs w:val="21"/>
                      <w:lang w:val="en-US" w:eastAsia="zh-CN"/>
                    </w:rPr>
                    <w:t>市政供电</w:t>
                  </w:r>
                </w:p>
              </w:tc>
            </w:tr>
          </w:tbl>
          <w:p w14:paraId="73EA4CFB">
            <w:pPr>
              <w:spacing w:beforeLines="0" w:afterLines="0"/>
              <w:jc w:val="left"/>
              <w:rPr>
                <w:rFonts w:hint="eastAsia" w:ascii="Times New Roman" w:hAnsi="Times New Roman" w:eastAsia="宋体" w:cs="Times New Roman"/>
                <w:b/>
                <w:bCs w:val="0"/>
                <w:snapToGrid w:val="0"/>
                <w:color w:val="auto"/>
                <w:spacing w:val="8"/>
                <w:kern w:val="0"/>
                <w:sz w:val="24"/>
                <w:szCs w:val="72"/>
                <w:highlight w:val="none"/>
                <w:lang w:val="en-US" w:eastAsia="zh-CN"/>
              </w:rPr>
            </w:pPr>
            <w:r>
              <w:rPr>
                <w:rFonts w:hint="eastAsia" w:ascii="Times New Roman" w:hAnsi="Times New Roman" w:eastAsia="宋体" w:cs="Times New Roman"/>
                <w:b/>
                <w:bCs w:val="0"/>
                <w:snapToGrid w:val="0"/>
                <w:color w:val="auto"/>
                <w:spacing w:val="8"/>
                <w:kern w:val="0"/>
                <w:sz w:val="24"/>
                <w:szCs w:val="72"/>
                <w:highlight w:val="none"/>
                <w:lang w:val="en-US" w:eastAsia="zh-CN"/>
              </w:rPr>
              <w:t>原辅材料理化性质：</w:t>
            </w:r>
          </w:p>
          <w:p w14:paraId="1A502E17">
            <w:pPr>
              <w:keepNext w:val="0"/>
              <w:keepLines w:val="0"/>
              <w:pageBreakBefore w:val="0"/>
              <w:widowControl/>
              <w:kinsoku w:val="0"/>
              <w:wordWrap/>
              <w:overflowPunct/>
              <w:topLinePunct w:val="0"/>
              <w:autoSpaceDE w:val="0"/>
              <w:autoSpaceDN w:val="0"/>
              <w:bidi w:val="0"/>
              <w:adjustRightInd/>
              <w:snapToGrid/>
              <w:spacing w:beforeLines="0" w:afterLines="0"/>
              <w:ind w:firstLine="512" w:firstLineChars="200"/>
              <w:jc w:val="left"/>
              <w:textAlignment w:val="baseline"/>
              <w:rPr>
                <w:rFonts w:hint="eastAsia" w:ascii="Times New Roman" w:hAnsi="Times New Roman" w:eastAsia="宋体" w:cs="Times New Roman"/>
                <w:bCs/>
                <w:snapToGrid w:val="0"/>
                <w:color w:val="auto"/>
                <w:spacing w:val="8"/>
                <w:kern w:val="0"/>
                <w:sz w:val="24"/>
                <w:szCs w:val="72"/>
                <w:highlight w:val="none"/>
                <w:lang w:val="en-US" w:eastAsia="zh-CN"/>
              </w:rPr>
            </w:pPr>
            <w:r>
              <w:rPr>
                <w:rFonts w:hint="eastAsia" w:ascii="Times New Roman" w:hAnsi="Times New Roman" w:eastAsia="宋体" w:cs="Times New Roman"/>
                <w:bCs/>
                <w:snapToGrid w:val="0"/>
                <w:color w:val="auto"/>
                <w:spacing w:val="8"/>
                <w:kern w:val="0"/>
                <w:sz w:val="24"/>
                <w:szCs w:val="72"/>
                <w:highlight w:val="none"/>
                <w:lang w:val="en-US" w:eastAsia="zh-CN"/>
              </w:rPr>
              <w:t>生理盐水：又称为无菌生理盐水，是指生理学实验或临床上常用的渗透压与动物或人体血浆的渗透压基本相等的氯化钠溶液。浓度：用于两栖类动物时是</w:t>
            </w:r>
            <w:r>
              <w:rPr>
                <w:rFonts w:hint="eastAsia" w:cs="Times New Roman"/>
                <w:bCs/>
                <w:snapToGrid w:val="0"/>
                <w:color w:val="auto"/>
                <w:spacing w:val="8"/>
                <w:kern w:val="0"/>
                <w:sz w:val="24"/>
                <w:szCs w:val="72"/>
                <w:highlight w:val="none"/>
                <w:lang w:val="en-US" w:eastAsia="zh-CN"/>
              </w:rPr>
              <w:t>0.67%～0.70%</w:t>
            </w:r>
            <w:r>
              <w:rPr>
                <w:rFonts w:hint="eastAsia" w:ascii="Times New Roman" w:hAnsi="Times New Roman" w:eastAsia="宋体" w:cs="Times New Roman"/>
                <w:bCs/>
                <w:snapToGrid w:val="0"/>
                <w:color w:val="auto"/>
                <w:spacing w:val="8"/>
                <w:kern w:val="0"/>
                <w:sz w:val="24"/>
                <w:szCs w:val="72"/>
                <w:highlight w:val="none"/>
                <w:lang w:val="en-US" w:eastAsia="zh-CN"/>
              </w:rPr>
              <w:t>，用于哺乳类动物和人体时是</w:t>
            </w:r>
            <w:r>
              <w:rPr>
                <w:rFonts w:hint="eastAsia" w:cs="Times New Roman"/>
                <w:bCs/>
                <w:snapToGrid w:val="0"/>
                <w:color w:val="auto"/>
                <w:spacing w:val="8"/>
                <w:kern w:val="0"/>
                <w:sz w:val="24"/>
                <w:szCs w:val="72"/>
                <w:highlight w:val="none"/>
                <w:lang w:val="en-US" w:eastAsia="zh-CN"/>
              </w:rPr>
              <w:t>0.85%—0.9%</w:t>
            </w:r>
            <w:r>
              <w:rPr>
                <w:rFonts w:hint="eastAsia" w:ascii="Times New Roman" w:hAnsi="Times New Roman" w:eastAsia="宋体" w:cs="Times New Roman"/>
                <w:bCs/>
                <w:snapToGrid w:val="0"/>
                <w:color w:val="auto"/>
                <w:spacing w:val="8"/>
                <w:kern w:val="0"/>
                <w:sz w:val="24"/>
                <w:szCs w:val="72"/>
                <w:highlight w:val="none"/>
                <w:lang w:val="en-US" w:eastAsia="zh-CN"/>
              </w:rPr>
              <w:t>。</w:t>
            </w:r>
          </w:p>
          <w:p w14:paraId="36328D86">
            <w:pPr>
              <w:keepNext w:val="0"/>
              <w:keepLines w:val="0"/>
              <w:pageBreakBefore w:val="0"/>
              <w:widowControl/>
              <w:kinsoku w:val="0"/>
              <w:wordWrap/>
              <w:overflowPunct/>
              <w:topLinePunct w:val="0"/>
              <w:autoSpaceDE w:val="0"/>
              <w:autoSpaceDN w:val="0"/>
              <w:bidi w:val="0"/>
              <w:adjustRightInd/>
              <w:snapToGrid/>
              <w:spacing w:beforeLines="0" w:afterLines="0"/>
              <w:ind w:firstLine="512" w:firstLineChars="200"/>
              <w:jc w:val="left"/>
              <w:textAlignment w:val="baseline"/>
              <w:rPr>
                <w:rFonts w:hint="default" w:ascii="Times New Roman" w:hAnsi="Times New Roman" w:eastAsia="宋体" w:cs="Times New Roman"/>
                <w:bCs/>
                <w:snapToGrid w:val="0"/>
                <w:color w:val="auto"/>
                <w:spacing w:val="8"/>
                <w:kern w:val="0"/>
                <w:sz w:val="24"/>
                <w:szCs w:val="72"/>
                <w:highlight w:val="none"/>
                <w:lang w:val="en-US" w:eastAsia="zh-CN"/>
              </w:rPr>
            </w:pPr>
            <w:r>
              <w:rPr>
                <w:rFonts w:hint="eastAsia" w:ascii="Times New Roman" w:hAnsi="Times New Roman" w:eastAsia="宋体" w:cs="Times New Roman"/>
                <w:bCs/>
                <w:snapToGrid w:val="0"/>
                <w:color w:val="auto"/>
                <w:spacing w:val="8"/>
                <w:kern w:val="0"/>
                <w:sz w:val="24"/>
                <w:szCs w:val="72"/>
                <w:highlight w:val="none"/>
                <w:lang w:val="en-US" w:eastAsia="zh-CN"/>
              </w:rPr>
              <w:t>医用酒精（75%）：化学式为CH</w:t>
            </w:r>
            <w:r>
              <w:rPr>
                <w:rFonts w:hint="eastAsia" w:ascii="Times New Roman" w:hAnsi="Times New Roman" w:eastAsia="宋体" w:cs="Times New Roman"/>
                <w:bCs/>
                <w:snapToGrid w:val="0"/>
                <w:color w:val="auto"/>
                <w:spacing w:val="8"/>
                <w:kern w:val="0"/>
                <w:sz w:val="24"/>
                <w:szCs w:val="72"/>
                <w:highlight w:val="none"/>
                <w:vertAlign w:val="subscript"/>
                <w:lang w:val="en-US" w:eastAsia="zh-CN"/>
              </w:rPr>
              <w:t>3</w:t>
            </w:r>
            <w:r>
              <w:rPr>
                <w:rFonts w:hint="eastAsia" w:ascii="Times New Roman" w:hAnsi="Times New Roman" w:eastAsia="宋体" w:cs="Times New Roman"/>
                <w:bCs/>
                <w:snapToGrid w:val="0"/>
                <w:color w:val="auto"/>
                <w:spacing w:val="8"/>
                <w:kern w:val="0"/>
                <w:sz w:val="24"/>
                <w:szCs w:val="72"/>
                <w:highlight w:val="none"/>
                <w:lang w:val="en-US" w:eastAsia="zh-CN"/>
              </w:rPr>
              <w:t>CH</w:t>
            </w:r>
            <w:r>
              <w:rPr>
                <w:rFonts w:hint="eastAsia" w:ascii="Times New Roman" w:hAnsi="Times New Roman" w:eastAsia="宋体" w:cs="Times New Roman"/>
                <w:bCs/>
                <w:snapToGrid w:val="0"/>
                <w:color w:val="auto"/>
                <w:spacing w:val="8"/>
                <w:kern w:val="0"/>
                <w:sz w:val="24"/>
                <w:szCs w:val="72"/>
                <w:highlight w:val="none"/>
                <w:vertAlign w:val="subscript"/>
                <w:lang w:val="en-US" w:eastAsia="zh-CN"/>
              </w:rPr>
              <w:t>2</w:t>
            </w:r>
            <w:r>
              <w:rPr>
                <w:rFonts w:hint="eastAsia" w:ascii="Times New Roman" w:hAnsi="Times New Roman" w:eastAsia="宋体" w:cs="Times New Roman"/>
                <w:bCs/>
                <w:snapToGrid w:val="0"/>
                <w:color w:val="auto"/>
                <w:spacing w:val="8"/>
                <w:kern w:val="0"/>
                <w:sz w:val="24"/>
                <w:szCs w:val="72"/>
                <w:highlight w:val="none"/>
                <w:lang w:val="en-US" w:eastAsia="zh-CN"/>
              </w:rPr>
              <w:t>OH，是带有一个羟基的饱和</w:t>
            </w:r>
            <w:r>
              <w:rPr>
                <w:rFonts w:hint="eastAsia" w:cs="Times New Roman"/>
                <w:bCs/>
                <w:snapToGrid w:val="0"/>
                <w:color w:val="auto"/>
                <w:spacing w:val="8"/>
                <w:kern w:val="0"/>
                <w:sz w:val="24"/>
                <w:szCs w:val="72"/>
                <w:highlight w:val="none"/>
                <w:lang w:val="en-US" w:eastAsia="zh-CN"/>
              </w:rPr>
              <w:t>一元醇</w:t>
            </w:r>
            <w:r>
              <w:rPr>
                <w:rFonts w:hint="eastAsia" w:ascii="Times New Roman" w:hAnsi="Times New Roman" w:eastAsia="宋体" w:cs="Times New Roman"/>
                <w:bCs/>
                <w:snapToGrid w:val="0"/>
                <w:color w:val="auto"/>
                <w:spacing w:val="8"/>
                <w:kern w:val="0"/>
                <w:sz w:val="24"/>
                <w:szCs w:val="72"/>
                <w:highlight w:val="none"/>
                <w:lang w:val="en-US" w:eastAsia="zh-CN"/>
              </w:rPr>
              <w:t>，在常温、常压下是一种易燃、易挥发的无色透明液体，它的水溶液具有酒香的气味，并略带刺激。有酒的气味和刺激的辛辣滋味，微甘。</w:t>
            </w:r>
            <w:r>
              <w:rPr>
                <w:rFonts w:hint="eastAsia" w:cs="Times New Roman"/>
                <w:bCs/>
                <w:snapToGrid w:val="0"/>
                <w:color w:val="auto"/>
                <w:spacing w:val="8"/>
                <w:kern w:val="0"/>
                <w:sz w:val="24"/>
                <w:szCs w:val="72"/>
                <w:highlight w:val="none"/>
                <w:lang w:val="en-US" w:eastAsia="zh-CN"/>
              </w:rPr>
              <w:t>乙醇</w:t>
            </w:r>
            <w:r>
              <w:rPr>
                <w:rFonts w:hint="eastAsia" w:ascii="Times New Roman" w:hAnsi="Times New Roman" w:eastAsia="宋体" w:cs="Times New Roman"/>
                <w:bCs/>
                <w:snapToGrid w:val="0"/>
                <w:color w:val="auto"/>
                <w:spacing w:val="8"/>
                <w:kern w:val="0"/>
                <w:sz w:val="24"/>
                <w:szCs w:val="72"/>
                <w:highlight w:val="none"/>
                <w:lang w:val="en-US" w:eastAsia="zh-CN"/>
              </w:rPr>
              <w:t>液体密度是0.789g/cm3（20℃），乙醇气体密度为1.59kg/m</w:t>
            </w:r>
            <w:r>
              <w:rPr>
                <w:rFonts w:hint="eastAsia" w:ascii="Times New Roman" w:hAnsi="Times New Roman" w:eastAsia="宋体" w:cs="Times New Roman"/>
                <w:bCs/>
                <w:snapToGrid w:val="0"/>
                <w:color w:val="auto"/>
                <w:spacing w:val="8"/>
                <w:kern w:val="0"/>
                <w:sz w:val="24"/>
                <w:szCs w:val="72"/>
                <w:highlight w:val="none"/>
                <w:vertAlign w:val="superscript"/>
                <w:lang w:val="en-US" w:eastAsia="zh-CN"/>
              </w:rPr>
              <w:t>3</w:t>
            </w:r>
            <w:r>
              <w:rPr>
                <w:rFonts w:hint="eastAsia" w:ascii="Times New Roman" w:hAnsi="Times New Roman" w:eastAsia="宋体" w:cs="Times New Roman"/>
                <w:bCs/>
                <w:snapToGrid w:val="0"/>
                <w:color w:val="auto"/>
                <w:spacing w:val="8"/>
                <w:kern w:val="0"/>
                <w:sz w:val="24"/>
                <w:szCs w:val="72"/>
                <w:highlight w:val="none"/>
                <w:lang w:val="en-US" w:eastAsia="zh-CN"/>
              </w:rPr>
              <w:t>，沸点是78.3℃，熔点是-114.1℃，易燃，其蒸气能与空气形成爆炸性混合物，能与水以任意比互溶。能与氯仿、乙醚、单醇、丙酮和其他多数有机溶剂混溶，相对密度（d15.56）0.816。75%的酒精（体积分数）可用于皮肤消毒，但不可用于黏膜和大创面的消毒，很强的渗透力，进入细菌内部。</w:t>
            </w:r>
          </w:p>
          <w:p w14:paraId="0BDB6681">
            <w:pPr>
              <w:pStyle w:val="3"/>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val="en-US" w:eastAsia="zh-CN"/>
              </w:rPr>
              <w:t>2.</w:t>
            </w:r>
            <w:r>
              <w:rPr>
                <w:rFonts w:hint="eastAsia" w:cs="Times New Roman"/>
                <w:color w:val="auto"/>
                <w:highlight w:val="none"/>
                <w:lang w:val="en-US" w:eastAsia="zh-CN"/>
              </w:rPr>
              <w:t>6</w:t>
            </w:r>
            <w:r>
              <w:rPr>
                <w:rFonts w:hint="default" w:ascii="Times New Roman" w:hAnsi="Times New Roman" w:cs="Times New Roman"/>
                <w:color w:val="auto"/>
                <w:highlight w:val="none"/>
                <w:lang w:eastAsia="zh-CN"/>
              </w:rPr>
              <w:t>、公用工程</w:t>
            </w:r>
          </w:p>
          <w:p w14:paraId="4F4D0D72">
            <w:pPr>
              <w:pStyle w:val="4"/>
              <w:bidi w:val="0"/>
              <w:rPr>
                <w:rFonts w:hint="default" w:ascii="Times New Roman" w:hAnsi="Times New Roman" w:cs="Times New Roman"/>
                <w:color w:val="auto"/>
                <w:highlight w:val="none"/>
                <w:lang w:val="en-US" w:eastAsia="zh-CN"/>
              </w:rPr>
            </w:pPr>
            <w:bookmarkStart w:id="7" w:name="_Toc1004"/>
            <w:r>
              <w:rPr>
                <w:rFonts w:hint="default" w:ascii="Times New Roman" w:hAnsi="Times New Roman" w:cs="Times New Roman"/>
                <w:color w:val="auto"/>
                <w:highlight w:val="none"/>
                <w:lang w:val="en-US" w:eastAsia="zh-CN"/>
              </w:rPr>
              <w:t>2.</w:t>
            </w:r>
            <w:r>
              <w:rPr>
                <w:rFonts w:hint="eastAsia" w:cs="Times New Roman"/>
                <w:color w:val="auto"/>
                <w:highlight w:val="none"/>
                <w:lang w:val="en-US" w:eastAsia="zh-CN"/>
              </w:rPr>
              <w:t>6</w:t>
            </w:r>
            <w:r>
              <w:rPr>
                <w:rFonts w:hint="default" w:ascii="Times New Roman" w:hAnsi="Times New Roman" w:cs="Times New Roman"/>
                <w:color w:val="auto"/>
                <w:highlight w:val="none"/>
                <w:lang w:val="en-US" w:eastAsia="zh-CN"/>
              </w:rPr>
              <w:t>.1</w:t>
            </w:r>
            <w:r>
              <w:rPr>
                <w:rFonts w:hint="eastAsia" w:cs="Times New Roman"/>
                <w:color w:val="auto"/>
                <w:highlight w:val="none"/>
                <w:lang w:val="en-US" w:eastAsia="zh-CN"/>
              </w:rPr>
              <w:t>给</w:t>
            </w:r>
            <w:r>
              <w:rPr>
                <w:rFonts w:hint="default" w:ascii="Times New Roman" w:hAnsi="Times New Roman" w:cs="Times New Roman"/>
                <w:color w:val="auto"/>
                <w:highlight w:val="none"/>
                <w:lang w:val="en-US" w:eastAsia="zh-CN"/>
              </w:rPr>
              <w:t>排水</w:t>
            </w:r>
          </w:p>
          <w:bookmarkEnd w:id="7"/>
          <w:p w14:paraId="7A04447D">
            <w:pPr>
              <w:pStyle w:val="31"/>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1</w:t>
            </w:r>
            <w:r>
              <w:rPr>
                <w:rFonts w:hint="default" w:ascii="Times New Roman" w:hAnsi="Times New Roman" w:cs="Times New Roman"/>
                <w:color w:val="auto"/>
                <w:highlight w:val="none"/>
                <w:lang w:eastAsia="zh-CN"/>
              </w:rPr>
              <w:t>）</w:t>
            </w:r>
            <w:r>
              <w:rPr>
                <w:rFonts w:hint="eastAsia" w:cs="Times New Roman"/>
                <w:color w:val="auto"/>
                <w:highlight w:val="none"/>
                <w:lang w:val="en-US" w:eastAsia="zh-CN"/>
              </w:rPr>
              <w:t>给</w:t>
            </w:r>
            <w:r>
              <w:rPr>
                <w:rFonts w:hint="default" w:ascii="Times New Roman" w:hAnsi="Times New Roman" w:cs="Times New Roman"/>
                <w:color w:val="auto"/>
                <w:highlight w:val="none"/>
                <w:lang w:eastAsia="zh-CN"/>
              </w:rPr>
              <w:t>水</w:t>
            </w:r>
          </w:p>
          <w:p w14:paraId="4853DE12">
            <w:pPr>
              <w:pStyle w:val="31"/>
              <w:bidi w:val="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本项目给水由市政供水管网接入，项目主要用水为宠物洗浴用水、医疗用水</w:t>
            </w:r>
            <w:r>
              <w:rPr>
                <w:rFonts w:hint="eastAsia" w:cs="Times New Roman"/>
                <w:color w:val="auto"/>
                <w:highlight w:val="none"/>
                <w:lang w:eastAsia="zh-CN"/>
              </w:rPr>
              <w:t>、</w:t>
            </w:r>
            <w:r>
              <w:rPr>
                <w:rFonts w:hint="eastAsia" w:cs="Times New Roman"/>
                <w:color w:val="auto"/>
                <w:highlight w:val="none"/>
                <w:lang w:val="en-US" w:eastAsia="zh-CN"/>
              </w:rPr>
              <w:t>清洗消毒用水、</w:t>
            </w:r>
            <w:r>
              <w:rPr>
                <w:rFonts w:hint="default" w:ascii="Times New Roman" w:hAnsi="Times New Roman" w:cs="Times New Roman"/>
                <w:color w:val="auto"/>
                <w:highlight w:val="none"/>
              </w:rPr>
              <w:t>工作人员及流动人员生活用水。</w:t>
            </w:r>
            <w:r>
              <w:rPr>
                <w:rFonts w:hint="eastAsia" w:cs="Times New Roman"/>
                <w:color w:val="auto"/>
                <w:highlight w:val="none"/>
                <w:lang w:val="en-US" w:eastAsia="zh-CN"/>
              </w:rPr>
              <w:t>生活用水与医疗废水单设洗手池，不混用。</w:t>
            </w:r>
          </w:p>
          <w:p w14:paraId="5B1B7109">
            <w:pPr>
              <w:pStyle w:val="31"/>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t>①生活用水</w:t>
            </w:r>
          </w:p>
          <w:p w14:paraId="24A033E9">
            <w:pPr>
              <w:pStyle w:val="31"/>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本项目劳动定员</w:t>
            </w:r>
            <w:r>
              <w:rPr>
                <w:rFonts w:hint="eastAsia" w:cs="Times New Roman"/>
                <w:color w:val="auto"/>
                <w:highlight w:val="none"/>
                <w:lang w:val="en-US" w:eastAsia="zh-CN"/>
              </w:rPr>
              <w:t>6</w:t>
            </w:r>
            <w:r>
              <w:rPr>
                <w:rFonts w:hint="default" w:ascii="Times New Roman" w:hAnsi="Times New Roman" w:cs="Times New Roman"/>
                <w:color w:val="auto"/>
                <w:highlight w:val="none"/>
              </w:rPr>
              <w:t>人，</w:t>
            </w:r>
            <w:r>
              <w:rPr>
                <w:color w:val="auto"/>
              </w:rPr>
              <w:t>医院流动人员按</w:t>
            </w:r>
            <w:r>
              <w:rPr>
                <w:rFonts w:hint="eastAsia"/>
                <w:color w:val="auto"/>
                <w:lang w:val="en-US" w:eastAsia="zh-CN"/>
              </w:rPr>
              <w:t>10</w:t>
            </w:r>
            <w:r>
              <w:rPr>
                <w:color w:val="auto"/>
              </w:rPr>
              <w:t>人计算，</w:t>
            </w:r>
            <w:r>
              <w:rPr>
                <w:rFonts w:hint="default" w:ascii="Times New Roman" w:hAnsi="Times New Roman" w:cs="Times New Roman"/>
                <w:color w:val="auto"/>
                <w:highlight w:val="none"/>
              </w:rPr>
              <w:t>根据《新疆维吾尔自治区生活用水定额》，用水量以50</w:t>
            </w:r>
            <w:r>
              <w:rPr>
                <w:rFonts w:hint="default" w:ascii="Times New Roman" w:hAnsi="Times New Roman" w:cs="Times New Roman"/>
                <w:color w:val="auto"/>
                <w:highlight w:val="none"/>
                <w:lang w:eastAsia="zh-CN"/>
              </w:rPr>
              <w:t>L</w:t>
            </w:r>
            <w:r>
              <w:rPr>
                <w:rFonts w:hint="default" w:ascii="Times New Roman" w:hAnsi="Times New Roman" w:cs="Times New Roman"/>
                <w:color w:val="auto"/>
                <w:highlight w:val="none"/>
              </w:rPr>
              <w:t>/人·</w:t>
            </w:r>
            <w:r>
              <w:rPr>
                <w:rFonts w:hint="default" w:ascii="Times New Roman" w:hAnsi="Times New Roman" w:cs="Times New Roman"/>
                <w:color w:val="auto"/>
                <w:highlight w:val="none"/>
                <w:lang w:eastAsia="zh-CN"/>
              </w:rPr>
              <w:t>d</w:t>
            </w:r>
            <w:r>
              <w:rPr>
                <w:rFonts w:hint="default" w:ascii="Times New Roman" w:hAnsi="Times New Roman" w:cs="Times New Roman"/>
                <w:color w:val="auto"/>
                <w:highlight w:val="none"/>
              </w:rPr>
              <w:t>计</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则日用水量为</w:t>
            </w:r>
            <w:r>
              <w:rPr>
                <w:rFonts w:hint="eastAsia" w:cs="Times New Roman"/>
                <w:color w:val="auto"/>
                <w:highlight w:val="none"/>
                <w:lang w:val="en-US" w:eastAsia="zh-CN"/>
              </w:rPr>
              <w:t>0.8</w:t>
            </w:r>
            <w:r>
              <w:rPr>
                <w:rFonts w:hint="default" w:ascii="Times New Roman" w:hAnsi="Times New Roman" w:cs="Times New Roman"/>
                <w:color w:val="auto"/>
                <w:highlight w:val="none"/>
                <w:lang w:eastAsia="zh-CN"/>
              </w:rPr>
              <w:t>m</w:t>
            </w:r>
            <w:r>
              <w:rPr>
                <w:rFonts w:hint="default" w:ascii="Times New Roman" w:hAnsi="Times New Roman" w:cs="Times New Roman"/>
                <w:color w:val="auto"/>
                <w:highlight w:val="none"/>
                <w:vertAlign w:val="superscript"/>
                <w:lang w:eastAsia="zh-CN"/>
              </w:rPr>
              <w:t>3</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d</w:t>
            </w:r>
            <w:r>
              <w:rPr>
                <w:rFonts w:hint="default" w:ascii="Times New Roman" w:hAnsi="Times New Roman" w:cs="Times New Roman"/>
                <w:color w:val="auto"/>
                <w:highlight w:val="none"/>
              </w:rPr>
              <w:t>，年工作</w:t>
            </w:r>
            <w:r>
              <w:rPr>
                <w:rFonts w:hint="default" w:ascii="Times New Roman" w:hAnsi="Times New Roman" w:cs="Times New Roman"/>
                <w:color w:val="auto"/>
                <w:highlight w:val="none"/>
                <w:lang w:val="en-US" w:eastAsia="zh-CN"/>
              </w:rPr>
              <w:t>365</w:t>
            </w:r>
            <w:r>
              <w:rPr>
                <w:rFonts w:hint="default" w:ascii="Times New Roman" w:hAnsi="Times New Roman" w:cs="Times New Roman"/>
                <w:color w:val="auto"/>
                <w:highlight w:val="none"/>
              </w:rPr>
              <w:t>天，年用水量为</w:t>
            </w:r>
            <w:r>
              <w:rPr>
                <w:rFonts w:hint="eastAsia" w:cs="Times New Roman"/>
                <w:color w:val="auto"/>
                <w:highlight w:val="none"/>
                <w:lang w:val="en-US" w:eastAsia="zh-CN"/>
              </w:rPr>
              <w:t>292</w:t>
            </w:r>
            <w:r>
              <w:rPr>
                <w:rFonts w:hint="default" w:ascii="Times New Roman" w:hAnsi="Times New Roman" w:cs="Times New Roman"/>
                <w:color w:val="auto"/>
                <w:highlight w:val="none"/>
                <w:lang w:eastAsia="zh-CN"/>
              </w:rPr>
              <w:t>m</w:t>
            </w:r>
            <w:r>
              <w:rPr>
                <w:rFonts w:hint="default" w:ascii="Times New Roman" w:hAnsi="Times New Roman" w:cs="Times New Roman"/>
                <w:color w:val="auto"/>
                <w:highlight w:val="none"/>
                <w:vertAlign w:val="superscript"/>
                <w:lang w:eastAsia="zh-CN"/>
              </w:rPr>
              <w:t>3</w:t>
            </w:r>
            <w:r>
              <w:rPr>
                <w:rFonts w:hint="default" w:ascii="Times New Roman" w:hAnsi="Times New Roman" w:cs="Times New Roman"/>
                <w:color w:val="auto"/>
                <w:highlight w:val="none"/>
                <w:lang w:eastAsia="zh-CN"/>
              </w:rPr>
              <w:t>/a</w:t>
            </w:r>
            <w:r>
              <w:rPr>
                <w:rFonts w:hint="default" w:ascii="Times New Roman" w:hAnsi="Times New Roman" w:cs="Times New Roman"/>
                <w:color w:val="auto"/>
                <w:highlight w:val="none"/>
              </w:rPr>
              <w:t>。</w:t>
            </w:r>
          </w:p>
          <w:p w14:paraId="6CFEF2E0">
            <w:pPr>
              <w:pStyle w:val="31"/>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t>②宠物</w:t>
            </w:r>
            <w:r>
              <w:rPr>
                <w:rFonts w:hint="default" w:ascii="Times New Roman" w:hAnsi="Times New Roman" w:cs="Times New Roman"/>
                <w:color w:val="auto"/>
                <w:highlight w:val="none"/>
                <w:lang w:val="en-US" w:eastAsia="zh-CN"/>
              </w:rPr>
              <w:t>洗浴</w:t>
            </w:r>
            <w:r>
              <w:rPr>
                <w:rFonts w:hint="default" w:ascii="Times New Roman" w:hAnsi="Times New Roman" w:cs="Times New Roman"/>
                <w:color w:val="auto"/>
                <w:highlight w:val="none"/>
              </w:rPr>
              <w:t>用水</w:t>
            </w:r>
          </w:p>
          <w:p w14:paraId="37155D21">
            <w:pPr>
              <w:pStyle w:val="31"/>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本项目宠物入院后进行分诊，防止患病宠物病情加重，因此只对健康无病宠物进行洗澡；根据建设单位提供的经验数据，宠物洗澡用水量按照</w:t>
            </w:r>
            <w:bookmarkStart w:id="8" w:name="OLE_LINK2"/>
            <w:r>
              <w:rPr>
                <w:rFonts w:hint="default" w:ascii="Times New Roman" w:hAnsi="Times New Roman" w:cs="Times New Roman"/>
                <w:color w:val="auto"/>
                <w:highlight w:val="none"/>
                <w:lang w:val="en-US" w:eastAsia="zh-CN"/>
              </w:rPr>
              <w:t>50</w:t>
            </w:r>
            <w:r>
              <w:rPr>
                <w:rFonts w:hint="default" w:ascii="Times New Roman" w:hAnsi="Times New Roman" w:cs="Times New Roman"/>
                <w:color w:val="auto"/>
                <w:highlight w:val="none"/>
              </w:rPr>
              <w:t>升/只计算</w:t>
            </w:r>
            <w:bookmarkEnd w:id="8"/>
            <w:r>
              <w:rPr>
                <w:rFonts w:hint="default" w:ascii="Times New Roman" w:hAnsi="Times New Roman" w:cs="Times New Roman"/>
                <w:color w:val="auto"/>
                <w:highlight w:val="none"/>
              </w:rPr>
              <w:t>，本项目需美容的宠物约为</w:t>
            </w:r>
            <w:r>
              <w:rPr>
                <w:rFonts w:hint="eastAsia" w:cs="Times New Roman"/>
                <w:color w:val="auto"/>
                <w:highlight w:val="none"/>
                <w:lang w:val="en-US" w:eastAsia="zh-CN"/>
              </w:rPr>
              <w:t>2</w:t>
            </w:r>
            <w:r>
              <w:rPr>
                <w:rFonts w:hint="default" w:ascii="Times New Roman" w:hAnsi="Times New Roman" w:cs="Times New Roman"/>
                <w:color w:val="auto"/>
                <w:highlight w:val="none"/>
              </w:rPr>
              <w:t>只/天，则本项目宠物洗澡用水量为</w:t>
            </w:r>
            <w:r>
              <w:rPr>
                <w:rFonts w:hint="default" w:ascii="Times New Roman" w:hAnsi="Times New Roman" w:cs="Times New Roman"/>
                <w:color w:val="auto"/>
                <w:highlight w:val="none"/>
                <w:lang w:val="en-US" w:eastAsia="zh-CN"/>
              </w:rPr>
              <w:t>0.</w:t>
            </w:r>
            <w:r>
              <w:rPr>
                <w:rFonts w:hint="eastAsia" w:cs="Times New Roman"/>
                <w:color w:val="auto"/>
                <w:highlight w:val="none"/>
                <w:lang w:val="en-US" w:eastAsia="zh-CN"/>
              </w:rPr>
              <w:t>1</w:t>
            </w:r>
            <w:r>
              <w:rPr>
                <w:rFonts w:hint="default" w:ascii="Times New Roman" w:hAnsi="Times New Roman" w:cs="Times New Roman"/>
                <w:color w:val="auto"/>
                <w:highlight w:val="none"/>
                <w:lang w:eastAsia="zh-CN"/>
              </w:rPr>
              <w:t>m</w:t>
            </w:r>
            <w:r>
              <w:rPr>
                <w:rFonts w:hint="default" w:ascii="Times New Roman" w:hAnsi="Times New Roman" w:cs="Times New Roman"/>
                <w:color w:val="auto"/>
                <w:highlight w:val="none"/>
                <w:vertAlign w:val="superscript"/>
                <w:lang w:eastAsia="zh-CN"/>
              </w:rPr>
              <w:t>3</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d</w:t>
            </w:r>
            <w:r>
              <w:rPr>
                <w:rFonts w:hint="default" w:ascii="Times New Roman" w:hAnsi="Times New Roman" w:cs="Times New Roman"/>
                <w:color w:val="auto"/>
                <w:highlight w:val="none"/>
                <w:lang w:eastAsia="zh-CN"/>
              </w:rPr>
              <w:t>（</w:t>
            </w:r>
            <w:r>
              <w:rPr>
                <w:rFonts w:hint="eastAsia" w:cs="Times New Roman"/>
                <w:color w:val="auto"/>
                <w:highlight w:val="none"/>
                <w:lang w:val="en-US" w:eastAsia="zh-CN"/>
              </w:rPr>
              <w:t>36.5</w:t>
            </w:r>
            <w:r>
              <w:rPr>
                <w:rFonts w:hint="default" w:ascii="Times New Roman" w:hAnsi="Times New Roman" w:cs="Times New Roman"/>
                <w:color w:val="auto"/>
                <w:highlight w:val="none"/>
                <w:lang w:eastAsia="zh-CN"/>
              </w:rPr>
              <w:t>m</w:t>
            </w:r>
            <w:r>
              <w:rPr>
                <w:rFonts w:hint="default" w:ascii="Times New Roman" w:hAnsi="Times New Roman" w:cs="Times New Roman"/>
                <w:color w:val="auto"/>
                <w:highlight w:val="none"/>
                <w:vertAlign w:val="superscript"/>
                <w:lang w:eastAsia="zh-CN"/>
              </w:rPr>
              <w:t>3</w:t>
            </w:r>
            <w:r>
              <w:rPr>
                <w:rFonts w:hint="default" w:ascii="Times New Roman" w:hAnsi="Times New Roman" w:cs="Times New Roman"/>
                <w:color w:val="auto"/>
                <w:highlight w:val="none"/>
                <w:lang w:eastAsia="zh-CN"/>
              </w:rPr>
              <w:t>/a）</w:t>
            </w:r>
            <w:r>
              <w:rPr>
                <w:rFonts w:hint="default" w:ascii="Times New Roman" w:hAnsi="Times New Roman" w:cs="Times New Roman"/>
                <w:color w:val="auto"/>
                <w:highlight w:val="none"/>
              </w:rPr>
              <w:t>。</w:t>
            </w:r>
          </w:p>
          <w:p w14:paraId="6F22D977">
            <w:pPr>
              <w:pStyle w:val="31"/>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t>③</w:t>
            </w:r>
            <w:r>
              <w:rPr>
                <w:rFonts w:hint="default" w:ascii="Times New Roman" w:hAnsi="Times New Roman" w:cs="Times New Roman"/>
                <w:color w:val="auto"/>
                <w:highlight w:val="none"/>
                <w:lang w:val="en-US" w:eastAsia="zh-CN"/>
              </w:rPr>
              <w:t>宠物</w:t>
            </w:r>
            <w:r>
              <w:rPr>
                <w:rFonts w:hint="default" w:ascii="Times New Roman" w:hAnsi="Times New Roman" w:cs="Times New Roman"/>
                <w:color w:val="auto"/>
                <w:highlight w:val="none"/>
              </w:rPr>
              <w:t>医疗用水</w:t>
            </w:r>
          </w:p>
          <w:p w14:paraId="50F44DF9">
            <w:pPr>
              <w:keepNext w:val="0"/>
              <w:keepLines w:val="0"/>
              <w:pageBreakBefore w:val="0"/>
              <w:widowControl/>
              <w:kinsoku w:val="0"/>
              <w:wordWrap/>
              <w:overflowPunct/>
              <w:topLinePunct w:val="0"/>
              <w:autoSpaceDE w:val="0"/>
              <w:autoSpaceDN w:val="0"/>
              <w:bidi w:val="0"/>
              <w:adjustRightInd/>
              <w:snapToGrid/>
              <w:spacing w:beforeLines="0" w:afterLines="0"/>
              <w:ind w:firstLine="480" w:firstLineChars="200"/>
              <w:jc w:val="left"/>
              <w:textAlignment w:val="baseline"/>
              <w:rPr>
                <w:rFonts w:hint="default" w:ascii="Times New Roman" w:hAnsi="Times New Roman" w:cs="Times New Roman"/>
                <w:color w:val="auto"/>
                <w:highlight w:val="none"/>
                <w:lang w:eastAsia="zh-CN"/>
              </w:rPr>
            </w:pPr>
            <w:r>
              <w:rPr>
                <w:rFonts w:hint="eastAsia" w:ascii="宋体" w:hAnsi="宋体" w:eastAsia="宋体"/>
                <w:color w:val="auto"/>
                <w:sz w:val="24"/>
                <w:szCs w:val="24"/>
              </w:rPr>
              <w:t>动物</w:t>
            </w:r>
            <w:r>
              <w:rPr>
                <w:rFonts w:hint="eastAsia" w:ascii="宋体" w:hAnsi="宋体" w:eastAsia="宋体"/>
                <w:color w:val="auto"/>
                <w:sz w:val="24"/>
                <w:szCs w:val="24"/>
                <w:lang w:val="en-US" w:eastAsia="zh-CN"/>
              </w:rPr>
              <w:t>医疗用水</w:t>
            </w:r>
            <w:r>
              <w:rPr>
                <w:rFonts w:hint="eastAsia" w:ascii="宋体" w:hAnsi="宋体" w:eastAsia="宋体"/>
                <w:color w:val="auto"/>
                <w:sz w:val="24"/>
                <w:szCs w:val="24"/>
              </w:rPr>
              <w:t>主要来</w:t>
            </w:r>
            <w:r>
              <w:rPr>
                <w:rFonts w:hint="eastAsia" w:ascii="宋体" w:hAnsi="宋体"/>
                <w:color w:val="auto"/>
                <w:sz w:val="24"/>
                <w:szCs w:val="24"/>
                <w:lang w:eastAsia="zh-CN"/>
              </w:rPr>
              <w:t>源于</w:t>
            </w:r>
            <w:r>
              <w:rPr>
                <w:rFonts w:hint="eastAsia" w:ascii="宋体" w:hAnsi="宋体" w:eastAsia="宋体"/>
                <w:color w:val="auto"/>
                <w:sz w:val="24"/>
                <w:szCs w:val="24"/>
              </w:rPr>
              <w:t>治疗、手术及化验过程等。根据《建筑给水排水设计规范》（</w:t>
            </w:r>
            <w:r>
              <w:rPr>
                <w:rFonts w:hint="eastAsia" w:ascii="TimesNewRomanPSMT" w:hAnsi="TimesNewRomanPSMT" w:eastAsia="TimesNewRomanPSMT"/>
                <w:color w:val="auto"/>
                <w:sz w:val="24"/>
                <w:szCs w:val="24"/>
              </w:rPr>
              <w:t>GB50015-2003</w:t>
            </w:r>
            <w:r>
              <w:rPr>
                <w:rFonts w:hint="eastAsia" w:ascii="宋体" w:hAnsi="宋体" w:eastAsia="宋体"/>
                <w:color w:val="auto"/>
                <w:sz w:val="24"/>
                <w:szCs w:val="24"/>
              </w:rPr>
              <w:t>）（</w:t>
            </w:r>
            <w:r>
              <w:rPr>
                <w:rFonts w:hint="eastAsia" w:ascii="TimesNewRomanPSMT" w:hAnsi="TimesNewRomanPSMT" w:eastAsia="TimesNewRomanPSMT"/>
                <w:color w:val="auto"/>
                <w:sz w:val="24"/>
                <w:szCs w:val="24"/>
              </w:rPr>
              <w:t>2010</w:t>
            </w:r>
            <w:r>
              <w:rPr>
                <w:rFonts w:hint="eastAsia" w:ascii="宋体" w:hAnsi="宋体" w:eastAsia="宋体"/>
                <w:color w:val="auto"/>
                <w:sz w:val="24"/>
                <w:szCs w:val="24"/>
              </w:rPr>
              <w:t>年修订）“门诊部、诊疗所用水定额为每位病人每次</w:t>
            </w:r>
            <w:r>
              <w:rPr>
                <w:rFonts w:hint="eastAsia" w:ascii="TimesNewRomanPSMT" w:hAnsi="TimesNewRomanPSMT" w:eastAsia="TimesNewRomanPSMT"/>
                <w:color w:val="auto"/>
                <w:sz w:val="24"/>
                <w:szCs w:val="24"/>
              </w:rPr>
              <w:t>10</w:t>
            </w:r>
            <w:r>
              <w:rPr>
                <w:rFonts w:hint="eastAsia" w:ascii="TimesNewRomanPSMT" w:hAnsi="TimesNewRomanPSMT" w:eastAsia="宋体"/>
                <w:color w:val="auto"/>
                <w:sz w:val="24"/>
                <w:szCs w:val="24"/>
                <w:lang w:eastAsia="zh-CN"/>
              </w:rPr>
              <w:t>—</w:t>
            </w:r>
            <w:r>
              <w:rPr>
                <w:rFonts w:hint="eastAsia" w:ascii="TimesNewRomanPSMT" w:hAnsi="TimesNewRomanPSMT" w:eastAsia="TimesNewRomanPSMT"/>
                <w:color w:val="auto"/>
                <w:sz w:val="24"/>
                <w:szCs w:val="24"/>
              </w:rPr>
              <w:t>15L</w:t>
            </w:r>
            <w:r>
              <w:rPr>
                <w:rFonts w:hint="eastAsia" w:ascii="宋体" w:hAnsi="宋体" w:eastAsia="宋体"/>
                <w:color w:val="auto"/>
                <w:sz w:val="24"/>
                <w:szCs w:val="24"/>
              </w:rPr>
              <w:t>”。本项目动物诊疗用水按</w:t>
            </w:r>
            <w:r>
              <w:rPr>
                <w:rFonts w:hint="eastAsia" w:ascii="TimesNewRomanPSMT" w:hAnsi="TimesNewRomanPSMT" w:eastAsia="TimesNewRomanPSMT"/>
                <w:color w:val="auto"/>
                <w:sz w:val="24"/>
                <w:szCs w:val="24"/>
              </w:rPr>
              <w:t>12L/</w:t>
            </w:r>
            <w:r>
              <w:rPr>
                <w:rFonts w:hint="eastAsia" w:ascii="宋体" w:hAnsi="宋体" w:eastAsia="宋体"/>
                <w:color w:val="auto"/>
                <w:sz w:val="24"/>
                <w:szCs w:val="24"/>
              </w:rPr>
              <w:t>只计算，</w:t>
            </w:r>
            <w:r>
              <w:rPr>
                <w:rFonts w:hint="default" w:ascii="Times New Roman" w:hAnsi="Times New Roman" w:eastAsia="宋体" w:cs="Times New Roman"/>
                <w:color w:val="auto"/>
                <w:kern w:val="2"/>
                <w:sz w:val="24"/>
                <w:szCs w:val="24"/>
                <w:highlight w:val="none"/>
                <w:lang w:val="en-US" w:eastAsia="zh-CN" w:bidi="ar"/>
              </w:rPr>
              <w:t>日接诊宠物</w:t>
            </w:r>
            <w:r>
              <w:rPr>
                <w:rFonts w:hint="eastAsia" w:cs="Times New Roman"/>
                <w:color w:val="auto"/>
                <w:highlight w:val="none"/>
                <w:lang w:val="en-US" w:eastAsia="zh-CN"/>
              </w:rPr>
              <w:t>8</w:t>
            </w:r>
            <w:r>
              <w:rPr>
                <w:rFonts w:hint="default" w:ascii="Times New Roman" w:hAnsi="Times New Roman" w:cs="Times New Roman"/>
                <w:color w:val="auto"/>
                <w:highlight w:val="none"/>
              </w:rPr>
              <w:t>只（其中需要手术的</w:t>
            </w:r>
            <w:r>
              <w:rPr>
                <w:rFonts w:hint="eastAsia" w:cs="Times New Roman"/>
                <w:color w:val="auto"/>
                <w:highlight w:val="none"/>
                <w:lang w:val="en-US" w:eastAsia="zh-CN"/>
              </w:rPr>
              <w:t>1</w:t>
            </w:r>
            <w:r>
              <w:rPr>
                <w:rFonts w:hint="default" w:ascii="Times New Roman" w:hAnsi="Times New Roman" w:cs="Times New Roman"/>
                <w:color w:val="auto"/>
                <w:highlight w:val="none"/>
              </w:rPr>
              <w:t>只，其他</w:t>
            </w:r>
            <w:r>
              <w:rPr>
                <w:rFonts w:hint="eastAsia" w:cs="Times New Roman"/>
                <w:color w:val="auto"/>
                <w:highlight w:val="none"/>
                <w:lang w:val="en-US" w:eastAsia="zh-CN"/>
              </w:rPr>
              <w:t>7</w:t>
            </w:r>
            <w:r>
              <w:rPr>
                <w:rFonts w:hint="default" w:ascii="Times New Roman" w:hAnsi="Times New Roman" w:cs="Times New Roman"/>
                <w:color w:val="auto"/>
                <w:highlight w:val="none"/>
              </w:rPr>
              <w:t>只为打预防针等非手术诊治</w:t>
            </w:r>
            <w:r>
              <w:rPr>
                <w:rFonts w:hint="eastAsia" w:cs="Times New Roman"/>
                <w:color w:val="auto"/>
                <w:kern w:val="2"/>
                <w:sz w:val="24"/>
                <w:szCs w:val="24"/>
                <w:highlight w:val="none"/>
                <w:lang w:val="en-US" w:eastAsia="zh-CN" w:bidi="ar"/>
              </w:rPr>
              <w:t>）项目</w:t>
            </w:r>
            <w:r>
              <w:rPr>
                <w:rFonts w:hint="default" w:ascii="Times New Roman" w:hAnsi="Times New Roman" w:eastAsia="宋体" w:cs="Times New Roman"/>
                <w:color w:val="auto"/>
                <w:kern w:val="2"/>
                <w:sz w:val="24"/>
                <w:szCs w:val="24"/>
                <w:highlight w:val="none"/>
                <w:lang w:val="en-US" w:eastAsia="zh-CN" w:bidi="ar"/>
              </w:rPr>
              <w:t>年运营365天，则宠物医疗用水为0.</w:t>
            </w:r>
            <w:r>
              <w:rPr>
                <w:rFonts w:hint="eastAsia" w:cs="Times New Roman"/>
                <w:color w:val="auto"/>
                <w:kern w:val="2"/>
                <w:sz w:val="24"/>
                <w:szCs w:val="24"/>
                <w:highlight w:val="none"/>
                <w:lang w:val="en-US" w:eastAsia="zh-CN" w:bidi="ar"/>
              </w:rPr>
              <w:t>096</w:t>
            </w:r>
            <w:r>
              <w:rPr>
                <w:rFonts w:hint="default" w:ascii="Times New Roman" w:hAnsi="Times New Roman" w:eastAsia="宋体" w:cs="Times New Roman"/>
                <w:color w:val="auto"/>
                <w:kern w:val="2"/>
                <w:sz w:val="24"/>
                <w:szCs w:val="24"/>
                <w:highlight w:val="none"/>
                <w:lang w:val="en-US" w:eastAsia="zh-CN" w:bidi="ar"/>
              </w:rPr>
              <w:t>m</w:t>
            </w:r>
            <w:r>
              <w:rPr>
                <w:rFonts w:hint="default" w:ascii="Times New Roman" w:hAnsi="Times New Roman" w:eastAsia="宋体" w:cs="Times New Roman"/>
                <w:color w:val="auto"/>
                <w:kern w:val="2"/>
                <w:sz w:val="24"/>
                <w:szCs w:val="24"/>
                <w:highlight w:val="none"/>
                <w:vertAlign w:val="superscript"/>
                <w:lang w:val="en-US" w:eastAsia="zh-CN" w:bidi="ar"/>
              </w:rPr>
              <w:t>3</w:t>
            </w:r>
            <w:r>
              <w:rPr>
                <w:rFonts w:hint="default" w:ascii="Times New Roman" w:hAnsi="Times New Roman" w:eastAsia="宋体" w:cs="Times New Roman"/>
                <w:color w:val="auto"/>
                <w:kern w:val="2"/>
                <w:sz w:val="24"/>
                <w:szCs w:val="24"/>
                <w:highlight w:val="none"/>
                <w:lang w:val="en-US" w:eastAsia="zh-CN" w:bidi="ar"/>
              </w:rPr>
              <w:t>/d（</w:t>
            </w:r>
            <w:r>
              <w:rPr>
                <w:rFonts w:hint="eastAsia" w:cs="Times New Roman"/>
                <w:color w:val="auto"/>
                <w:kern w:val="2"/>
                <w:sz w:val="24"/>
                <w:szCs w:val="24"/>
                <w:highlight w:val="none"/>
                <w:lang w:val="en-US" w:eastAsia="zh-CN" w:bidi="ar"/>
              </w:rPr>
              <w:t>35.04</w:t>
            </w:r>
            <w:r>
              <w:rPr>
                <w:rFonts w:hint="default" w:ascii="Times New Roman" w:hAnsi="Times New Roman" w:eastAsia="宋体" w:cs="Times New Roman"/>
                <w:color w:val="auto"/>
                <w:kern w:val="2"/>
                <w:sz w:val="24"/>
                <w:szCs w:val="24"/>
                <w:highlight w:val="none"/>
                <w:lang w:val="en-US" w:eastAsia="zh-CN" w:bidi="ar"/>
              </w:rPr>
              <w:t>m</w:t>
            </w:r>
            <w:r>
              <w:rPr>
                <w:rFonts w:hint="default" w:ascii="Times New Roman" w:hAnsi="Times New Roman" w:eastAsia="宋体" w:cs="Times New Roman"/>
                <w:color w:val="auto"/>
                <w:kern w:val="2"/>
                <w:sz w:val="24"/>
                <w:szCs w:val="24"/>
                <w:highlight w:val="none"/>
                <w:vertAlign w:val="superscript"/>
                <w:lang w:val="en-US" w:eastAsia="zh-CN" w:bidi="ar"/>
              </w:rPr>
              <w:t>3</w:t>
            </w:r>
            <w:r>
              <w:rPr>
                <w:rFonts w:hint="default" w:ascii="Times New Roman" w:hAnsi="Times New Roman" w:eastAsia="宋体" w:cs="Times New Roman"/>
                <w:color w:val="auto"/>
                <w:kern w:val="2"/>
                <w:sz w:val="24"/>
                <w:szCs w:val="24"/>
                <w:highlight w:val="none"/>
                <w:vertAlign w:val="baseline"/>
                <w:lang w:val="en-US" w:eastAsia="zh-CN" w:bidi="ar"/>
              </w:rPr>
              <w:t>/a</w:t>
            </w:r>
            <w:r>
              <w:rPr>
                <w:rFonts w:hint="default" w:ascii="Times New Roman" w:hAnsi="Times New Roman" w:eastAsia="宋体" w:cs="Times New Roman"/>
                <w:color w:val="auto"/>
                <w:kern w:val="2"/>
                <w:sz w:val="24"/>
                <w:szCs w:val="24"/>
                <w:highlight w:val="none"/>
                <w:lang w:val="en-US" w:eastAsia="zh-CN" w:bidi="ar"/>
              </w:rPr>
              <w:t>）</w:t>
            </w:r>
            <w:r>
              <w:rPr>
                <w:rFonts w:hint="default" w:ascii="Times New Roman" w:hAnsi="Times New Roman" w:cs="Times New Roman"/>
                <w:color w:val="auto"/>
                <w:highlight w:val="none"/>
              </w:rPr>
              <w:t>。</w:t>
            </w:r>
          </w:p>
          <w:p w14:paraId="0355E44F">
            <w:pPr>
              <w:pStyle w:val="31"/>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eastAsia="zh-CN"/>
              </w:rPr>
              <w:t>④</w:t>
            </w:r>
            <w:r>
              <w:rPr>
                <w:rFonts w:hint="eastAsia" w:cs="Times New Roman"/>
                <w:color w:val="auto"/>
                <w:highlight w:val="none"/>
                <w:lang w:val="en-US" w:eastAsia="zh-CN"/>
              </w:rPr>
              <w:t>清洗消毒用水</w:t>
            </w:r>
          </w:p>
          <w:p w14:paraId="0A015CCA">
            <w:pPr>
              <w:pStyle w:val="31"/>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清洗消毒用水是诊疗前后需对所有设备器械、笼舍进行清洗和日常地面清洁消毒用水，再通过高温</w:t>
            </w:r>
            <w:r>
              <w:rPr>
                <w:rFonts w:hint="eastAsia" w:cs="Times New Roman"/>
                <w:color w:val="auto"/>
                <w:highlight w:val="none"/>
                <w:lang w:val="en-US" w:eastAsia="zh-CN"/>
              </w:rPr>
              <w:t>消毒</w:t>
            </w:r>
            <w:r>
              <w:rPr>
                <w:rFonts w:hint="default" w:ascii="Times New Roman" w:hAnsi="Times New Roman" w:cs="Times New Roman"/>
                <w:color w:val="auto"/>
                <w:highlight w:val="none"/>
                <w:lang w:eastAsia="zh-CN"/>
              </w:rPr>
              <w:t>锅对手术仪器、设备进行消毒，笼舍、地面采用消毒剂处理。根据企业提供的基础资料，清洗和消毒用水0.05m</w:t>
            </w:r>
            <w:r>
              <w:rPr>
                <w:rFonts w:hint="default" w:ascii="Times New Roman" w:hAnsi="Times New Roman" w:cs="Times New Roman"/>
                <w:color w:val="auto"/>
                <w:highlight w:val="none"/>
                <w:vertAlign w:val="superscript"/>
                <w:lang w:eastAsia="zh-CN"/>
              </w:rPr>
              <w:t>3</w:t>
            </w:r>
            <w:r>
              <w:rPr>
                <w:rFonts w:hint="default" w:ascii="Times New Roman" w:hAnsi="Times New Roman" w:cs="Times New Roman"/>
                <w:color w:val="auto"/>
                <w:highlight w:val="none"/>
                <w:lang w:eastAsia="zh-CN"/>
              </w:rPr>
              <w:t>/d</w:t>
            </w:r>
            <w:r>
              <w:rPr>
                <w:rFonts w:hint="default" w:ascii="Times New Roman" w:hAnsi="Times New Roman" w:eastAsia="宋体" w:cs="Times New Roman"/>
                <w:color w:val="auto"/>
                <w:kern w:val="2"/>
                <w:sz w:val="24"/>
                <w:szCs w:val="24"/>
                <w:highlight w:val="none"/>
                <w:lang w:val="en-US" w:eastAsia="zh-CN" w:bidi="ar"/>
              </w:rPr>
              <w:t>（</w:t>
            </w:r>
            <w:r>
              <w:rPr>
                <w:rFonts w:hint="eastAsia" w:cs="Times New Roman"/>
                <w:color w:val="auto"/>
                <w:kern w:val="2"/>
                <w:sz w:val="24"/>
                <w:szCs w:val="24"/>
                <w:highlight w:val="none"/>
                <w:lang w:val="en-US" w:eastAsia="zh-CN" w:bidi="ar"/>
              </w:rPr>
              <w:t>18.25</w:t>
            </w:r>
            <w:r>
              <w:rPr>
                <w:rFonts w:hint="default" w:ascii="Times New Roman" w:hAnsi="Times New Roman" w:eastAsia="宋体" w:cs="Times New Roman"/>
                <w:color w:val="auto"/>
                <w:kern w:val="2"/>
                <w:sz w:val="24"/>
                <w:szCs w:val="24"/>
                <w:highlight w:val="none"/>
                <w:lang w:val="en-US" w:eastAsia="zh-CN" w:bidi="ar"/>
              </w:rPr>
              <w:t>m</w:t>
            </w:r>
            <w:r>
              <w:rPr>
                <w:rFonts w:hint="default" w:ascii="Times New Roman" w:hAnsi="Times New Roman" w:eastAsia="宋体" w:cs="Times New Roman"/>
                <w:color w:val="auto"/>
                <w:kern w:val="2"/>
                <w:sz w:val="24"/>
                <w:szCs w:val="24"/>
                <w:highlight w:val="none"/>
                <w:vertAlign w:val="superscript"/>
                <w:lang w:val="en-US" w:eastAsia="zh-CN" w:bidi="ar"/>
              </w:rPr>
              <w:t>3</w:t>
            </w:r>
            <w:r>
              <w:rPr>
                <w:rFonts w:hint="default" w:ascii="Times New Roman" w:hAnsi="Times New Roman" w:eastAsia="宋体" w:cs="Times New Roman"/>
                <w:color w:val="auto"/>
                <w:kern w:val="2"/>
                <w:sz w:val="24"/>
                <w:szCs w:val="24"/>
                <w:highlight w:val="none"/>
                <w:vertAlign w:val="baseline"/>
                <w:lang w:val="en-US" w:eastAsia="zh-CN" w:bidi="ar"/>
              </w:rPr>
              <w:t>/a</w:t>
            </w:r>
            <w:r>
              <w:rPr>
                <w:rFonts w:hint="default" w:ascii="Times New Roman" w:hAnsi="Times New Roman" w:eastAsia="宋体" w:cs="Times New Roman"/>
                <w:color w:val="auto"/>
                <w:kern w:val="2"/>
                <w:sz w:val="24"/>
                <w:szCs w:val="24"/>
                <w:highlight w:val="none"/>
                <w:lang w:val="en-US" w:eastAsia="zh-CN" w:bidi="ar"/>
              </w:rPr>
              <w:t>）</w:t>
            </w:r>
            <w:r>
              <w:rPr>
                <w:rFonts w:hint="default" w:ascii="Times New Roman" w:hAnsi="Times New Roman" w:cs="Times New Roman"/>
                <w:color w:val="auto"/>
                <w:highlight w:val="none"/>
                <w:lang w:eastAsia="zh-CN"/>
              </w:rPr>
              <w:t>。</w:t>
            </w:r>
          </w:p>
          <w:p w14:paraId="38A8677F">
            <w:pPr>
              <w:pStyle w:val="31"/>
              <w:bidi w:val="0"/>
              <w:rPr>
                <w:rFonts w:hint="default" w:ascii="Times New Roman" w:hAnsi="Times New Roman" w:cs="Times New Roman"/>
                <w:color w:val="auto"/>
                <w:highlight w:val="none"/>
                <w:lang w:eastAsia="zh-CN"/>
              </w:rPr>
            </w:pPr>
            <w:r>
              <w:rPr>
                <w:rFonts w:hint="eastAsia" w:cs="Times New Roman"/>
                <w:color w:val="auto"/>
                <w:highlight w:val="none"/>
                <w:lang w:val="en-US" w:eastAsia="zh-CN"/>
              </w:rPr>
              <w:t>⑤</w:t>
            </w:r>
            <w:r>
              <w:rPr>
                <w:rFonts w:hint="default" w:ascii="Times New Roman" w:hAnsi="Times New Roman" w:cs="Times New Roman"/>
                <w:color w:val="auto"/>
                <w:highlight w:val="none"/>
                <w:lang w:eastAsia="zh-CN"/>
              </w:rPr>
              <w:t>未预见及漏失水量按其他总用水量的10%计，则未预见及漏失水量为</w:t>
            </w:r>
            <w:r>
              <w:rPr>
                <w:rFonts w:hint="eastAsia" w:cs="Times New Roman"/>
                <w:color w:val="auto"/>
                <w:highlight w:val="none"/>
                <w:lang w:val="en-US" w:eastAsia="zh-CN"/>
              </w:rPr>
              <w:t>38.179</w:t>
            </w:r>
            <w:r>
              <w:rPr>
                <w:rFonts w:hint="default" w:ascii="Times New Roman" w:hAnsi="Times New Roman" w:cs="Times New Roman"/>
                <w:color w:val="auto"/>
                <w:highlight w:val="none"/>
                <w:lang w:eastAsia="zh-CN"/>
              </w:rPr>
              <w:t>m</w:t>
            </w:r>
            <w:r>
              <w:rPr>
                <w:rFonts w:hint="default" w:ascii="Times New Roman" w:hAnsi="Times New Roman" w:cs="Times New Roman"/>
                <w:color w:val="auto"/>
                <w:highlight w:val="none"/>
                <w:vertAlign w:val="superscript"/>
                <w:lang w:eastAsia="zh-CN"/>
              </w:rPr>
              <w:t>3</w:t>
            </w:r>
            <w:r>
              <w:rPr>
                <w:rFonts w:hint="default" w:ascii="Times New Roman" w:hAnsi="Times New Roman" w:cs="Times New Roman"/>
                <w:color w:val="auto"/>
                <w:highlight w:val="none"/>
                <w:lang w:eastAsia="zh-CN"/>
              </w:rPr>
              <w:t>/a。</w:t>
            </w:r>
          </w:p>
          <w:p w14:paraId="235E025C">
            <w:pPr>
              <w:pStyle w:val="31"/>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综上所述，本项目总用水量为</w:t>
            </w:r>
            <w:r>
              <w:rPr>
                <w:rFonts w:hint="eastAsia" w:cs="Times New Roman"/>
                <w:color w:val="auto"/>
                <w:highlight w:val="none"/>
                <w:lang w:val="en-US" w:eastAsia="zh-CN"/>
              </w:rPr>
              <w:t>419.969</w:t>
            </w:r>
            <w:r>
              <w:rPr>
                <w:rFonts w:hint="default" w:ascii="Times New Roman" w:hAnsi="Times New Roman" w:cs="Times New Roman"/>
                <w:color w:val="auto"/>
                <w:highlight w:val="none"/>
                <w:lang w:val="en-US" w:eastAsia="zh-CN"/>
              </w:rPr>
              <w:t>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lang w:val="en-US" w:eastAsia="zh-CN"/>
              </w:rPr>
              <w:t>/a。</w:t>
            </w:r>
          </w:p>
          <w:p w14:paraId="03DB2289">
            <w:pPr>
              <w:pStyle w:val="31"/>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eastAsia="zh-CN"/>
              </w:rPr>
              <w:t>（2）排水</w:t>
            </w:r>
          </w:p>
          <w:p w14:paraId="6C94A451">
            <w:pPr>
              <w:pStyle w:val="31"/>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t>①生活污水</w:t>
            </w:r>
          </w:p>
          <w:p w14:paraId="1C5D0867">
            <w:pPr>
              <w:pStyle w:val="31"/>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生活污水产生量约为生活用水量的80%，即</w:t>
            </w:r>
            <w:r>
              <w:rPr>
                <w:rFonts w:hint="default" w:ascii="Times New Roman" w:hAnsi="Times New Roman" w:cs="Times New Roman"/>
                <w:color w:val="auto"/>
                <w:highlight w:val="none"/>
                <w:lang w:val="en-US" w:eastAsia="zh-CN"/>
              </w:rPr>
              <w:t>0.</w:t>
            </w:r>
            <w:r>
              <w:rPr>
                <w:rFonts w:hint="eastAsia" w:cs="Times New Roman"/>
                <w:color w:val="auto"/>
                <w:highlight w:val="none"/>
                <w:lang w:val="en-US" w:eastAsia="zh-CN"/>
              </w:rPr>
              <w:t>64</w:t>
            </w:r>
            <w:r>
              <w:rPr>
                <w:rFonts w:hint="default" w:ascii="Times New Roman" w:hAnsi="Times New Roman" w:cs="Times New Roman"/>
                <w:color w:val="auto"/>
                <w:highlight w:val="none"/>
                <w:lang w:eastAsia="zh-CN"/>
              </w:rPr>
              <w:t>m</w:t>
            </w:r>
            <w:r>
              <w:rPr>
                <w:rFonts w:hint="default" w:ascii="Times New Roman" w:hAnsi="Times New Roman" w:cs="Times New Roman"/>
                <w:color w:val="auto"/>
                <w:highlight w:val="none"/>
                <w:vertAlign w:val="superscript"/>
                <w:lang w:eastAsia="zh-CN"/>
              </w:rPr>
              <w:t>3</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d</w:t>
            </w:r>
            <w:r>
              <w:rPr>
                <w:rFonts w:hint="default" w:ascii="Times New Roman" w:hAnsi="Times New Roman" w:cs="Times New Roman"/>
                <w:color w:val="auto"/>
                <w:highlight w:val="none"/>
                <w:lang w:eastAsia="zh-CN"/>
              </w:rPr>
              <w:t>（</w:t>
            </w:r>
            <w:r>
              <w:rPr>
                <w:rFonts w:hint="eastAsia" w:cs="Times New Roman"/>
                <w:color w:val="auto"/>
                <w:highlight w:val="none"/>
                <w:lang w:val="en-US" w:eastAsia="zh-CN"/>
              </w:rPr>
              <w:t>233.6</w:t>
            </w:r>
            <w:r>
              <w:rPr>
                <w:rFonts w:hint="default" w:ascii="Times New Roman" w:hAnsi="Times New Roman" w:cs="Times New Roman"/>
                <w:color w:val="auto"/>
                <w:highlight w:val="none"/>
                <w:lang w:eastAsia="zh-CN"/>
              </w:rPr>
              <w:t>m</w:t>
            </w:r>
            <w:r>
              <w:rPr>
                <w:rFonts w:hint="default" w:ascii="Times New Roman" w:hAnsi="Times New Roman" w:cs="Times New Roman"/>
                <w:color w:val="auto"/>
                <w:highlight w:val="none"/>
                <w:vertAlign w:val="superscript"/>
                <w:lang w:eastAsia="zh-CN"/>
              </w:rPr>
              <w:t>3</w:t>
            </w:r>
            <w:r>
              <w:rPr>
                <w:rFonts w:hint="default" w:ascii="Times New Roman" w:hAnsi="Times New Roman" w:cs="Times New Roman"/>
                <w:color w:val="auto"/>
                <w:highlight w:val="none"/>
                <w:lang w:eastAsia="zh-CN"/>
              </w:rPr>
              <w:t>/a）</w:t>
            </w:r>
            <w:r>
              <w:rPr>
                <w:rFonts w:hint="default" w:ascii="Times New Roman" w:hAnsi="Times New Roman" w:cs="Times New Roman"/>
                <w:color w:val="auto"/>
                <w:highlight w:val="none"/>
              </w:rPr>
              <w:t>，生活污水</w:t>
            </w:r>
            <w:r>
              <w:rPr>
                <w:rFonts w:hint="eastAsia" w:cs="Times New Roman"/>
                <w:color w:val="auto"/>
                <w:highlight w:val="none"/>
                <w:lang w:val="en-US" w:eastAsia="zh-CN"/>
              </w:rPr>
              <w:t>直接</w:t>
            </w:r>
            <w:r>
              <w:rPr>
                <w:rFonts w:hint="default" w:ascii="Times New Roman" w:hAnsi="Times New Roman" w:cs="Times New Roman"/>
                <w:color w:val="auto"/>
                <w:highlight w:val="none"/>
              </w:rPr>
              <w:t>排入市政排水管网。</w:t>
            </w:r>
          </w:p>
          <w:p w14:paraId="62FAE244">
            <w:pPr>
              <w:pStyle w:val="31"/>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t>②动物</w:t>
            </w:r>
            <w:r>
              <w:rPr>
                <w:rFonts w:hint="default" w:ascii="Times New Roman" w:hAnsi="Times New Roman" w:cs="Times New Roman"/>
                <w:color w:val="auto"/>
                <w:highlight w:val="none"/>
                <w:lang w:val="en-US" w:eastAsia="zh-CN"/>
              </w:rPr>
              <w:t>洗浴</w:t>
            </w:r>
            <w:r>
              <w:rPr>
                <w:rFonts w:hint="default" w:ascii="Times New Roman" w:hAnsi="Times New Roman" w:cs="Times New Roman"/>
                <w:color w:val="auto"/>
                <w:highlight w:val="none"/>
              </w:rPr>
              <w:t>废水</w:t>
            </w:r>
          </w:p>
          <w:p w14:paraId="25C845B6">
            <w:pPr>
              <w:pStyle w:val="31"/>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动物洗浴废水产生量按照用水量</w:t>
            </w:r>
            <w:r>
              <w:rPr>
                <w:rFonts w:hint="default" w:ascii="Times New Roman" w:hAnsi="Times New Roman" w:cs="Times New Roman"/>
                <w:color w:val="auto"/>
                <w:highlight w:val="none"/>
                <w:lang w:val="en-US" w:eastAsia="zh-CN"/>
              </w:rPr>
              <w:t>8</w:t>
            </w:r>
            <w:r>
              <w:rPr>
                <w:rFonts w:hint="default" w:ascii="Times New Roman" w:hAnsi="Times New Roman" w:cs="Times New Roman"/>
                <w:color w:val="auto"/>
                <w:highlight w:val="none"/>
              </w:rPr>
              <w:t>0%计，即</w:t>
            </w:r>
            <w:r>
              <w:rPr>
                <w:rFonts w:hint="eastAsia" w:cs="Times New Roman"/>
                <w:color w:val="auto"/>
                <w:highlight w:val="none"/>
                <w:lang w:val="en-US" w:eastAsia="zh-CN"/>
              </w:rPr>
              <w:t>0.08</w:t>
            </w:r>
            <w:r>
              <w:rPr>
                <w:rFonts w:hint="default" w:ascii="Times New Roman" w:hAnsi="Times New Roman" w:cs="Times New Roman"/>
                <w:color w:val="auto"/>
                <w:highlight w:val="none"/>
                <w:lang w:eastAsia="zh-CN"/>
              </w:rPr>
              <w:t>m</w:t>
            </w:r>
            <w:r>
              <w:rPr>
                <w:rFonts w:hint="default" w:ascii="Times New Roman" w:hAnsi="Times New Roman" w:cs="Times New Roman"/>
                <w:color w:val="auto"/>
                <w:highlight w:val="none"/>
                <w:vertAlign w:val="superscript"/>
                <w:lang w:eastAsia="zh-CN"/>
              </w:rPr>
              <w:t>3</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d</w:t>
            </w:r>
            <w:r>
              <w:rPr>
                <w:rFonts w:hint="default" w:ascii="Times New Roman" w:hAnsi="Times New Roman" w:cs="Times New Roman"/>
                <w:color w:val="auto"/>
                <w:highlight w:val="none"/>
              </w:rPr>
              <w:t>（</w:t>
            </w:r>
            <w:r>
              <w:rPr>
                <w:rFonts w:hint="eastAsia" w:cs="Times New Roman"/>
                <w:color w:val="auto"/>
                <w:highlight w:val="none"/>
                <w:lang w:val="en-US" w:eastAsia="zh-CN"/>
              </w:rPr>
              <w:t>29.2</w:t>
            </w:r>
            <w:r>
              <w:rPr>
                <w:rFonts w:hint="default" w:ascii="Times New Roman" w:hAnsi="Times New Roman" w:cs="Times New Roman"/>
                <w:color w:val="auto"/>
                <w:highlight w:val="none"/>
                <w:lang w:eastAsia="zh-CN"/>
              </w:rPr>
              <w:t>m</w:t>
            </w:r>
            <w:r>
              <w:rPr>
                <w:rFonts w:hint="default" w:ascii="Times New Roman" w:hAnsi="Times New Roman" w:cs="Times New Roman"/>
                <w:color w:val="auto"/>
                <w:highlight w:val="none"/>
                <w:vertAlign w:val="superscript"/>
                <w:lang w:eastAsia="zh-CN"/>
              </w:rPr>
              <w:t>3</w:t>
            </w:r>
            <w:r>
              <w:rPr>
                <w:rFonts w:hint="default" w:ascii="Times New Roman" w:hAnsi="Times New Roman" w:cs="Times New Roman"/>
                <w:color w:val="auto"/>
                <w:highlight w:val="none"/>
                <w:lang w:eastAsia="zh-CN"/>
              </w:rPr>
              <w:t>/a</w:t>
            </w:r>
            <w:r>
              <w:rPr>
                <w:rFonts w:hint="default" w:ascii="Times New Roman" w:hAnsi="Times New Roman" w:cs="Times New Roman"/>
                <w:color w:val="auto"/>
                <w:highlight w:val="none"/>
              </w:rPr>
              <w:t>），动物</w:t>
            </w:r>
            <w:r>
              <w:rPr>
                <w:rFonts w:hint="default" w:ascii="Times New Roman" w:hAnsi="Times New Roman" w:cs="Times New Roman"/>
                <w:color w:val="auto"/>
                <w:highlight w:val="none"/>
                <w:lang w:val="en-US" w:eastAsia="zh-CN"/>
              </w:rPr>
              <w:t>洗浴</w:t>
            </w:r>
            <w:r>
              <w:rPr>
                <w:rFonts w:hint="default" w:ascii="Times New Roman" w:hAnsi="Times New Roman" w:cs="Times New Roman"/>
                <w:color w:val="auto"/>
                <w:highlight w:val="none"/>
              </w:rPr>
              <w:t>废水</w:t>
            </w:r>
            <w:r>
              <w:rPr>
                <w:rFonts w:hint="eastAsia" w:cs="Times New Roman"/>
                <w:color w:val="auto"/>
                <w:highlight w:val="none"/>
                <w:lang w:val="en-US" w:eastAsia="zh-CN"/>
              </w:rPr>
              <w:t>经</w:t>
            </w:r>
            <w:r>
              <w:rPr>
                <w:rFonts w:hint="default" w:ascii="Times New Roman" w:hAnsi="Times New Roman" w:cs="Times New Roman"/>
                <w:color w:val="auto"/>
                <w:highlight w:val="none"/>
              </w:rPr>
              <w:t>人工格栅，去除毛发、宠物粪便等大颗粒悬浮物预处理后排入市政下水管网。</w:t>
            </w:r>
          </w:p>
          <w:p w14:paraId="50718070">
            <w:pPr>
              <w:pStyle w:val="31"/>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t>③宠物医疗废水</w:t>
            </w:r>
          </w:p>
          <w:p w14:paraId="336105E6">
            <w:pPr>
              <w:pStyle w:val="31"/>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宠物医疗废水包括手术室、化验室、诊断室等产生的废水，主要为绝育手术</w:t>
            </w:r>
            <w:r>
              <w:rPr>
                <w:rFonts w:hint="eastAsia" w:cs="Times New Roman"/>
                <w:color w:val="auto"/>
                <w:highlight w:val="none"/>
                <w:lang w:eastAsia="zh-CN"/>
              </w:rPr>
              <w:t>、</w:t>
            </w:r>
            <w:r>
              <w:rPr>
                <w:rFonts w:hint="default" w:ascii="Times New Roman" w:hAnsi="Times New Roman" w:cs="Times New Roman"/>
                <w:color w:val="auto"/>
                <w:highlight w:val="none"/>
              </w:rPr>
              <w:t>胸腔或腹腔手术过程中冲洗废水</w:t>
            </w:r>
            <w:r>
              <w:rPr>
                <w:rFonts w:hint="eastAsia" w:cs="Times New Roman"/>
                <w:color w:val="auto"/>
                <w:highlight w:val="none"/>
                <w:lang w:eastAsia="zh-CN"/>
              </w:rPr>
              <w:t>、</w:t>
            </w:r>
            <w:r>
              <w:rPr>
                <w:rFonts w:hint="default" w:ascii="Times New Roman" w:hAnsi="Times New Roman" w:cs="Times New Roman"/>
                <w:color w:val="auto"/>
                <w:highlight w:val="none"/>
              </w:rPr>
              <w:t>医护人员术后洗手</w:t>
            </w:r>
            <w:r>
              <w:rPr>
                <w:rFonts w:hint="default"/>
                <w:color w:val="auto"/>
              </w:rPr>
              <w:t>废水</w:t>
            </w:r>
            <w:r>
              <w:rPr>
                <w:rFonts w:hint="default" w:ascii="Times New Roman" w:hAnsi="Times New Roman" w:cs="Times New Roman"/>
                <w:color w:val="auto"/>
                <w:highlight w:val="none"/>
              </w:rPr>
              <w:t>。本项目宠物医疗废水产生量按照用水量的</w:t>
            </w:r>
            <w:r>
              <w:rPr>
                <w:rFonts w:hint="eastAsia" w:cs="Times New Roman"/>
                <w:color w:val="auto"/>
                <w:highlight w:val="none"/>
                <w:lang w:val="en-US" w:eastAsia="zh-CN"/>
              </w:rPr>
              <w:t>8</w:t>
            </w:r>
            <w:r>
              <w:rPr>
                <w:rFonts w:hint="default" w:ascii="Times New Roman" w:hAnsi="Times New Roman" w:cs="Times New Roman"/>
                <w:color w:val="auto"/>
                <w:highlight w:val="none"/>
              </w:rPr>
              <w:t>0%计，即</w:t>
            </w:r>
            <w:r>
              <w:rPr>
                <w:rFonts w:hint="eastAsia" w:cs="Times New Roman"/>
                <w:color w:val="auto"/>
                <w:highlight w:val="none"/>
                <w:lang w:val="en-US" w:eastAsia="zh-CN"/>
              </w:rPr>
              <w:t>0.0768</w:t>
            </w:r>
            <w:r>
              <w:rPr>
                <w:rFonts w:hint="default" w:ascii="Times New Roman" w:hAnsi="Times New Roman" w:cs="Times New Roman"/>
                <w:color w:val="auto"/>
                <w:highlight w:val="none"/>
                <w:lang w:eastAsia="zh-CN"/>
              </w:rPr>
              <w:t>m</w:t>
            </w:r>
            <w:r>
              <w:rPr>
                <w:rFonts w:hint="default" w:ascii="Times New Roman" w:hAnsi="Times New Roman" w:cs="Times New Roman"/>
                <w:color w:val="auto"/>
                <w:highlight w:val="none"/>
                <w:vertAlign w:val="superscript"/>
                <w:lang w:eastAsia="zh-CN"/>
              </w:rPr>
              <w:t>3</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d</w:t>
            </w:r>
            <w:r>
              <w:rPr>
                <w:rFonts w:hint="default" w:ascii="Times New Roman" w:hAnsi="Times New Roman" w:cs="Times New Roman"/>
                <w:color w:val="auto"/>
                <w:highlight w:val="none"/>
              </w:rPr>
              <w:t>（</w:t>
            </w:r>
            <w:r>
              <w:rPr>
                <w:rFonts w:hint="eastAsia" w:cs="Times New Roman"/>
                <w:color w:val="auto"/>
                <w:highlight w:val="none"/>
                <w:lang w:val="en-US" w:eastAsia="zh-CN"/>
              </w:rPr>
              <w:t>28.032</w:t>
            </w:r>
            <w:r>
              <w:rPr>
                <w:rFonts w:hint="default" w:ascii="Times New Roman" w:hAnsi="Times New Roman" w:cs="Times New Roman"/>
                <w:color w:val="auto"/>
                <w:highlight w:val="none"/>
                <w:lang w:eastAsia="zh-CN"/>
              </w:rPr>
              <w:t>m</w:t>
            </w:r>
            <w:r>
              <w:rPr>
                <w:rFonts w:hint="default" w:ascii="Times New Roman" w:hAnsi="Times New Roman" w:cs="Times New Roman"/>
                <w:color w:val="auto"/>
                <w:highlight w:val="none"/>
                <w:vertAlign w:val="superscript"/>
                <w:lang w:eastAsia="zh-CN"/>
              </w:rPr>
              <w:t>3</w:t>
            </w:r>
            <w:r>
              <w:rPr>
                <w:rFonts w:hint="default" w:ascii="Times New Roman" w:hAnsi="Times New Roman" w:cs="Times New Roman"/>
                <w:color w:val="auto"/>
                <w:highlight w:val="none"/>
                <w:lang w:eastAsia="zh-CN"/>
              </w:rPr>
              <w:t>/a</w:t>
            </w:r>
            <w:r>
              <w:rPr>
                <w:rFonts w:hint="default" w:ascii="Times New Roman" w:hAnsi="Times New Roman" w:cs="Times New Roman"/>
                <w:color w:val="auto"/>
                <w:highlight w:val="none"/>
              </w:rPr>
              <w:t>），本项目医疗废水</w:t>
            </w:r>
            <w:bookmarkStart w:id="9" w:name="OLE_LINK19"/>
            <w:r>
              <w:rPr>
                <w:rFonts w:hint="default" w:ascii="Times New Roman" w:hAnsi="Times New Roman" w:cs="Times New Roman"/>
                <w:color w:val="auto"/>
                <w:highlight w:val="none"/>
              </w:rPr>
              <w:t>统一收集经污水处理设施（</w:t>
            </w:r>
            <w:r>
              <w:rPr>
                <w:rFonts w:hint="eastAsia" w:cs="Times New Roman"/>
                <w:color w:val="auto"/>
                <w:highlight w:val="none"/>
                <w:lang w:eastAsia="zh-CN"/>
              </w:rPr>
              <w:t>“</w:t>
            </w:r>
            <w:r>
              <w:rPr>
                <w:rFonts w:hint="default" w:ascii="Times New Roman" w:hAnsi="Times New Roman" w:cs="Times New Roman"/>
                <w:color w:val="auto"/>
                <w:highlight w:val="none"/>
                <w:lang w:val="en-US" w:eastAsia="zh-CN"/>
              </w:rPr>
              <w:t>滤筛+氯片</w:t>
            </w:r>
            <w:r>
              <w:rPr>
                <w:rFonts w:hint="eastAsia" w:cs="Times New Roman"/>
                <w:color w:val="auto"/>
                <w:highlight w:val="none"/>
                <w:lang w:eastAsia="zh-CN"/>
              </w:rPr>
              <w:t>”</w:t>
            </w:r>
            <w:r>
              <w:rPr>
                <w:rFonts w:hint="default" w:ascii="Times New Roman" w:hAnsi="Times New Roman" w:cs="Times New Roman"/>
                <w:color w:val="auto"/>
                <w:highlight w:val="none"/>
              </w:rPr>
              <w:t>）预处理后排入市政下水管网。</w:t>
            </w:r>
          </w:p>
          <w:bookmarkEnd w:id="9"/>
          <w:p w14:paraId="449E96BE">
            <w:pPr>
              <w:pStyle w:val="31"/>
              <w:bidi w:val="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④清洗消毒废水</w:t>
            </w:r>
          </w:p>
          <w:p w14:paraId="10F036CA">
            <w:pPr>
              <w:pStyle w:val="31"/>
              <w:bidi w:val="0"/>
              <w:rPr>
                <w:rFonts w:hint="default" w:ascii="Times New Roman" w:hAnsi="Times New Roman" w:cs="Times New Roman"/>
                <w:color w:val="auto"/>
                <w:highlight w:val="none"/>
              </w:rPr>
            </w:pPr>
            <w:r>
              <w:rPr>
                <w:rFonts w:hint="eastAsia" w:cs="Times New Roman"/>
                <w:color w:val="auto"/>
                <w:highlight w:val="none"/>
                <w:lang w:val="en-US" w:eastAsia="zh-CN"/>
              </w:rPr>
              <w:t>清洗消毒</w:t>
            </w:r>
            <w:r>
              <w:rPr>
                <w:rFonts w:hint="default" w:ascii="Times New Roman" w:hAnsi="Times New Roman" w:cs="Times New Roman"/>
                <w:color w:val="auto"/>
                <w:highlight w:val="none"/>
              </w:rPr>
              <w:t>废水产生量按照用水量</w:t>
            </w:r>
            <w:r>
              <w:rPr>
                <w:rFonts w:hint="default" w:ascii="Times New Roman" w:hAnsi="Times New Roman" w:cs="Times New Roman"/>
                <w:color w:val="auto"/>
                <w:highlight w:val="none"/>
                <w:lang w:val="en-US" w:eastAsia="zh-CN"/>
              </w:rPr>
              <w:t>8</w:t>
            </w:r>
            <w:r>
              <w:rPr>
                <w:rFonts w:hint="default" w:ascii="Times New Roman" w:hAnsi="Times New Roman" w:cs="Times New Roman"/>
                <w:color w:val="auto"/>
                <w:highlight w:val="none"/>
              </w:rPr>
              <w:t>0%计，即</w:t>
            </w:r>
            <w:r>
              <w:rPr>
                <w:rFonts w:hint="eastAsia" w:cs="Times New Roman"/>
                <w:color w:val="auto"/>
                <w:highlight w:val="none"/>
                <w:lang w:val="en-US" w:eastAsia="zh-CN"/>
              </w:rPr>
              <w:t>0.04</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d</w:t>
            </w:r>
            <w:r>
              <w:rPr>
                <w:rFonts w:hint="default" w:ascii="Times New Roman" w:hAnsi="Times New Roman" w:cs="Times New Roman"/>
                <w:color w:val="auto"/>
                <w:highlight w:val="none"/>
              </w:rPr>
              <w:t>（</w:t>
            </w:r>
            <w:r>
              <w:rPr>
                <w:rFonts w:hint="eastAsia" w:cs="Times New Roman"/>
                <w:color w:val="auto"/>
                <w:highlight w:val="none"/>
                <w:lang w:val="en-US" w:eastAsia="zh-CN"/>
              </w:rPr>
              <w:t>14.6</w:t>
            </w:r>
            <w:r>
              <w:rPr>
                <w:rFonts w:hint="default" w:ascii="Times New Roman" w:hAnsi="Times New Roman" w:cs="Times New Roman"/>
                <w:color w:val="auto"/>
                <w:highlight w:val="none"/>
                <w:lang w:eastAsia="zh-CN"/>
              </w:rPr>
              <w:t>m</w:t>
            </w:r>
            <w:r>
              <w:rPr>
                <w:rFonts w:hint="default" w:ascii="Times New Roman" w:hAnsi="Times New Roman" w:cs="Times New Roman"/>
                <w:color w:val="auto"/>
                <w:highlight w:val="none"/>
                <w:vertAlign w:val="superscript"/>
                <w:lang w:eastAsia="zh-CN"/>
              </w:rPr>
              <w:t>3</w:t>
            </w:r>
            <w:r>
              <w:rPr>
                <w:rFonts w:hint="default" w:ascii="Times New Roman" w:hAnsi="Times New Roman" w:cs="Times New Roman"/>
                <w:color w:val="auto"/>
                <w:highlight w:val="none"/>
                <w:lang w:eastAsia="zh-CN"/>
              </w:rPr>
              <w:t>/a</w:t>
            </w:r>
            <w:r>
              <w:rPr>
                <w:rFonts w:hint="default" w:ascii="Times New Roman" w:hAnsi="Times New Roman" w:cs="Times New Roman"/>
                <w:color w:val="auto"/>
                <w:highlight w:val="none"/>
              </w:rPr>
              <w:t>），</w:t>
            </w:r>
            <w:r>
              <w:rPr>
                <w:rFonts w:hint="eastAsia" w:cs="Times New Roman"/>
                <w:color w:val="auto"/>
                <w:highlight w:val="none"/>
                <w:lang w:val="en-US" w:eastAsia="zh-CN"/>
              </w:rPr>
              <w:t>清洗消毒</w:t>
            </w:r>
            <w:r>
              <w:rPr>
                <w:rFonts w:hint="default" w:ascii="Times New Roman" w:hAnsi="Times New Roman" w:cs="Times New Roman"/>
                <w:color w:val="auto"/>
                <w:highlight w:val="none"/>
              </w:rPr>
              <w:t>废水收集</w:t>
            </w:r>
            <w:r>
              <w:rPr>
                <w:rFonts w:hint="eastAsia" w:cs="Times New Roman"/>
                <w:color w:val="auto"/>
                <w:highlight w:val="none"/>
                <w:lang w:val="en-US" w:eastAsia="zh-CN"/>
              </w:rPr>
              <w:t>后与</w:t>
            </w:r>
            <w:r>
              <w:rPr>
                <w:rFonts w:hint="default" w:ascii="Times New Roman" w:hAnsi="Times New Roman" w:cs="Times New Roman"/>
                <w:color w:val="auto"/>
                <w:highlight w:val="none"/>
              </w:rPr>
              <w:t>医疗废水统一经污水处理设施（</w:t>
            </w:r>
            <w:r>
              <w:rPr>
                <w:rFonts w:hint="eastAsia" w:cs="Times New Roman"/>
                <w:color w:val="auto"/>
                <w:highlight w:val="none"/>
                <w:lang w:eastAsia="zh-CN"/>
              </w:rPr>
              <w:t>“</w:t>
            </w:r>
            <w:r>
              <w:rPr>
                <w:rFonts w:hint="default" w:ascii="Times New Roman" w:hAnsi="Times New Roman" w:cs="Times New Roman"/>
                <w:color w:val="auto"/>
                <w:highlight w:val="none"/>
                <w:lang w:val="en-US" w:eastAsia="zh-CN"/>
              </w:rPr>
              <w:t>滤筛+氯片</w:t>
            </w:r>
            <w:r>
              <w:rPr>
                <w:rFonts w:hint="eastAsia" w:cs="Times New Roman"/>
                <w:color w:val="auto"/>
                <w:highlight w:val="none"/>
                <w:lang w:eastAsia="zh-CN"/>
              </w:rPr>
              <w:t>”</w:t>
            </w:r>
            <w:r>
              <w:rPr>
                <w:rFonts w:hint="default" w:ascii="Times New Roman" w:hAnsi="Times New Roman" w:cs="Times New Roman"/>
                <w:color w:val="auto"/>
                <w:highlight w:val="none"/>
              </w:rPr>
              <w:t>）预处理后排入市政下水管网。</w:t>
            </w:r>
          </w:p>
          <w:p w14:paraId="45100543">
            <w:pPr>
              <w:pStyle w:val="31"/>
              <w:bidi w:val="0"/>
              <w:spacing w:line="360" w:lineRule="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项目给排水平衡表详见表2-5，水平衡图如图2-1。</w:t>
            </w:r>
          </w:p>
          <w:p w14:paraId="6D829E52">
            <w:pPr>
              <w:widowControl w:val="0"/>
              <w:snapToGrid w:val="0"/>
              <w:spacing w:after="0" w:line="240" w:lineRule="auto"/>
              <w:ind w:left="0" w:leftChars="0" w:firstLine="0" w:firstLineChars="0"/>
              <w:jc w:val="center"/>
              <w:rPr>
                <w:rFonts w:hint="default" w:ascii="Times New Roman" w:hAnsi="Times New Roman" w:cs="Times New Roman"/>
                <w:color w:val="auto"/>
                <w:highlight w:val="none"/>
                <w:lang w:eastAsia="zh-CN"/>
              </w:rPr>
            </w:pPr>
            <w:r>
              <w:rPr>
                <w:rStyle w:val="32"/>
                <w:rFonts w:hint="default" w:ascii="Times New Roman" w:hAnsi="Times New Roman" w:cs="Times New Roman"/>
                <w:color w:val="auto"/>
                <w:highlight w:val="none"/>
                <w:lang w:eastAsia="zh-CN"/>
              </w:rPr>
              <w:t>表2-</w:t>
            </w:r>
            <w:r>
              <w:rPr>
                <w:rStyle w:val="32"/>
                <w:rFonts w:hint="default" w:ascii="Times New Roman" w:hAnsi="Times New Roman" w:cs="Times New Roman"/>
                <w:color w:val="auto"/>
                <w:highlight w:val="none"/>
                <w:lang w:val="en-US" w:eastAsia="zh-CN"/>
              </w:rPr>
              <w:t>5</w:t>
            </w:r>
            <w:r>
              <w:rPr>
                <w:rStyle w:val="32"/>
                <w:rFonts w:hint="default" w:ascii="Times New Roman" w:hAnsi="Times New Roman" w:cs="Times New Roman"/>
                <w:color w:val="auto"/>
                <w:highlight w:val="none"/>
                <w:lang w:eastAsia="zh-CN"/>
              </w:rPr>
              <w:t xml:space="preserve"> </w:t>
            </w:r>
            <w:r>
              <w:rPr>
                <w:rStyle w:val="32"/>
                <w:rFonts w:hint="default" w:ascii="Times New Roman" w:hAnsi="Times New Roman" w:cs="Times New Roman"/>
                <w:color w:val="auto"/>
                <w:highlight w:val="none"/>
                <w:lang w:val="en-US" w:eastAsia="zh-CN"/>
              </w:rPr>
              <w:t xml:space="preserve"> </w:t>
            </w:r>
            <w:r>
              <w:rPr>
                <w:rStyle w:val="32"/>
                <w:rFonts w:hint="default" w:ascii="Times New Roman" w:hAnsi="Times New Roman" w:cs="Times New Roman"/>
                <w:color w:val="auto"/>
                <w:highlight w:val="none"/>
                <w:lang w:eastAsia="zh-CN"/>
              </w:rPr>
              <w:t xml:space="preserve"> 项目用</w:t>
            </w:r>
            <w:r>
              <w:rPr>
                <w:rStyle w:val="32"/>
                <w:rFonts w:hint="default" w:ascii="Times New Roman" w:hAnsi="Times New Roman" w:cs="Times New Roman"/>
                <w:color w:val="auto"/>
                <w:highlight w:val="none"/>
                <w:lang w:val="en-US" w:eastAsia="zh-CN"/>
              </w:rPr>
              <w:t>排</w:t>
            </w:r>
            <w:r>
              <w:rPr>
                <w:rStyle w:val="32"/>
                <w:rFonts w:hint="default" w:ascii="Times New Roman" w:hAnsi="Times New Roman" w:cs="Times New Roman"/>
                <w:color w:val="auto"/>
                <w:highlight w:val="none"/>
                <w:lang w:eastAsia="zh-CN"/>
              </w:rPr>
              <w:t xml:space="preserve">水量估算表 </w:t>
            </w:r>
            <w:r>
              <w:rPr>
                <w:rFonts w:hint="default" w:ascii="Times New Roman" w:hAnsi="Times New Roman" w:cs="Times New Roman"/>
                <w:b/>
                <w:color w:val="auto"/>
                <w:sz w:val="21"/>
                <w:szCs w:val="21"/>
                <w:highlight w:val="none"/>
                <w:lang w:eastAsia="zh-CN"/>
              </w:rPr>
              <w:t xml:space="preserve">  单位</w:t>
            </w:r>
            <w:r>
              <w:rPr>
                <w:rFonts w:hint="eastAsia" w:cs="Times New Roman"/>
                <w:b/>
                <w:color w:val="auto"/>
                <w:sz w:val="21"/>
                <w:szCs w:val="21"/>
                <w:highlight w:val="none"/>
                <w:lang w:eastAsia="zh-CN"/>
              </w:rPr>
              <w:t>：</w:t>
            </w:r>
            <w:r>
              <w:rPr>
                <w:rFonts w:hint="default" w:ascii="Times New Roman" w:hAnsi="Times New Roman" w:cs="Times New Roman"/>
                <w:b/>
                <w:color w:val="auto"/>
                <w:sz w:val="21"/>
                <w:szCs w:val="21"/>
                <w:highlight w:val="none"/>
                <w:lang w:eastAsia="zh-CN"/>
              </w:rPr>
              <w:t>m</w:t>
            </w:r>
            <w:r>
              <w:rPr>
                <w:rFonts w:hint="default" w:ascii="Times New Roman" w:hAnsi="Times New Roman" w:cs="Times New Roman"/>
                <w:b/>
                <w:color w:val="auto"/>
                <w:sz w:val="21"/>
                <w:szCs w:val="21"/>
                <w:highlight w:val="none"/>
                <w:vertAlign w:val="superscript"/>
                <w:lang w:eastAsia="zh-CN"/>
              </w:rPr>
              <w:t>3</w:t>
            </w:r>
            <w:r>
              <w:rPr>
                <w:rFonts w:hint="default" w:ascii="Times New Roman" w:hAnsi="Times New Roman" w:cs="Times New Roman"/>
                <w:b/>
                <w:color w:val="auto"/>
                <w:sz w:val="21"/>
                <w:szCs w:val="21"/>
                <w:highlight w:val="none"/>
                <w:lang w:eastAsia="zh-CN"/>
              </w:rPr>
              <w:t>/a</w:t>
            </w:r>
          </w:p>
          <w:tbl>
            <w:tblPr>
              <w:tblStyle w:val="18"/>
              <w:tblW w:w="4998"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8"/>
              <w:gridCol w:w="2024"/>
              <w:gridCol w:w="1251"/>
              <w:gridCol w:w="955"/>
              <w:gridCol w:w="1212"/>
              <w:gridCol w:w="2024"/>
            </w:tblGrid>
            <w:tr w14:paraId="2C41B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21" w:type="pct"/>
                  <w:noWrap/>
                  <w:vAlign w:val="center"/>
                </w:tcPr>
                <w:p w14:paraId="340359A3">
                  <w:pPr>
                    <w:pStyle w:val="30"/>
                    <w:bidi w:val="0"/>
                    <w:rPr>
                      <w:rFonts w:hint="default"/>
                      <w:color w:val="auto"/>
                      <w:highlight w:val="none"/>
                      <w:lang w:eastAsia="zh-CN"/>
                    </w:rPr>
                  </w:pPr>
                  <w:r>
                    <w:rPr>
                      <w:rFonts w:hint="default"/>
                      <w:color w:val="auto"/>
                      <w:highlight w:val="none"/>
                      <w:lang w:eastAsia="zh-CN"/>
                    </w:rPr>
                    <w:t>序号</w:t>
                  </w:r>
                </w:p>
              </w:tc>
              <w:tc>
                <w:tcPr>
                  <w:tcW w:w="1254" w:type="pct"/>
                  <w:noWrap/>
                  <w:vAlign w:val="center"/>
                </w:tcPr>
                <w:p w14:paraId="52BDC388">
                  <w:pPr>
                    <w:pStyle w:val="30"/>
                    <w:bidi w:val="0"/>
                    <w:rPr>
                      <w:rFonts w:hint="default"/>
                      <w:color w:val="auto"/>
                      <w:highlight w:val="none"/>
                      <w:lang w:eastAsia="zh-CN"/>
                    </w:rPr>
                  </w:pPr>
                  <w:r>
                    <w:rPr>
                      <w:rFonts w:hint="default"/>
                      <w:color w:val="auto"/>
                      <w:highlight w:val="none"/>
                      <w:lang w:eastAsia="zh-CN"/>
                    </w:rPr>
                    <w:t>种类</w:t>
                  </w:r>
                </w:p>
              </w:tc>
              <w:tc>
                <w:tcPr>
                  <w:tcW w:w="771" w:type="pct"/>
                  <w:noWrap/>
                  <w:vAlign w:val="center"/>
                </w:tcPr>
                <w:p w14:paraId="52A8F77F">
                  <w:pPr>
                    <w:pStyle w:val="30"/>
                    <w:bidi w:val="0"/>
                    <w:rPr>
                      <w:rFonts w:hint="default"/>
                      <w:color w:val="auto"/>
                      <w:highlight w:val="none"/>
                      <w:lang w:eastAsia="zh-CN"/>
                    </w:rPr>
                  </w:pPr>
                  <w:r>
                    <w:rPr>
                      <w:rFonts w:hint="default"/>
                      <w:color w:val="auto"/>
                      <w:highlight w:val="none"/>
                      <w:lang w:eastAsia="zh-CN"/>
                    </w:rPr>
                    <w:t>用水量</w:t>
                  </w:r>
                </w:p>
              </w:tc>
              <w:tc>
                <w:tcPr>
                  <w:tcW w:w="932" w:type="pct"/>
                  <w:noWrap w:val="0"/>
                  <w:vAlign w:val="center"/>
                </w:tcPr>
                <w:p w14:paraId="3CF292A8">
                  <w:pPr>
                    <w:pStyle w:val="30"/>
                    <w:bidi w:val="0"/>
                    <w:rPr>
                      <w:rFonts w:hint="default"/>
                      <w:color w:val="auto"/>
                      <w:highlight w:val="none"/>
                      <w:lang w:eastAsia="zh-CN"/>
                    </w:rPr>
                  </w:pPr>
                  <w:r>
                    <w:rPr>
                      <w:rFonts w:hint="default"/>
                      <w:color w:val="auto"/>
                      <w:highlight w:val="none"/>
                      <w:lang w:val="en-US" w:eastAsia="zh-CN"/>
                    </w:rPr>
                    <w:t>损失量</w:t>
                  </w:r>
                </w:p>
              </w:tc>
              <w:tc>
                <w:tcPr>
                  <w:tcW w:w="1025" w:type="pct"/>
                  <w:noWrap w:val="0"/>
                  <w:vAlign w:val="center"/>
                </w:tcPr>
                <w:p w14:paraId="05CF70A7">
                  <w:pPr>
                    <w:pStyle w:val="30"/>
                    <w:bidi w:val="0"/>
                    <w:rPr>
                      <w:rFonts w:hint="default"/>
                      <w:color w:val="auto"/>
                      <w:highlight w:val="none"/>
                      <w:lang w:eastAsia="zh-CN"/>
                    </w:rPr>
                  </w:pPr>
                  <w:r>
                    <w:rPr>
                      <w:rFonts w:hint="default"/>
                      <w:color w:val="auto"/>
                      <w:highlight w:val="none"/>
                      <w:lang w:eastAsia="zh-CN"/>
                    </w:rPr>
                    <w:t>排水量</w:t>
                  </w:r>
                </w:p>
              </w:tc>
              <w:tc>
                <w:tcPr>
                  <w:tcW w:w="595" w:type="pct"/>
                  <w:noWrap/>
                  <w:vAlign w:val="center"/>
                </w:tcPr>
                <w:p w14:paraId="5A56AF7C">
                  <w:pPr>
                    <w:pStyle w:val="30"/>
                    <w:bidi w:val="0"/>
                    <w:rPr>
                      <w:rFonts w:hint="default"/>
                      <w:color w:val="auto"/>
                      <w:highlight w:val="none"/>
                      <w:lang w:eastAsia="zh-CN"/>
                    </w:rPr>
                  </w:pPr>
                  <w:r>
                    <w:rPr>
                      <w:rFonts w:hint="eastAsia"/>
                      <w:color w:val="auto"/>
                      <w:highlight w:val="none"/>
                      <w:lang w:val="en-US" w:eastAsia="zh-CN"/>
                    </w:rPr>
                    <w:t>备注</w:t>
                  </w:r>
                </w:p>
              </w:tc>
            </w:tr>
            <w:tr w14:paraId="601A6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21" w:type="pct"/>
                  <w:noWrap/>
                  <w:vAlign w:val="center"/>
                </w:tcPr>
                <w:p w14:paraId="67E8414B">
                  <w:pPr>
                    <w:pStyle w:val="30"/>
                    <w:bidi w:val="0"/>
                    <w:rPr>
                      <w:rFonts w:hint="default"/>
                      <w:color w:val="auto"/>
                      <w:highlight w:val="none"/>
                      <w:lang w:eastAsia="zh-CN"/>
                    </w:rPr>
                  </w:pPr>
                  <w:r>
                    <w:rPr>
                      <w:rFonts w:hint="default"/>
                      <w:color w:val="auto"/>
                      <w:highlight w:val="none"/>
                      <w:lang w:eastAsia="zh-CN"/>
                    </w:rPr>
                    <w:t>1</w:t>
                  </w:r>
                </w:p>
              </w:tc>
              <w:tc>
                <w:tcPr>
                  <w:tcW w:w="1254" w:type="pct"/>
                  <w:noWrap/>
                  <w:vAlign w:val="center"/>
                </w:tcPr>
                <w:p w14:paraId="2C058A3E">
                  <w:pPr>
                    <w:pStyle w:val="30"/>
                    <w:bidi w:val="0"/>
                    <w:rPr>
                      <w:rFonts w:hint="default"/>
                      <w:color w:val="auto"/>
                      <w:highlight w:val="none"/>
                      <w:lang w:val="en-US" w:eastAsia="zh-CN"/>
                    </w:rPr>
                  </w:pPr>
                  <w:r>
                    <w:rPr>
                      <w:rFonts w:hint="default"/>
                      <w:color w:val="auto"/>
                      <w:highlight w:val="none"/>
                      <w:lang w:val="en-US" w:eastAsia="zh-CN"/>
                    </w:rPr>
                    <w:t>生活用水</w:t>
                  </w:r>
                </w:p>
              </w:tc>
              <w:tc>
                <w:tcPr>
                  <w:tcW w:w="1251" w:type="dxa"/>
                  <w:noWrap/>
                  <w:vAlign w:val="center"/>
                </w:tcPr>
                <w:p w14:paraId="3959638B">
                  <w:pPr>
                    <w:pStyle w:val="30"/>
                    <w:bidi w:val="0"/>
                    <w:rPr>
                      <w:rFonts w:hint="default"/>
                      <w:color w:val="auto"/>
                      <w:highlight w:val="none"/>
                      <w:lang w:val="en-US" w:eastAsia="zh-CN"/>
                    </w:rPr>
                  </w:pPr>
                  <w:r>
                    <w:rPr>
                      <w:rFonts w:hint="eastAsia"/>
                      <w:color w:val="auto"/>
                      <w:highlight w:val="none"/>
                      <w:lang w:val="en-US" w:eastAsia="zh-CN"/>
                    </w:rPr>
                    <w:t>292</w:t>
                  </w:r>
                </w:p>
              </w:tc>
              <w:tc>
                <w:tcPr>
                  <w:tcW w:w="932" w:type="pct"/>
                  <w:noWrap w:val="0"/>
                  <w:vAlign w:val="center"/>
                </w:tcPr>
                <w:p w14:paraId="3E4CF29E">
                  <w:pPr>
                    <w:pStyle w:val="30"/>
                    <w:bidi w:val="0"/>
                    <w:rPr>
                      <w:rFonts w:hint="default"/>
                      <w:color w:val="auto"/>
                      <w:highlight w:val="none"/>
                      <w:lang w:val="en-US" w:eastAsia="zh-CN"/>
                    </w:rPr>
                  </w:pPr>
                  <w:r>
                    <w:rPr>
                      <w:rFonts w:hint="eastAsia"/>
                      <w:color w:val="auto"/>
                      <w:highlight w:val="none"/>
                      <w:lang w:val="en-US" w:eastAsia="zh-CN"/>
                    </w:rPr>
                    <w:t>58.4</w:t>
                  </w:r>
                </w:p>
              </w:tc>
              <w:tc>
                <w:tcPr>
                  <w:tcW w:w="1664" w:type="dxa"/>
                  <w:noWrap w:val="0"/>
                  <w:vAlign w:val="center"/>
                </w:tcPr>
                <w:p w14:paraId="55DBB5FE">
                  <w:pPr>
                    <w:pStyle w:val="30"/>
                    <w:bidi w:val="0"/>
                    <w:rPr>
                      <w:rFonts w:hint="default"/>
                      <w:color w:val="auto"/>
                      <w:highlight w:val="none"/>
                      <w:lang w:val="en-US" w:eastAsia="zh-CN"/>
                    </w:rPr>
                  </w:pPr>
                  <w:r>
                    <w:rPr>
                      <w:rFonts w:hint="eastAsia"/>
                      <w:color w:val="auto"/>
                      <w:highlight w:val="none"/>
                      <w:lang w:val="en-US" w:eastAsia="zh-CN"/>
                    </w:rPr>
                    <w:t>233.6</w:t>
                  </w:r>
                </w:p>
              </w:tc>
              <w:tc>
                <w:tcPr>
                  <w:tcW w:w="595" w:type="pct"/>
                  <w:noWrap/>
                  <w:vAlign w:val="center"/>
                </w:tcPr>
                <w:p w14:paraId="0EE7CD63">
                  <w:pPr>
                    <w:pStyle w:val="30"/>
                    <w:bidi w:val="0"/>
                    <w:rPr>
                      <w:rFonts w:hint="default"/>
                      <w:color w:val="auto"/>
                      <w:highlight w:val="none"/>
                      <w:lang w:val="en-US" w:eastAsia="zh-CN"/>
                    </w:rPr>
                  </w:pPr>
                  <w:r>
                    <w:rPr>
                      <w:rFonts w:hint="eastAsia"/>
                      <w:color w:val="auto"/>
                      <w:highlight w:val="none"/>
                      <w:lang w:val="en-US" w:eastAsia="zh-CN"/>
                    </w:rPr>
                    <w:t>/</w:t>
                  </w:r>
                </w:p>
              </w:tc>
            </w:tr>
            <w:tr w14:paraId="6D582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21" w:type="pct"/>
                  <w:noWrap/>
                  <w:vAlign w:val="center"/>
                </w:tcPr>
                <w:p w14:paraId="09BCF615">
                  <w:pPr>
                    <w:pStyle w:val="30"/>
                    <w:bidi w:val="0"/>
                    <w:rPr>
                      <w:rFonts w:hint="default"/>
                      <w:color w:val="auto"/>
                      <w:highlight w:val="none"/>
                      <w:lang w:eastAsia="zh-CN"/>
                    </w:rPr>
                  </w:pPr>
                  <w:r>
                    <w:rPr>
                      <w:rFonts w:hint="default"/>
                      <w:color w:val="auto"/>
                      <w:highlight w:val="none"/>
                      <w:lang w:eastAsia="zh-CN"/>
                    </w:rPr>
                    <w:t>2</w:t>
                  </w:r>
                </w:p>
              </w:tc>
              <w:tc>
                <w:tcPr>
                  <w:tcW w:w="1254" w:type="pct"/>
                  <w:noWrap/>
                  <w:vAlign w:val="center"/>
                </w:tcPr>
                <w:p w14:paraId="27BFFAD3">
                  <w:pPr>
                    <w:pStyle w:val="30"/>
                    <w:bidi w:val="0"/>
                    <w:rPr>
                      <w:rFonts w:hint="default"/>
                      <w:color w:val="auto"/>
                      <w:highlight w:val="none"/>
                      <w:lang w:val="en-US" w:eastAsia="zh-CN"/>
                    </w:rPr>
                  </w:pPr>
                  <w:r>
                    <w:rPr>
                      <w:rFonts w:hint="default"/>
                      <w:color w:val="auto"/>
                      <w:highlight w:val="none"/>
                      <w:lang w:val="en-US" w:eastAsia="zh-CN"/>
                    </w:rPr>
                    <w:t>宠物洗浴用水</w:t>
                  </w:r>
                </w:p>
              </w:tc>
              <w:tc>
                <w:tcPr>
                  <w:tcW w:w="1251" w:type="dxa"/>
                  <w:noWrap/>
                  <w:vAlign w:val="center"/>
                </w:tcPr>
                <w:p w14:paraId="44075D86">
                  <w:pPr>
                    <w:pStyle w:val="30"/>
                    <w:bidi w:val="0"/>
                    <w:rPr>
                      <w:rFonts w:hint="default"/>
                      <w:color w:val="auto"/>
                      <w:highlight w:val="none"/>
                      <w:lang w:val="en-US" w:eastAsia="zh-CN"/>
                    </w:rPr>
                  </w:pPr>
                  <w:r>
                    <w:rPr>
                      <w:rFonts w:hint="eastAsia"/>
                      <w:color w:val="auto"/>
                      <w:highlight w:val="none"/>
                      <w:lang w:val="en-US" w:eastAsia="zh-CN"/>
                    </w:rPr>
                    <w:t>36.5</w:t>
                  </w:r>
                </w:p>
              </w:tc>
              <w:tc>
                <w:tcPr>
                  <w:tcW w:w="932" w:type="pct"/>
                  <w:noWrap w:val="0"/>
                  <w:vAlign w:val="center"/>
                </w:tcPr>
                <w:p w14:paraId="7A6752A3">
                  <w:pPr>
                    <w:pStyle w:val="30"/>
                    <w:bidi w:val="0"/>
                    <w:rPr>
                      <w:rFonts w:hint="default"/>
                      <w:color w:val="auto"/>
                      <w:highlight w:val="none"/>
                      <w:lang w:val="en-US" w:eastAsia="zh-CN"/>
                    </w:rPr>
                  </w:pPr>
                  <w:r>
                    <w:rPr>
                      <w:rFonts w:hint="eastAsia"/>
                      <w:color w:val="auto"/>
                      <w:highlight w:val="none"/>
                      <w:lang w:val="en-US" w:eastAsia="zh-CN"/>
                    </w:rPr>
                    <w:t>7.3</w:t>
                  </w:r>
                </w:p>
              </w:tc>
              <w:tc>
                <w:tcPr>
                  <w:tcW w:w="1664" w:type="dxa"/>
                  <w:noWrap w:val="0"/>
                  <w:vAlign w:val="center"/>
                </w:tcPr>
                <w:p w14:paraId="4329B1E2">
                  <w:pPr>
                    <w:pStyle w:val="30"/>
                    <w:bidi w:val="0"/>
                    <w:rPr>
                      <w:rFonts w:hint="default"/>
                      <w:color w:val="auto"/>
                      <w:highlight w:val="none"/>
                      <w:lang w:val="en-US" w:eastAsia="zh-CN"/>
                    </w:rPr>
                  </w:pPr>
                  <w:r>
                    <w:rPr>
                      <w:rFonts w:hint="eastAsia"/>
                      <w:color w:val="auto"/>
                      <w:highlight w:val="none"/>
                      <w:lang w:val="en-US" w:eastAsia="zh-CN"/>
                    </w:rPr>
                    <w:t>29.2</w:t>
                  </w:r>
                </w:p>
              </w:tc>
              <w:tc>
                <w:tcPr>
                  <w:tcW w:w="595" w:type="pct"/>
                  <w:noWrap/>
                  <w:vAlign w:val="center"/>
                </w:tcPr>
                <w:p w14:paraId="5FB64C38">
                  <w:pPr>
                    <w:pStyle w:val="30"/>
                    <w:bidi w:val="0"/>
                    <w:rPr>
                      <w:rFonts w:hint="default"/>
                      <w:color w:val="auto"/>
                      <w:highlight w:val="none"/>
                      <w:lang w:val="en-US" w:eastAsia="zh-CN"/>
                    </w:rPr>
                  </w:pPr>
                  <w:r>
                    <w:rPr>
                      <w:rFonts w:hint="eastAsia"/>
                      <w:color w:val="auto"/>
                      <w:highlight w:val="none"/>
                      <w:lang w:val="en-US" w:eastAsia="zh-CN"/>
                    </w:rPr>
                    <w:t>/</w:t>
                  </w:r>
                </w:p>
              </w:tc>
            </w:tr>
            <w:tr w14:paraId="2C8E3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21" w:type="pct"/>
                  <w:noWrap/>
                  <w:vAlign w:val="center"/>
                </w:tcPr>
                <w:p w14:paraId="2DA8CD88">
                  <w:pPr>
                    <w:pStyle w:val="30"/>
                    <w:bidi w:val="0"/>
                    <w:rPr>
                      <w:rFonts w:hint="default"/>
                      <w:color w:val="auto"/>
                      <w:highlight w:val="none"/>
                      <w:lang w:val="en-US" w:eastAsia="zh-CN"/>
                    </w:rPr>
                  </w:pPr>
                  <w:r>
                    <w:rPr>
                      <w:rFonts w:hint="default"/>
                      <w:color w:val="auto"/>
                      <w:highlight w:val="none"/>
                      <w:lang w:val="en-US" w:eastAsia="zh-CN"/>
                    </w:rPr>
                    <w:t>3</w:t>
                  </w:r>
                </w:p>
              </w:tc>
              <w:tc>
                <w:tcPr>
                  <w:tcW w:w="1254" w:type="pct"/>
                  <w:noWrap/>
                  <w:vAlign w:val="center"/>
                </w:tcPr>
                <w:p w14:paraId="6C09F03C">
                  <w:pPr>
                    <w:pStyle w:val="30"/>
                    <w:bidi w:val="0"/>
                    <w:rPr>
                      <w:rFonts w:hint="default"/>
                      <w:color w:val="auto"/>
                      <w:highlight w:val="none"/>
                      <w:lang w:val="en-US" w:eastAsia="zh-CN"/>
                    </w:rPr>
                  </w:pPr>
                  <w:r>
                    <w:rPr>
                      <w:rFonts w:hint="default"/>
                      <w:color w:val="auto"/>
                      <w:highlight w:val="none"/>
                      <w:lang w:val="en-US" w:eastAsia="zh-CN"/>
                    </w:rPr>
                    <w:t>宠物医疗用水</w:t>
                  </w:r>
                </w:p>
              </w:tc>
              <w:tc>
                <w:tcPr>
                  <w:tcW w:w="1251" w:type="dxa"/>
                  <w:noWrap/>
                  <w:vAlign w:val="center"/>
                </w:tcPr>
                <w:p w14:paraId="0CA141C7">
                  <w:pPr>
                    <w:pStyle w:val="30"/>
                    <w:bidi w:val="0"/>
                    <w:rPr>
                      <w:rFonts w:hint="default"/>
                      <w:color w:val="auto"/>
                      <w:highlight w:val="none"/>
                      <w:lang w:val="en-US" w:eastAsia="zh-CN"/>
                    </w:rPr>
                  </w:pPr>
                  <w:r>
                    <w:rPr>
                      <w:rFonts w:hint="eastAsia"/>
                      <w:color w:val="auto"/>
                      <w:highlight w:val="none"/>
                      <w:lang w:val="en-US" w:eastAsia="zh-CN"/>
                    </w:rPr>
                    <w:t>35.04</w:t>
                  </w:r>
                </w:p>
              </w:tc>
              <w:tc>
                <w:tcPr>
                  <w:tcW w:w="932" w:type="pct"/>
                  <w:noWrap w:val="0"/>
                  <w:vAlign w:val="center"/>
                </w:tcPr>
                <w:p w14:paraId="52AFE41C">
                  <w:pPr>
                    <w:pStyle w:val="30"/>
                    <w:bidi w:val="0"/>
                    <w:rPr>
                      <w:rFonts w:hint="default"/>
                      <w:color w:val="auto"/>
                      <w:highlight w:val="none"/>
                      <w:lang w:val="en-US" w:eastAsia="zh-CN"/>
                    </w:rPr>
                  </w:pPr>
                  <w:r>
                    <w:rPr>
                      <w:rFonts w:hint="eastAsia"/>
                      <w:color w:val="auto"/>
                      <w:highlight w:val="none"/>
                      <w:lang w:val="en-US" w:eastAsia="zh-CN"/>
                    </w:rPr>
                    <w:t>7.008</w:t>
                  </w:r>
                </w:p>
              </w:tc>
              <w:tc>
                <w:tcPr>
                  <w:tcW w:w="1664" w:type="dxa"/>
                  <w:noWrap w:val="0"/>
                  <w:vAlign w:val="center"/>
                </w:tcPr>
                <w:p w14:paraId="7539560C">
                  <w:pPr>
                    <w:pStyle w:val="30"/>
                    <w:bidi w:val="0"/>
                    <w:rPr>
                      <w:rFonts w:hint="default"/>
                      <w:color w:val="auto"/>
                      <w:highlight w:val="none"/>
                      <w:lang w:val="en-US" w:eastAsia="zh-CN"/>
                    </w:rPr>
                  </w:pPr>
                  <w:r>
                    <w:rPr>
                      <w:rFonts w:hint="eastAsia"/>
                      <w:color w:val="auto"/>
                      <w:highlight w:val="none"/>
                      <w:lang w:val="en-US" w:eastAsia="zh-CN"/>
                    </w:rPr>
                    <w:t>28.032</w:t>
                  </w:r>
                </w:p>
              </w:tc>
              <w:tc>
                <w:tcPr>
                  <w:tcW w:w="595" w:type="pct"/>
                  <w:noWrap/>
                  <w:vAlign w:val="center"/>
                </w:tcPr>
                <w:p w14:paraId="1AB06122">
                  <w:pPr>
                    <w:pStyle w:val="30"/>
                    <w:bidi w:val="0"/>
                    <w:rPr>
                      <w:rFonts w:hint="default"/>
                      <w:color w:val="auto"/>
                      <w:highlight w:val="none"/>
                      <w:lang w:val="en-US" w:eastAsia="zh-CN"/>
                    </w:rPr>
                  </w:pPr>
                  <w:r>
                    <w:rPr>
                      <w:rFonts w:hint="eastAsia"/>
                      <w:color w:val="auto"/>
                      <w:highlight w:val="none"/>
                      <w:lang w:val="en-US" w:eastAsia="zh-CN"/>
                    </w:rPr>
                    <w:t>/</w:t>
                  </w:r>
                </w:p>
              </w:tc>
            </w:tr>
            <w:tr w14:paraId="09394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21" w:type="pct"/>
                  <w:noWrap/>
                  <w:vAlign w:val="center"/>
                </w:tcPr>
                <w:p w14:paraId="5460D9AA">
                  <w:pPr>
                    <w:pStyle w:val="30"/>
                    <w:bidi w:val="0"/>
                    <w:rPr>
                      <w:rFonts w:hint="default"/>
                      <w:color w:val="auto"/>
                      <w:highlight w:val="none"/>
                      <w:lang w:val="en-US" w:eastAsia="zh-CN"/>
                    </w:rPr>
                  </w:pPr>
                  <w:r>
                    <w:rPr>
                      <w:rFonts w:hint="eastAsia"/>
                      <w:color w:val="auto"/>
                      <w:highlight w:val="none"/>
                      <w:lang w:val="en-US" w:eastAsia="zh-CN"/>
                    </w:rPr>
                    <w:t>4</w:t>
                  </w:r>
                </w:p>
              </w:tc>
              <w:tc>
                <w:tcPr>
                  <w:tcW w:w="1254" w:type="pct"/>
                  <w:noWrap/>
                  <w:vAlign w:val="center"/>
                </w:tcPr>
                <w:p w14:paraId="35488814">
                  <w:pPr>
                    <w:pStyle w:val="30"/>
                    <w:bidi w:val="0"/>
                    <w:rPr>
                      <w:rFonts w:hint="default"/>
                      <w:color w:val="auto"/>
                      <w:highlight w:val="none"/>
                      <w:lang w:val="en-US" w:eastAsia="zh-CN"/>
                    </w:rPr>
                  </w:pPr>
                  <w:r>
                    <w:rPr>
                      <w:rFonts w:hint="default"/>
                      <w:color w:val="auto"/>
                      <w:highlight w:val="none"/>
                      <w:lang w:val="en-US" w:eastAsia="zh-CN"/>
                    </w:rPr>
                    <w:t>清洗消毒</w:t>
                  </w:r>
                  <w:r>
                    <w:rPr>
                      <w:rFonts w:hint="eastAsia"/>
                      <w:color w:val="auto"/>
                      <w:highlight w:val="none"/>
                      <w:lang w:val="en-US" w:eastAsia="zh-CN"/>
                    </w:rPr>
                    <w:t>用水</w:t>
                  </w:r>
                </w:p>
              </w:tc>
              <w:tc>
                <w:tcPr>
                  <w:tcW w:w="1251" w:type="dxa"/>
                  <w:noWrap/>
                  <w:vAlign w:val="center"/>
                </w:tcPr>
                <w:p w14:paraId="1394790E">
                  <w:pPr>
                    <w:pStyle w:val="30"/>
                    <w:bidi w:val="0"/>
                    <w:rPr>
                      <w:rFonts w:hint="default"/>
                      <w:color w:val="auto"/>
                      <w:highlight w:val="none"/>
                      <w:lang w:val="en-US" w:eastAsia="zh-CN"/>
                    </w:rPr>
                  </w:pPr>
                  <w:r>
                    <w:rPr>
                      <w:rFonts w:hint="eastAsia"/>
                      <w:color w:val="auto"/>
                      <w:highlight w:val="none"/>
                      <w:lang w:val="en-US" w:eastAsia="zh-CN"/>
                    </w:rPr>
                    <w:t>18.25</w:t>
                  </w:r>
                </w:p>
              </w:tc>
              <w:tc>
                <w:tcPr>
                  <w:tcW w:w="932" w:type="pct"/>
                  <w:noWrap w:val="0"/>
                  <w:vAlign w:val="center"/>
                </w:tcPr>
                <w:p w14:paraId="46E165BE">
                  <w:pPr>
                    <w:pStyle w:val="30"/>
                    <w:bidi w:val="0"/>
                    <w:rPr>
                      <w:rFonts w:hint="default"/>
                      <w:color w:val="auto"/>
                      <w:highlight w:val="none"/>
                      <w:lang w:val="en-US" w:eastAsia="zh-CN"/>
                    </w:rPr>
                  </w:pPr>
                  <w:r>
                    <w:rPr>
                      <w:rFonts w:hint="eastAsia"/>
                      <w:color w:val="auto"/>
                      <w:highlight w:val="none"/>
                      <w:lang w:val="en-US" w:eastAsia="zh-CN"/>
                    </w:rPr>
                    <w:t>3.65</w:t>
                  </w:r>
                </w:p>
              </w:tc>
              <w:tc>
                <w:tcPr>
                  <w:tcW w:w="1664" w:type="dxa"/>
                  <w:noWrap w:val="0"/>
                  <w:vAlign w:val="center"/>
                </w:tcPr>
                <w:p w14:paraId="0722471F">
                  <w:pPr>
                    <w:pStyle w:val="30"/>
                    <w:bidi w:val="0"/>
                    <w:rPr>
                      <w:rFonts w:hint="default"/>
                      <w:color w:val="auto"/>
                      <w:highlight w:val="none"/>
                      <w:lang w:val="en-US" w:eastAsia="zh-CN"/>
                    </w:rPr>
                  </w:pPr>
                  <w:r>
                    <w:rPr>
                      <w:rFonts w:hint="eastAsia"/>
                      <w:color w:val="auto"/>
                      <w:highlight w:val="none"/>
                      <w:lang w:val="en-US" w:eastAsia="zh-CN"/>
                    </w:rPr>
                    <w:t>14.6</w:t>
                  </w:r>
                </w:p>
              </w:tc>
              <w:tc>
                <w:tcPr>
                  <w:tcW w:w="595" w:type="pct"/>
                  <w:noWrap/>
                  <w:vAlign w:val="center"/>
                </w:tcPr>
                <w:p w14:paraId="727450DB">
                  <w:pPr>
                    <w:pStyle w:val="30"/>
                    <w:bidi w:val="0"/>
                    <w:rPr>
                      <w:rFonts w:hint="default"/>
                      <w:color w:val="auto"/>
                      <w:highlight w:val="none"/>
                      <w:lang w:val="en-US" w:eastAsia="zh-CN"/>
                    </w:rPr>
                  </w:pPr>
                  <w:r>
                    <w:rPr>
                      <w:rFonts w:hint="eastAsia"/>
                      <w:color w:val="auto"/>
                      <w:highlight w:val="none"/>
                      <w:lang w:val="en-US" w:eastAsia="zh-CN"/>
                    </w:rPr>
                    <w:t>/</w:t>
                  </w:r>
                </w:p>
              </w:tc>
            </w:tr>
            <w:tr w14:paraId="4CFA0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21" w:type="pct"/>
                  <w:tcBorders>
                    <w:top w:val="single" w:color="auto" w:sz="2" w:space="0"/>
                  </w:tcBorders>
                  <w:noWrap/>
                  <w:vAlign w:val="center"/>
                </w:tcPr>
                <w:p w14:paraId="7D80243D">
                  <w:pPr>
                    <w:pStyle w:val="30"/>
                    <w:bidi w:val="0"/>
                    <w:rPr>
                      <w:rFonts w:hint="default"/>
                      <w:color w:val="auto"/>
                      <w:highlight w:val="none"/>
                      <w:lang w:val="en-US" w:eastAsia="zh-CN"/>
                    </w:rPr>
                  </w:pPr>
                  <w:r>
                    <w:rPr>
                      <w:rFonts w:hint="eastAsia"/>
                      <w:color w:val="auto"/>
                      <w:highlight w:val="none"/>
                      <w:lang w:val="en-US" w:eastAsia="zh-CN"/>
                    </w:rPr>
                    <w:t>5</w:t>
                  </w:r>
                </w:p>
              </w:tc>
              <w:tc>
                <w:tcPr>
                  <w:tcW w:w="1254" w:type="pct"/>
                  <w:tcBorders>
                    <w:top w:val="single" w:color="auto" w:sz="2" w:space="0"/>
                  </w:tcBorders>
                  <w:noWrap/>
                  <w:vAlign w:val="center"/>
                </w:tcPr>
                <w:p w14:paraId="636D161D">
                  <w:pPr>
                    <w:pStyle w:val="30"/>
                    <w:bidi w:val="0"/>
                    <w:rPr>
                      <w:rFonts w:hint="default"/>
                      <w:color w:val="auto"/>
                      <w:highlight w:val="none"/>
                      <w:lang w:eastAsia="zh-CN"/>
                    </w:rPr>
                  </w:pPr>
                  <w:r>
                    <w:rPr>
                      <w:rFonts w:hint="default"/>
                      <w:color w:val="auto"/>
                      <w:highlight w:val="none"/>
                      <w:lang w:eastAsia="zh-CN"/>
                    </w:rPr>
                    <w:t>未预见及漏失水量</w:t>
                  </w:r>
                </w:p>
              </w:tc>
              <w:tc>
                <w:tcPr>
                  <w:tcW w:w="1251" w:type="dxa"/>
                  <w:noWrap/>
                  <w:vAlign w:val="center"/>
                </w:tcPr>
                <w:p w14:paraId="4FA48FA5">
                  <w:pPr>
                    <w:pStyle w:val="30"/>
                    <w:bidi w:val="0"/>
                    <w:rPr>
                      <w:rFonts w:hint="default"/>
                      <w:color w:val="auto"/>
                      <w:highlight w:val="none"/>
                      <w:lang w:val="en-US" w:eastAsia="zh-CN"/>
                    </w:rPr>
                  </w:pPr>
                  <w:r>
                    <w:rPr>
                      <w:rFonts w:hint="eastAsia"/>
                      <w:color w:val="auto"/>
                      <w:highlight w:val="none"/>
                      <w:lang w:val="en-US" w:eastAsia="zh-CN"/>
                    </w:rPr>
                    <w:t>38.179</w:t>
                  </w:r>
                </w:p>
              </w:tc>
              <w:tc>
                <w:tcPr>
                  <w:tcW w:w="932" w:type="pct"/>
                  <w:noWrap w:val="0"/>
                  <w:vAlign w:val="center"/>
                </w:tcPr>
                <w:p w14:paraId="24504A14">
                  <w:pPr>
                    <w:pStyle w:val="30"/>
                    <w:bidi w:val="0"/>
                    <w:rPr>
                      <w:rFonts w:hint="default"/>
                      <w:color w:val="auto"/>
                      <w:highlight w:val="none"/>
                      <w:lang w:val="en-US" w:eastAsia="zh-CN"/>
                    </w:rPr>
                  </w:pPr>
                  <w:r>
                    <w:rPr>
                      <w:rFonts w:hint="eastAsia"/>
                      <w:color w:val="auto"/>
                      <w:highlight w:val="none"/>
                      <w:lang w:val="en-US" w:eastAsia="zh-CN"/>
                    </w:rPr>
                    <w:t>38.179</w:t>
                  </w:r>
                </w:p>
              </w:tc>
              <w:tc>
                <w:tcPr>
                  <w:tcW w:w="1664" w:type="dxa"/>
                  <w:noWrap w:val="0"/>
                  <w:vAlign w:val="center"/>
                </w:tcPr>
                <w:p w14:paraId="16444DDE">
                  <w:pPr>
                    <w:pStyle w:val="30"/>
                    <w:bidi w:val="0"/>
                    <w:rPr>
                      <w:rFonts w:hint="default"/>
                      <w:color w:val="auto"/>
                      <w:highlight w:val="none"/>
                      <w:lang w:val="en-US" w:eastAsia="zh-CN"/>
                    </w:rPr>
                  </w:pPr>
                  <w:r>
                    <w:rPr>
                      <w:rFonts w:hint="eastAsia"/>
                      <w:color w:val="auto"/>
                      <w:highlight w:val="none"/>
                      <w:lang w:val="en-US" w:eastAsia="zh-CN"/>
                    </w:rPr>
                    <w:t>/</w:t>
                  </w:r>
                </w:p>
              </w:tc>
              <w:tc>
                <w:tcPr>
                  <w:tcW w:w="595" w:type="pct"/>
                  <w:noWrap/>
                  <w:vAlign w:val="center"/>
                </w:tcPr>
                <w:p w14:paraId="7FC18E13">
                  <w:pPr>
                    <w:pStyle w:val="30"/>
                    <w:bidi w:val="0"/>
                    <w:rPr>
                      <w:rFonts w:hint="default"/>
                      <w:color w:val="auto"/>
                      <w:highlight w:val="none"/>
                      <w:lang w:val="en-US" w:eastAsia="zh-CN"/>
                    </w:rPr>
                  </w:pPr>
                  <w:r>
                    <w:rPr>
                      <w:rFonts w:hint="default"/>
                      <w:color w:val="auto"/>
                      <w:highlight w:val="none"/>
                      <w:lang w:val="en-US" w:eastAsia="zh-CN"/>
                    </w:rPr>
                    <w:t>全部损耗，不外排</w:t>
                  </w:r>
                </w:p>
              </w:tc>
            </w:tr>
            <w:tr w14:paraId="125F8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675" w:type="pct"/>
                  <w:gridSpan w:val="2"/>
                  <w:noWrap/>
                  <w:vAlign w:val="center"/>
                </w:tcPr>
                <w:p w14:paraId="00463672">
                  <w:pPr>
                    <w:pStyle w:val="30"/>
                    <w:bidi w:val="0"/>
                    <w:rPr>
                      <w:rFonts w:hint="default"/>
                      <w:color w:val="auto"/>
                      <w:highlight w:val="none"/>
                      <w:lang w:eastAsia="zh-CN"/>
                    </w:rPr>
                  </w:pPr>
                  <w:r>
                    <w:rPr>
                      <w:rFonts w:hint="default"/>
                      <w:color w:val="auto"/>
                      <w:highlight w:val="none"/>
                      <w:lang w:eastAsia="zh-CN"/>
                    </w:rPr>
                    <w:t>合计</w:t>
                  </w:r>
                </w:p>
              </w:tc>
              <w:tc>
                <w:tcPr>
                  <w:tcW w:w="1251" w:type="dxa"/>
                  <w:tcBorders>
                    <w:left w:val="single" w:color="auto" w:sz="4" w:space="0"/>
                  </w:tcBorders>
                  <w:noWrap/>
                  <w:vAlign w:val="center"/>
                </w:tcPr>
                <w:p w14:paraId="54446F2B">
                  <w:pPr>
                    <w:pStyle w:val="30"/>
                    <w:bidi w:val="0"/>
                    <w:rPr>
                      <w:rFonts w:hint="default"/>
                      <w:color w:val="auto"/>
                      <w:highlight w:val="none"/>
                      <w:lang w:val="en-US" w:eastAsia="zh-CN"/>
                    </w:rPr>
                  </w:pPr>
                  <w:r>
                    <w:rPr>
                      <w:rFonts w:hint="eastAsia"/>
                      <w:color w:val="auto"/>
                      <w:highlight w:val="none"/>
                      <w:lang w:val="en-US" w:eastAsia="zh-CN"/>
                    </w:rPr>
                    <w:t>419.969</w:t>
                  </w:r>
                </w:p>
              </w:tc>
              <w:tc>
                <w:tcPr>
                  <w:tcW w:w="932" w:type="pct"/>
                  <w:tcBorders>
                    <w:left w:val="single" w:color="auto" w:sz="4" w:space="0"/>
                  </w:tcBorders>
                  <w:noWrap w:val="0"/>
                  <w:vAlign w:val="center"/>
                </w:tcPr>
                <w:p w14:paraId="6A08F405">
                  <w:pPr>
                    <w:pStyle w:val="30"/>
                    <w:bidi w:val="0"/>
                    <w:rPr>
                      <w:rFonts w:hint="default"/>
                      <w:color w:val="auto"/>
                      <w:highlight w:val="none"/>
                      <w:lang w:val="en-US" w:eastAsia="zh-CN"/>
                    </w:rPr>
                  </w:pPr>
                  <w:r>
                    <w:rPr>
                      <w:rFonts w:hint="eastAsia"/>
                      <w:color w:val="auto"/>
                      <w:highlight w:val="none"/>
                      <w:lang w:val="en-US" w:eastAsia="zh-CN"/>
                    </w:rPr>
                    <w:t>114.537</w:t>
                  </w:r>
                </w:p>
              </w:tc>
              <w:tc>
                <w:tcPr>
                  <w:tcW w:w="1664" w:type="dxa"/>
                  <w:tcBorders>
                    <w:left w:val="single" w:color="auto" w:sz="4" w:space="0"/>
                  </w:tcBorders>
                  <w:noWrap w:val="0"/>
                  <w:vAlign w:val="center"/>
                </w:tcPr>
                <w:p w14:paraId="7DEFCF44">
                  <w:pPr>
                    <w:pStyle w:val="30"/>
                    <w:bidi w:val="0"/>
                    <w:rPr>
                      <w:rFonts w:hint="default"/>
                      <w:color w:val="auto"/>
                      <w:highlight w:val="none"/>
                      <w:lang w:val="en-US" w:eastAsia="zh-CN"/>
                    </w:rPr>
                  </w:pPr>
                  <w:r>
                    <w:rPr>
                      <w:rFonts w:hint="eastAsia"/>
                      <w:color w:val="auto"/>
                      <w:highlight w:val="none"/>
                      <w:lang w:val="en-US" w:eastAsia="zh-CN"/>
                    </w:rPr>
                    <w:t>305.432</w:t>
                  </w:r>
                </w:p>
              </w:tc>
              <w:tc>
                <w:tcPr>
                  <w:tcW w:w="595" w:type="pct"/>
                  <w:noWrap/>
                  <w:vAlign w:val="center"/>
                </w:tcPr>
                <w:p w14:paraId="5B15B805">
                  <w:pPr>
                    <w:pStyle w:val="30"/>
                    <w:bidi w:val="0"/>
                    <w:rPr>
                      <w:rFonts w:hint="default"/>
                      <w:color w:val="auto"/>
                      <w:highlight w:val="none"/>
                      <w:lang w:val="en-US" w:eastAsia="zh-CN"/>
                    </w:rPr>
                  </w:pPr>
                  <w:r>
                    <w:rPr>
                      <w:rFonts w:hint="eastAsia"/>
                      <w:color w:val="auto"/>
                      <w:highlight w:val="none"/>
                      <w:lang w:val="en-US" w:eastAsia="zh-CN"/>
                    </w:rPr>
                    <w:t>/</w:t>
                  </w:r>
                </w:p>
              </w:tc>
            </w:tr>
          </w:tbl>
          <w:p w14:paraId="5A3A2F1A">
            <w:pPr>
              <w:pStyle w:val="31"/>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水平衡分析图：</w:t>
            </w:r>
          </w:p>
          <w:p w14:paraId="204D0D3D">
            <w:pPr>
              <w:pStyle w:val="31"/>
              <w:bidi w:val="0"/>
              <w:ind w:left="0" w:leftChars="0" w:firstLine="0" w:firstLineChars="0"/>
              <w:jc w:val="center"/>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object>
                <v:shape id="_x0000_i1025" o:spt="75" type="#_x0000_t75" style="height:270pt;width:402.75pt;" o:ole="t" filled="f" o:preferrelative="t" stroked="f" coordsize="21600,21600">
                  <v:path/>
                  <v:fill on="f" focussize="0,0"/>
                  <v:stroke on="f"/>
                  <v:imagedata r:id="rId14" o:title=""/>
                  <o:lock v:ext="edit" aspectratio="t"/>
                  <w10:wrap type="none"/>
                  <w10:anchorlock/>
                </v:shape>
                <o:OLEObject Type="Embed" ProgID="Visio.Drawing.15" ShapeID="_x0000_i1025" DrawAspect="Content" ObjectID="_1468075725" r:id="rId13">
                  <o:LockedField>false</o:LockedField>
                </o:OLEObject>
              </w:object>
            </w:r>
          </w:p>
          <w:p w14:paraId="3D3C3639">
            <w:pPr>
              <w:pStyle w:val="29"/>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图</w:t>
            </w:r>
            <w:r>
              <w:rPr>
                <w:rFonts w:hint="default" w:ascii="Times New Roman" w:hAnsi="Times New Roman" w:cs="Times New Roman"/>
                <w:color w:val="auto"/>
                <w:highlight w:val="none"/>
                <w:lang w:val="en-US" w:eastAsia="zh-CN"/>
              </w:rPr>
              <w:t>2-1</w:t>
            </w:r>
            <w:r>
              <w:rPr>
                <w:rFonts w:hint="default" w:ascii="Times New Roman" w:hAnsi="Times New Roman" w:cs="Times New Roman"/>
                <w:color w:val="auto"/>
                <w:highlight w:val="none"/>
                <w:lang w:eastAsia="zh-CN"/>
              </w:rPr>
              <w:t xml:space="preserve">    本项目水平衡图   单位m</w:t>
            </w:r>
            <w:r>
              <w:rPr>
                <w:rFonts w:hint="default" w:ascii="Times New Roman" w:hAnsi="Times New Roman" w:cs="Times New Roman"/>
                <w:color w:val="auto"/>
                <w:highlight w:val="none"/>
                <w:vertAlign w:val="superscript"/>
                <w:lang w:eastAsia="zh-CN"/>
              </w:rPr>
              <w:t>3</w:t>
            </w:r>
            <w:r>
              <w:rPr>
                <w:rFonts w:hint="default" w:ascii="Times New Roman" w:hAnsi="Times New Roman" w:cs="Times New Roman"/>
                <w:color w:val="auto"/>
                <w:highlight w:val="none"/>
                <w:lang w:eastAsia="zh-CN"/>
              </w:rPr>
              <w:t>/a</w:t>
            </w:r>
          </w:p>
          <w:p w14:paraId="60BE2AD8">
            <w:pPr>
              <w:pStyle w:val="4"/>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val="en-US" w:eastAsia="zh-CN"/>
              </w:rPr>
              <w:t>2.</w:t>
            </w:r>
            <w:r>
              <w:rPr>
                <w:rFonts w:hint="eastAsia" w:cs="Times New Roman"/>
                <w:color w:val="auto"/>
                <w:highlight w:val="none"/>
                <w:lang w:val="en-US" w:eastAsia="zh-CN"/>
              </w:rPr>
              <w:t>6</w:t>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lang w:eastAsia="zh-CN"/>
              </w:rPr>
              <w:t>供电</w:t>
            </w:r>
          </w:p>
          <w:p w14:paraId="2BEB211E">
            <w:pPr>
              <w:pStyle w:val="31"/>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项目用电由市政电力系统统一供给，能够满足项目区用电需求。</w:t>
            </w:r>
          </w:p>
          <w:p w14:paraId="357F3716">
            <w:pPr>
              <w:pStyle w:val="4"/>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val="en-US" w:eastAsia="zh-CN"/>
              </w:rPr>
              <w:t>2.</w:t>
            </w:r>
            <w:r>
              <w:rPr>
                <w:rFonts w:hint="eastAsia" w:cs="Times New Roman"/>
                <w:color w:val="auto"/>
                <w:highlight w:val="none"/>
                <w:lang w:val="en-US" w:eastAsia="zh-CN"/>
              </w:rPr>
              <w:t>6</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3</w:t>
            </w:r>
            <w:r>
              <w:rPr>
                <w:rFonts w:hint="default" w:ascii="Times New Roman" w:hAnsi="Times New Roman" w:cs="Times New Roman"/>
                <w:color w:val="auto"/>
                <w:highlight w:val="none"/>
                <w:lang w:eastAsia="zh-CN"/>
              </w:rPr>
              <w:t>供暖</w:t>
            </w:r>
          </w:p>
          <w:p w14:paraId="04808B76">
            <w:pPr>
              <w:pStyle w:val="31"/>
              <w:bidi w:val="0"/>
              <w:rPr>
                <w:rFonts w:hint="default" w:ascii="Times New Roman" w:hAnsi="Times New Roman" w:cs="Times New Roman"/>
                <w:color w:val="auto"/>
                <w:highlight w:val="none"/>
                <w:lang w:eastAsia="zh-CN"/>
              </w:rPr>
            </w:pPr>
            <w:bookmarkStart w:id="10" w:name="_Toc14593"/>
            <w:r>
              <w:rPr>
                <w:rFonts w:hint="default" w:ascii="Times New Roman" w:hAnsi="Times New Roman" w:cs="Times New Roman"/>
                <w:color w:val="auto"/>
                <w:highlight w:val="none"/>
                <w:lang w:eastAsia="zh-CN"/>
              </w:rPr>
              <w:t>本项目</w:t>
            </w:r>
            <w:r>
              <w:rPr>
                <w:rFonts w:hint="default" w:ascii="Times New Roman" w:hAnsi="Times New Roman" w:cs="Times New Roman"/>
                <w:color w:val="auto"/>
                <w:highlight w:val="none"/>
                <w:lang w:val="en-US" w:eastAsia="zh-CN"/>
              </w:rPr>
              <w:t>冬季由</w:t>
            </w:r>
            <w:r>
              <w:rPr>
                <w:rFonts w:hint="eastAsia" w:cs="Times New Roman"/>
                <w:color w:val="auto"/>
                <w:spacing w:val="6"/>
                <w:sz w:val="24"/>
                <w:szCs w:val="24"/>
                <w:highlight w:val="none"/>
                <w:lang w:eastAsia="zh-CN"/>
              </w:rPr>
              <w:t>库尔勒</w:t>
            </w:r>
            <w:r>
              <w:rPr>
                <w:rFonts w:hint="eastAsia" w:cs="Times New Roman"/>
                <w:color w:val="auto"/>
                <w:highlight w:val="none"/>
                <w:lang w:val="en-US" w:eastAsia="zh-CN"/>
              </w:rPr>
              <w:t>市</w:t>
            </w:r>
            <w:r>
              <w:rPr>
                <w:rFonts w:hint="default" w:ascii="Times New Roman" w:hAnsi="Times New Roman" w:cs="Times New Roman"/>
                <w:color w:val="auto"/>
                <w:highlight w:val="none"/>
                <w:lang w:eastAsia="zh-CN"/>
              </w:rPr>
              <w:t>集中供暖。</w:t>
            </w:r>
            <w:bookmarkEnd w:id="10"/>
          </w:p>
          <w:p w14:paraId="2250C455">
            <w:pPr>
              <w:pStyle w:val="3"/>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val="en-US" w:eastAsia="zh-CN"/>
              </w:rPr>
              <w:t>2.</w:t>
            </w:r>
            <w:r>
              <w:rPr>
                <w:rFonts w:hint="eastAsia" w:cs="Times New Roman"/>
                <w:color w:val="auto"/>
                <w:highlight w:val="none"/>
                <w:lang w:val="en-US" w:eastAsia="zh-CN"/>
              </w:rPr>
              <w:t>7</w:t>
            </w:r>
            <w:r>
              <w:rPr>
                <w:rFonts w:hint="default" w:ascii="Times New Roman" w:hAnsi="Times New Roman" w:cs="Times New Roman"/>
                <w:color w:val="auto"/>
                <w:highlight w:val="none"/>
                <w:lang w:eastAsia="zh-CN"/>
              </w:rPr>
              <w:t>、总平面布置</w:t>
            </w:r>
          </w:p>
          <w:p w14:paraId="61D15ABF">
            <w:pPr>
              <w:pStyle w:val="31"/>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功能分区布局：</w:t>
            </w:r>
            <w:r>
              <w:rPr>
                <w:rFonts w:hint="eastAsia" w:cs="Times New Roman"/>
                <w:color w:val="auto"/>
                <w:highlight w:val="none"/>
                <w:lang w:val="en-US" w:eastAsia="zh-CN"/>
              </w:rPr>
              <w:t>一</w:t>
            </w:r>
            <w:r>
              <w:rPr>
                <w:rFonts w:hint="default" w:ascii="Times New Roman" w:hAnsi="Times New Roman" w:cs="Times New Roman"/>
                <w:color w:val="auto"/>
                <w:highlight w:val="none"/>
                <w:lang w:val="en-US" w:eastAsia="zh-CN"/>
              </w:rPr>
              <w:t>楼</w:t>
            </w:r>
            <w:r>
              <w:rPr>
                <w:rFonts w:hint="eastAsia" w:cs="Times New Roman"/>
                <w:color w:val="auto"/>
                <w:highlight w:val="none"/>
                <w:lang w:val="en-US" w:eastAsia="zh-CN"/>
              </w:rPr>
              <w:t>西</w:t>
            </w:r>
            <w:r>
              <w:rPr>
                <w:rFonts w:hint="default" w:ascii="Times New Roman" w:hAnsi="Times New Roman" w:cs="Times New Roman"/>
                <w:color w:val="auto"/>
                <w:highlight w:val="none"/>
                <w:lang w:val="en-US" w:eastAsia="zh-CN"/>
              </w:rPr>
              <w:t>侧为大门进出口，</w:t>
            </w:r>
            <w:r>
              <w:rPr>
                <w:rFonts w:hint="eastAsia" w:cs="Times New Roman"/>
                <w:color w:val="auto"/>
                <w:highlight w:val="none"/>
                <w:lang w:val="en-US" w:eastAsia="zh-CN"/>
              </w:rPr>
              <w:t>北侧依次</w:t>
            </w:r>
            <w:r>
              <w:rPr>
                <w:rFonts w:hint="default" w:ascii="Times New Roman" w:hAnsi="Times New Roman" w:cs="Times New Roman"/>
                <w:color w:val="auto"/>
                <w:highlight w:val="none"/>
                <w:lang w:val="en-US" w:eastAsia="zh-CN"/>
              </w:rPr>
              <w:t>设置</w:t>
            </w:r>
            <w:r>
              <w:rPr>
                <w:rFonts w:hint="eastAsia" w:cs="Times New Roman"/>
                <w:color w:val="auto"/>
                <w:highlight w:val="none"/>
                <w:lang w:val="en-US" w:eastAsia="zh-CN"/>
              </w:rPr>
              <w:t>一诊室、二</w:t>
            </w:r>
            <w:r>
              <w:rPr>
                <w:rFonts w:hint="default" w:ascii="Times New Roman" w:hAnsi="Times New Roman" w:cs="Times New Roman"/>
                <w:color w:val="auto"/>
                <w:highlight w:val="none"/>
                <w:lang w:val="en-US" w:eastAsia="zh-CN"/>
              </w:rPr>
              <w:t>诊室</w:t>
            </w:r>
            <w:r>
              <w:rPr>
                <w:rFonts w:hint="eastAsia" w:cs="Times New Roman"/>
                <w:color w:val="auto"/>
                <w:highlight w:val="none"/>
                <w:lang w:val="en-US" w:eastAsia="zh-CN"/>
              </w:rPr>
              <w:t>、化验室、输液室，东南侧设置</w:t>
            </w:r>
            <w:r>
              <w:rPr>
                <w:rFonts w:hint="default" w:ascii="Times New Roman" w:hAnsi="Times New Roman" w:cs="Times New Roman"/>
                <w:color w:val="auto"/>
                <w:highlight w:val="none"/>
                <w:lang w:val="en-US" w:eastAsia="zh-CN"/>
              </w:rPr>
              <w:t>药房</w:t>
            </w:r>
            <w:r>
              <w:rPr>
                <w:rFonts w:hint="eastAsia" w:cs="Times New Roman"/>
                <w:color w:val="auto"/>
                <w:highlight w:val="none"/>
                <w:lang w:val="en-US" w:eastAsia="zh-CN"/>
              </w:rPr>
              <w:t>，二层依次设置犬住院部、办公室、猫住院部、美容室、隔离室、卫生间。负一层设置手术室、X光室、</w:t>
            </w:r>
            <w:r>
              <w:rPr>
                <w:rFonts w:hint="default"/>
                <w:color w:val="auto"/>
                <w:highlight w:val="none"/>
                <w:lang w:val="en-US" w:eastAsia="zh-CN"/>
              </w:rPr>
              <w:t>医疗废物贮存间</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项目整体布局跟操作流程的先后顺序相符合，各功能区分区布置，功能分区明确，详见项目区平面布置见附图</w:t>
            </w:r>
            <w:r>
              <w:rPr>
                <w:rFonts w:hint="eastAsia" w:cs="Times New Roman"/>
                <w:color w:val="auto"/>
                <w:highlight w:val="none"/>
                <w:lang w:val="en-US" w:eastAsia="zh-CN"/>
              </w:rPr>
              <w:t>3</w:t>
            </w:r>
            <w:r>
              <w:rPr>
                <w:rFonts w:hint="default" w:ascii="Times New Roman" w:hAnsi="Times New Roman" w:cs="Times New Roman"/>
                <w:color w:val="auto"/>
                <w:highlight w:val="none"/>
                <w:lang w:val="en-US" w:eastAsia="zh-CN"/>
              </w:rPr>
              <w:t>。</w:t>
            </w:r>
          </w:p>
          <w:p w14:paraId="38966554">
            <w:pPr>
              <w:pStyle w:val="31"/>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环保设施位置：废水处理设施位于</w:t>
            </w:r>
            <w:r>
              <w:rPr>
                <w:rFonts w:hint="eastAsia"/>
                <w:color w:val="auto"/>
                <w:highlight w:val="none"/>
                <w:lang w:val="en-US" w:eastAsia="zh-CN"/>
              </w:rPr>
              <w:t>一层东侧</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一体化污水处理设施设计处理能力为</w:t>
            </w:r>
            <w:r>
              <w:rPr>
                <w:rFonts w:hint="eastAsia" w:cs="Times New Roman"/>
                <w:color w:val="auto"/>
                <w:highlight w:val="none"/>
                <w:lang w:val="en-US" w:eastAsia="zh-CN"/>
              </w:rPr>
              <w:t>0.2m</w:t>
            </w:r>
            <w:r>
              <w:rPr>
                <w:rFonts w:hint="eastAsia" w:cs="Times New Roman"/>
                <w:color w:val="auto"/>
                <w:highlight w:val="none"/>
                <w:vertAlign w:val="superscript"/>
                <w:lang w:val="en-US" w:eastAsia="zh-CN"/>
              </w:rPr>
              <w:t>3</w:t>
            </w:r>
            <w:r>
              <w:rPr>
                <w:rFonts w:hint="eastAsia" w:cs="Times New Roman"/>
                <w:color w:val="auto"/>
                <w:highlight w:val="none"/>
                <w:lang w:val="en-US" w:eastAsia="zh-CN"/>
              </w:rPr>
              <w:t>/d</w:t>
            </w:r>
            <w:r>
              <w:rPr>
                <w:rFonts w:hint="default" w:ascii="Times New Roman" w:hAnsi="Times New Roman" w:cs="Times New Roman"/>
                <w:color w:val="auto"/>
                <w:highlight w:val="none"/>
                <w:lang w:val="en-US" w:eastAsia="zh-CN"/>
              </w:rPr>
              <w:t>。</w:t>
            </w:r>
          </w:p>
          <w:p w14:paraId="7D213C58">
            <w:pPr>
              <w:pStyle w:val="31"/>
              <w:bidi w:val="0"/>
              <w:rPr>
                <w:rFonts w:hint="eastAsia" w:eastAsia="宋体"/>
                <w:color w:val="auto"/>
                <w:lang w:val="en-US" w:eastAsia="zh-CN"/>
              </w:rPr>
            </w:pPr>
            <w:r>
              <w:rPr>
                <w:rFonts w:hint="default"/>
                <w:color w:val="auto"/>
                <w:lang w:val="en-US" w:eastAsia="zh-CN"/>
              </w:rPr>
              <w:t>宠物本身散发或手术产生的异味经加强通风和定期消毒处理；项目诊室、</w:t>
            </w:r>
            <w:r>
              <w:rPr>
                <w:rFonts w:hint="eastAsia"/>
                <w:color w:val="auto"/>
                <w:lang w:val="en-US" w:eastAsia="zh-CN"/>
              </w:rPr>
              <w:t>手术室</w:t>
            </w:r>
            <w:r>
              <w:rPr>
                <w:rFonts w:hint="default"/>
                <w:color w:val="auto"/>
                <w:lang w:val="en-US" w:eastAsia="zh-CN"/>
              </w:rPr>
              <w:t>等均设置在室内，噪声经采取隔声措施处理；院内设置一般固废暂存区、医疗废物收集桶、生活垃圾收集桶等，</w:t>
            </w:r>
            <w:r>
              <w:rPr>
                <w:rFonts w:hint="eastAsia"/>
                <w:color w:val="auto"/>
                <w:lang w:val="en-US" w:eastAsia="zh-CN"/>
              </w:rPr>
              <w:t>危险废物贮存间</w:t>
            </w:r>
            <w:r>
              <w:rPr>
                <w:rFonts w:hint="eastAsia"/>
                <w:color w:val="auto"/>
                <w:highlight w:val="none"/>
                <w:lang w:val="en-US" w:eastAsia="zh-CN"/>
              </w:rPr>
              <w:t>位于项目区南侧</w:t>
            </w:r>
            <w:r>
              <w:rPr>
                <w:rFonts w:hint="eastAsia"/>
                <w:color w:val="auto"/>
                <w:lang w:val="en-US" w:eastAsia="zh-CN"/>
              </w:rPr>
              <w:t>。</w:t>
            </w:r>
            <w:r>
              <w:rPr>
                <w:color w:val="auto"/>
              </w:rPr>
              <w:t>本</w:t>
            </w:r>
            <w:r>
              <w:rPr>
                <w:rFonts w:hint="eastAsia"/>
                <w:color w:val="auto"/>
                <w:lang w:eastAsia="zh-CN"/>
              </w:rPr>
              <w:t>项目</w:t>
            </w:r>
            <w:r>
              <w:rPr>
                <w:color w:val="auto"/>
              </w:rPr>
              <w:t>采取有效污染防治措施，项目建成后，污染物能够达标排放，对周边环境影响较小，不会降低区域现有环境功能</w:t>
            </w:r>
            <w:r>
              <w:rPr>
                <w:rFonts w:hint="eastAsia"/>
                <w:color w:val="auto"/>
                <w:lang w:eastAsia="zh-CN"/>
              </w:rPr>
              <w:t>。</w:t>
            </w:r>
          </w:p>
          <w:p w14:paraId="6E85FBAD">
            <w:pPr>
              <w:pStyle w:val="31"/>
              <w:bidi w:val="0"/>
              <w:rPr>
                <w:rFonts w:hint="default" w:ascii="Times New Roman" w:hAnsi="Times New Roman" w:cs="Times New Roman"/>
                <w:color w:val="auto"/>
                <w:highlight w:val="none"/>
              </w:rPr>
            </w:pPr>
            <w:r>
              <w:rPr>
                <w:rFonts w:hint="default"/>
                <w:color w:val="auto"/>
                <w:lang w:val="en-US" w:eastAsia="zh-CN"/>
              </w:rPr>
              <w:t>综上分析，本项目总平面布置功能区划明确，设施设备布置合理，交通便利、顺畅，项目平面布局从环保方面分析基本合理。</w:t>
            </w:r>
          </w:p>
        </w:tc>
      </w:tr>
      <w:tr w14:paraId="5025DE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41" w:hRule="atLeast"/>
        </w:trPr>
        <w:tc>
          <w:tcPr>
            <w:tcW w:w="831" w:type="dxa"/>
            <w:tcBorders>
              <w:left w:val="single" w:color="000000" w:sz="6" w:space="0"/>
            </w:tcBorders>
            <w:vAlign w:val="center"/>
          </w:tcPr>
          <w:p w14:paraId="1763249A">
            <w:pPr>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工艺流程和产排污环节</w:t>
            </w:r>
          </w:p>
        </w:tc>
        <w:tc>
          <w:tcPr>
            <w:tcW w:w="8157" w:type="dxa"/>
            <w:tcBorders>
              <w:right w:val="single" w:color="000000" w:sz="6" w:space="0"/>
            </w:tcBorders>
            <w:vAlign w:val="center"/>
          </w:tcPr>
          <w:p w14:paraId="3FC97531">
            <w:pPr>
              <w:pStyle w:val="3"/>
              <w:keepNext/>
              <w:keepLines/>
              <w:pageBreakBefore w:val="0"/>
              <w:widowControl/>
              <w:kinsoku w:val="0"/>
              <w:wordWrap/>
              <w:overflowPunct/>
              <w:topLinePunct w:val="0"/>
              <w:autoSpaceDE w:val="0"/>
              <w:autoSpaceDN w:val="0"/>
              <w:bidi w:val="0"/>
              <w:adjustRightInd/>
              <w:snapToGrid/>
              <w:spacing w:line="480" w:lineRule="exact"/>
              <w:textAlignment w:val="baseline"/>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施工</w:t>
            </w:r>
            <w:r>
              <w:rPr>
                <w:rFonts w:hint="default" w:ascii="Times New Roman" w:hAnsi="Times New Roman" w:cs="Times New Roman"/>
                <w:color w:val="auto"/>
                <w:highlight w:val="none"/>
              </w:rPr>
              <w:t>期工艺流程和产排污环节</w:t>
            </w:r>
          </w:p>
          <w:p w14:paraId="635F4C00">
            <w:pPr>
              <w:pStyle w:val="31"/>
              <w:bidi w:val="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本项目不涉及土建施工，</w:t>
            </w:r>
            <w:r>
              <w:rPr>
                <w:rFonts w:hint="default" w:ascii="Times New Roman" w:hAnsi="Times New Roman" w:cs="Times New Roman"/>
                <w:color w:val="auto"/>
                <w:highlight w:val="none"/>
                <w:lang w:val="en-US" w:eastAsia="zh-CN"/>
              </w:rPr>
              <w:t>医院</w:t>
            </w:r>
            <w:r>
              <w:rPr>
                <w:rFonts w:hint="default" w:ascii="Times New Roman" w:hAnsi="Times New Roman" w:cs="Times New Roman"/>
                <w:color w:val="auto"/>
                <w:highlight w:val="none"/>
              </w:rPr>
              <w:t>装置安装后即可投入使用，工程量较小，施工期较短，仅进行不同区域的隔断、简单装修、设备购置安装和调试。由于施工人员为库尔勒市当地劳动人员，仅装修时在项目区进行劳作，本次产生施工生活污水和生活垃圾很少，本项目施工期产生的污染物主要为因装修产生的废气</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废水、</w:t>
            </w:r>
            <w:r>
              <w:rPr>
                <w:rFonts w:hint="default" w:ascii="Times New Roman" w:hAnsi="Times New Roman" w:cs="Times New Roman"/>
                <w:color w:val="auto"/>
                <w:highlight w:val="none"/>
              </w:rPr>
              <w:t>噪声</w:t>
            </w:r>
            <w:r>
              <w:rPr>
                <w:rFonts w:hint="default" w:ascii="Times New Roman" w:hAnsi="Times New Roman" w:cs="Times New Roman"/>
                <w:color w:val="auto"/>
                <w:highlight w:val="none"/>
                <w:lang w:val="en-US" w:eastAsia="zh-CN"/>
              </w:rPr>
              <w:t>和建筑垃圾</w:t>
            </w:r>
            <w:r>
              <w:rPr>
                <w:rFonts w:hint="default" w:ascii="Times New Roman" w:hAnsi="Times New Roman" w:cs="Times New Roman"/>
                <w:color w:val="auto"/>
                <w:highlight w:val="none"/>
              </w:rPr>
              <w:t>。</w:t>
            </w:r>
          </w:p>
          <w:p w14:paraId="0833C9CC">
            <w:pPr>
              <w:pStyle w:val="31"/>
              <w:bidi w:val="0"/>
              <w:ind w:left="0" w:leftChars="0" w:firstLine="0" w:firstLineChars="0"/>
              <w:jc w:val="center"/>
              <w:rPr>
                <w:rFonts w:hint="default" w:ascii="Times New Roman" w:hAnsi="Times New Roman" w:cs="Times New Roman"/>
                <w:color w:val="auto"/>
                <w:highlight w:val="none"/>
              </w:rPr>
            </w:pPr>
            <w:r>
              <w:rPr>
                <w:rFonts w:hint="eastAsia" w:eastAsia="宋体"/>
                <w:color w:val="auto"/>
                <w:lang w:eastAsia="zh-CN"/>
              </w:rPr>
              <w:drawing>
                <wp:inline distT="0" distB="0" distL="114300" distR="114300">
                  <wp:extent cx="3611880" cy="1932940"/>
                  <wp:effectExtent l="0" t="0" r="0" b="0"/>
                  <wp:docPr id="5" name="ECB019B1-382A-4266-B25C-5B523AA43C14-1" descr="C:/Users/Administrator/AppData/Local/Temp/wps.GLDvHt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CB019B1-382A-4266-B25C-5B523AA43C14-1" descr="C:/Users/Administrator/AppData/Local/Temp/wps.GLDvHtwps"/>
                          <pic:cNvPicPr>
                            <a:picLocks noChangeAspect="1"/>
                          </pic:cNvPicPr>
                        </pic:nvPicPr>
                        <pic:blipFill>
                          <a:blip r:embed="rId15"/>
                          <a:stretch>
                            <a:fillRect/>
                          </a:stretch>
                        </pic:blipFill>
                        <pic:spPr>
                          <a:xfrm>
                            <a:off x="0" y="0"/>
                            <a:ext cx="3611880" cy="1932940"/>
                          </a:xfrm>
                          <a:prstGeom prst="rect">
                            <a:avLst/>
                          </a:prstGeom>
                        </pic:spPr>
                      </pic:pic>
                    </a:graphicData>
                  </a:graphic>
                </wp:inline>
              </w:drawing>
            </w:r>
          </w:p>
          <w:p w14:paraId="52E6B6B4">
            <w:pPr>
              <w:pStyle w:val="29"/>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eastAsia="zh-CN"/>
              </w:rPr>
              <w:t>图</w:t>
            </w:r>
            <w:r>
              <w:rPr>
                <w:rFonts w:hint="default" w:ascii="Times New Roman" w:hAnsi="Times New Roman" w:cs="Times New Roman"/>
                <w:color w:val="auto"/>
                <w:highlight w:val="none"/>
                <w:lang w:val="en-US" w:eastAsia="zh-CN"/>
              </w:rPr>
              <w:t>2-2</w:t>
            </w:r>
            <w:r>
              <w:rPr>
                <w:rFonts w:hint="default" w:ascii="Times New Roman" w:hAnsi="Times New Roman" w:cs="Times New Roman"/>
                <w:color w:val="auto"/>
                <w:highlight w:val="none"/>
                <w:lang w:eastAsia="zh-CN"/>
              </w:rPr>
              <w:t xml:space="preserve">   </w:t>
            </w:r>
            <w:r>
              <w:rPr>
                <w:rFonts w:hint="default" w:ascii="Times New Roman" w:hAnsi="Times New Roman" w:cs="Times New Roman"/>
                <w:color w:val="auto"/>
                <w:highlight w:val="none"/>
                <w:lang w:val="en-US" w:eastAsia="zh-CN"/>
              </w:rPr>
              <w:t>施工期工艺</w:t>
            </w:r>
            <w:r>
              <w:rPr>
                <w:rFonts w:hint="default" w:ascii="Times New Roman" w:hAnsi="Times New Roman" w:cs="Times New Roman"/>
                <w:color w:val="auto"/>
                <w:highlight w:val="none"/>
                <w:lang w:eastAsia="zh-CN"/>
              </w:rPr>
              <w:t>流程及产污环节图</w:t>
            </w:r>
          </w:p>
          <w:p w14:paraId="70AF4863">
            <w:pPr>
              <w:pStyle w:val="3"/>
              <w:keepNext/>
              <w:keepLines/>
              <w:pageBreakBefore w:val="0"/>
              <w:widowControl/>
              <w:kinsoku w:val="0"/>
              <w:wordWrap/>
              <w:overflowPunct/>
              <w:topLinePunct w:val="0"/>
              <w:autoSpaceDE w:val="0"/>
              <w:autoSpaceDN w:val="0"/>
              <w:bidi w:val="0"/>
              <w:adjustRightInd/>
              <w:snapToGrid/>
              <w:spacing w:line="480" w:lineRule="exact"/>
              <w:textAlignment w:val="baseline"/>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运营期</w:t>
            </w:r>
            <w:bookmarkStart w:id="11" w:name="OLE_LINK89"/>
            <w:r>
              <w:rPr>
                <w:rFonts w:hint="default" w:ascii="Times New Roman" w:hAnsi="Times New Roman" w:eastAsia="宋体" w:cs="Times New Roman"/>
                <w:color w:val="auto"/>
                <w:highlight w:val="none"/>
                <w:lang w:val="en-US" w:eastAsia="zh-CN"/>
              </w:rPr>
              <w:t>工艺流程和产排污环节</w:t>
            </w:r>
          </w:p>
          <w:bookmarkEnd w:id="11"/>
          <w:p w14:paraId="289E1F64">
            <w:pPr>
              <w:pStyle w:val="4"/>
              <w:keepNext/>
              <w:keepLines/>
              <w:pageBreakBefore w:val="0"/>
              <w:widowControl/>
              <w:kinsoku w:val="0"/>
              <w:wordWrap/>
              <w:overflowPunct/>
              <w:topLinePunct w:val="0"/>
              <w:autoSpaceDE w:val="0"/>
              <w:autoSpaceDN w:val="0"/>
              <w:bidi w:val="0"/>
              <w:adjustRightInd/>
              <w:snapToGrid/>
              <w:spacing w:line="480" w:lineRule="exact"/>
              <w:textAlignment w:val="baseline"/>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工艺流程</w:t>
            </w:r>
            <w:r>
              <w:rPr>
                <w:rFonts w:hint="eastAsia" w:cs="Times New Roman"/>
                <w:color w:val="auto"/>
                <w:highlight w:val="none"/>
                <w:lang w:eastAsia="zh-CN"/>
              </w:rPr>
              <w:t>：</w:t>
            </w:r>
          </w:p>
          <w:p w14:paraId="253EA475">
            <w:pPr>
              <w:pStyle w:val="31"/>
              <w:keepNext w:val="0"/>
              <w:keepLines w:val="0"/>
              <w:pageBreakBefore w:val="0"/>
              <w:widowControl/>
              <w:kinsoku w:val="0"/>
              <w:wordWrap/>
              <w:overflowPunct/>
              <w:topLinePunct w:val="0"/>
              <w:autoSpaceDE w:val="0"/>
              <w:autoSpaceDN w:val="0"/>
              <w:bidi w:val="0"/>
              <w:adjustRightInd/>
              <w:snapToGrid/>
              <w:spacing w:line="480" w:lineRule="exact"/>
              <w:textAlignment w:val="baseline"/>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运营期医院诊治</w:t>
            </w:r>
            <w:r>
              <w:rPr>
                <w:rFonts w:hint="eastAsia" w:cs="Times New Roman"/>
                <w:color w:val="auto"/>
                <w:highlight w:val="none"/>
                <w:lang w:eastAsia="zh-CN"/>
              </w:rPr>
              <w:t>、</w:t>
            </w:r>
            <w:r>
              <w:rPr>
                <w:rFonts w:hint="eastAsia" w:cs="Times New Roman"/>
                <w:color w:val="auto"/>
                <w:highlight w:val="none"/>
                <w:lang w:val="en-US" w:eastAsia="zh-CN"/>
              </w:rPr>
              <w:t>手术</w:t>
            </w:r>
            <w:r>
              <w:rPr>
                <w:rFonts w:hint="default" w:ascii="Times New Roman" w:hAnsi="Times New Roman" w:cs="Times New Roman"/>
                <w:color w:val="auto"/>
                <w:highlight w:val="none"/>
                <w:lang w:val="en-US" w:eastAsia="zh-CN"/>
              </w:rPr>
              <w:t>和美容</w:t>
            </w:r>
            <w:r>
              <w:rPr>
                <w:rFonts w:hint="default" w:ascii="Times New Roman" w:hAnsi="Times New Roman" w:cs="Times New Roman"/>
                <w:color w:val="auto"/>
                <w:highlight w:val="none"/>
                <w:lang w:eastAsia="zh-CN"/>
              </w:rPr>
              <w:t>流程及产物环节见图</w:t>
            </w:r>
            <w:r>
              <w:rPr>
                <w:rFonts w:hint="default" w:ascii="Times New Roman" w:hAnsi="Times New Roman" w:cs="Times New Roman"/>
                <w:color w:val="auto"/>
                <w:highlight w:val="none"/>
                <w:lang w:val="en-US" w:eastAsia="zh-CN"/>
              </w:rPr>
              <w:t>2-3</w:t>
            </w:r>
            <w:r>
              <w:rPr>
                <w:rFonts w:hint="eastAsia" w:cs="Times New Roman"/>
                <w:color w:val="auto"/>
                <w:highlight w:val="none"/>
                <w:lang w:val="en-US" w:eastAsia="zh-CN"/>
              </w:rPr>
              <w:t>至</w:t>
            </w:r>
            <w:r>
              <w:rPr>
                <w:rFonts w:hint="default" w:ascii="Times New Roman" w:hAnsi="Times New Roman" w:cs="Times New Roman"/>
                <w:color w:val="auto"/>
                <w:highlight w:val="none"/>
                <w:lang w:val="en-US" w:eastAsia="zh-CN"/>
              </w:rPr>
              <w:t>图2-</w:t>
            </w:r>
            <w:r>
              <w:rPr>
                <w:rFonts w:hint="eastAsia" w:cs="Times New Roman"/>
                <w:color w:val="auto"/>
                <w:highlight w:val="none"/>
                <w:lang w:val="en-US" w:eastAsia="zh-CN"/>
              </w:rPr>
              <w:t>5</w:t>
            </w:r>
            <w:r>
              <w:rPr>
                <w:rFonts w:hint="default" w:ascii="Times New Roman" w:hAnsi="Times New Roman" w:cs="Times New Roman"/>
                <w:color w:val="auto"/>
                <w:highlight w:val="none"/>
                <w:lang w:eastAsia="zh-CN"/>
              </w:rPr>
              <w:t>。</w:t>
            </w:r>
          </w:p>
          <w:p w14:paraId="178F6284">
            <w:pPr>
              <w:pStyle w:val="31"/>
              <w:bidi w:val="0"/>
              <w:ind w:left="0" w:leftChars="0" w:firstLine="0" w:firstLineChars="0"/>
              <w:jc w:val="center"/>
              <w:rPr>
                <w:rFonts w:hint="default" w:ascii="Times New Roman" w:hAnsi="Times New Roman" w:cs="Times New Roman"/>
                <w:color w:val="auto"/>
                <w:highlight w:val="none"/>
                <w:lang w:eastAsia="zh-CN"/>
              </w:rPr>
            </w:pPr>
            <w:r>
              <w:rPr>
                <w:rFonts w:hint="eastAsia"/>
                <w:color w:val="auto"/>
              </w:rPr>
              <w:object>
                <v:shape id="_x0000_i1026" o:spt="75" type="#_x0000_t75" style="height:106.8pt;width:285.3pt;" o:ole="t" filled="f" o:preferrelative="t" stroked="f" coordsize="21600,21600">
                  <v:path/>
                  <v:fill on="f" focussize="0,0"/>
                  <v:stroke on="f"/>
                  <v:imagedata r:id="rId17" o:title=""/>
                  <o:lock v:ext="edit" aspectratio="f"/>
                  <w10:wrap type="none"/>
                  <w10:anchorlock/>
                </v:shape>
                <o:OLEObject Type="Embed" ProgID="Visio.Drawing.15" ShapeID="_x0000_i1026" DrawAspect="Content" ObjectID="_1468075726" r:id="rId16">
                  <o:LockedField>false</o:LockedField>
                </o:OLEObject>
              </w:object>
            </w:r>
          </w:p>
          <w:p w14:paraId="08F4139B">
            <w:pPr>
              <w:pStyle w:val="29"/>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图</w:t>
            </w:r>
            <w:r>
              <w:rPr>
                <w:rFonts w:hint="default" w:ascii="Times New Roman" w:hAnsi="Times New Roman" w:cs="Times New Roman"/>
                <w:color w:val="auto"/>
                <w:highlight w:val="none"/>
                <w:lang w:val="en-US" w:eastAsia="zh-CN"/>
              </w:rPr>
              <w:t>2-</w:t>
            </w:r>
            <w:r>
              <w:rPr>
                <w:rFonts w:hint="eastAsia" w:cs="Times New Roman"/>
                <w:color w:val="auto"/>
                <w:highlight w:val="none"/>
                <w:lang w:val="en-US" w:eastAsia="zh-CN"/>
              </w:rPr>
              <w:t>3</w:t>
            </w:r>
            <w:r>
              <w:rPr>
                <w:rFonts w:hint="default" w:ascii="Times New Roman" w:hAnsi="Times New Roman" w:cs="Times New Roman"/>
                <w:color w:val="auto"/>
                <w:highlight w:val="none"/>
                <w:lang w:eastAsia="zh-CN"/>
              </w:rPr>
              <w:t xml:space="preserve">   运营期</w:t>
            </w:r>
            <w:r>
              <w:rPr>
                <w:rFonts w:hint="default" w:ascii="Times New Roman" w:hAnsi="Times New Roman" w:cs="Times New Roman"/>
                <w:color w:val="auto"/>
                <w:highlight w:val="none"/>
                <w:lang w:val="en-US" w:eastAsia="zh-CN"/>
              </w:rPr>
              <w:t>美容</w:t>
            </w:r>
            <w:r>
              <w:rPr>
                <w:rFonts w:hint="default" w:ascii="Times New Roman" w:hAnsi="Times New Roman" w:cs="Times New Roman"/>
                <w:color w:val="auto"/>
                <w:highlight w:val="none"/>
                <w:lang w:eastAsia="zh-CN"/>
              </w:rPr>
              <w:t>流程及产污环节图</w:t>
            </w:r>
          </w:p>
          <w:p w14:paraId="0CB0850A">
            <w:pPr>
              <w:pStyle w:val="31"/>
              <w:bidi w:val="0"/>
              <w:ind w:left="0" w:leftChars="0" w:firstLine="0" w:firstLineChars="0"/>
              <w:jc w:val="center"/>
              <w:rPr>
                <w:rFonts w:hint="default" w:ascii="Times New Roman" w:hAnsi="Times New Roman" w:cs="Times New Roman"/>
                <w:color w:val="auto"/>
                <w:highlight w:val="none"/>
                <w:lang w:eastAsia="zh-CN"/>
              </w:rPr>
            </w:pPr>
          </w:p>
          <w:p w14:paraId="49A2986E">
            <w:pPr>
              <w:pStyle w:val="31"/>
              <w:bidi w:val="0"/>
              <w:ind w:left="0" w:leftChars="0" w:firstLine="0" w:firstLineChars="0"/>
              <w:jc w:val="center"/>
              <w:rPr>
                <w:rFonts w:hint="default" w:ascii="Times New Roman" w:hAnsi="Times New Roman" w:cs="Times New Roman"/>
                <w:color w:val="auto"/>
                <w:highlight w:val="none"/>
                <w:lang w:eastAsia="zh-CN"/>
              </w:rPr>
            </w:pPr>
          </w:p>
          <w:p w14:paraId="04006F49">
            <w:pPr>
              <w:pStyle w:val="29"/>
              <w:bidi w:val="0"/>
              <w:rPr>
                <w:rFonts w:hint="default" w:ascii="Times New Roman" w:hAnsi="Times New Roman" w:cs="Times New Roman"/>
                <w:color w:val="auto"/>
                <w:highlight w:val="none"/>
                <w:lang w:eastAsia="zh-CN"/>
              </w:rPr>
            </w:pPr>
          </w:p>
          <w:p w14:paraId="3C1AD1C5">
            <w:pPr>
              <w:pStyle w:val="29"/>
              <w:bidi w:val="0"/>
              <w:rPr>
                <w:rFonts w:hint="default" w:ascii="Times New Roman" w:hAnsi="Times New Roman" w:cs="Times New Roman"/>
                <w:color w:val="auto"/>
                <w:highlight w:val="none"/>
                <w:lang w:eastAsia="zh-CN"/>
              </w:rPr>
            </w:pPr>
            <w:r>
              <w:rPr>
                <w:rFonts w:hint="eastAsia"/>
                <w:color w:val="auto"/>
              </w:rPr>
              <w:object>
                <v:shape id="_x0000_i1027" o:spt="75" type="#_x0000_t75" style="height:317.45pt;width:389.15pt;" o:ole="t" filled="f" o:preferrelative="t" stroked="f" coordsize="21600,21600">
                  <v:path/>
                  <v:fill on="f" focussize="0,0"/>
                  <v:stroke on="f"/>
                  <v:imagedata r:id="rId19" o:title=""/>
                  <o:lock v:ext="edit" aspectratio="f"/>
                  <w10:wrap type="none"/>
                  <w10:anchorlock/>
                </v:shape>
                <o:OLEObject Type="Embed" ProgID="Visio.Drawing.15" ShapeID="_x0000_i1027" DrawAspect="Content" ObjectID="_1468075727" r:id="rId18">
                  <o:LockedField>false</o:LockedField>
                </o:OLEObject>
              </w:object>
            </w:r>
          </w:p>
          <w:p w14:paraId="25577A6D">
            <w:pPr>
              <w:pStyle w:val="29"/>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图</w:t>
            </w:r>
            <w:r>
              <w:rPr>
                <w:rFonts w:hint="default" w:ascii="Times New Roman" w:hAnsi="Times New Roman" w:cs="Times New Roman"/>
                <w:color w:val="auto"/>
                <w:highlight w:val="none"/>
                <w:lang w:val="en-US" w:eastAsia="zh-CN"/>
              </w:rPr>
              <w:t>2-</w:t>
            </w:r>
            <w:r>
              <w:rPr>
                <w:rFonts w:hint="eastAsia" w:cs="Times New Roman"/>
                <w:color w:val="auto"/>
                <w:highlight w:val="none"/>
                <w:lang w:val="en-US" w:eastAsia="zh-CN"/>
              </w:rPr>
              <w:t>4</w:t>
            </w:r>
            <w:r>
              <w:rPr>
                <w:rFonts w:hint="default" w:ascii="Times New Roman" w:hAnsi="Times New Roman" w:cs="Times New Roman"/>
                <w:color w:val="auto"/>
                <w:highlight w:val="none"/>
                <w:lang w:eastAsia="zh-CN"/>
              </w:rPr>
              <w:t xml:space="preserve">   运营期</w:t>
            </w:r>
            <w:r>
              <w:rPr>
                <w:rFonts w:hint="default" w:ascii="Times New Roman" w:hAnsi="Times New Roman" w:cs="Times New Roman"/>
                <w:color w:val="auto"/>
                <w:highlight w:val="none"/>
                <w:lang w:val="en-US" w:eastAsia="zh-CN"/>
              </w:rPr>
              <w:t>就诊</w:t>
            </w:r>
            <w:r>
              <w:rPr>
                <w:rFonts w:hint="default" w:ascii="Times New Roman" w:hAnsi="Times New Roman" w:cs="Times New Roman"/>
                <w:color w:val="auto"/>
                <w:highlight w:val="none"/>
                <w:lang w:eastAsia="zh-CN"/>
              </w:rPr>
              <w:t>流程及产污环节图</w:t>
            </w:r>
          </w:p>
          <w:p w14:paraId="5C91CF9C">
            <w:pPr>
              <w:pStyle w:val="31"/>
              <w:bidi w:val="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手术内容包括</w:t>
            </w:r>
            <w:r>
              <w:rPr>
                <w:rFonts w:hint="default" w:ascii="Times New Roman" w:hAnsi="Times New Roman" w:cs="Times New Roman"/>
                <w:color w:val="auto"/>
                <w:highlight w:val="none"/>
                <w:lang w:eastAsia="zh-CN"/>
              </w:rPr>
              <w:t>动物颅腔、胸腔或腹腔手术和</w:t>
            </w:r>
            <w:r>
              <w:rPr>
                <w:rFonts w:hint="default" w:ascii="Times New Roman" w:hAnsi="Times New Roman" w:cs="Times New Roman"/>
                <w:color w:val="auto"/>
                <w:highlight w:val="none"/>
              </w:rPr>
              <w:t>宠物绝育手术</w:t>
            </w:r>
            <w:r>
              <w:rPr>
                <w:rFonts w:hint="default" w:ascii="Times New Roman" w:hAnsi="Times New Roman" w:eastAsia="宋体" w:cs="Times New Roman"/>
                <w:color w:val="auto"/>
                <w:highlight w:val="none"/>
                <w:lang w:eastAsia="zh-CN"/>
              </w:rPr>
              <w:t>等，手术流程基本一致。手术过程工艺流程如下：</w:t>
            </w:r>
          </w:p>
          <w:p w14:paraId="64B8B118">
            <w:pPr>
              <w:pStyle w:val="31"/>
              <w:bidi w:val="0"/>
              <w:ind w:left="0" w:leftChars="0" w:firstLine="0" w:firstLineChars="0"/>
              <w:jc w:val="center"/>
              <w:rPr>
                <w:rFonts w:hint="default" w:ascii="Times New Roman" w:hAnsi="Times New Roman" w:eastAsia="宋体" w:cs="Times New Roman"/>
                <w:b/>
                <w:bCs/>
                <w:snapToGrid w:val="0"/>
                <w:color w:val="auto"/>
                <w:spacing w:val="8"/>
                <w:kern w:val="0"/>
                <w:sz w:val="21"/>
                <w:szCs w:val="72"/>
                <w:highlight w:val="none"/>
                <w:lang w:eastAsia="zh-CN"/>
              </w:rPr>
            </w:pPr>
            <w:r>
              <w:rPr>
                <w:rFonts w:hint="eastAsia"/>
                <w:color w:val="auto"/>
              </w:rPr>
              <w:object>
                <v:shape id="_x0000_i1028" o:spt="75" type="#_x0000_t75" style="height:75.25pt;width:376.05pt;" o:ole="t" filled="f" o:preferrelative="t" stroked="f" coordsize="21600,21600">
                  <v:path/>
                  <v:fill on="f" focussize="0,0"/>
                  <v:stroke on="f"/>
                  <v:imagedata r:id="rId21" o:title=""/>
                  <o:lock v:ext="edit" aspectratio="f"/>
                  <w10:wrap type="none"/>
                  <w10:anchorlock/>
                </v:shape>
                <o:OLEObject Type="Embed" ProgID="Visio.Drawing.15" ShapeID="_x0000_i1028" DrawAspect="Content" ObjectID="_1468075728" r:id="rId20">
                  <o:LockedField>false</o:LockedField>
                </o:OLEObject>
              </w:object>
            </w:r>
          </w:p>
          <w:p w14:paraId="1D8ADD1F">
            <w:pPr>
              <w:pStyle w:val="31"/>
              <w:bidi w:val="0"/>
              <w:jc w:val="center"/>
              <w:rPr>
                <w:rFonts w:hint="default" w:ascii="Times New Roman" w:hAnsi="Times New Roman" w:eastAsia="宋体" w:cs="Times New Roman"/>
                <w:b/>
                <w:bCs/>
                <w:snapToGrid w:val="0"/>
                <w:color w:val="auto"/>
                <w:spacing w:val="8"/>
                <w:kern w:val="0"/>
                <w:sz w:val="21"/>
                <w:szCs w:val="72"/>
                <w:highlight w:val="none"/>
                <w:lang w:eastAsia="zh-CN"/>
              </w:rPr>
            </w:pPr>
            <w:r>
              <w:rPr>
                <w:rFonts w:hint="default" w:ascii="Times New Roman" w:hAnsi="Times New Roman" w:eastAsia="宋体" w:cs="Times New Roman"/>
                <w:b/>
                <w:bCs/>
                <w:snapToGrid w:val="0"/>
                <w:color w:val="auto"/>
                <w:spacing w:val="8"/>
                <w:kern w:val="0"/>
                <w:sz w:val="21"/>
                <w:szCs w:val="72"/>
                <w:highlight w:val="none"/>
                <w:lang w:eastAsia="zh-CN"/>
              </w:rPr>
              <w:t>图2</w:t>
            </w:r>
            <w:r>
              <w:rPr>
                <w:rFonts w:hint="eastAsia" w:ascii="Times New Roman" w:hAnsi="Times New Roman" w:eastAsia="宋体" w:cs="Times New Roman"/>
                <w:b/>
                <w:bCs/>
                <w:snapToGrid w:val="0"/>
                <w:color w:val="auto"/>
                <w:spacing w:val="8"/>
                <w:kern w:val="0"/>
                <w:sz w:val="21"/>
                <w:szCs w:val="72"/>
                <w:highlight w:val="none"/>
                <w:lang w:val="en-US" w:eastAsia="zh-CN"/>
              </w:rPr>
              <w:t>-5</w:t>
            </w:r>
            <w:r>
              <w:rPr>
                <w:rFonts w:hint="default" w:ascii="Times New Roman" w:hAnsi="Times New Roman" w:eastAsia="宋体" w:cs="Times New Roman"/>
                <w:b/>
                <w:bCs/>
                <w:snapToGrid w:val="0"/>
                <w:color w:val="auto"/>
                <w:spacing w:val="8"/>
                <w:kern w:val="0"/>
                <w:sz w:val="21"/>
                <w:szCs w:val="72"/>
                <w:highlight w:val="none"/>
                <w:lang w:eastAsia="zh-CN"/>
              </w:rPr>
              <w:t xml:space="preserve">   运营期</w:t>
            </w:r>
            <w:r>
              <w:rPr>
                <w:rFonts w:hint="eastAsia" w:ascii="Times New Roman" w:hAnsi="Times New Roman" w:eastAsia="宋体" w:cs="Times New Roman"/>
                <w:b/>
                <w:bCs/>
                <w:snapToGrid w:val="0"/>
                <w:color w:val="auto"/>
                <w:spacing w:val="8"/>
                <w:kern w:val="0"/>
                <w:sz w:val="21"/>
                <w:szCs w:val="72"/>
                <w:highlight w:val="none"/>
                <w:lang w:val="en-US" w:eastAsia="zh-CN"/>
              </w:rPr>
              <w:t>手术流程</w:t>
            </w:r>
            <w:r>
              <w:rPr>
                <w:rFonts w:hint="default" w:ascii="Times New Roman" w:hAnsi="Times New Roman" w:eastAsia="宋体" w:cs="Times New Roman"/>
                <w:b/>
                <w:bCs/>
                <w:snapToGrid w:val="0"/>
                <w:color w:val="auto"/>
                <w:spacing w:val="8"/>
                <w:kern w:val="0"/>
                <w:sz w:val="21"/>
                <w:szCs w:val="72"/>
                <w:highlight w:val="none"/>
                <w:lang w:eastAsia="zh-CN"/>
              </w:rPr>
              <w:t>及产污环节图</w:t>
            </w:r>
          </w:p>
          <w:p w14:paraId="285DBD9D">
            <w:pPr>
              <w:pStyle w:val="31"/>
              <w:bidi w:val="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项目主要提供宠物诊疗服务，具体工艺流程如下：</w:t>
            </w:r>
          </w:p>
          <w:p w14:paraId="7BC26C98">
            <w:pPr>
              <w:pStyle w:val="31"/>
              <w:bidi w:val="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1）挂号、初检</w:t>
            </w:r>
          </w:p>
          <w:p w14:paraId="459314BC">
            <w:pPr>
              <w:pStyle w:val="31"/>
              <w:bidi w:val="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顾客携带宠物先到前台挂号并进行初检，（如发现患病动物染疫或者疑似染疫，按照国家规定立即向动物卫生监督管理局报告，并采取隔离等控制措施，防止动物疫病扩散，不得擅自进行治疗）</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eastAsia="zh-CN"/>
              </w:rPr>
              <w:t>排除传染性动物及超出本医院诊治能力的病症，将符合治疗条件的患病动物由导诊人员将顾客带至诊室就诊。</w:t>
            </w:r>
          </w:p>
          <w:p w14:paraId="0373333A">
            <w:pPr>
              <w:pStyle w:val="31"/>
              <w:bidi w:val="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b/>
                <w:bCs w:val="0"/>
                <w:color w:val="auto"/>
                <w:highlight w:val="none"/>
                <w:lang w:val="en-US" w:eastAsia="zh-CN"/>
              </w:rPr>
              <w:t>此过程污染物为：</w:t>
            </w:r>
            <w:r>
              <w:rPr>
                <w:rFonts w:hint="default" w:ascii="Times New Roman" w:hAnsi="Times New Roman" w:cs="Times New Roman"/>
                <w:b/>
                <w:bCs w:val="0"/>
                <w:color w:val="auto"/>
                <w:highlight w:val="none"/>
                <w:lang w:eastAsia="zh-CN"/>
              </w:rPr>
              <w:t>棉球等医疗废物</w:t>
            </w:r>
            <w:r>
              <w:rPr>
                <w:rFonts w:hint="eastAsia" w:ascii="Times New Roman" w:hAnsi="Times New Roman" w:cs="Times New Roman"/>
                <w:b/>
                <w:bCs w:val="0"/>
                <w:color w:val="auto"/>
                <w:highlight w:val="none"/>
                <w:lang w:eastAsia="zh-CN"/>
              </w:rPr>
              <w:t>、</w:t>
            </w:r>
            <w:r>
              <w:rPr>
                <w:rFonts w:hint="eastAsia" w:ascii="Times New Roman" w:hAnsi="Times New Roman" w:cs="Times New Roman"/>
                <w:b/>
                <w:bCs w:val="0"/>
                <w:color w:val="auto"/>
                <w:highlight w:val="none"/>
                <w:lang w:val="en-US" w:eastAsia="zh-CN"/>
              </w:rPr>
              <w:t>宠物叫声。</w:t>
            </w:r>
          </w:p>
          <w:p w14:paraId="660527F8">
            <w:pPr>
              <w:pStyle w:val="31"/>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2）就诊（候诊）</w:t>
            </w:r>
          </w:p>
          <w:p w14:paraId="76323439">
            <w:pPr>
              <w:pStyle w:val="31"/>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挂号、初检完成后，符合治疗条件的患病动物由导诊（或顾客）带至诊室就诊，如诊室已有患病动物在诊，候诊患病动物需在候诊区排队等候。顾客向执业医师主诉患病动物的病情，执业医师对患病动物进行临床检查，告知顾客可能患有的疾病，需要做哪些化验检查，并打印化验通知单，告知顾客到前台缴费。</w:t>
            </w:r>
          </w:p>
          <w:p w14:paraId="3E15787F">
            <w:pPr>
              <w:pStyle w:val="31"/>
              <w:bidi w:val="0"/>
              <w:rPr>
                <w:rFonts w:hint="default" w:ascii="Times New Roman" w:hAnsi="Times New Roman" w:cs="Times New Roman"/>
                <w:color w:val="auto"/>
                <w:highlight w:val="none"/>
                <w:lang w:eastAsia="zh-CN"/>
              </w:rPr>
            </w:pPr>
            <w:r>
              <w:rPr>
                <w:rFonts w:hint="eastAsia" w:ascii="Times New Roman" w:hAnsi="Times New Roman" w:eastAsia="宋体" w:cs="Times New Roman"/>
                <w:b/>
                <w:bCs w:val="0"/>
                <w:color w:val="auto"/>
                <w:highlight w:val="none"/>
                <w:lang w:val="en-US" w:eastAsia="zh-CN"/>
              </w:rPr>
              <w:t>此过程污染物为：</w:t>
            </w:r>
            <w:r>
              <w:rPr>
                <w:rFonts w:hint="default" w:ascii="Times New Roman" w:hAnsi="Times New Roman" w:cs="Times New Roman"/>
                <w:b/>
                <w:bCs w:val="0"/>
                <w:color w:val="auto"/>
                <w:highlight w:val="none"/>
                <w:lang w:eastAsia="zh-CN"/>
              </w:rPr>
              <w:t>棉球</w:t>
            </w:r>
            <w:r>
              <w:rPr>
                <w:rFonts w:hint="eastAsia" w:ascii="Times New Roman" w:hAnsi="Times New Roman" w:cs="Times New Roman"/>
                <w:b/>
                <w:bCs w:val="0"/>
                <w:color w:val="auto"/>
                <w:highlight w:val="none"/>
                <w:lang w:eastAsia="zh-CN"/>
              </w:rPr>
              <w:t>、</w:t>
            </w:r>
            <w:r>
              <w:rPr>
                <w:rFonts w:hint="eastAsia" w:ascii="Times New Roman" w:hAnsi="Times New Roman" w:cs="Times New Roman"/>
                <w:b/>
                <w:bCs w:val="0"/>
                <w:color w:val="auto"/>
                <w:highlight w:val="none"/>
                <w:lang w:val="en-US" w:eastAsia="zh-CN"/>
              </w:rPr>
              <w:t>废手套</w:t>
            </w:r>
            <w:r>
              <w:rPr>
                <w:rFonts w:hint="default" w:ascii="Times New Roman" w:hAnsi="Times New Roman" w:cs="Times New Roman"/>
                <w:b/>
                <w:bCs w:val="0"/>
                <w:color w:val="auto"/>
                <w:highlight w:val="none"/>
                <w:lang w:eastAsia="zh-CN"/>
              </w:rPr>
              <w:t>等医疗废物</w:t>
            </w:r>
            <w:r>
              <w:rPr>
                <w:rFonts w:hint="eastAsia" w:ascii="Times New Roman" w:hAnsi="Times New Roman" w:cs="Times New Roman"/>
                <w:b/>
                <w:bCs w:val="0"/>
                <w:color w:val="auto"/>
                <w:highlight w:val="none"/>
                <w:lang w:eastAsia="zh-CN"/>
              </w:rPr>
              <w:t>、</w:t>
            </w:r>
            <w:r>
              <w:rPr>
                <w:rFonts w:hint="eastAsia" w:ascii="Times New Roman" w:hAnsi="Times New Roman" w:cs="Times New Roman"/>
                <w:b/>
                <w:bCs w:val="0"/>
                <w:color w:val="auto"/>
                <w:highlight w:val="none"/>
                <w:lang w:val="en-US" w:eastAsia="zh-CN"/>
              </w:rPr>
              <w:t>宠物叫声。</w:t>
            </w:r>
          </w:p>
          <w:p w14:paraId="0BC70C8B">
            <w:pPr>
              <w:pStyle w:val="31"/>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3）化验</w:t>
            </w:r>
          </w:p>
          <w:p w14:paraId="6C4090CC">
            <w:pPr>
              <w:pStyle w:val="31"/>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导诊（或顾客）持缴费后的化验通知单携带患病动物到化验室、影像室进行常规化验（血液、尿液、粪便等检测化验）、拍片。化验完成后，检验报告单送到诊室。</w:t>
            </w:r>
          </w:p>
          <w:p w14:paraId="66E3F887">
            <w:pPr>
              <w:pStyle w:val="31"/>
              <w:bidi w:val="0"/>
              <w:rPr>
                <w:rFonts w:hint="default" w:ascii="Times New Roman" w:hAnsi="Times New Roman" w:cs="Times New Roman"/>
                <w:b/>
                <w:bCs w:val="0"/>
                <w:color w:val="auto"/>
                <w:highlight w:val="none"/>
                <w:lang w:eastAsia="zh-CN"/>
              </w:rPr>
            </w:pPr>
            <w:r>
              <w:rPr>
                <w:rFonts w:hint="default" w:ascii="Times New Roman" w:hAnsi="Times New Roman" w:cs="Times New Roman"/>
                <w:b/>
                <w:bCs w:val="0"/>
                <w:color w:val="auto"/>
                <w:highlight w:val="none"/>
                <w:lang w:eastAsia="zh-CN"/>
              </w:rPr>
              <w:t>此过程污染物为</w:t>
            </w:r>
            <w:r>
              <w:rPr>
                <w:rFonts w:hint="eastAsia" w:cs="Times New Roman"/>
                <w:b/>
                <w:bCs w:val="0"/>
                <w:color w:val="auto"/>
                <w:highlight w:val="none"/>
                <w:lang w:eastAsia="zh-CN"/>
              </w:rPr>
              <w:t>：</w:t>
            </w:r>
            <w:r>
              <w:rPr>
                <w:rFonts w:hint="default" w:ascii="Times New Roman" w:hAnsi="Times New Roman" w:cs="Times New Roman"/>
                <w:b/>
                <w:bCs w:val="0"/>
                <w:color w:val="auto"/>
                <w:highlight w:val="none"/>
                <w:lang w:eastAsia="zh-CN"/>
              </w:rPr>
              <w:t>废棉球、废手套、废试管、废检测试纸、废血液样本、废尿液样本、废粪便样本</w:t>
            </w:r>
            <w:r>
              <w:rPr>
                <w:rFonts w:hint="eastAsia" w:cs="Times New Roman"/>
                <w:b/>
                <w:bCs w:val="0"/>
                <w:color w:val="auto"/>
                <w:highlight w:val="none"/>
                <w:lang w:val="en-US" w:eastAsia="zh-CN"/>
              </w:rPr>
              <w:t>等医疗废物</w:t>
            </w:r>
            <w:r>
              <w:rPr>
                <w:rFonts w:hint="default" w:ascii="Times New Roman" w:hAnsi="Times New Roman" w:cs="Times New Roman"/>
                <w:b/>
                <w:bCs w:val="0"/>
                <w:color w:val="auto"/>
                <w:highlight w:val="none"/>
                <w:lang w:eastAsia="zh-CN"/>
              </w:rPr>
              <w:t>、宠物叫声。</w:t>
            </w:r>
          </w:p>
          <w:p w14:paraId="74128C0E">
            <w:pPr>
              <w:pStyle w:val="31"/>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4）诊断</w:t>
            </w:r>
          </w:p>
          <w:p w14:paraId="3D095B4D">
            <w:pPr>
              <w:pStyle w:val="31"/>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执业医师根据化验数据做出诊断结果，根据患病动物的病情，建议顾客选择离开或治疗。</w:t>
            </w:r>
          </w:p>
          <w:p w14:paraId="22C2C86F">
            <w:pPr>
              <w:pStyle w:val="31"/>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5）门诊治疗</w:t>
            </w:r>
          </w:p>
          <w:p w14:paraId="41351F84">
            <w:pPr>
              <w:pStyle w:val="31"/>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根据诊断需要门诊治疗的，执业医师根据诊断结果到药房取药，并根据患病动物的情况进行输液、疫苗接种等诊疗过程。治疗完成后，返回诊室。执业医师交待顾客回家注意事项，送其离开，治疗结束。</w:t>
            </w:r>
          </w:p>
          <w:p w14:paraId="2136A361">
            <w:pPr>
              <w:pStyle w:val="31"/>
              <w:bidi w:val="0"/>
              <w:rPr>
                <w:rFonts w:hint="default" w:ascii="Times New Roman" w:hAnsi="Times New Roman" w:cs="Times New Roman"/>
                <w:b/>
                <w:bCs w:val="0"/>
                <w:color w:val="auto"/>
                <w:highlight w:val="none"/>
                <w:lang w:eastAsia="zh-CN"/>
              </w:rPr>
            </w:pPr>
            <w:r>
              <w:rPr>
                <w:rFonts w:hint="default" w:ascii="Times New Roman" w:hAnsi="Times New Roman" w:cs="Times New Roman"/>
                <w:b/>
                <w:bCs w:val="0"/>
                <w:color w:val="auto"/>
                <w:highlight w:val="none"/>
                <w:lang w:eastAsia="zh-CN"/>
              </w:rPr>
              <w:t>此过程污染物为：废棉球、废手套、废针头、废注射器、废纱布、门诊治疗废输液瓶、废药物</w:t>
            </w:r>
            <w:r>
              <w:rPr>
                <w:rFonts w:hint="eastAsia" w:cs="Times New Roman"/>
                <w:b/>
                <w:bCs w:val="0"/>
                <w:color w:val="auto"/>
                <w:highlight w:val="none"/>
                <w:lang w:val="en-US" w:eastAsia="zh-CN"/>
              </w:rPr>
              <w:t>等</w:t>
            </w:r>
            <w:r>
              <w:rPr>
                <w:rFonts w:hint="default" w:ascii="Times New Roman" w:hAnsi="Times New Roman" w:cs="Times New Roman"/>
                <w:b/>
                <w:bCs w:val="0"/>
                <w:color w:val="auto"/>
                <w:highlight w:val="none"/>
                <w:lang w:eastAsia="zh-CN"/>
              </w:rPr>
              <w:t>医疗废物、宠物叫声、医疗废水。</w:t>
            </w:r>
          </w:p>
          <w:p w14:paraId="2C856C57">
            <w:pPr>
              <w:pStyle w:val="31"/>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6）手术</w:t>
            </w:r>
          </w:p>
          <w:p w14:paraId="3C61E343">
            <w:pPr>
              <w:pStyle w:val="31"/>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导诊根据处方需要手术的，在手术室进行手术，手术后可在病房恢复。手术内容包括动物颅腔、胸腔或腹腔手术和</w:t>
            </w:r>
            <w:r>
              <w:rPr>
                <w:rFonts w:hint="default" w:ascii="Times New Roman" w:hAnsi="Times New Roman" w:cs="Times New Roman"/>
                <w:color w:val="auto"/>
                <w:highlight w:val="none"/>
              </w:rPr>
              <w:t>宠物绝育手术</w:t>
            </w:r>
            <w:r>
              <w:rPr>
                <w:rFonts w:hint="default" w:ascii="Times New Roman" w:hAnsi="Times New Roman" w:cs="Times New Roman"/>
                <w:color w:val="auto"/>
                <w:highlight w:val="none"/>
                <w:lang w:eastAsia="zh-CN"/>
              </w:rPr>
              <w:t>等。</w:t>
            </w:r>
          </w:p>
          <w:p w14:paraId="576E0674">
            <w:pPr>
              <w:pStyle w:val="31"/>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①麻醉</w:t>
            </w:r>
          </w:p>
          <w:p w14:paraId="7D3E5851">
            <w:pPr>
              <w:pStyle w:val="31"/>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宠物医生跟顾客签好手术协议并告知风险后将宠物带入手术室进行麻醉。</w:t>
            </w:r>
          </w:p>
          <w:p w14:paraId="41FD6C4B">
            <w:pPr>
              <w:pStyle w:val="31"/>
              <w:bidi w:val="0"/>
              <w:rPr>
                <w:rFonts w:hint="default" w:ascii="Times New Roman" w:hAnsi="Times New Roman" w:cs="Times New Roman"/>
                <w:b/>
                <w:bCs w:val="0"/>
                <w:color w:val="auto"/>
                <w:highlight w:val="none"/>
                <w:lang w:eastAsia="zh-CN"/>
              </w:rPr>
            </w:pPr>
            <w:r>
              <w:rPr>
                <w:rFonts w:hint="default" w:ascii="Times New Roman" w:hAnsi="Times New Roman" w:cs="Times New Roman"/>
                <w:b/>
                <w:bCs w:val="0"/>
                <w:color w:val="auto"/>
                <w:highlight w:val="none"/>
                <w:lang w:eastAsia="zh-CN"/>
              </w:rPr>
              <w:t>此过程污染物为：废棉球、废手套、废注射器</w:t>
            </w:r>
            <w:r>
              <w:rPr>
                <w:rFonts w:hint="eastAsia" w:cs="Times New Roman"/>
                <w:b/>
                <w:bCs w:val="0"/>
                <w:color w:val="auto"/>
                <w:highlight w:val="none"/>
                <w:lang w:val="en-US" w:eastAsia="zh-CN"/>
              </w:rPr>
              <w:t>等</w:t>
            </w:r>
            <w:r>
              <w:rPr>
                <w:rFonts w:hint="default" w:ascii="Times New Roman" w:hAnsi="Times New Roman" w:cs="Times New Roman"/>
                <w:b/>
                <w:bCs w:val="0"/>
                <w:color w:val="auto"/>
                <w:highlight w:val="none"/>
                <w:lang w:eastAsia="zh-CN"/>
              </w:rPr>
              <w:t>医疗废物。</w:t>
            </w:r>
          </w:p>
          <w:p w14:paraId="1927D0B2">
            <w:pPr>
              <w:pStyle w:val="31"/>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②剃毛</w:t>
            </w:r>
          </w:p>
          <w:p w14:paraId="22F7FB63">
            <w:pPr>
              <w:pStyle w:val="31"/>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宠物医生将患病宠物需要手术区域的毛发剔除，便于后续手术操作。</w:t>
            </w:r>
          </w:p>
          <w:p w14:paraId="390D70FF">
            <w:pPr>
              <w:pStyle w:val="31"/>
              <w:bidi w:val="0"/>
              <w:rPr>
                <w:rFonts w:hint="default" w:ascii="Times New Roman" w:hAnsi="Times New Roman" w:cs="Times New Roman"/>
                <w:b/>
                <w:bCs w:val="0"/>
                <w:color w:val="auto"/>
                <w:highlight w:val="none"/>
                <w:lang w:eastAsia="zh-CN"/>
              </w:rPr>
            </w:pPr>
            <w:r>
              <w:rPr>
                <w:rFonts w:hint="default" w:ascii="Times New Roman" w:hAnsi="Times New Roman" w:cs="Times New Roman"/>
                <w:b/>
                <w:bCs w:val="0"/>
                <w:color w:val="auto"/>
                <w:highlight w:val="none"/>
                <w:lang w:eastAsia="zh-CN"/>
              </w:rPr>
              <w:t>此过程污染物为：</w:t>
            </w:r>
            <w:r>
              <w:rPr>
                <w:rFonts w:hint="eastAsia" w:cs="Times New Roman"/>
                <w:b/>
                <w:bCs w:val="0"/>
                <w:color w:val="auto"/>
                <w:highlight w:val="none"/>
                <w:lang w:val="en-US" w:eastAsia="zh-CN"/>
              </w:rPr>
              <w:t>宠物</w:t>
            </w:r>
            <w:r>
              <w:rPr>
                <w:rFonts w:hint="default" w:ascii="Times New Roman" w:hAnsi="Times New Roman" w:cs="Times New Roman"/>
                <w:b/>
                <w:bCs w:val="0"/>
                <w:color w:val="auto"/>
                <w:highlight w:val="none"/>
                <w:lang w:eastAsia="zh-CN"/>
              </w:rPr>
              <w:t>毛发。</w:t>
            </w:r>
          </w:p>
          <w:p w14:paraId="6B3C59DA">
            <w:pPr>
              <w:pStyle w:val="31"/>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③消毒</w:t>
            </w:r>
          </w:p>
          <w:p w14:paraId="739A9DE5">
            <w:pPr>
              <w:pStyle w:val="31"/>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宠物医生将患病宠物需要手术区域进行消毒，避免手术过程中伤口感染。</w:t>
            </w:r>
          </w:p>
          <w:p w14:paraId="78F0A1FF">
            <w:pPr>
              <w:pStyle w:val="31"/>
              <w:bidi w:val="0"/>
              <w:rPr>
                <w:rFonts w:hint="default" w:ascii="Times New Roman" w:hAnsi="Times New Roman" w:cs="Times New Roman"/>
                <w:b/>
                <w:bCs w:val="0"/>
                <w:color w:val="auto"/>
                <w:highlight w:val="none"/>
                <w:lang w:eastAsia="zh-CN"/>
              </w:rPr>
            </w:pPr>
            <w:r>
              <w:rPr>
                <w:rFonts w:hint="default" w:ascii="Times New Roman" w:hAnsi="Times New Roman" w:cs="Times New Roman"/>
                <w:b/>
                <w:bCs w:val="0"/>
                <w:color w:val="auto"/>
                <w:highlight w:val="none"/>
                <w:lang w:eastAsia="zh-CN"/>
              </w:rPr>
              <w:t>此过程污染物为：废棉球</w:t>
            </w:r>
            <w:r>
              <w:rPr>
                <w:rFonts w:hint="eastAsia" w:cs="Times New Roman"/>
                <w:b/>
                <w:bCs w:val="0"/>
                <w:color w:val="auto"/>
                <w:highlight w:val="none"/>
                <w:lang w:val="en-US" w:eastAsia="zh-CN"/>
              </w:rPr>
              <w:t>等</w:t>
            </w:r>
            <w:r>
              <w:rPr>
                <w:rFonts w:hint="default" w:ascii="Times New Roman" w:hAnsi="Times New Roman" w:cs="Times New Roman"/>
                <w:b/>
                <w:bCs w:val="0"/>
                <w:color w:val="auto"/>
                <w:highlight w:val="none"/>
                <w:lang w:eastAsia="zh-CN"/>
              </w:rPr>
              <w:t>医疗废物。</w:t>
            </w:r>
          </w:p>
          <w:p w14:paraId="497228BC">
            <w:pPr>
              <w:pStyle w:val="31"/>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④开刀</w:t>
            </w:r>
          </w:p>
          <w:p w14:paraId="033B9A31">
            <w:pPr>
              <w:pStyle w:val="31"/>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宠物医生将患病宠物需要手术的部分划开，观察内部情况并做出判断进行手术操作，渗出的血液由纱布擦拭。</w:t>
            </w:r>
          </w:p>
          <w:p w14:paraId="658D25C2">
            <w:pPr>
              <w:pStyle w:val="31"/>
              <w:bidi w:val="0"/>
              <w:rPr>
                <w:rFonts w:hint="default" w:ascii="Times New Roman" w:hAnsi="Times New Roman" w:cs="Times New Roman"/>
                <w:b/>
                <w:bCs w:val="0"/>
                <w:color w:val="auto"/>
                <w:highlight w:val="none"/>
                <w:lang w:eastAsia="zh-CN"/>
              </w:rPr>
            </w:pPr>
            <w:r>
              <w:rPr>
                <w:rFonts w:hint="default" w:ascii="Times New Roman" w:hAnsi="Times New Roman" w:cs="Times New Roman"/>
                <w:b/>
                <w:bCs w:val="0"/>
                <w:color w:val="auto"/>
                <w:highlight w:val="none"/>
                <w:lang w:eastAsia="zh-CN"/>
              </w:rPr>
              <w:t>此过程污染物为：废棉球、废纱布</w:t>
            </w:r>
            <w:r>
              <w:rPr>
                <w:rFonts w:hint="eastAsia" w:cs="Times New Roman"/>
                <w:b/>
                <w:bCs w:val="0"/>
                <w:color w:val="auto"/>
                <w:highlight w:val="none"/>
                <w:lang w:val="en-US" w:eastAsia="zh-CN"/>
              </w:rPr>
              <w:t>等</w:t>
            </w:r>
            <w:r>
              <w:rPr>
                <w:rFonts w:hint="default" w:ascii="Times New Roman" w:hAnsi="Times New Roman" w:cs="Times New Roman"/>
                <w:b/>
                <w:bCs w:val="0"/>
                <w:color w:val="auto"/>
                <w:highlight w:val="none"/>
                <w:lang w:eastAsia="zh-CN"/>
              </w:rPr>
              <w:t>医疗废物。</w:t>
            </w:r>
          </w:p>
          <w:p w14:paraId="0AE5B137">
            <w:pPr>
              <w:pStyle w:val="31"/>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⑤切除组织等</w:t>
            </w:r>
          </w:p>
          <w:p w14:paraId="4C66EDD8">
            <w:pPr>
              <w:pStyle w:val="31"/>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根据患病宠物实际情况，宠物医生对宠物进行相应的手术操作。对于失血多的宠物及时输血。</w:t>
            </w:r>
          </w:p>
          <w:p w14:paraId="1248CB56">
            <w:pPr>
              <w:pStyle w:val="31"/>
              <w:bidi w:val="0"/>
              <w:rPr>
                <w:rFonts w:hint="default" w:ascii="Times New Roman" w:hAnsi="Times New Roman" w:cs="Times New Roman"/>
                <w:b/>
                <w:bCs w:val="0"/>
                <w:color w:val="auto"/>
                <w:highlight w:val="none"/>
                <w:lang w:eastAsia="zh-CN"/>
              </w:rPr>
            </w:pPr>
            <w:r>
              <w:rPr>
                <w:rFonts w:hint="default" w:ascii="Times New Roman" w:hAnsi="Times New Roman" w:cs="Times New Roman"/>
                <w:b/>
                <w:bCs w:val="0"/>
                <w:color w:val="auto"/>
                <w:highlight w:val="none"/>
                <w:lang w:eastAsia="zh-CN"/>
              </w:rPr>
              <w:t>此过程污染物为：废棉球、废手套、动物组织、器官、废输血器、废手术刀</w:t>
            </w:r>
            <w:r>
              <w:rPr>
                <w:rFonts w:hint="eastAsia" w:cs="Times New Roman"/>
                <w:b/>
                <w:bCs w:val="0"/>
                <w:color w:val="auto"/>
                <w:highlight w:val="none"/>
                <w:lang w:val="en-US" w:eastAsia="zh-CN"/>
              </w:rPr>
              <w:t>等</w:t>
            </w:r>
            <w:r>
              <w:rPr>
                <w:rFonts w:hint="default" w:ascii="Times New Roman" w:hAnsi="Times New Roman" w:cs="Times New Roman"/>
                <w:b/>
                <w:bCs w:val="0"/>
                <w:color w:val="auto"/>
                <w:highlight w:val="none"/>
                <w:lang w:eastAsia="zh-CN"/>
              </w:rPr>
              <w:t>医疗废物。</w:t>
            </w:r>
          </w:p>
          <w:p w14:paraId="75F56901">
            <w:pPr>
              <w:pStyle w:val="31"/>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⑥缝合</w:t>
            </w:r>
          </w:p>
          <w:p w14:paraId="66E096D8">
            <w:pPr>
              <w:pStyle w:val="31"/>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手术操作完成后对伤口进行缝合，并用纱布对伤口进行包裹。</w:t>
            </w:r>
          </w:p>
          <w:p w14:paraId="78A485D2">
            <w:pPr>
              <w:pStyle w:val="31"/>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注：极特殊情况造成宠物院内死亡时，由宠物主人</w:t>
            </w:r>
            <w:r>
              <w:rPr>
                <w:rFonts w:hint="eastAsia" w:cs="Times New Roman"/>
                <w:color w:val="auto"/>
                <w:highlight w:val="none"/>
                <w:lang w:val="en-US" w:eastAsia="zh-CN"/>
              </w:rPr>
              <w:t>自行</w:t>
            </w:r>
            <w:r>
              <w:rPr>
                <w:rFonts w:hint="default" w:ascii="Times New Roman" w:hAnsi="Times New Roman" w:cs="Times New Roman"/>
                <w:color w:val="auto"/>
                <w:highlight w:val="none"/>
                <w:lang w:eastAsia="zh-CN"/>
              </w:rPr>
              <w:t>带走</w:t>
            </w:r>
            <w:r>
              <w:rPr>
                <w:rFonts w:hint="eastAsia" w:cs="Times New Roman"/>
                <w:color w:val="auto"/>
                <w:highlight w:val="none"/>
                <w:lang w:val="en-US" w:eastAsia="zh-CN"/>
              </w:rPr>
              <w:t>处置</w:t>
            </w:r>
            <w:r>
              <w:rPr>
                <w:rFonts w:hint="default" w:ascii="Times New Roman" w:hAnsi="Times New Roman" w:cs="Times New Roman"/>
                <w:color w:val="auto"/>
                <w:highlight w:val="none"/>
                <w:lang w:eastAsia="zh-CN"/>
              </w:rPr>
              <w:t>。</w:t>
            </w:r>
          </w:p>
          <w:p w14:paraId="031749F3">
            <w:pPr>
              <w:pStyle w:val="31"/>
              <w:bidi w:val="0"/>
              <w:rPr>
                <w:rFonts w:hint="default" w:ascii="Times New Roman" w:hAnsi="Times New Roman" w:cs="Times New Roman"/>
                <w:b/>
                <w:bCs w:val="0"/>
                <w:color w:val="auto"/>
                <w:highlight w:val="none"/>
                <w:lang w:eastAsia="zh-CN"/>
              </w:rPr>
            </w:pPr>
            <w:r>
              <w:rPr>
                <w:rFonts w:hint="default" w:ascii="Times New Roman" w:hAnsi="Times New Roman" w:cs="Times New Roman"/>
                <w:b/>
                <w:bCs w:val="0"/>
                <w:color w:val="auto"/>
                <w:highlight w:val="none"/>
                <w:lang w:eastAsia="zh-CN"/>
              </w:rPr>
              <w:t>此过程污染物为：废棉球、废手套、废纱布、废缝合针</w:t>
            </w:r>
            <w:r>
              <w:rPr>
                <w:rFonts w:hint="eastAsia" w:cs="Times New Roman"/>
                <w:b/>
                <w:bCs w:val="0"/>
                <w:color w:val="auto"/>
                <w:highlight w:val="none"/>
                <w:lang w:val="en-US" w:eastAsia="zh-CN"/>
              </w:rPr>
              <w:t>等</w:t>
            </w:r>
            <w:r>
              <w:rPr>
                <w:rFonts w:hint="default" w:ascii="Times New Roman" w:hAnsi="Times New Roman" w:cs="Times New Roman"/>
                <w:b/>
                <w:bCs w:val="0"/>
                <w:color w:val="auto"/>
                <w:highlight w:val="none"/>
                <w:lang w:eastAsia="zh-CN"/>
              </w:rPr>
              <w:t>医疗废物。</w:t>
            </w:r>
          </w:p>
          <w:p w14:paraId="1BB0D699">
            <w:pPr>
              <w:pStyle w:val="31"/>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7）住院治疗</w:t>
            </w:r>
          </w:p>
          <w:p w14:paraId="56987D3E">
            <w:pPr>
              <w:pStyle w:val="31"/>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手术完成后，患病动物住院继续进行观察治疗。安排住院的宠物安置于专用的宠物笼内，笼下方设有粪便托盘，设专人对宠物排便进行观察记录，及时清理。患病动物治疗康复后，出院离开。</w:t>
            </w:r>
          </w:p>
          <w:p w14:paraId="32CE7283">
            <w:pPr>
              <w:pStyle w:val="31"/>
              <w:bidi w:val="0"/>
              <w:rPr>
                <w:rFonts w:hint="default" w:ascii="Times New Roman" w:hAnsi="Times New Roman" w:cs="Times New Roman"/>
                <w:b/>
                <w:bCs w:val="0"/>
                <w:color w:val="auto"/>
                <w:highlight w:val="none"/>
                <w:lang w:eastAsia="zh-CN"/>
              </w:rPr>
            </w:pPr>
            <w:r>
              <w:rPr>
                <w:rFonts w:hint="default" w:ascii="Times New Roman" w:hAnsi="Times New Roman" w:cs="Times New Roman"/>
                <w:b/>
                <w:bCs w:val="0"/>
                <w:color w:val="auto"/>
                <w:highlight w:val="none"/>
                <w:lang w:eastAsia="zh-CN"/>
              </w:rPr>
              <w:t>此过程污染物为：宠物本身散发</w:t>
            </w:r>
            <w:r>
              <w:rPr>
                <w:rFonts w:hint="eastAsia" w:cs="Times New Roman"/>
                <w:b/>
                <w:bCs w:val="0"/>
                <w:color w:val="auto"/>
                <w:highlight w:val="none"/>
                <w:lang w:val="en-US" w:eastAsia="zh-CN"/>
              </w:rPr>
              <w:t>或排泄物异味，</w:t>
            </w:r>
            <w:r>
              <w:rPr>
                <w:rFonts w:hint="default"/>
                <w:b/>
                <w:bCs w:val="0"/>
                <w:color w:val="auto"/>
                <w:highlight w:val="none"/>
                <w:lang w:val="en-US" w:eastAsia="zh-CN"/>
              </w:rPr>
              <w:t>宠物粪便及猫砂</w:t>
            </w:r>
            <w:r>
              <w:rPr>
                <w:rFonts w:hint="eastAsia" w:cs="Times New Roman"/>
                <w:b/>
                <w:bCs w:val="0"/>
                <w:color w:val="auto"/>
                <w:highlight w:val="none"/>
                <w:lang w:eastAsia="zh-CN"/>
              </w:rPr>
              <w:t>，</w:t>
            </w:r>
            <w:r>
              <w:rPr>
                <w:rFonts w:hint="default"/>
                <w:b/>
                <w:bCs w:val="0"/>
                <w:color w:val="auto"/>
                <w:highlight w:val="none"/>
                <w:lang w:val="en-US" w:eastAsia="zh-CN"/>
              </w:rPr>
              <w:t>拆包过程产生的废包装物、输液瓶（袋）</w:t>
            </w:r>
            <w:r>
              <w:rPr>
                <w:rFonts w:hint="eastAsia"/>
                <w:b/>
                <w:bCs w:val="0"/>
                <w:color w:val="auto"/>
                <w:highlight w:val="none"/>
                <w:lang w:val="en-US" w:eastAsia="zh-CN"/>
              </w:rPr>
              <w:t>，</w:t>
            </w:r>
            <w:r>
              <w:rPr>
                <w:rFonts w:hint="default" w:ascii="Times New Roman" w:hAnsi="Times New Roman" w:cs="Times New Roman"/>
                <w:b/>
                <w:bCs w:val="0"/>
                <w:color w:val="auto"/>
                <w:highlight w:val="none"/>
                <w:lang w:eastAsia="zh-CN"/>
              </w:rPr>
              <w:t>废棉球、废手套、废针头、</w:t>
            </w:r>
            <w:r>
              <w:rPr>
                <w:rFonts w:hint="default"/>
                <w:b/>
                <w:bCs w:val="0"/>
                <w:color w:val="auto"/>
                <w:highlight w:val="none"/>
                <w:lang w:val="en-US" w:eastAsia="zh-CN"/>
              </w:rPr>
              <w:t>患病宠物排泄物及猫砂</w:t>
            </w:r>
            <w:r>
              <w:rPr>
                <w:rFonts w:hint="eastAsia" w:cs="Times New Roman"/>
                <w:b/>
                <w:bCs w:val="0"/>
                <w:color w:val="auto"/>
                <w:highlight w:val="none"/>
                <w:lang w:val="en-US" w:eastAsia="zh-CN"/>
              </w:rPr>
              <w:t>等</w:t>
            </w:r>
            <w:r>
              <w:rPr>
                <w:rFonts w:hint="default" w:ascii="Times New Roman" w:hAnsi="Times New Roman" w:cs="Times New Roman"/>
                <w:b/>
                <w:bCs w:val="0"/>
                <w:color w:val="auto"/>
                <w:highlight w:val="none"/>
                <w:lang w:eastAsia="zh-CN"/>
              </w:rPr>
              <w:t>医疗废物、宠物叫声、医疗废水。</w:t>
            </w:r>
          </w:p>
          <w:p w14:paraId="3A89BFE1">
            <w:pPr>
              <w:pStyle w:val="31"/>
              <w:bidi w:val="0"/>
              <w:rPr>
                <w:rFonts w:hint="eastAsia"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美容：主要对动物进行洗澡、修剪等常规美容</w:t>
            </w:r>
            <w:r>
              <w:rPr>
                <w:rFonts w:hint="eastAsia" w:ascii="Times New Roman" w:hAnsi="Times New Roman" w:cs="Times New Roman"/>
                <w:color w:val="auto"/>
                <w:highlight w:val="none"/>
                <w:lang w:eastAsia="zh-CN"/>
              </w:rPr>
              <w:t>。</w:t>
            </w:r>
          </w:p>
          <w:p w14:paraId="568D3A3D">
            <w:pPr>
              <w:pStyle w:val="31"/>
              <w:bidi w:val="0"/>
              <w:rPr>
                <w:rFonts w:hint="default" w:ascii="Times New Roman" w:hAnsi="Times New Roman" w:cs="Times New Roman"/>
                <w:color w:val="auto"/>
                <w:highlight w:val="none"/>
                <w:lang w:eastAsia="zh-CN"/>
              </w:rPr>
            </w:pPr>
            <w:r>
              <w:rPr>
                <w:rFonts w:hint="default" w:ascii="Times New Roman" w:hAnsi="Times New Roman" w:cs="Times New Roman"/>
                <w:b/>
                <w:bCs w:val="0"/>
                <w:color w:val="auto"/>
                <w:highlight w:val="none"/>
                <w:lang w:eastAsia="zh-CN"/>
              </w:rPr>
              <w:t>此过程污染物为：美容</w:t>
            </w:r>
            <w:r>
              <w:rPr>
                <w:rFonts w:hint="eastAsia" w:ascii="Times New Roman" w:hAnsi="Times New Roman" w:cs="Times New Roman"/>
                <w:b/>
                <w:bCs w:val="0"/>
                <w:color w:val="auto"/>
                <w:highlight w:val="none"/>
                <w:lang w:val="en-US" w:eastAsia="zh-CN"/>
              </w:rPr>
              <w:t>医疗</w:t>
            </w:r>
            <w:r>
              <w:rPr>
                <w:rFonts w:hint="default" w:ascii="Times New Roman" w:hAnsi="Times New Roman" w:cs="Times New Roman"/>
                <w:b/>
                <w:bCs w:val="0"/>
                <w:color w:val="auto"/>
                <w:highlight w:val="none"/>
                <w:lang w:eastAsia="zh-CN"/>
              </w:rPr>
              <w:t>废物</w:t>
            </w:r>
            <w:r>
              <w:rPr>
                <w:rFonts w:hint="eastAsia" w:ascii="Times New Roman" w:hAnsi="Times New Roman" w:cs="Times New Roman"/>
                <w:b/>
                <w:bCs w:val="0"/>
                <w:color w:val="auto"/>
                <w:highlight w:val="none"/>
                <w:lang w:eastAsia="zh-CN"/>
              </w:rPr>
              <w:t>、宠物毛发</w:t>
            </w:r>
            <w:r>
              <w:rPr>
                <w:rFonts w:hint="default" w:ascii="Times New Roman" w:hAnsi="Times New Roman" w:cs="Times New Roman"/>
                <w:b/>
                <w:bCs w:val="0"/>
                <w:color w:val="auto"/>
                <w:highlight w:val="none"/>
                <w:lang w:eastAsia="zh-CN"/>
              </w:rPr>
              <w:t>和宠物</w:t>
            </w:r>
            <w:r>
              <w:rPr>
                <w:rFonts w:hint="default" w:ascii="Times New Roman" w:hAnsi="Times New Roman" w:cs="Times New Roman"/>
                <w:b/>
                <w:bCs w:val="0"/>
                <w:color w:val="auto"/>
                <w:highlight w:val="none"/>
                <w:lang w:val="en-US" w:eastAsia="zh-CN"/>
              </w:rPr>
              <w:t>洗浴</w:t>
            </w:r>
            <w:r>
              <w:rPr>
                <w:rFonts w:hint="default" w:ascii="Times New Roman" w:hAnsi="Times New Roman" w:cs="Times New Roman"/>
                <w:b/>
                <w:bCs w:val="0"/>
                <w:color w:val="auto"/>
                <w:highlight w:val="none"/>
                <w:lang w:eastAsia="zh-CN"/>
              </w:rPr>
              <w:t>废水。</w:t>
            </w:r>
          </w:p>
          <w:p w14:paraId="7B11FFDE">
            <w:pPr>
              <w:widowControl w:val="0"/>
              <w:spacing w:line="360" w:lineRule="auto"/>
              <w:ind w:firstLine="480" w:firstLineChars="200"/>
              <w:jc w:val="both"/>
              <w:rPr>
                <w:rFonts w:hint="default" w:ascii="Times New Roman" w:hAnsi="Times New Roman" w:eastAsia="宋体" w:cs="Times New Roman"/>
                <w:b w:val="0"/>
                <w:bCs w:val="0"/>
                <w:color w:val="auto"/>
                <w:kern w:val="2"/>
                <w:sz w:val="24"/>
                <w:szCs w:val="24"/>
                <w:highlight w:val="none"/>
                <w:lang w:val="en-US" w:eastAsia="zh-CN" w:bidi="ar-SA"/>
              </w:rPr>
            </w:pPr>
            <w:r>
              <w:rPr>
                <w:rFonts w:hint="default" w:ascii="Times New Roman" w:hAnsi="Times New Roman" w:eastAsia="宋体" w:cs="Times New Roman"/>
                <w:b w:val="0"/>
                <w:bCs w:val="0"/>
                <w:color w:val="auto"/>
                <w:kern w:val="2"/>
                <w:sz w:val="24"/>
                <w:szCs w:val="24"/>
                <w:highlight w:val="none"/>
                <w:lang w:val="en-US" w:eastAsia="zh-CN" w:bidi="ar-SA"/>
              </w:rPr>
              <w:t>本项目产排污情况见表2-</w:t>
            </w:r>
            <w:r>
              <w:rPr>
                <w:rFonts w:hint="eastAsia" w:cs="Times New Roman"/>
                <w:b w:val="0"/>
                <w:bCs w:val="0"/>
                <w:color w:val="auto"/>
                <w:kern w:val="2"/>
                <w:sz w:val="24"/>
                <w:szCs w:val="24"/>
                <w:highlight w:val="none"/>
                <w:lang w:val="en-US" w:eastAsia="zh-CN" w:bidi="ar-SA"/>
              </w:rPr>
              <w:t>6</w:t>
            </w:r>
            <w:r>
              <w:rPr>
                <w:rFonts w:hint="default" w:ascii="Times New Roman" w:hAnsi="Times New Roman" w:eastAsia="宋体" w:cs="Times New Roman"/>
                <w:b w:val="0"/>
                <w:bCs w:val="0"/>
                <w:color w:val="auto"/>
                <w:kern w:val="2"/>
                <w:sz w:val="24"/>
                <w:szCs w:val="24"/>
                <w:highlight w:val="none"/>
                <w:lang w:val="en-US" w:eastAsia="zh-CN" w:bidi="ar-SA"/>
              </w:rPr>
              <w:t>。</w:t>
            </w:r>
          </w:p>
          <w:p w14:paraId="21F0B811">
            <w:pPr>
              <w:widowControl w:val="0"/>
              <w:kinsoku/>
              <w:autoSpaceDE/>
              <w:autoSpaceDN/>
              <w:adjustRightInd w:val="0"/>
              <w:snapToGrid w:val="0"/>
              <w:spacing w:line="240" w:lineRule="auto"/>
              <w:ind w:firstLine="422" w:firstLineChars="200"/>
              <w:jc w:val="center"/>
              <w:textAlignment w:val="auto"/>
              <w:rPr>
                <w:rFonts w:hint="default" w:ascii="Times New Roman" w:hAnsi="Times New Roman" w:eastAsia="宋体" w:cs="Times New Roman"/>
                <w:b/>
                <w:bCs/>
                <w:snapToGrid/>
                <w:color w:val="auto"/>
                <w:kern w:val="2"/>
                <w:sz w:val="21"/>
                <w:szCs w:val="21"/>
                <w:highlight w:val="none"/>
                <w:lang w:val="en-US" w:eastAsia="zh-CN" w:bidi="ar-SA"/>
              </w:rPr>
            </w:pPr>
            <w:r>
              <w:rPr>
                <w:rFonts w:hint="default" w:ascii="Times New Roman" w:hAnsi="Times New Roman" w:eastAsia="宋体" w:cs="Times New Roman"/>
                <w:b/>
                <w:bCs/>
                <w:snapToGrid/>
                <w:color w:val="auto"/>
                <w:kern w:val="2"/>
                <w:sz w:val="21"/>
                <w:szCs w:val="21"/>
                <w:highlight w:val="none"/>
                <w:lang w:val="en-US" w:eastAsia="zh-CN" w:bidi="ar-SA"/>
              </w:rPr>
              <w:t>表2-</w:t>
            </w:r>
            <w:r>
              <w:rPr>
                <w:rFonts w:hint="eastAsia" w:cs="Times New Roman"/>
                <w:b/>
                <w:bCs/>
                <w:snapToGrid/>
                <w:color w:val="auto"/>
                <w:kern w:val="2"/>
                <w:sz w:val="21"/>
                <w:szCs w:val="21"/>
                <w:highlight w:val="none"/>
                <w:lang w:val="en-US" w:eastAsia="zh-CN" w:bidi="ar-SA"/>
              </w:rPr>
              <w:t>6</w:t>
            </w:r>
            <w:r>
              <w:rPr>
                <w:rFonts w:hint="default" w:ascii="Times New Roman" w:hAnsi="Times New Roman" w:eastAsia="宋体" w:cs="Times New Roman"/>
                <w:b/>
                <w:bCs/>
                <w:snapToGrid/>
                <w:color w:val="auto"/>
                <w:kern w:val="2"/>
                <w:sz w:val="21"/>
                <w:szCs w:val="21"/>
                <w:highlight w:val="none"/>
                <w:lang w:val="en-US" w:eastAsia="zh-CN" w:bidi="ar-SA"/>
              </w:rPr>
              <w:t xml:space="preserve">   产排污环节一览表</w:t>
            </w:r>
          </w:p>
          <w:tbl>
            <w:tblPr>
              <w:tblStyle w:val="18"/>
              <w:tblW w:w="494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603"/>
              <w:gridCol w:w="1553"/>
              <w:gridCol w:w="1318"/>
              <w:gridCol w:w="1304"/>
              <w:gridCol w:w="1456"/>
              <w:gridCol w:w="1798"/>
            </w:tblGrid>
            <w:tr w14:paraId="0B2ADF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5" w:type="dxa"/>
                  <w:left w:w="15" w:type="dxa"/>
                  <w:bottom w:w="15" w:type="dxa"/>
                  <w:right w:w="15" w:type="dxa"/>
                </w:tblCellMar>
              </w:tblPrEx>
              <w:trPr>
                <w:trHeight w:val="23" w:hRule="atLeast"/>
                <w:tblHeader/>
                <w:jc w:val="center"/>
              </w:trPr>
              <w:tc>
                <w:tcPr>
                  <w:tcW w:w="603" w:type="dxa"/>
                  <w:tcBorders>
                    <w:tl2br w:val="nil"/>
                    <w:tr2bl w:val="nil"/>
                  </w:tcBorders>
                  <w:shd w:val="clear" w:color="auto" w:fill="auto"/>
                  <w:vAlign w:val="center"/>
                </w:tcPr>
                <w:p w14:paraId="03005801">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kern w:val="2"/>
                      <w:sz w:val="21"/>
                      <w:szCs w:val="21"/>
                      <w:lang w:val="en-US" w:eastAsia="zh-CN" w:bidi="ar-SA"/>
                    </w:rPr>
                    <w:t>类别</w:t>
                  </w:r>
                </w:p>
              </w:tc>
              <w:tc>
                <w:tcPr>
                  <w:tcW w:w="1553" w:type="dxa"/>
                  <w:tcBorders>
                    <w:tl2br w:val="nil"/>
                    <w:tr2bl w:val="nil"/>
                  </w:tcBorders>
                  <w:shd w:val="clear" w:color="auto" w:fill="auto"/>
                  <w:vAlign w:val="center"/>
                </w:tcPr>
                <w:p w14:paraId="36D066A9">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kern w:val="2"/>
                      <w:sz w:val="21"/>
                      <w:szCs w:val="21"/>
                      <w:lang w:val="en-US" w:eastAsia="zh-CN" w:bidi="ar-SA"/>
                    </w:rPr>
                    <w:t>产污环节</w:t>
                  </w:r>
                </w:p>
              </w:tc>
              <w:tc>
                <w:tcPr>
                  <w:tcW w:w="1318" w:type="dxa"/>
                  <w:tcBorders>
                    <w:tl2br w:val="nil"/>
                    <w:tr2bl w:val="nil"/>
                  </w:tcBorders>
                  <w:shd w:val="clear" w:color="auto" w:fill="auto"/>
                  <w:vAlign w:val="center"/>
                </w:tcPr>
                <w:p w14:paraId="3EFA2240">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kern w:val="2"/>
                      <w:sz w:val="21"/>
                      <w:szCs w:val="21"/>
                      <w:lang w:val="en-US" w:eastAsia="zh-CN" w:bidi="ar-SA"/>
                    </w:rPr>
                    <w:t>污染物名称</w:t>
                  </w:r>
                </w:p>
              </w:tc>
              <w:tc>
                <w:tcPr>
                  <w:tcW w:w="1304" w:type="dxa"/>
                  <w:tcBorders>
                    <w:tl2br w:val="nil"/>
                    <w:tr2bl w:val="nil"/>
                  </w:tcBorders>
                  <w:shd w:val="clear" w:color="auto" w:fill="auto"/>
                  <w:vAlign w:val="center"/>
                </w:tcPr>
                <w:p w14:paraId="6DA0B27E">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kern w:val="2"/>
                      <w:sz w:val="21"/>
                      <w:szCs w:val="21"/>
                      <w:lang w:val="en-US" w:eastAsia="zh-CN" w:bidi="ar-SA"/>
                    </w:rPr>
                    <w:t>污染因子</w:t>
                  </w:r>
                </w:p>
              </w:tc>
              <w:tc>
                <w:tcPr>
                  <w:tcW w:w="3254" w:type="dxa"/>
                  <w:gridSpan w:val="2"/>
                  <w:tcBorders>
                    <w:tl2br w:val="nil"/>
                    <w:tr2bl w:val="nil"/>
                  </w:tcBorders>
                  <w:shd w:val="clear" w:color="auto" w:fill="auto"/>
                  <w:vAlign w:val="center"/>
                </w:tcPr>
                <w:p w14:paraId="7D231AAE">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kern w:val="2"/>
                      <w:sz w:val="21"/>
                      <w:szCs w:val="21"/>
                      <w:lang w:val="en-US" w:eastAsia="zh-CN" w:bidi="ar-SA"/>
                    </w:rPr>
                    <w:t>排放/处理方式</w:t>
                  </w:r>
                </w:p>
              </w:tc>
            </w:tr>
            <w:tr w14:paraId="28A1C0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3" w:hRule="atLeast"/>
                <w:jc w:val="center"/>
              </w:trPr>
              <w:tc>
                <w:tcPr>
                  <w:tcW w:w="603" w:type="dxa"/>
                  <w:vMerge w:val="restart"/>
                  <w:tcBorders>
                    <w:tl2br w:val="nil"/>
                    <w:tr2bl w:val="nil"/>
                  </w:tcBorders>
                  <w:shd w:val="clear" w:color="auto" w:fill="auto"/>
                  <w:vAlign w:val="center"/>
                </w:tcPr>
                <w:p w14:paraId="1BF2AFB8">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废气</w:t>
                  </w:r>
                </w:p>
              </w:tc>
              <w:tc>
                <w:tcPr>
                  <w:tcW w:w="1553" w:type="dxa"/>
                  <w:tcBorders>
                    <w:tl2br w:val="nil"/>
                    <w:tr2bl w:val="nil"/>
                  </w:tcBorders>
                  <w:shd w:val="clear" w:color="auto" w:fill="auto"/>
                  <w:vAlign w:val="center"/>
                </w:tcPr>
                <w:p w14:paraId="23733706">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宠物本身散发或排泄物</w:t>
                  </w:r>
                </w:p>
              </w:tc>
              <w:tc>
                <w:tcPr>
                  <w:tcW w:w="1318" w:type="dxa"/>
                  <w:tcBorders>
                    <w:tl2br w:val="nil"/>
                    <w:tr2bl w:val="nil"/>
                  </w:tcBorders>
                  <w:shd w:val="clear" w:color="auto" w:fill="auto"/>
                  <w:vAlign w:val="center"/>
                </w:tcPr>
                <w:p w14:paraId="4F418EC0">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宠物本身散发或排泄物</w:t>
                  </w:r>
                  <w:r>
                    <w:rPr>
                      <w:rFonts w:hint="eastAsia" w:ascii="Times New Roman" w:hAnsi="Times New Roman" w:eastAsia="宋体" w:cs="Times New Roman"/>
                      <w:b w:val="0"/>
                      <w:bCs w:val="0"/>
                      <w:color w:val="auto"/>
                      <w:kern w:val="2"/>
                      <w:sz w:val="21"/>
                      <w:szCs w:val="21"/>
                      <w:lang w:val="en-US" w:eastAsia="zh-CN" w:bidi="ar-SA"/>
                    </w:rPr>
                    <w:t>异味</w:t>
                  </w:r>
                </w:p>
              </w:tc>
              <w:tc>
                <w:tcPr>
                  <w:tcW w:w="1304" w:type="dxa"/>
                  <w:tcBorders>
                    <w:tl2br w:val="nil"/>
                    <w:tr2bl w:val="nil"/>
                  </w:tcBorders>
                  <w:shd w:val="clear" w:color="auto" w:fill="auto"/>
                  <w:vAlign w:val="center"/>
                </w:tcPr>
                <w:p w14:paraId="78D0EF4B">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臭气浓度</w:t>
                  </w:r>
                </w:p>
              </w:tc>
              <w:tc>
                <w:tcPr>
                  <w:tcW w:w="3254" w:type="dxa"/>
                  <w:gridSpan w:val="2"/>
                  <w:tcBorders>
                    <w:tl2br w:val="nil"/>
                    <w:tr2bl w:val="nil"/>
                  </w:tcBorders>
                  <w:shd w:val="clear" w:color="auto" w:fill="auto"/>
                  <w:vAlign w:val="center"/>
                </w:tcPr>
                <w:p w14:paraId="6AC87EE8">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动物粪便及时清理，消毒后装入密封袋，减少暴露时间，减少臭气产生，房间内采取紫外灯消毒、新风系统、喷洒生物除臭剂等措施。</w:t>
                  </w:r>
                </w:p>
              </w:tc>
            </w:tr>
            <w:tr w14:paraId="591A5EF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3" w:hRule="atLeast"/>
                <w:jc w:val="center"/>
              </w:trPr>
              <w:tc>
                <w:tcPr>
                  <w:tcW w:w="603" w:type="dxa"/>
                  <w:vMerge w:val="continue"/>
                  <w:tcBorders>
                    <w:tl2br w:val="nil"/>
                    <w:tr2bl w:val="nil"/>
                  </w:tcBorders>
                  <w:shd w:val="clear" w:color="auto" w:fill="auto"/>
                  <w:vAlign w:val="center"/>
                </w:tcPr>
                <w:p w14:paraId="570D3D73">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p>
              </w:tc>
              <w:tc>
                <w:tcPr>
                  <w:tcW w:w="1553" w:type="dxa"/>
                  <w:tcBorders>
                    <w:tl2br w:val="nil"/>
                    <w:tr2bl w:val="nil"/>
                  </w:tcBorders>
                  <w:shd w:val="clear" w:color="auto" w:fill="auto"/>
                  <w:vAlign w:val="center"/>
                </w:tcPr>
                <w:p w14:paraId="11E84409">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snapToGrid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污水处理设施</w:t>
                  </w:r>
                </w:p>
              </w:tc>
              <w:tc>
                <w:tcPr>
                  <w:tcW w:w="1318" w:type="dxa"/>
                  <w:tcBorders>
                    <w:tl2br w:val="nil"/>
                    <w:tr2bl w:val="nil"/>
                  </w:tcBorders>
                  <w:shd w:val="clear" w:color="auto" w:fill="auto"/>
                  <w:vAlign w:val="center"/>
                </w:tcPr>
                <w:p w14:paraId="220D2945">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snapToGrid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污水处理设施异味</w:t>
                  </w:r>
                </w:p>
              </w:tc>
              <w:tc>
                <w:tcPr>
                  <w:tcW w:w="1304" w:type="dxa"/>
                  <w:tcBorders>
                    <w:tl2br w:val="nil"/>
                    <w:tr2bl w:val="nil"/>
                  </w:tcBorders>
                  <w:shd w:val="clear" w:color="auto" w:fill="auto"/>
                  <w:vAlign w:val="center"/>
                </w:tcPr>
                <w:p w14:paraId="010D8564">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snapToGrid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臭气浓度</w:t>
                  </w:r>
                </w:p>
              </w:tc>
              <w:tc>
                <w:tcPr>
                  <w:tcW w:w="3254" w:type="dxa"/>
                  <w:gridSpan w:val="2"/>
                  <w:tcBorders>
                    <w:tl2br w:val="nil"/>
                    <w:tr2bl w:val="nil"/>
                  </w:tcBorders>
                  <w:shd w:val="clear" w:color="auto" w:fill="auto"/>
                  <w:vAlign w:val="center"/>
                </w:tcPr>
                <w:p w14:paraId="4E1EC331">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密闭</w:t>
                  </w:r>
                  <w:r>
                    <w:rPr>
                      <w:rFonts w:hint="eastAsia" w:ascii="Times New Roman" w:hAnsi="Times New Roman" w:eastAsia="宋体" w:cs="Times New Roman"/>
                      <w:b w:val="0"/>
                      <w:bCs w:val="0"/>
                      <w:color w:val="auto"/>
                      <w:kern w:val="2"/>
                      <w:sz w:val="21"/>
                      <w:szCs w:val="21"/>
                      <w:lang w:val="en-US" w:eastAsia="zh-CN" w:bidi="ar-SA"/>
                    </w:rPr>
                    <w:t>设备</w:t>
                  </w:r>
                  <w:r>
                    <w:rPr>
                      <w:rFonts w:hint="default" w:ascii="Times New Roman" w:hAnsi="Times New Roman" w:eastAsia="宋体" w:cs="Times New Roman"/>
                      <w:b w:val="0"/>
                      <w:bCs w:val="0"/>
                      <w:color w:val="auto"/>
                      <w:kern w:val="2"/>
                      <w:sz w:val="21"/>
                      <w:szCs w:val="21"/>
                      <w:lang w:val="en-US" w:eastAsia="zh-CN" w:bidi="ar-SA"/>
                    </w:rPr>
                    <w:t>，规模较小，</w:t>
                  </w:r>
                  <w:r>
                    <w:rPr>
                      <w:rFonts w:hint="eastAsia" w:ascii="Times New Roman" w:hAnsi="Times New Roman" w:eastAsia="宋体" w:cs="Times New Roman"/>
                      <w:b w:val="0"/>
                      <w:bCs w:val="0"/>
                      <w:color w:val="auto"/>
                      <w:kern w:val="2"/>
                      <w:sz w:val="21"/>
                      <w:szCs w:val="21"/>
                      <w:lang w:val="en-US" w:eastAsia="zh-CN" w:bidi="ar-SA"/>
                    </w:rPr>
                    <w:t>经</w:t>
                  </w:r>
                  <w:r>
                    <w:rPr>
                      <w:rFonts w:hint="default" w:ascii="Times New Roman" w:hAnsi="Times New Roman" w:eastAsia="宋体" w:cs="Times New Roman"/>
                      <w:b w:val="0"/>
                      <w:bCs w:val="0"/>
                      <w:color w:val="auto"/>
                      <w:kern w:val="2"/>
                      <w:sz w:val="21"/>
                      <w:szCs w:val="21"/>
                      <w:lang w:val="en-US" w:eastAsia="zh-CN" w:bidi="ar-SA"/>
                    </w:rPr>
                    <w:t>加强通风和定期消毒处理</w:t>
                  </w:r>
                </w:p>
              </w:tc>
            </w:tr>
            <w:tr w14:paraId="1BAA92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90" w:hRule="atLeast"/>
                <w:jc w:val="center"/>
              </w:trPr>
              <w:tc>
                <w:tcPr>
                  <w:tcW w:w="603" w:type="dxa"/>
                  <w:vMerge w:val="continue"/>
                  <w:tcBorders>
                    <w:tl2br w:val="nil"/>
                    <w:tr2bl w:val="nil"/>
                  </w:tcBorders>
                  <w:shd w:val="clear" w:color="auto" w:fill="auto"/>
                  <w:vAlign w:val="center"/>
                </w:tcPr>
                <w:p w14:paraId="070A8D31">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p>
              </w:tc>
              <w:tc>
                <w:tcPr>
                  <w:tcW w:w="1553" w:type="dxa"/>
                  <w:tcBorders>
                    <w:tl2br w:val="nil"/>
                    <w:tr2bl w:val="nil"/>
                  </w:tcBorders>
                  <w:shd w:val="clear" w:color="auto" w:fill="auto"/>
                  <w:vAlign w:val="center"/>
                </w:tcPr>
                <w:p w14:paraId="6CD02BA7">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snapToGrid w:val="0"/>
                      <w:color w:val="auto"/>
                      <w:kern w:val="2"/>
                      <w:sz w:val="21"/>
                      <w:szCs w:val="21"/>
                      <w:lang w:val="en-US" w:eastAsia="zh-CN" w:bidi="ar-SA"/>
                    </w:rPr>
                  </w:pPr>
                  <w:r>
                    <w:rPr>
                      <w:rFonts w:hint="default" w:ascii="Times New Roman" w:hAnsi="Times New Roman" w:eastAsia="宋体" w:cs="Times New Roman"/>
                      <w:b w:val="0"/>
                      <w:bCs w:val="0"/>
                      <w:snapToGrid w:val="0"/>
                      <w:color w:val="auto"/>
                      <w:kern w:val="2"/>
                      <w:sz w:val="21"/>
                      <w:szCs w:val="21"/>
                      <w:lang w:val="en-US" w:eastAsia="zh-CN" w:bidi="ar-SA"/>
                    </w:rPr>
                    <w:t>医疗废物贮存间</w:t>
                  </w:r>
                </w:p>
              </w:tc>
              <w:tc>
                <w:tcPr>
                  <w:tcW w:w="1318" w:type="dxa"/>
                  <w:tcBorders>
                    <w:tl2br w:val="nil"/>
                    <w:tr2bl w:val="nil"/>
                  </w:tcBorders>
                  <w:shd w:val="clear" w:color="auto" w:fill="auto"/>
                  <w:vAlign w:val="center"/>
                </w:tcPr>
                <w:p w14:paraId="5CB41C75">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snapToGrid w:val="0"/>
                      <w:color w:val="auto"/>
                      <w:kern w:val="2"/>
                      <w:sz w:val="21"/>
                      <w:szCs w:val="21"/>
                      <w:lang w:val="en-US" w:eastAsia="zh-CN" w:bidi="ar-SA"/>
                    </w:rPr>
                  </w:pPr>
                  <w:r>
                    <w:rPr>
                      <w:rFonts w:hint="default" w:ascii="Times New Roman" w:hAnsi="Times New Roman" w:eastAsia="宋体" w:cs="Times New Roman"/>
                      <w:b w:val="0"/>
                      <w:bCs w:val="0"/>
                      <w:snapToGrid w:val="0"/>
                      <w:color w:val="auto"/>
                      <w:kern w:val="2"/>
                      <w:sz w:val="21"/>
                      <w:szCs w:val="21"/>
                      <w:lang w:val="en-US" w:eastAsia="zh-CN" w:bidi="ar-SA"/>
                    </w:rPr>
                    <w:t>医疗废物贮存间</w:t>
                  </w:r>
                  <w:r>
                    <w:rPr>
                      <w:rFonts w:hint="eastAsia" w:ascii="Times New Roman" w:hAnsi="Times New Roman" w:eastAsia="宋体" w:cs="Times New Roman"/>
                      <w:b w:val="0"/>
                      <w:bCs w:val="0"/>
                      <w:color w:val="auto"/>
                      <w:kern w:val="2"/>
                      <w:sz w:val="21"/>
                      <w:szCs w:val="21"/>
                      <w:lang w:val="en-US" w:eastAsia="zh-CN" w:bidi="ar-SA"/>
                    </w:rPr>
                    <w:t>异味</w:t>
                  </w:r>
                </w:p>
              </w:tc>
              <w:tc>
                <w:tcPr>
                  <w:tcW w:w="1304" w:type="dxa"/>
                  <w:tcBorders>
                    <w:tl2br w:val="nil"/>
                    <w:tr2bl w:val="nil"/>
                  </w:tcBorders>
                  <w:shd w:val="clear" w:color="auto" w:fill="auto"/>
                  <w:vAlign w:val="center"/>
                </w:tcPr>
                <w:p w14:paraId="3538C9A4">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臭气浓度</w:t>
                  </w:r>
                </w:p>
              </w:tc>
              <w:tc>
                <w:tcPr>
                  <w:tcW w:w="3254" w:type="dxa"/>
                  <w:gridSpan w:val="2"/>
                  <w:tcBorders>
                    <w:tl2br w:val="nil"/>
                    <w:tr2bl w:val="nil"/>
                  </w:tcBorders>
                  <w:shd w:val="clear" w:color="auto" w:fill="auto"/>
                  <w:vAlign w:val="center"/>
                </w:tcPr>
                <w:p w14:paraId="04957213">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对医疗废物储存加盖密封，同时加强管理，做好消毒工作，及时清运，定期进行医疗废物贮存间存储设施、设备的清洁和消毒工作，确保医疗废物的暂存时间最多不超过2天</w:t>
                  </w:r>
                </w:p>
              </w:tc>
            </w:tr>
            <w:tr w14:paraId="191F51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3" w:hRule="atLeast"/>
                <w:jc w:val="center"/>
              </w:trPr>
              <w:tc>
                <w:tcPr>
                  <w:tcW w:w="603" w:type="dxa"/>
                  <w:vMerge w:val="restart"/>
                  <w:tcBorders>
                    <w:tl2br w:val="nil"/>
                    <w:tr2bl w:val="nil"/>
                  </w:tcBorders>
                  <w:shd w:val="clear" w:color="auto" w:fill="auto"/>
                  <w:vAlign w:val="center"/>
                </w:tcPr>
                <w:p w14:paraId="228154AE">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废水</w:t>
                  </w:r>
                </w:p>
              </w:tc>
              <w:tc>
                <w:tcPr>
                  <w:tcW w:w="1553" w:type="dxa"/>
                  <w:tcBorders>
                    <w:tl2br w:val="nil"/>
                    <w:tr2bl w:val="nil"/>
                  </w:tcBorders>
                  <w:shd w:val="clear" w:color="auto" w:fill="auto"/>
                  <w:vAlign w:val="center"/>
                </w:tcPr>
                <w:p w14:paraId="697DBA51">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治疗过程</w:t>
                  </w:r>
                </w:p>
              </w:tc>
              <w:tc>
                <w:tcPr>
                  <w:tcW w:w="1318" w:type="dxa"/>
                  <w:tcBorders>
                    <w:tl2br w:val="nil"/>
                    <w:tr2bl w:val="nil"/>
                  </w:tcBorders>
                  <w:shd w:val="clear" w:color="auto" w:fill="auto"/>
                  <w:vAlign w:val="center"/>
                </w:tcPr>
                <w:p w14:paraId="22B40938">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医疗废水</w:t>
                  </w:r>
                  <w:r>
                    <w:rPr>
                      <w:rFonts w:hint="eastAsia" w:cs="Times New Roman"/>
                      <w:b w:val="0"/>
                      <w:bCs w:val="0"/>
                      <w:color w:val="auto"/>
                      <w:kern w:val="2"/>
                      <w:sz w:val="21"/>
                      <w:szCs w:val="21"/>
                      <w:lang w:val="en-US" w:eastAsia="zh-CN" w:bidi="ar-SA"/>
                    </w:rPr>
                    <w:t>、清洗消毒废水</w:t>
                  </w:r>
                </w:p>
              </w:tc>
              <w:tc>
                <w:tcPr>
                  <w:tcW w:w="1304" w:type="dxa"/>
                  <w:tcBorders>
                    <w:tl2br w:val="nil"/>
                    <w:tr2bl w:val="nil"/>
                  </w:tcBorders>
                  <w:shd w:val="clear" w:color="auto" w:fill="auto"/>
                  <w:vAlign w:val="center"/>
                </w:tcPr>
                <w:p w14:paraId="5D9341FB">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COD、NH₃-N、SS、BOD</w:t>
                  </w:r>
                  <w:r>
                    <w:rPr>
                      <w:rFonts w:hint="default" w:ascii="Times New Roman" w:hAnsi="Times New Roman" w:eastAsia="宋体" w:cs="Times New Roman"/>
                      <w:b w:val="0"/>
                      <w:bCs w:val="0"/>
                      <w:color w:val="auto"/>
                      <w:kern w:val="2"/>
                      <w:sz w:val="21"/>
                      <w:szCs w:val="21"/>
                      <w:vertAlign w:val="subscript"/>
                      <w:lang w:val="en-US" w:eastAsia="zh-CN" w:bidi="ar-SA"/>
                    </w:rPr>
                    <w:t>5</w:t>
                  </w:r>
                  <w:r>
                    <w:rPr>
                      <w:rFonts w:hint="default" w:ascii="Times New Roman" w:hAnsi="Times New Roman" w:eastAsia="宋体" w:cs="Times New Roman"/>
                      <w:b w:val="0"/>
                      <w:bCs w:val="0"/>
                      <w:color w:val="auto"/>
                      <w:kern w:val="2"/>
                      <w:sz w:val="21"/>
                      <w:szCs w:val="21"/>
                      <w:lang w:val="en-US" w:eastAsia="zh-CN" w:bidi="ar-SA"/>
                    </w:rPr>
                    <w:t>、粪大肠菌群</w:t>
                  </w:r>
                  <w:r>
                    <w:rPr>
                      <w:rFonts w:hint="eastAsia" w:cs="Times New Roman"/>
                      <w:b w:val="0"/>
                      <w:bCs w:val="0"/>
                      <w:color w:val="auto"/>
                      <w:kern w:val="2"/>
                      <w:sz w:val="21"/>
                      <w:szCs w:val="21"/>
                      <w:lang w:val="en-US" w:eastAsia="zh-CN" w:bidi="ar-SA"/>
                    </w:rPr>
                    <w:t>数</w:t>
                  </w:r>
                </w:p>
              </w:tc>
              <w:tc>
                <w:tcPr>
                  <w:tcW w:w="1456" w:type="dxa"/>
                  <w:tcBorders>
                    <w:tl2br w:val="nil"/>
                    <w:tr2bl w:val="nil"/>
                  </w:tcBorders>
                  <w:shd w:val="clear" w:color="auto" w:fill="auto"/>
                  <w:vAlign w:val="center"/>
                </w:tcPr>
                <w:p w14:paraId="2CA4022B">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一体化污水处理设施预处理</w:t>
                  </w:r>
                  <w:r>
                    <w:rPr>
                      <w:rFonts w:hint="eastAsia" w:ascii="Times New Roman" w:hAnsi="Times New Roman" w:eastAsia="宋体" w:cs="Times New Roman"/>
                      <w:b w:val="0"/>
                      <w:bCs w:val="0"/>
                      <w:color w:val="auto"/>
                      <w:kern w:val="2"/>
                      <w:sz w:val="21"/>
                      <w:szCs w:val="21"/>
                      <w:lang w:val="en-US" w:eastAsia="zh-CN" w:bidi="ar-SA"/>
                    </w:rPr>
                    <w:t>后</w:t>
                  </w:r>
                </w:p>
              </w:tc>
              <w:tc>
                <w:tcPr>
                  <w:tcW w:w="1798" w:type="dxa"/>
                  <w:vMerge w:val="restart"/>
                  <w:tcBorders>
                    <w:tl2br w:val="nil"/>
                    <w:tr2bl w:val="nil"/>
                  </w:tcBorders>
                  <w:shd w:val="clear" w:color="auto" w:fill="auto"/>
                  <w:vAlign w:val="center"/>
                </w:tcPr>
                <w:p w14:paraId="11F3557B">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排入市政排水管网</w:t>
                  </w:r>
                  <w:r>
                    <w:rPr>
                      <w:rFonts w:hint="eastAsia" w:ascii="Times New Roman" w:hAnsi="Times New Roman" w:eastAsia="宋体" w:cs="Times New Roman"/>
                      <w:b w:val="0"/>
                      <w:bCs w:val="0"/>
                      <w:color w:val="auto"/>
                      <w:kern w:val="2"/>
                      <w:sz w:val="21"/>
                      <w:szCs w:val="21"/>
                      <w:lang w:val="en-US" w:eastAsia="zh-CN" w:bidi="ar-SA"/>
                    </w:rPr>
                    <w:t>后最终进入库尔勒市南市区污水处理厂（库尔勒龙润水处理有限公司）</w:t>
                  </w:r>
                </w:p>
              </w:tc>
            </w:tr>
            <w:tr w14:paraId="5351AF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3" w:hRule="atLeast"/>
                <w:jc w:val="center"/>
              </w:trPr>
              <w:tc>
                <w:tcPr>
                  <w:tcW w:w="603" w:type="dxa"/>
                  <w:vMerge w:val="continue"/>
                  <w:tcBorders>
                    <w:tl2br w:val="nil"/>
                    <w:tr2bl w:val="nil"/>
                  </w:tcBorders>
                  <w:shd w:val="clear" w:color="auto" w:fill="auto"/>
                  <w:vAlign w:val="center"/>
                </w:tcPr>
                <w:p w14:paraId="62FB5F6D">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p>
              </w:tc>
              <w:tc>
                <w:tcPr>
                  <w:tcW w:w="1553" w:type="dxa"/>
                  <w:tcBorders>
                    <w:tl2br w:val="nil"/>
                    <w:tr2bl w:val="nil"/>
                  </w:tcBorders>
                  <w:shd w:val="clear" w:color="auto" w:fill="auto"/>
                  <w:vAlign w:val="center"/>
                </w:tcPr>
                <w:p w14:paraId="409903A7">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snapToGrid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职工生活</w:t>
                  </w:r>
                </w:p>
              </w:tc>
              <w:tc>
                <w:tcPr>
                  <w:tcW w:w="1318" w:type="dxa"/>
                  <w:tcBorders>
                    <w:tl2br w:val="nil"/>
                    <w:tr2bl w:val="nil"/>
                  </w:tcBorders>
                  <w:shd w:val="clear" w:color="auto" w:fill="auto"/>
                  <w:vAlign w:val="center"/>
                </w:tcPr>
                <w:p w14:paraId="1B064A4C">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snapToGrid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生活污水</w:t>
                  </w:r>
                </w:p>
              </w:tc>
              <w:tc>
                <w:tcPr>
                  <w:tcW w:w="1304" w:type="dxa"/>
                  <w:tcBorders>
                    <w:tl2br w:val="nil"/>
                    <w:tr2bl w:val="nil"/>
                  </w:tcBorders>
                  <w:shd w:val="clear" w:color="auto" w:fill="auto"/>
                  <w:vAlign w:val="center"/>
                </w:tcPr>
                <w:p w14:paraId="212431CF">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snapToGrid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COD、BOD₅、NH₃-N、SS</w:t>
                  </w:r>
                </w:p>
              </w:tc>
              <w:tc>
                <w:tcPr>
                  <w:tcW w:w="1456" w:type="dxa"/>
                  <w:vMerge w:val="restart"/>
                  <w:tcBorders>
                    <w:tl2br w:val="nil"/>
                    <w:tr2bl w:val="nil"/>
                  </w:tcBorders>
                  <w:shd w:val="clear" w:color="auto" w:fill="auto"/>
                  <w:vAlign w:val="center"/>
                </w:tcPr>
                <w:p w14:paraId="10323BB9">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w:t>
                  </w:r>
                </w:p>
              </w:tc>
              <w:tc>
                <w:tcPr>
                  <w:tcW w:w="1798" w:type="dxa"/>
                  <w:vMerge w:val="continue"/>
                  <w:tcBorders>
                    <w:tl2br w:val="nil"/>
                    <w:tr2bl w:val="nil"/>
                  </w:tcBorders>
                  <w:shd w:val="clear" w:color="auto" w:fill="auto"/>
                  <w:vAlign w:val="center"/>
                </w:tcPr>
                <w:p w14:paraId="371E0625">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p>
              </w:tc>
            </w:tr>
            <w:tr w14:paraId="1E406B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3" w:hRule="atLeast"/>
                <w:jc w:val="center"/>
              </w:trPr>
              <w:tc>
                <w:tcPr>
                  <w:tcW w:w="603" w:type="dxa"/>
                  <w:vMerge w:val="continue"/>
                  <w:tcBorders>
                    <w:tl2br w:val="nil"/>
                    <w:tr2bl w:val="nil"/>
                  </w:tcBorders>
                  <w:shd w:val="clear" w:color="auto" w:fill="auto"/>
                  <w:vAlign w:val="center"/>
                </w:tcPr>
                <w:p w14:paraId="34FD8664">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p>
              </w:tc>
              <w:tc>
                <w:tcPr>
                  <w:tcW w:w="1553" w:type="dxa"/>
                  <w:tcBorders>
                    <w:tl2br w:val="nil"/>
                    <w:tr2bl w:val="nil"/>
                  </w:tcBorders>
                  <w:shd w:val="clear" w:color="auto" w:fill="auto"/>
                  <w:vAlign w:val="center"/>
                </w:tcPr>
                <w:p w14:paraId="2D843069">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洗浴</w:t>
                  </w:r>
                  <w:r>
                    <w:rPr>
                      <w:rFonts w:hint="eastAsia" w:ascii="Times New Roman" w:hAnsi="Times New Roman" w:eastAsia="宋体" w:cs="Times New Roman"/>
                      <w:b w:val="0"/>
                      <w:bCs w:val="0"/>
                      <w:color w:val="auto"/>
                      <w:kern w:val="2"/>
                      <w:sz w:val="21"/>
                      <w:szCs w:val="21"/>
                      <w:lang w:val="en-US" w:eastAsia="zh-CN" w:bidi="ar-SA"/>
                    </w:rPr>
                    <w:t>过程</w:t>
                  </w:r>
                </w:p>
              </w:tc>
              <w:tc>
                <w:tcPr>
                  <w:tcW w:w="1318" w:type="dxa"/>
                  <w:tcBorders>
                    <w:tl2br w:val="nil"/>
                    <w:tr2bl w:val="nil"/>
                  </w:tcBorders>
                  <w:shd w:val="clear" w:color="auto" w:fill="auto"/>
                  <w:vAlign w:val="center"/>
                </w:tcPr>
                <w:p w14:paraId="170B534D">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洗浴废水</w:t>
                  </w:r>
                </w:p>
              </w:tc>
              <w:tc>
                <w:tcPr>
                  <w:tcW w:w="1304" w:type="dxa"/>
                  <w:tcBorders>
                    <w:tl2br w:val="nil"/>
                    <w:tr2bl w:val="nil"/>
                  </w:tcBorders>
                  <w:shd w:val="clear" w:color="auto" w:fill="auto"/>
                  <w:vAlign w:val="center"/>
                </w:tcPr>
                <w:p w14:paraId="40709599">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COD、NH₃-N、SS、BOD</w:t>
                  </w:r>
                  <w:r>
                    <w:rPr>
                      <w:rFonts w:hint="default" w:ascii="Times New Roman" w:hAnsi="Times New Roman" w:eastAsia="宋体" w:cs="Times New Roman"/>
                      <w:b w:val="0"/>
                      <w:bCs w:val="0"/>
                      <w:color w:val="auto"/>
                      <w:kern w:val="2"/>
                      <w:sz w:val="21"/>
                      <w:szCs w:val="21"/>
                      <w:vertAlign w:val="subscript"/>
                      <w:lang w:val="en-US" w:eastAsia="zh-CN" w:bidi="ar-SA"/>
                    </w:rPr>
                    <w:t>5</w:t>
                  </w:r>
                  <w:r>
                    <w:rPr>
                      <w:rFonts w:hint="default" w:ascii="Times New Roman" w:hAnsi="Times New Roman" w:eastAsia="宋体" w:cs="Times New Roman"/>
                      <w:b w:val="0"/>
                      <w:bCs w:val="0"/>
                      <w:color w:val="auto"/>
                      <w:kern w:val="2"/>
                      <w:sz w:val="21"/>
                      <w:szCs w:val="21"/>
                      <w:lang w:val="en-US" w:eastAsia="zh-CN" w:bidi="ar-SA"/>
                    </w:rPr>
                    <w:t>、粪大肠菌群</w:t>
                  </w:r>
                  <w:r>
                    <w:rPr>
                      <w:rFonts w:hint="eastAsia" w:cs="Times New Roman"/>
                      <w:b w:val="0"/>
                      <w:bCs w:val="0"/>
                      <w:color w:val="auto"/>
                      <w:kern w:val="2"/>
                      <w:sz w:val="21"/>
                      <w:szCs w:val="21"/>
                      <w:lang w:val="en-US" w:eastAsia="zh-CN" w:bidi="ar-SA"/>
                    </w:rPr>
                    <w:t>数</w:t>
                  </w:r>
                </w:p>
              </w:tc>
              <w:tc>
                <w:tcPr>
                  <w:tcW w:w="1456" w:type="dxa"/>
                  <w:vMerge w:val="continue"/>
                  <w:tcBorders>
                    <w:tl2br w:val="nil"/>
                    <w:tr2bl w:val="nil"/>
                  </w:tcBorders>
                  <w:shd w:val="clear" w:color="auto" w:fill="auto"/>
                  <w:vAlign w:val="center"/>
                </w:tcPr>
                <w:p w14:paraId="37A75114">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p>
              </w:tc>
              <w:tc>
                <w:tcPr>
                  <w:tcW w:w="1798" w:type="dxa"/>
                  <w:vMerge w:val="continue"/>
                  <w:tcBorders>
                    <w:tl2br w:val="nil"/>
                    <w:tr2bl w:val="nil"/>
                  </w:tcBorders>
                  <w:shd w:val="clear" w:color="auto" w:fill="auto"/>
                  <w:vAlign w:val="center"/>
                </w:tcPr>
                <w:p w14:paraId="66509323">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p>
              </w:tc>
            </w:tr>
            <w:tr w14:paraId="2E9B9C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3" w:hRule="atLeast"/>
                <w:jc w:val="center"/>
              </w:trPr>
              <w:tc>
                <w:tcPr>
                  <w:tcW w:w="603" w:type="dxa"/>
                  <w:tcBorders>
                    <w:tl2br w:val="nil"/>
                    <w:tr2bl w:val="nil"/>
                  </w:tcBorders>
                  <w:shd w:val="clear" w:color="auto" w:fill="auto"/>
                  <w:vAlign w:val="center"/>
                </w:tcPr>
                <w:p w14:paraId="40F78970">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噪声</w:t>
                  </w:r>
                </w:p>
              </w:tc>
              <w:tc>
                <w:tcPr>
                  <w:tcW w:w="1553" w:type="dxa"/>
                  <w:tcBorders>
                    <w:tl2br w:val="nil"/>
                    <w:tr2bl w:val="nil"/>
                  </w:tcBorders>
                  <w:shd w:val="clear" w:color="auto" w:fill="auto"/>
                  <w:vAlign w:val="center"/>
                </w:tcPr>
                <w:p w14:paraId="69BA4D81">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宠物叫声、设备</w:t>
                  </w:r>
                  <w:r>
                    <w:rPr>
                      <w:rFonts w:hint="default" w:ascii="Times New Roman" w:hAnsi="Times New Roman" w:eastAsia="宋体" w:cs="Times New Roman"/>
                      <w:b w:val="0"/>
                      <w:bCs w:val="0"/>
                      <w:color w:val="auto"/>
                      <w:kern w:val="2"/>
                      <w:sz w:val="21"/>
                      <w:szCs w:val="21"/>
                      <w:lang w:val="en-US" w:eastAsia="zh-CN" w:bidi="ar-SA"/>
                    </w:rPr>
                    <w:t>等</w:t>
                  </w:r>
                </w:p>
              </w:tc>
              <w:tc>
                <w:tcPr>
                  <w:tcW w:w="1318" w:type="dxa"/>
                  <w:tcBorders>
                    <w:tl2br w:val="nil"/>
                    <w:tr2bl w:val="nil"/>
                  </w:tcBorders>
                  <w:shd w:val="clear" w:color="auto" w:fill="auto"/>
                  <w:vAlign w:val="center"/>
                </w:tcPr>
                <w:p w14:paraId="19D21F29">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噪声</w:t>
                  </w:r>
                </w:p>
              </w:tc>
              <w:tc>
                <w:tcPr>
                  <w:tcW w:w="1304" w:type="dxa"/>
                  <w:tcBorders>
                    <w:tl2br w:val="nil"/>
                    <w:tr2bl w:val="nil"/>
                  </w:tcBorders>
                  <w:shd w:val="clear" w:color="auto" w:fill="auto"/>
                  <w:vAlign w:val="center"/>
                </w:tcPr>
                <w:p w14:paraId="45FAF932">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等效</w:t>
                  </w:r>
                  <w:r>
                    <w:rPr>
                      <w:rFonts w:hint="eastAsia" w:ascii="Times New Roman" w:hAnsi="Times New Roman" w:eastAsia="宋体" w:cs="Times New Roman"/>
                      <w:b w:val="0"/>
                      <w:bCs w:val="0"/>
                      <w:color w:val="auto"/>
                      <w:kern w:val="2"/>
                      <w:sz w:val="21"/>
                      <w:szCs w:val="21"/>
                      <w:lang w:val="en-US" w:eastAsia="zh-CN" w:bidi="ar-SA"/>
                    </w:rPr>
                    <w:t>连续</w:t>
                  </w:r>
                  <w:r>
                    <w:rPr>
                      <w:rFonts w:hint="default" w:ascii="Times New Roman" w:hAnsi="Times New Roman" w:eastAsia="宋体" w:cs="Times New Roman"/>
                      <w:b w:val="0"/>
                      <w:bCs w:val="0"/>
                      <w:color w:val="auto"/>
                      <w:kern w:val="2"/>
                      <w:sz w:val="21"/>
                      <w:szCs w:val="21"/>
                      <w:lang w:val="en-US" w:eastAsia="zh-CN" w:bidi="ar-SA"/>
                    </w:rPr>
                    <w:t>A声级</w:t>
                  </w:r>
                </w:p>
              </w:tc>
              <w:tc>
                <w:tcPr>
                  <w:tcW w:w="3254" w:type="dxa"/>
                  <w:gridSpan w:val="2"/>
                  <w:tcBorders>
                    <w:tl2br w:val="nil"/>
                    <w:tr2bl w:val="nil"/>
                  </w:tcBorders>
                  <w:shd w:val="clear" w:color="auto" w:fill="auto"/>
                  <w:vAlign w:val="center"/>
                </w:tcPr>
                <w:p w14:paraId="4960E925">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选用低噪声设备，设备安装基础减振设施，室内隔声等</w:t>
                  </w:r>
                </w:p>
              </w:tc>
            </w:tr>
            <w:tr w14:paraId="0C0DA8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3" w:hRule="atLeast"/>
                <w:jc w:val="center"/>
              </w:trPr>
              <w:tc>
                <w:tcPr>
                  <w:tcW w:w="603" w:type="dxa"/>
                  <w:vMerge w:val="restart"/>
                  <w:tcBorders>
                    <w:tl2br w:val="nil"/>
                    <w:tr2bl w:val="nil"/>
                  </w:tcBorders>
                  <w:shd w:val="clear" w:color="auto" w:fill="auto"/>
                  <w:vAlign w:val="center"/>
                </w:tcPr>
                <w:p w14:paraId="7CE6FCFF">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固体废物</w:t>
                  </w:r>
                </w:p>
              </w:tc>
              <w:tc>
                <w:tcPr>
                  <w:tcW w:w="1553" w:type="dxa"/>
                  <w:tcBorders>
                    <w:tl2br w:val="nil"/>
                    <w:tr2bl w:val="nil"/>
                  </w:tcBorders>
                  <w:shd w:val="clear" w:color="auto" w:fill="auto"/>
                  <w:vAlign w:val="center"/>
                </w:tcPr>
                <w:p w14:paraId="6EB39DEE">
                  <w:pPr>
                    <w:pStyle w:val="30"/>
                    <w:bidi w:val="0"/>
                    <w:rPr>
                      <w:rFonts w:hint="default" w:ascii="Times New Roman" w:hAnsi="Times New Roman" w:eastAsia="宋体" w:cs="Times New Roman"/>
                      <w:b w:val="0"/>
                      <w:bCs w:val="0"/>
                      <w:color w:val="auto"/>
                      <w:kern w:val="2"/>
                      <w:sz w:val="21"/>
                      <w:szCs w:val="21"/>
                      <w:lang w:val="en-US" w:eastAsia="zh-CN" w:bidi="ar-SA"/>
                    </w:rPr>
                  </w:pPr>
                  <w:r>
                    <w:rPr>
                      <w:rFonts w:hint="default"/>
                      <w:color w:val="auto"/>
                      <w:highlight w:val="none"/>
                      <w:lang w:val="en-US" w:eastAsia="zh-CN"/>
                    </w:rPr>
                    <w:t>拆包过程</w:t>
                  </w:r>
                </w:p>
              </w:tc>
              <w:tc>
                <w:tcPr>
                  <w:tcW w:w="1318" w:type="dxa"/>
                  <w:tcBorders>
                    <w:tl2br w:val="nil"/>
                    <w:tr2bl w:val="nil"/>
                  </w:tcBorders>
                  <w:shd w:val="clear" w:color="auto" w:fill="auto"/>
                  <w:vAlign w:val="center"/>
                </w:tcPr>
                <w:p w14:paraId="6707A0FB">
                  <w:pPr>
                    <w:pStyle w:val="30"/>
                    <w:bidi w:val="0"/>
                    <w:rPr>
                      <w:rFonts w:hint="default" w:ascii="Times New Roman" w:hAnsi="Times New Roman" w:eastAsia="宋体" w:cs="Times New Roman"/>
                      <w:b w:val="0"/>
                      <w:bCs w:val="0"/>
                      <w:color w:val="auto"/>
                      <w:kern w:val="2"/>
                      <w:sz w:val="21"/>
                      <w:szCs w:val="21"/>
                      <w:lang w:val="en-US" w:eastAsia="zh-CN" w:bidi="ar-SA"/>
                    </w:rPr>
                  </w:pPr>
                  <w:r>
                    <w:rPr>
                      <w:rFonts w:hint="default"/>
                      <w:color w:val="auto"/>
                      <w:highlight w:val="none"/>
                      <w:lang w:val="en-US" w:eastAsia="zh-CN"/>
                    </w:rPr>
                    <w:t>废包装物、输液瓶（袋）</w:t>
                  </w:r>
                </w:p>
              </w:tc>
              <w:tc>
                <w:tcPr>
                  <w:tcW w:w="1304" w:type="dxa"/>
                  <w:tcBorders>
                    <w:tl2br w:val="nil"/>
                    <w:tr2bl w:val="nil"/>
                  </w:tcBorders>
                  <w:shd w:val="clear" w:color="auto" w:fill="auto"/>
                  <w:vAlign w:val="center"/>
                </w:tcPr>
                <w:p w14:paraId="0A45EA37">
                  <w:pPr>
                    <w:pStyle w:val="30"/>
                    <w:bidi w:val="0"/>
                    <w:rPr>
                      <w:rFonts w:hint="default" w:ascii="Times New Roman" w:hAnsi="Times New Roman" w:eastAsia="宋体" w:cs="Times New Roman"/>
                      <w:b w:val="0"/>
                      <w:bCs w:val="0"/>
                      <w:color w:val="auto"/>
                      <w:kern w:val="2"/>
                      <w:sz w:val="21"/>
                      <w:szCs w:val="21"/>
                      <w:lang w:val="en-US" w:eastAsia="zh-CN" w:bidi="ar-SA"/>
                    </w:rPr>
                  </w:pPr>
                  <w:r>
                    <w:rPr>
                      <w:rFonts w:hint="default"/>
                      <w:color w:val="auto"/>
                      <w:highlight w:val="none"/>
                      <w:lang w:val="en-US" w:eastAsia="zh-CN"/>
                    </w:rPr>
                    <w:t>废包装物、输液瓶（袋）</w:t>
                  </w:r>
                </w:p>
              </w:tc>
              <w:tc>
                <w:tcPr>
                  <w:tcW w:w="3254" w:type="dxa"/>
                  <w:gridSpan w:val="2"/>
                  <w:tcBorders>
                    <w:tl2br w:val="nil"/>
                    <w:tr2bl w:val="nil"/>
                  </w:tcBorders>
                  <w:shd w:val="clear" w:color="auto" w:fill="auto"/>
                  <w:vAlign w:val="center"/>
                </w:tcPr>
                <w:p w14:paraId="640E9995">
                  <w:pPr>
                    <w:pStyle w:val="30"/>
                    <w:bidi w:val="0"/>
                    <w:rPr>
                      <w:rFonts w:hint="default" w:ascii="Times New Roman" w:hAnsi="Times New Roman" w:eastAsia="宋体" w:cs="Times New Roman"/>
                      <w:b w:val="0"/>
                      <w:bCs w:val="0"/>
                      <w:snapToGrid w:val="0"/>
                      <w:color w:val="auto"/>
                      <w:spacing w:val="0"/>
                      <w:kern w:val="2"/>
                      <w:sz w:val="21"/>
                      <w:szCs w:val="21"/>
                      <w:lang w:val="en-US" w:eastAsia="zh-CN" w:bidi="ar-SA"/>
                    </w:rPr>
                  </w:pPr>
                  <w:r>
                    <w:rPr>
                      <w:rFonts w:hint="default" w:ascii="Times New Roman" w:hAnsi="Times New Roman" w:eastAsia="宋体" w:cs="Times New Roman"/>
                      <w:b w:val="0"/>
                      <w:bCs w:val="0"/>
                      <w:snapToGrid w:val="0"/>
                      <w:color w:val="auto"/>
                      <w:spacing w:val="0"/>
                      <w:kern w:val="2"/>
                      <w:sz w:val="21"/>
                      <w:szCs w:val="21"/>
                      <w:lang w:val="en-US" w:eastAsia="zh-CN" w:bidi="ar-SA"/>
                    </w:rPr>
                    <w:t>收集暂存，交由再生资源回收单位处置。</w:t>
                  </w:r>
                </w:p>
              </w:tc>
            </w:tr>
            <w:tr w14:paraId="56864B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3" w:hRule="atLeast"/>
                <w:jc w:val="center"/>
              </w:trPr>
              <w:tc>
                <w:tcPr>
                  <w:tcW w:w="603" w:type="dxa"/>
                  <w:vMerge w:val="continue"/>
                  <w:tcBorders>
                    <w:tl2br w:val="nil"/>
                    <w:tr2bl w:val="nil"/>
                  </w:tcBorders>
                  <w:shd w:val="clear" w:color="auto" w:fill="auto"/>
                  <w:vAlign w:val="center"/>
                </w:tcPr>
                <w:p w14:paraId="11DAD11C">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p>
              </w:tc>
              <w:tc>
                <w:tcPr>
                  <w:tcW w:w="1553" w:type="dxa"/>
                  <w:tcBorders>
                    <w:tl2br w:val="nil"/>
                    <w:tr2bl w:val="nil"/>
                  </w:tcBorders>
                  <w:shd w:val="clear" w:color="auto" w:fill="auto"/>
                  <w:vAlign w:val="center"/>
                </w:tcPr>
                <w:p w14:paraId="40A23B96">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手术</w:t>
                  </w:r>
                </w:p>
              </w:tc>
              <w:tc>
                <w:tcPr>
                  <w:tcW w:w="1318" w:type="dxa"/>
                  <w:tcBorders>
                    <w:tl2br w:val="nil"/>
                    <w:tr2bl w:val="nil"/>
                  </w:tcBorders>
                  <w:shd w:val="clear" w:color="auto" w:fill="auto"/>
                  <w:vAlign w:val="center"/>
                </w:tcPr>
                <w:p w14:paraId="34B9E911">
                  <w:pPr>
                    <w:pStyle w:val="30"/>
                    <w:bidi w:val="0"/>
                    <w:rPr>
                      <w:rFonts w:hint="default" w:ascii="Times New Roman" w:hAnsi="Times New Roman" w:eastAsia="宋体" w:cs="Times New Roman"/>
                      <w:b w:val="0"/>
                      <w:bCs w:val="0"/>
                      <w:color w:val="auto"/>
                      <w:kern w:val="2"/>
                      <w:sz w:val="21"/>
                      <w:szCs w:val="21"/>
                      <w:lang w:val="en-US" w:eastAsia="zh-CN" w:bidi="ar-SA"/>
                    </w:rPr>
                  </w:pPr>
                  <w:r>
                    <w:rPr>
                      <w:rFonts w:hint="default"/>
                      <w:color w:val="auto"/>
                      <w:highlight w:val="none"/>
                      <w:lang w:val="en-US" w:eastAsia="zh-CN"/>
                    </w:rPr>
                    <w:t>宠物毛发</w:t>
                  </w:r>
                </w:p>
              </w:tc>
              <w:tc>
                <w:tcPr>
                  <w:tcW w:w="1304" w:type="dxa"/>
                  <w:tcBorders>
                    <w:tl2br w:val="nil"/>
                    <w:tr2bl w:val="nil"/>
                  </w:tcBorders>
                  <w:shd w:val="clear" w:color="auto" w:fill="auto"/>
                  <w:vAlign w:val="center"/>
                </w:tcPr>
                <w:p w14:paraId="77DA315A">
                  <w:pPr>
                    <w:pStyle w:val="30"/>
                    <w:bidi w:val="0"/>
                    <w:rPr>
                      <w:rFonts w:hint="default" w:ascii="Times New Roman" w:hAnsi="Times New Roman" w:eastAsia="宋体" w:cs="Times New Roman"/>
                      <w:b w:val="0"/>
                      <w:bCs w:val="0"/>
                      <w:color w:val="auto"/>
                      <w:kern w:val="2"/>
                      <w:sz w:val="21"/>
                      <w:szCs w:val="21"/>
                      <w:lang w:val="en-US" w:eastAsia="zh-CN" w:bidi="ar-SA"/>
                    </w:rPr>
                  </w:pPr>
                  <w:r>
                    <w:rPr>
                      <w:rFonts w:hint="default"/>
                      <w:color w:val="auto"/>
                      <w:highlight w:val="none"/>
                      <w:lang w:val="en-US" w:eastAsia="zh-CN"/>
                    </w:rPr>
                    <w:t>宠物毛发</w:t>
                  </w:r>
                </w:p>
              </w:tc>
              <w:tc>
                <w:tcPr>
                  <w:tcW w:w="3254" w:type="dxa"/>
                  <w:gridSpan w:val="2"/>
                  <w:tcBorders>
                    <w:tl2br w:val="nil"/>
                    <w:tr2bl w:val="nil"/>
                  </w:tcBorders>
                  <w:shd w:val="clear" w:color="auto" w:fill="auto"/>
                  <w:vAlign w:val="center"/>
                </w:tcPr>
                <w:p w14:paraId="345010B9">
                  <w:pPr>
                    <w:pStyle w:val="30"/>
                    <w:bidi w:val="0"/>
                    <w:rPr>
                      <w:rFonts w:hint="default" w:ascii="Times New Roman" w:hAnsi="Times New Roman" w:eastAsia="宋体" w:cs="Times New Roman"/>
                      <w:b w:val="0"/>
                      <w:bCs w:val="0"/>
                      <w:color w:val="auto"/>
                      <w:kern w:val="2"/>
                      <w:sz w:val="21"/>
                      <w:szCs w:val="21"/>
                      <w:lang w:val="en-US" w:eastAsia="zh-CN" w:bidi="ar-SA"/>
                    </w:rPr>
                  </w:pPr>
                  <w:r>
                    <w:rPr>
                      <w:rFonts w:hint="default"/>
                      <w:color w:val="auto"/>
                      <w:highlight w:val="none"/>
                      <w:lang w:val="en-US" w:eastAsia="zh-CN"/>
                    </w:rPr>
                    <w:t>交由环卫部门处置。</w:t>
                  </w:r>
                </w:p>
              </w:tc>
            </w:tr>
            <w:tr w14:paraId="739AB84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3" w:hRule="atLeast"/>
                <w:jc w:val="center"/>
              </w:trPr>
              <w:tc>
                <w:tcPr>
                  <w:tcW w:w="603" w:type="dxa"/>
                  <w:vMerge w:val="continue"/>
                  <w:tcBorders>
                    <w:tl2br w:val="nil"/>
                    <w:tr2bl w:val="nil"/>
                  </w:tcBorders>
                  <w:shd w:val="clear" w:color="auto" w:fill="auto"/>
                  <w:vAlign w:val="center"/>
                </w:tcPr>
                <w:p w14:paraId="7FC04A85">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p>
              </w:tc>
              <w:tc>
                <w:tcPr>
                  <w:tcW w:w="1553" w:type="dxa"/>
                  <w:tcBorders>
                    <w:tl2br w:val="nil"/>
                    <w:tr2bl w:val="nil"/>
                  </w:tcBorders>
                  <w:shd w:val="clear" w:color="auto" w:fill="auto"/>
                  <w:vAlign w:val="center"/>
                </w:tcPr>
                <w:p w14:paraId="237809EF">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治疗过程</w:t>
                  </w:r>
                </w:p>
              </w:tc>
              <w:tc>
                <w:tcPr>
                  <w:tcW w:w="1318" w:type="dxa"/>
                  <w:tcBorders>
                    <w:tl2br w:val="nil"/>
                    <w:tr2bl w:val="nil"/>
                  </w:tcBorders>
                  <w:shd w:val="clear" w:color="auto" w:fill="auto"/>
                  <w:vAlign w:val="center"/>
                </w:tcPr>
                <w:p w14:paraId="48E9EEA5">
                  <w:pPr>
                    <w:pStyle w:val="30"/>
                    <w:bidi w:val="0"/>
                    <w:rPr>
                      <w:rFonts w:hint="default" w:ascii="Times New Roman" w:hAnsi="Times New Roman" w:eastAsia="宋体" w:cs="Times New Roman"/>
                      <w:b w:val="0"/>
                      <w:bCs w:val="0"/>
                      <w:color w:val="auto"/>
                      <w:kern w:val="2"/>
                      <w:sz w:val="21"/>
                      <w:szCs w:val="21"/>
                      <w:lang w:val="en-US" w:eastAsia="zh-CN" w:bidi="ar-SA"/>
                    </w:rPr>
                  </w:pPr>
                  <w:r>
                    <w:rPr>
                      <w:rFonts w:hint="default"/>
                      <w:color w:val="auto"/>
                      <w:highlight w:val="none"/>
                      <w:lang w:val="en-US" w:eastAsia="zh-CN"/>
                    </w:rPr>
                    <w:t>宠物粪便及猫砂</w:t>
                  </w:r>
                </w:p>
              </w:tc>
              <w:tc>
                <w:tcPr>
                  <w:tcW w:w="1304" w:type="dxa"/>
                  <w:tcBorders>
                    <w:tl2br w:val="nil"/>
                    <w:tr2bl w:val="nil"/>
                  </w:tcBorders>
                  <w:shd w:val="clear" w:color="auto" w:fill="auto"/>
                  <w:vAlign w:val="center"/>
                </w:tcPr>
                <w:p w14:paraId="1CFDF16C">
                  <w:pPr>
                    <w:pStyle w:val="30"/>
                    <w:bidi w:val="0"/>
                    <w:rPr>
                      <w:rFonts w:hint="default" w:ascii="Times New Roman" w:hAnsi="Times New Roman" w:eastAsia="宋体" w:cs="Times New Roman"/>
                      <w:b w:val="0"/>
                      <w:bCs w:val="0"/>
                      <w:color w:val="auto"/>
                      <w:kern w:val="2"/>
                      <w:sz w:val="21"/>
                      <w:szCs w:val="21"/>
                      <w:lang w:val="en-US" w:eastAsia="zh-CN" w:bidi="ar-SA"/>
                    </w:rPr>
                  </w:pPr>
                  <w:r>
                    <w:rPr>
                      <w:rFonts w:hint="default"/>
                      <w:color w:val="auto"/>
                      <w:highlight w:val="none"/>
                      <w:lang w:val="en-US" w:eastAsia="zh-CN"/>
                    </w:rPr>
                    <w:t>宠物粪便及猫砂</w:t>
                  </w:r>
                </w:p>
              </w:tc>
              <w:tc>
                <w:tcPr>
                  <w:tcW w:w="3254" w:type="dxa"/>
                  <w:gridSpan w:val="2"/>
                  <w:tcBorders>
                    <w:tl2br w:val="nil"/>
                    <w:tr2bl w:val="nil"/>
                  </w:tcBorders>
                  <w:shd w:val="clear" w:color="auto" w:fill="auto"/>
                  <w:vAlign w:val="center"/>
                </w:tcPr>
                <w:p w14:paraId="10D42D6C">
                  <w:pPr>
                    <w:pStyle w:val="30"/>
                    <w:bidi w:val="0"/>
                    <w:rPr>
                      <w:rFonts w:hint="default" w:ascii="Times New Roman" w:hAnsi="Times New Roman" w:eastAsia="宋体" w:cs="Times New Roman"/>
                      <w:b w:val="0"/>
                      <w:bCs w:val="0"/>
                      <w:color w:val="auto"/>
                      <w:kern w:val="2"/>
                      <w:sz w:val="21"/>
                      <w:szCs w:val="21"/>
                      <w:lang w:val="en-US" w:eastAsia="zh-CN" w:bidi="ar-SA"/>
                    </w:rPr>
                  </w:pPr>
                  <w:r>
                    <w:rPr>
                      <w:rFonts w:hint="default"/>
                      <w:color w:val="auto"/>
                      <w:highlight w:val="none"/>
                      <w:lang w:val="en-US" w:eastAsia="zh-CN"/>
                    </w:rPr>
                    <w:t>采用专用包装袋收集后统一由环卫部门处置</w:t>
                  </w:r>
                </w:p>
              </w:tc>
            </w:tr>
            <w:tr w14:paraId="64E4C4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3" w:hRule="atLeast"/>
                <w:jc w:val="center"/>
              </w:trPr>
              <w:tc>
                <w:tcPr>
                  <w:tcW w:w="603" w:type="dxa"/>
                  <w:vMerge w:val="continue"/>
                  <w:tcBorders>
                    <w:tl2br w:val="nil"/>
                    <w:tr2bl w:val="nil"/>
                  </w:tcBorders>
                  <w:shd w:val="clear" w:color="auto" w:fill="auto"/>
                  <w:vAlign w:val="center"/>
                </w:tcPr>
                <w:p w14:paraId="523E2FC5">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p>
              </w:tc>
              <w:tc>
                <w:tcPr>
                  <w:tcW w:w="1553" w:type="dxa"/>
                  <w:tcBorders>
                    <w:tl2br w:val="nil"/>
                    <w:tr2bl w:val="nil"/>
                  </w:tcBorders>
                  <w:shd w:val="clear" w:color="auto" w:fill="auto"/>
                  <w:vAlign w:val="center"/>
                </w:tcPr>
                <w:p w14:paraId="62A7BFC6">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职工生活</w:t>
                  </w:r>
                </w:p>
              </w:tc>
              <w:tc>
                <w:tcPr>
                  <w:tcW w:w="1318" w:type="dxa"/>
                  <w:tcBorders>
                    <w:tl2br w:val="nil"/>
                    <w:tr2bl w:val="nil"/>
                  </w:tcBorders>
                  <w:shd w:val="clear" w:color="auto" w:fill="auto"/>
                  <w:vAlign w:val="center"/>
                </w:tcPr>
                <w:p w14:paraId="534C53AA">
                  <w:pPr>
                    <w:pStyle w:val="30"/>
                    <w:bidi w:val="0"/>
                    <w:rPr>
                      <w:rFonts w:hint="default" w:ascii="Times New Roman" w:hAnsi="Times New Roman" w:eastAsia="宋体" w:cs="Times New Roman"/>
                      <w:b w:val="0"/>
                      <w:bCs w:val="0"/>
                      <w:color w:val="auto"/>
                      <w:kern w:val="2"/>
                      <w:sz w:val="21"/>
                      <w:szCs w:val="21"/>
                      <w:lang w:val="en-US" w:eastAsia="zh-CN" w:bidi="ar-SA"/>
                    </w:rPr>
                  </w:pPr>
                  <w:r>
                    <w:rPr>
                      <w:rFonts w:hint="default"/>
                      <w:color w:val="auto"/>
                      <w:highlight w:val="none"/>
                      <w:lang w:val="en-US" w:eastAsia="zh-CN"/>
                    </w:rPr>
                    <w:t>生活垃圾</w:t>
                  </w:r>
                </w:p>
              </w:tc>
              <w:tc>
                <w:tcPr>
                  <w:tcW w:w="1304" w:type="dxa"/>
                  <w:tcBorders>
                    <w:tl2br w:val="nil"/>
                    <w:tr2bl w:val="nil"/>
                  </w:tcBorders>
                  <w:shd w:val="clear" w:color="auto" w:fill="auto"/>
                  <w:vAlign w:val="center"/>
                </w:tcPr>
                <w:p w14:paraId="0FBED062">
                  <w:pPr>
                    <w:pStyle w:val="30"/>
                    <w:bidi w:val="0"/>
                    <w:rPr>
                      <w:rFonts w:hint="default" w:ascii="Times New Roman" w:hAnsi="Times New Roman" w:eastAsia="宋体" w:cs="Times New Roman"/>
                      <w:b w:val="0"/>
                      <w:bCs w:val="0"/>
                      <w:color w:val="auto"/>
                      <w:kern w:val="2"/>
                      <w:sz w:val="21"/>
                      <w:szCs w:val="21"/>
                      <w:lang w:val="en-US" w:eastAsia="zh-CN" w:bidi="ar-SA"/>
                    </w:rPr>
                  </w:pPr>
                  <w:r>
                    <w:rPr>
                      <w:rFonts w:hint="default"/>
                      <w:color w:val="auto"/>
                      <w:highlight w:val="none"/>
                      <w:lang w:val="en-US" w:eastAsia="zh-CN"/>
                    </w:rPr>
                    <w:t>生活垃圾</w:t>
                  </w:r>
                </w:p>
              </w:tc>
              <w:tc>
                <w:tcPr>
                  <w:tcW w:w="3254" w:type="dxa"/>
                  <w:gridSpan w:val="2"/>
                  <w:tcBorders>
                    <w:tl2br w:val="nil"/>
                    <w:tr2bl w:val="nil"/>
                  </w:tcBorders>
                  <w:shd w:val="clear" w:color="auto" w:fill="auto"/>
                  <w:vAlign w:val="center"/>
                </w:tcPr>
                <w:p w14:paraId="4F3A5BB5">
                  <w:pPr>
                    <w:pStyle w:val="30"/>
                    <w:bidi w:val="0"/>
                    <w:rPr>
                      <w:rFonts w:hint="default" w:ascii="Times New Roman" w:hAnsi="Times New Roman" w:eastAsia="宋体" w:cs="Times New Roman"/>
                      <w:b w:val="0"/>
                      <w:bCs w:val="0"/>
                      <w:color w:val="auto"/>
                      <w:kern w:val="2"/>
                      <w:sz w:val="21"/>
                      <w:szCs w:val="21"/>
                      <w:lang w:val="en-US" w:eastAsia="zh-CN" w:bidi="ar-SA"/>
                    </w:rPr>
                  </w:pPr>
                  <w:r>
                    <w:rPr>
                      <w:rFonts w:hint="default"/>
                      <w:color w:val="auto"/>
                      <w:highlight w:val="none"/>
                      <w:lang w:val="en-US" w:eastAsia="zh-CN"/>
                    </w:rPr>
                    <w:t>集中收集至垃圾桶后，由环卫部门统一收运处置。</w:t>
                  </w:r>
                </w:p>
              </w:tc>
            </w:tr>
            <w:tr w14:paraId="243BE0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3" w:hRule="atLeast"/>
                <w:jc w:val="center"/>
              </w:trPr>
              <w:tc>
                <w:tcPr>
                  <w:tcW w:w="603" w:type="dxa"/>
                  <w:vMerge w:val="continue"/>
                  <w:tcBorders>
                    <w:tl2br w:val="nil"/>
                    <w:tr2bl w:val="nil"/>
                  </w:tcBorders>
                  <w:shd w:val="clear" w:color="auto" w:fill="auto"/>
                  <w:vAlign w:val="center"/>
                </w:tcPr>
                <w:p w14:paraId="03C635DF">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p>
              </w:tc>
              <w:tc>
                <w:tcPr>
                  <w:tcW w:w="1553" w:type="dxa"/>
                  <w:tcBorders>
                    <w:tl2br w:val="nil"/>
                    <w:tr2bl w:val="nil"/>
                  </w:tcBorders>
                  <w:shd w:val="clear" w:color="auto" w:fill="auto"/>
                  <w:vAlign w:val="center"/>
                </w:tcPr>
                <w:p w14:paraId="0BBF8388">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手术</w:t>
                  </w:r>
                </w:p>
              </w:tc>
              <w:tc>
                <w:tcPr>
                  <w:tcW w:w="1318" w:type="dxa"/>
                  <w:tcBorders>
                    <w:tl2br w:val="nil"/>
                    <w:tr2bl w:val="nil"/>
                  </w:tcBorders>
                  <w:shd w:val="clear" w:color="auto" w:fill="auto"/>
                  <w:vAlign w:val="center"/>
                </w:tcPr>
                <w:p w14:paraId="35B4397A">
                  <w:pPr>
                    <w:pStyle w:val="30"/>
                    <w:bidi w:val="0"/>
                    <w:rPr>
                      <w:rFonts w:hint="default" w:ascii="Times New Roman" w:hAnsi="Times New Roman" w:eastAsia="宋体" w:cs="Times New Roman"/>
                      <w:b w:val="0"/>
                      <w:bCs w:val="0"/>
                      <w:color w:val="auto"/>
                      <w:kern w:val="2"/>
                      <w:sz w:val="21"/>
                      <w:szCs w:val="21"/>
                      <w:lang w:val="en-US" w:eastAsia="zh-CN" w:bidi="ar-SA"/>
                    </w:rPr>
                  </w:pPr>
                  <w:r>
                    <w:rPr>
                      <w:rFonts w:hint="default"/>
                      <w:color w:val="auto"/>
                      <w:highlight w:val="none"/>
                      <w:lang w:val="en-US" w:eastAsia="zh-CN"/>
                    </w:rPr>
                    <w:t>动物尸体</w:t>
                  </w:r>
                </w:p>
              </w:tc>
              <w:tc>
                <w:tcPr>
                  <w:tcW w:w="1304" w:type="dxa"/>
                  <w:tcBorders>
                    <w:tl2br w:val="nil"/>
                    <w:tr2bl w:val="nil"/>
                  </w:tcBorders>
                  <w:shd w:val="clear" w:color="auto" w:fill="auto"/>
                  <w:vAlign w:val="center"/>
                </w:tcPr>
                <w:p w14:paraId="67F1ED5F">
                  <w:pPr>
                    <w:pStyle w:val="30"/>
                    <w:bidi w:val="0"/>
                    <w:rPr>
                      <w:rFonts w:hint="default" w:ascii="Times New Roman" w:hAnsi="Times New Roman" w:eastAsia="宋体" w:cs="Times New Roman"/>
                      <w:b w:val="0"/>
                      <w:bCs w:val="0"/>
                      <w:color w:val="auto"/>
                      <w:kern w:val="2"/>
                      <w:sz w:val="21"/>
                      <w:szCs w:val="21"/>
                      <w:lang w:val="en-US" w:eastAsia="zh-CN" w:bidi="ar-SA"/>
                    </w:rPr>
                  </w:pPr>
                  <w:r>
                    <w:rPr>
                      <w:rFonts w:hint="default"/>
                      <w:color w:val="auto"/>
                      <w:highlight w:val="none"/>
                      <w:lang w:val="en-US" w:eastAsia="zh-CN"/>
                    </w:rPr>
                    <w:t>动物尸体</w:t>
                  </w:r>
                </w:p>
              </w:tc>
              <w:tc>
                <w:tcPr>
                  <w:tcW w:w="3254" w:type="dxa"/>
                  <w:gridSpan w:val="2"/>
                  <w:tcBorders>
                    <w:tl2br w:val="nil"/>
                    <w:tr2bl w:val="nil"/>
                  </w:tcBorders>
                  <w:shd w:val="clear" w:color="auto" w:fill="auto"/>
                  <w:vAlign w:val="center"/>
                </w:tcPr>
                <w:p w14:paraId="566B3C04">
                  <w:pPr>
                    <w:pStyle w:val="30"/>
                    <w:bidi w:val="0"/>
                    <w:rPr>
                      <w:rFonts w:hint="default" w:ascii="Times New Roman" w:hAnsi="Times New Roman" w:eastAsia="宋体" w:cs="Times New Roman"/>
                      <w:b w:val="0"/>
                      <w:bCs w:val="0"/>
                      <w:color w:val="auto"/>
                      <w:kern w:val="2"/>
                      <w:sz w:val="21"/>
                      <w:szCs w:val="21"/>
                      <w:lang w:val="en-US" w:eastAsia="zh-CN" w:bidi="ar-SA"/>
                    </w:rPr>
                  </w:pPr>
                  <w:r>
                    <w:rPr>
                      <w:rFonts w:hint="default"/>
                      <w:color w:val="auto"/>
                      <w:lang w:val="en-US" w:eastAsia="zh-CN"/>
                    </w:rPr>
                    <w:t>本项目运营过程中不负责处理动物尸体，</w:t>
                  </w:r>
                  <w:r>
                    <w:rPr>
                      <w:rFonts w:hint="eastAsia"/>
                      <w:color w:val="auto"/>
                      <w:lang w:val="en-US" w:eastAsia="zh-CN"/>
                    </w:rPr>
                    <w:t>由客户自行带走依法处置。</w:t>
                  </w:r>
                </w:p>
              </w:tc>
            </w:tr>
            <w:tr w14:paraId="38184B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3" w:hRule="atLeast"/>
                <w:jc w:val="center"/>
              </w:trPr>
              <w:tc>
                <w:tcPr>
                  <w:tcW w:w="603" w:type="dxa"/>
                  <w:vMerge w:val="continue"/>
                  <w:tcBorders>
                    <w:tl2br w:val="nil"/>
                    <w:tr2bl w:val="nil"/>
                  </w:tcBorders>
                  <w:shd w:val="clear" w:color="auto" w:fill="auto"/>
                  <w:vAlign w:val="center"/>
                </w:tcPr>
                <w:p w14:paraId="3CD6BC7D">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p>
              </w:tc>
              <w:tc>
                <w:tcPr>
                  <w:tcW w:w="1553" w:type="dxa"/>
                  <w:tcBorders>
                    <w:tl2br w:val="nil"/>
                    <w:tr2bl w:val="nil"/>
                  </w:tcBorders>
                  <w:shd w:val="clear" w:color="auto" w:fill="auto"/>
                  <w:vAlign w:val="center"/>
                </w:tcPr>
                <w:p w14:paraId="08A7DEF1">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治疗、手术</w:t>
                  </w:r>
                </w:p>
              </w:tc>
              <w:tc>
                <w:tcPr>
                  <w:tcW w:w="1318" w:type="dxa"/>
                  <w:tcBorders>
                    <w:tl2br w:val="nil"/>
                    <w:tr2bl w:val="nil"/>
                  </w:tcBorders>
                  <w:shd w:val="clear" w:color="auto" w:fill="auto"/>
                  <w:vAlign w:val="center"/>
                </w:tcPr>
                <w:p w14:paraId="143ABECA">
                  <w:pPr>
                    <w:pStyle w:val="30"/>
                    <w:bidi w:val="0"/>
                    <w:rPr>
                      <w:rFonts w:hint="default" w:ascii="Times New Roman" w:hAnsi="Times New Roman" w:eastAsia="宋体" w:cs="Times New Roman"/>
                      <w:b w:val="0"/>
                      <w:bCs w:val="0"/>
                      <w:color w:val="auto"/>
                      <w:kern w:val="2"/>
                      <w:sz w:val="21"/>
                      <w:szCs w:val="21"/>
                      <w:lang w:val="en-US" w:eastAsia="zh-CN" w:bidi="ar-SA"/>
                    </w:rPr>
                  </w:pPr>
                  <w:r>
                    <w:rPr>
                      <w:rFonts w:hint="default"/>
                      <w:color w:val="auto"/>
                      <w:highlight w:val="none"/>
                      <w:lang w:val="en-US" w:eastAsia="zh-CN"/>
                    </w:rPr>
                    <w:t>医疗废物</w:t>
                  </w:r>
                </w:p>
              </w:tc>
              <w:tc>
                <w:tcPr>
                  <w:tcW w:w="1304" w:type="dxa"/>
                  <w:tcBorders>
                    <w:tl2br w:val="nil"/>
                    <w:tr2bl w:val="nil"/>
                  </w:tcBorders>
                  <w:shd w:val="clear" w:color="auto" w:fill="auto"/>
                  <w:vAlign w:val="center"/>
                </w:tcPr>
                <w:p w14:paraId="5056965D">
                  <w:pPr>
                    <w:pStyle w:val="30"/>
                    <w:bidi w:val="0"/>
                    <w:rPr>
                      <w:rFonts w:hint="default" w:ascii="Times New Roman" w:hAnsi="Times New Roman" w:eastAsia="宋体" w:cs="Times New Roman"/>
                      <w:b w:val="0"/>
                      <w:bCs w:val="0"/>
                      <w:color w:val="auto"/>
                      <w:kern w:val="2"/>
                      <w:sz w:val="21"/>
                      <w:szCs w:val="21"/>
                      <w:lang w:val="en-US" w:eastAsia="zh-CN" w:bidi="ar-SA"/>
                    </w:rPr>
                  </w:pPr>
                  <w:r>
                    <w:rPr>
                      <w:rFonts w:hint="default"/>
                      <w:color w:val="auto"/>
                      <w:highlight w:val="none"/>
                      <w:lang w:val="en-US" w:eastAsia="zh-CN"/>
                    </w:rPr>
                    <w:t>医疗废物</w:t>
                  </w:r>
                </w:p>
              </w:tc>
              <w:tc>
                <w:tcPr>
                  <w:tcW w:w="3254" w:type="dxa"/>
                  <w:gridSpan w:val="2"/>
                  <w:tcBorders>
                    <w:tl2br w:val="nil"/>
                    <w:tr2bl w:val="nil"/>
                  </w:tcBorders>
                  <w:shd w:val="clear" w:color="auto" w:fill="auto"/>
                  <w:vAlign w:val="center"/>
                </w:tcPr>
                <w:p w14:paraId="31EBC4E2">
                  <w:pPr>
                    <w:pStyle w:val="30"/>
                    <w:bidi w:val="0"/>
                    <w:rPr>
                      <w:rFonts w:hint="default" w:ascii="Times New Roman" w:hAnsi="Times New Roman" w:eastAsia="宋体" w:cs="Times New Roman"/>
                      <w:b w:val="0"/>
                      <w:bCs w:val="0"/>
                      <w:color w:val="auto"/>
                      <w:kern w:val="2"/>
                      <w:sz w:val="21"/>
                      <w:szCs w:val="21"/>
                      <w:lang w:val="en-US" w:eastAsia="zh-CN" w:bidi="ar-SA"/>
                    </w:rPr>
                  </w:pPr>
                  <w:r>
                    <w:rPr>
                      <w:rFonts w:hint="default"/>
                      <w:color w:val="auto"/>
                      <w:highlight w:val="none"/>
                      <w:lang w:val="en-US" w:eastAsia="zh-CN"/>
                    </w:rPr>
                    <w:t>收集消毒后暂存在医疗废物贮存间（</w:t>
                  </w:r>
                  <w:r>
                    <w:rPr>
                      <w:rFonts w:hint="eastAsia" w:cs="Times New Roman"/>
                      <w:color w:val="auto"/>
                      <w:highlight w:val="none"/>
                      <w:lang w:val="en-US" w:eastAsia="zh-CN"/>
                    </w:rPr>
                    <w:t>2.5m</w:t>
                  </w:r>
                  <w:r>
                    <w:rPr>
                      <w:rFonts w:hint="eastAsia" w:cs="Times New Roman"/>
                      <w:color w:val="auto"/>
                      <w:highlight w:val="none"/>
                      <w:vertAlign w:val="superscript"/>
                      <w:lang w:val="en-US" w:eastAsia="zh-CN"/>
                    </w:rPr>
                    <w:t>2</w:t>
                  </w:r>
                  <w:r>
                    <w:rPr>
                      <w:rFonts w:hint="default"/>
                      <w:color w:val="auto"/>
                      <w:highlight w:val="none"/>
                      <w:lang w:val="en-US" w:eastAsia="zh-CN"/>
                    </w:rPr>
                    <w:t>），委托有资质单位上门回收处置。</w:t>
                  </w:r>
                </w:p>
              </w:tc>
            </w:tr>
            <w:tr w14:paraId="0CA064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3" w:hRule="atLeast"/>
                <w:jc w:val="center"/>
              </w:trPr>
              <w:tc>
                <w:tcPr>
                  <w:tcW w:w="603" w:type="dxa"/>
                  <w:vMerge w:val="continue"/>
                  <w:tcBorders>
                    <w:tl2br w:val="nil"/>
                    <w:tr2bl w:val="nil"/>
                  </w:tcBorders>
                  <w:shd w:val="clear" w:color="auto" w:fill="auto"/>
                  <w:vAlign w:val="center"/>
                </w:tcPr>
                <w:p w14:paraId="4AEEC52C">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p>
              </w:tc>
              <w:tc>
                <w:tcPr>
                  <w:tcW w:w="1553" w:type="dxa"/>
                  <w:tcBorders>
                    <w:tl2br w:val="nil"/>
                    <w:tr2bl w:val="nil"/>
                  </w:tcBorders>
                  <w:shd w:val="clear" w:color="auto" w:fill="auto"/>
                  <w:vAlign w:val="center"/>
                </w:tcPr>
                <w:p w14:paraId="2CD947D4">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紫外灯消毒</w:t>
                  </w:r>
                </w:p>
              </w:tc>
              <w:tc>
                <w:tcPr>
                  <w:tcW w:w="1318" w:type="dxa"/>
                  <w:tcBorders>
                    <w:tl2br w:val="nil"/>
                    <w:tr2bl w:val="nil"/>
                  </w:tcBorders>
                  <w:shd w:val="clear" w:color="auto" w:fill="auto"/>
                  <w:vAlign w:val="center"/>
                </w:tcPr>
                <w:p w14:paraId="61D0570E">
                  <w:pPr>
                    <w:pStyle w:val="30"/>
                    <w:bidi w:val="0"/>
                    <w:rPr>
                      <w:rFonts w:hint="default" w:ascii="Times New Roman" w:hAnsi="Times New Roman" w:eastAsia="宋体" w:cs="Times New Roman"/>
                      <w:b w:val="0"/>
                      <w:bCs w:val="0"/>
                      <w:color w:val="auto"/>
                      <w:kern w:val="2"/>
                      <w:sz w:val="21"/>
                      <w:szCs w:val="21"/>
                      <w:lang w:val="en-US" w:eastAsia="zh-CN" w:bidi="ar-SA"/>
                    </w:rPr>
                  </w:pPr>
                  <w:r>
                    <w:rPr>
                      <w:rFonts w:hint="default"/>
                      <w:color w:val="auto"/>
                      <w:highlight w:val="none"/>
                      <w:lang w:val="en-US" w:eastAsia="zh-CN"/>
                    </w:rPr>
                    <w:t>废紫外线灯管</w:t>
                  </w:r>
                </w:p>
              </w:tc>
              <w:tc>
                <w:tcPr>
                  <w:tcW w:w="1304" w:type="dxa"/>
                  <w:tcBorders>
                    <w:tl2br w:val="nil"/>
                    <w:tr2bl w:val="nil"/>
                  </w:tcBorders>
                  <w:shd w:val="clear" w:color="auto" w:fill="auto"/>
                  <w:vAlign w:val="center"/>
                </w:tcPr>
                <w:p w14:paraId="1421B8AF">
                  <w:pPr>
                    <w:pStyle w:val="30"/>
                    <w:bidi w:val="0"/>
                    <w:rPr>
                      <w:rFonts w:hint="default" w:ascii="Times New Roman" w:hAnsi="Times New Roman" w:eastAsia="宋体" w:cs="Times New Roman"/>
                      <w:b w:val="0"/>
                      <w:bCs w:val="0"/>
                      <w:color w:val="auto"/>
                      <w:kern w:val="2"/>
                      <w:sz w:val="21"/>
                      <w:szCs w:val="21"/>
                      <w:lang w:val="en-US" w:eastAsia="zh-CN" w:bidi="ar-SA"/>
                    </w:rPr>
                  </w:pPr>
                  <w:r>
                    <w:rPr>
                      <w:rFonts w:hint="default"/>
                      <w:color w:val="auto"/>
                      <w:highlight w:val="none"/>
                      <w:lang w:val="en-US" w:eastAsia="zh-CN"/>
                    </w:rPr>
                    <w:t>废紫外线灯管</w:t>
                  </w:r>
                </w:p>
              </w:tc>
              <w:tc>
                <w:tcPr>
                  <w:tcW w:w="3254" w:type="dxa"/>
                  <w:gridSpan w:val="2"/>
                  <w:tcBorders>
                    <w:tl2br w:val="nil"/>
                    <w:tr2bl w:val="nil"/>
                  </w:tcBorders>
                  <w:shd w:val="clear" w:color="auto" w:fill="auto"/>
                  <w:vAlign w:val="center"/>
                </w:tcPr>
                <w:p w14:paraId="55B9AA2E">
                  <w:pPr>
                    <w:pStyle w:val="30"/>
                    <w:bidi w:val="0"/>
                    <w:rPr>
                      <w:rFonts w:hint="default" w:ascii="Times New Roman" w:hAnsi="Times New Roman" w:eastAsia="宋体" w:cs="Times New Roman"/>
                      <w:b w:val="0"/>
                      <w:bCs w:val="0"/>
                      <w:color w:val="auto"/>
                      <w:kern w:val="2"/>
                      <w:sz w:val="21"/>
                      <w:szCs w:val="21"/>
                      <w:lang w:val="en-US" w:eastAsia="zh-CN" w:bidi="ar-SA"/>
                    </w:rPr>
                  </w:pPr>
                  <w:r>
                    <w:rPr>
                      <w:rFonts w:hint="default"/>
                      <w:color w:val="auto"/>
                      <w:highlight w:val="none"/>
                      <w:lang w:val="en-US" w:eastAsia="zh-CN"/>
                    </w:rPr>
                    <w:t>暂存在医疗废物贮存间（</w:t>
                  </w:r>
                  <w:r>
                    <w:rPr>
                      <w:rFonts w:hint="eastAsia" w:cs="Times New Roman"/>
                      <w:color w:val="auto"/>
                      <w:highlight w:val="none"/>
                      <w:lang w:val="en-US" w:eastAsia="zh-CN"/>
                    </w:rPr>
                    <w:t>2.5m</w:t>
                  </w:r>
                  <w:r>
                    <w:rPr>
                      <w:rFonts w:hint="eastAsia" w:cs="Times New Roman"/>
                      <w:color w:val="auto"/>
                      <w:highlight w:val="none"/>
                      <w:vertAlign w:val="superscript"/>
                      <w:lang w:val="en-US" w:eastAsia="zh-CN"/>
                    </w:rPr>
                    <w:t>2</w:t>
                  </w:r>
                  <w:r>
                    <w:rPr>
                      <w:rFonts w:hint="default"/>
                      <w:color w:val="auto"/>
                      <w:highlight w:val="none"/>
                      <w:lang w:val="en-US" w:eastAsia="zh-CN"/>
                    </w:rPr>
                    <w:t>），委托有资质单位上门回收处置。</w:t>
                  </w:r>
                </w:p>
              </w:tc>
            </w:tr>
            <w:tr w14:paraId="183DCC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3" w:hRule="atLeast"/>
                <w:jc w:val="center"/>
              </w:trPr>
              <w:tc>
                <w:tcPr>
                  <w:tcW w:w="603" w:type="dxa"/>
                  <w:vMerge w:val="continue"/>
                  <w:tcBorders>
                    <w:tl2br w:val="nil"/>
                    <w:tr2bl w:val="nil"/>
                  </w:tcBorders>
                  <w:shd w:val="clear" w:color="auto" w:fill="auto"/>
                  <w:vAlign w:val="center"/>
                </w:tcPr>
                <w:p w14:paraId="36510A27">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p>
              </w:tc>
              <w:tc>
                <w:tcPr>
                  <w:tcW w:w="1553" w:type="dxa"/>
                  <w:tcBorders>
                    <w:tl2br w:val="nil"/>
                    <w:tr2bl w:val="nil"/>
                  </w:tcBorders>
                  <w:shd w:val="clear" w:color="auto" w:fill="auto"/>
                  <w:vAlign w:val="center"/>
                </w:tcPr>
                <w:p w14:paraId="1E066A19">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一体化污水处理设施</w:t>
                  </w:r>
                </w:p>
              </w:tc>
              <w:tc>
                <w:tcPr>
                  <w:tcW w:w="1318" w:type="dxa"/>
                  <w:tcBorders>
                    <w:tl2br w:val="nil"/>
                    <w:tr2bl w:val="nil"/>
                  </w:tcBorders>
                  <w:shd w:val="clear" w:color="auto" w:fill="auto"/>
                  <w:vAlign w:val="center"/>
                </w:tcPr>
                <w:p w14:paraId="7B7E632D">
                  <w:pPr>
                    <w:pStyle w:val="30"/>
                    <w:bidi w:val="0"/>
                    <w:rPr>
                      <w:rFonts w:hint="default" w:ascii="Times New Roman" w:hAnsi="Times New Roman" w:eastAsia="宋体" w:cs="Times New Roman"/>
                      <w:b w:val="0"/>
                      <w:bCs w:val="0"/>
                      <w:color w:val="auto"/>
                      <w:kern w:val="2"/>
                      <w:sz w:val="21"/>
                      <w:szCs w:val="21"/>
                      <w:lang w:val="en-US" w:eastAsia="zh-CN" w:bidi="ar-SA"/>
                    </w:rPr>
                  </w:pPr>
                  <w:r>
                    <w:rPr>
                      <w:rFonts w:hint="eastAsia"/>
                      <w:color w:val="auto"/>
                      <w:lang w:val="en-US" w:eastAsia="zh-CN"/>
                    </w:rPr>
                    <w:t>废水处理设施废渣</w:t>
                  </w:r>
                </w:p>
              </w:tc>
              <w:tc>
                <w:tcPr>
                  <w:tcW w:w="1304" w:type="dxa"/>
                  <w:tcBorders>
                    <w:tl2br w:val="nil"/>
                    <w:tr2bl w:val="nil"/>
                  </w:tcBorders>
                  <w:shd w:val="clear" w:color="auto" w:fill="auto"/>
                  <w:vAlign w:val="center"/>
                </w:tcPr>
                <w:p w14:paraId="4600538C">
                  <w:pPr>
                    <w:pStyle w:val="30"/>
                    <w:bidi w:val="0"/>
                    <w:rPr>
                      <w:rFonts w:hint="default" w:ascii="Times New Roman" w:hAnsi="Times New Roman" w:eastAsia="宋体" w:cs="Times New Roman"/>
                      <w:b w:val="0"/>
                      <w:bCs w:val="0"/>
                      <w:color w:val="auto"/>
                      <w:kern w:val="2"/>
                      <w:sz w:val="21"/>
                      <w:szCs w:val="21"/>
                      <w:lang w:val="en-US" w:eastAsia="zh-CN" w:bidi="ar-SA"/>
                    </w:rPr>
                  </w:pPr>
                  <w:r>
                    <w:rPr>
                      <w:rFonts w:hint="eastAsia"/>
                      <w:color w:val="auto"/>
                      <w:lang w:val="en-US" w:eastAsia="zh-CN"/>
                    </w:rPr>
                    <w:t>废水处理设施废渣</w:t>
                  </w:r>
                </w:p>
              </w:tc>
              <w:tc>
                <w:tcPr>
                  <w:tcW w:w="3254" w:type="dxa"/>
                  <w:gridSpan w:val="2"/>
                  <w:tcBorders>
                    <w:tl2br w:val="nil"/>
                    <w:tr2bl w:val="nil"/>
                  </w:tcBorders>
                  <w:shd w:val="clear" w:color="auto" w:fill="auto"/>
                  <w:vAlign w:val="center"/>
                </w:tcPr>
                <w:p w14:paraId="41636664">
                  <w:pPr>
                    <w:pStyle w:val="30"/>
                    <w:bidi w:val="0"/>
                    <w:rPr>
                      <w:rFonts w:hint="default" w:ascii="Times New Roman" w:hAnsi="Times New Roman" w:eastAsia="宋体" w:cs="Times New Roman"/>
                      <w:b w:val="0"/>
                      <w:bCs w:val="0"/>
                      <w:color w:val="auto"/>
                      <w:kern w:val="2"/>
                      <w:sz w:val="21"/>
                      <w:szCs w:val="21"/>
                      <w:lang w:val="en-US" w:eastAsia="zh-CN" w:bidi="ar-SA"/>
                    </w:rPr>
                  </w:pPr>
                  <w:r>
                    <w:rPr>
                      <w:rFonts w:hint="default"/>
                      <w:color w:val="auto"/>
                      <w:highlight w:val="none"/>
                      <w:lang w:val="en-US" w:eastAsia="zh-CN"/>
                    </w:rPr>
                    <w:t>委托有资质单位定期清捞与处置，不在项目区贮存</w:t>
                  </w:r>
                </w:p>
              </w:tc>
            </w:tr>
            <w:tr w14:paraId="605D70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3" w:hRule="atLeast"/>
                <w:jc w:val="center"/>
              </w:trPr>
              <w:tc>
                <w:tcPr>
                  <w:tcW w:w="603" w:type="dxa"/>
                  <w:vMerge w:val="continue"/>
                  <w:tcBorders>
                    <w:tl2br w:val="nil"/>
                    <w:tr2bl w:val="nil"/>
                  </w:tcBorders>
                  <w:shd w:val="clear" w:color="auto" w:fill="auto"/>
                  <w:vAlign w:val="center"/>
                </w:tcPr>
                <w:p w14:paraId="5D1F6863">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p>
              </w:tc>
              <w:tc>
                <w:tcPr>
                  <w:tcW w:w="1553" w:type="dxa"/>
                  <w:tcBorders>
                    <w:tl2br w:val="nil"/>
                    <w:tr2bl w:val="nil"/>
                  </w:tcBorders>
                  <w:shd w:val="clear" w:color="auto" w:fill="auto"/>
                  <w:vAlign w:val="center"/>
                </w:tcPr>
                <w:p w14:paraId="1F420F0E">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治疗过程</w:t>
                  </w:r>
                </w:p>
              </w:tc>
              <w:tc>
                <w:tcPr>
                  <w:tcW w:w="1318" w:type="dxa"/>
                  <w:tcBorders>
                    <w:tl2br w:val="nil"/>
                    <w:tr2bl w:val="nil"/>
                  </w:tcBorders>
                  <w:shd w:val="clear" w:color="auto" w:fill="auto"/>
                  <w:vAlign w:val="center"/>
                </w:tcPr>
                <w:p w14:paraId="0DC14E78">
                  <w:pPr>
                    <w:pStyle w:val="30"/>
                    <w:bidi w:val="0"/>
                    <w:rPr>
                      <w:rFonts w:hint="default" w:ascii="Times New Roman" w:hAnsi="Times New Roman" w:eastAsia="宋体" w:cs="Times New Roman"/>
                      <w:b w:val="0"/>
                      <w:bCs w:val="0"/>
                      <w:color w:val="auto"/>
                      <w:kern w:val="2"/>
                      <w:sz w:val="21"/>
                      <w:szCs w:val="21"/>
                      <w:lang w:val="en-US" w:eastAsia="zh-CN" w:bidi="ar-SA"/>
                    </w:rPr>
                  </w:pPr>
                  <w:r>
                    <w:rPr>
                      <w:rFonts w:hint="default"/>
                      <w:color w:val="auto"/>
                      <w:highlight w:val="none"/>
                      <w:lang w:val="en-US" w:eastAsia="zh-CN"/>
                    </w:rPr>
                    <w:t>患病宠物排泄物及猫砂</w:t>
                  </w:r>
                </w:p>
              </w:tc>
              <w:tc>
                <w:tcPr>
                  <w:tcW w:w="1304" w:type="dxa"/>
                  <w:tcBorders>
                    <w:tl2br w:val="nil"/>
                    <w:tr2bl w:val="nil"/>
                  </w:tcBorders>
                  <w:shd w:val="clear" w:color="auto" w:fill="auto"/>
                  <w:vAlign w:val="center"/>
                </w:tcPr>
                <w:p w14:paraId="5DA796F7">
                  <w:pPr>
                    <w:pStyle w:val="30"/>
                    <w:bidi w:val="0"/>
                    <w:rPr>
                      <w:rFonts w:hint="default" w:ascii="Times New Roman" w:hAnsi="Times New Roman" w:eastAsia="宋体" w:cs="Times New Roman"/>
                      <w:b w:val="0"/>
                      <w:bCs w:val="0"/>
                      <w:color w:val="auto"/>
                      <w:kern w:val="2"/>
                      <w:sz w:val="21"/>
                      <w:szCs w:val="21"/>
                      <w:lang w:val="en-US" w:eastAsia="zh-CN" w:bidi="ar-SA"/>
                    </w:rPr>
                  </w:pPr>
                  <w:r>
                    <w:rPr>
                      <w:rFonts w:hint="default"/>
                      <w:color w:val="auto"/>
                      <w:highlight w:val="none"/>
                      <w:lang w:val="en-US" w:eastAsia="zh-CN"/>
                    </w:rPr>
                    <w:t>患病宠物排泄物及猫砂</w:t>
                  </w:r>
                </w:p>
              </w:tc>
              <w:tc>
                <w:tcPr>
                  <w:tcW w:w="3254" w:type="dxa"/>
                  <w:gridSpan w:val="2"/>
                  <w:tcBorders>
                    <w:tl2br w:val="nil"/>
                    <w:tr2bl w:val="nil"/>
                  </w:tcBorders>
                  <w:shd w:val="clear" w:color="auto" w:fill="auto"/>
                  <w:vAlign w:val="center"/>
                </w:tcPr>
                <w:p w14:paraId="5DC5C028">
                  <w:pPr>
                    <w:pStyle w:val="30"/>
                    <w:bidi w:val="0"/>
                    <w:rPr>
                      <w:rFonts w:hint="default" w:ascii="Times New Roman" w:hAnsi="Times New Roman" w:eastAsia="宋体" w:cs="Times New Roman"/>
                      <w:b w:val="0"/>
                      <w:bCs w:val="0"/>
                      <w:color w:val="auto"/>
                      <w:kern w:val="2"/>
                      <w:sz w:val="21"/>
                      <w:szCs w:val="21"/>
                      <w:lang w:val="en-US" w:eastAsia="zh-CN" w:bidi="ar-SA"/>
                    </w:rPr>
                  </w:pPr>
                  <w:r>
                    <w:rPr>
                      <w:rFonts w:hint="default"/>
                      <w:color w:val="auto"/>
                      <w:highlight w:val="none"/>
                      <w:lang w:val="en-US" w:eastAsia="zh-CN"/>
                    </w:rPr>
                    <w:t>收集消毒后暂存在医疗废物贮存间（</w:t>
                  </w:r>
                  <w:r>
                    <w:rPr>
                      <w:rFonts w:hint="eastAsia" w:cs="Times New Roman"/>
                      <w:color w:val="auto"/>
                      <w:highlight w:val="none"/>
                      <w:lang w:val="en-US" w:eastAsia="zh-CN"/>
                    </w:rPr>
                    <w:t>2.5m</w:t>
                  </w:r>
                  <w:r>
                    <w:rPr>
                      <w:rFonts w:hint="default"/>
                      <w:color w:val="auto"/>
                      <w:highlight w:val="none"/>
                      <w:vertAlign w:val="superscript"/>
                      <w:lang w:val="en-US" w:eastAsia="zh-CN"/>
                    </w:rPr>
                    <w:t>2</w:t>
                  </w:r>
                  <w:r>
                    <w:rPr>
                      <w:rFonts w:hint="default"/>
                      <w:color w:val="auto"/>
                      <w:highlight w:val="none"/>
                      <w:lang w:val="en-US" w:eastAsia="zh-CN"/>
                    </w:rPr>
                    <w:t>），委托有资质单位上门回收处置。</w:t>
                  </w:r>
                </w:p>
              </w:tc>
            </w:tr>
          </w:tbl>
          <w:p w14:paraId="733AA5FE">
            <w:pPr>
              <w:pStyle w:val="31"/>
              <w:bidi w:val="0"/>
              <w:rPr>
                <w:rFonts w:hint="default" w:ascii="Times New Roman" w:hAnsi="Times New Roman" w:cs="Times New Roman"/>
                <w:color w:val="auto"/>
                <w:highlight w:val="none"/>
              </w:rPr>
            </w:pPr>
          </w:p>
        </w:tc>
      </w:tr>
      <w:tr w14:paraId="7DEC09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18" w:hRule="atLeast"/>
        </w:trPr>
        <w:tc>
          <w:tcPr>
            <w:tcW w:w="831" w:type="dxa"/>
            <w:tcBorders>
              <w:left w:val="single" w:color="000000" w:sz="6" w:space="0"/>
            </w:tcBorders>
            <w:vAlign w:val="center"/>
          </w:tcPr>
          <w:p w14:paraId="1CE28EC2">
            <w:pPr>
              <w:bidi w:val="0"/>
              <w:spacing w:line="240" w:lineRule="auto"/>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与项目有关的原有环境污染问题</w:t>
            </w:r>
          </w:p>
        </w:tc>
        <w:tc>
          <w:tcPr>
            <w:tcW w:w="8157" w:type="dxa"/>
            <w:tcBorders>
              <w:right w:val="single" w:color="000000" w:sz="6" w:space="0"/>
            </w:tcBorders>
            <w:vAlign w:val="center"/>
          </w:tcPr>
          <w:p w14:paraId="7366FA74">
            <w:pPr>
              <w:bidi w:val="0"/>
              <w:jc w:val="center"/>
              <w:rPr>
                <w:rFonts w:hint="default" w:ascii="Times New Roman" w:hAnsi="Times New Roman" w:eastAsia="宋体" w:cs="Times New Roman"/>
                <w:b w:val="0"/>
                <w:color w:val="auto"/>
                <w:sz w:val="24"/>
                <w:szCs w:val="24"/>
                <w:highlight w:val="none"/>
                <w:lang w:val="en-US" w:eastAsia="zh-CN" w:bidi="ar-SA"/>
              </w:rPr>
            </w:pPr>
          </w:p>
          <w:p w14:paraId="7039B74F">
            <w:pPr>
              <w:bidi w:val="0"/>
              <w:jc w:val="center"/>
              <w:rPr>
                <w:rFonts w:hint="default" w:ascii="Times New Roman" w:hAnsi="Times New Roman" w:eastAsia="宋体" w:cs="Times New Roman"/>
                <w:b w:val="0"/>
                <w:color w:val="auto"/>
                <w:sz w:val="24"/>
                <w:szCs w:val="24"/>
                <w:highlight w:val="none"/>
                <w:lang w:val="en-US" w:eastAsia="zh-CN" w:bidi="ar-SA"/>
              </w:rPr>
            </w:pPr>
          </w:p>
          <w:p w14:paraId="22428775">
            <w:pPr>
              <w:bidi w:val="0"/>
              <w:jc w:val="center"/>
              <w:rPr>
                <w:rFonts w:hint="default" w:ascii="Times New Roman" w:hAnsi="Times New Roman" w:eastAsia="宋体" w:cs="Times New Roman"/>
                <w:b w:val="0"/>
                <w:color w:val="auto"/>
                <w:sz w:val="24"/>
                <w:szCs w:val="24"/>
                <w:highlight w:val="none"/>
                <w:lang w:val="en-US" w:eastAsia="zh-CN" w:bidi="ar-SA"/>
              </w:rPr>
            </w:pPr>
            <w:r>
              <w:rPr>
                <w:rFonts w:hint="default" w:ascii="Times New Roman" w:hAnsi="Times New Roman" w:eastAsia="宋体" w:cs="Times New Roman"/>
                <w:b w:val="0"/>
                <w:color w:val="auto"/>
                <w:sz w:val="24"/>
                <w:szCs w:val="24"/>
                <w:highlight w:val="none"/>
                <w:lang w:val="en-US" w:eastAsia="zh-CN" w:bidi="ar-SA"/>
              </w:rPr>
              <w:t>本项目为新建项目，不存在与项目有关的原有环境污染问题。</w:t>
            </w:r>
          </w:p>
          <w:p w14:paraId="7113EF51">
            <w:pPr>
              <w:bidi w:val="0"/>
              <w:jc w:val="center"/>
              <w:rPr>
                <w:rFonts w:hint="default" w:ascii="Times New Roman" w:hAnsi="Times New Roman" w:cs="Times New Roman"/>
                <w:color w:val="auto"/>
                <w:highlight w:val="none"/>
              </w:rPr>
            </w:pPr>
          </w:p>
        </w:tc>
      </w:tr>
    </w:tbl>
    <w:p w14:paraId="4AF273AB">
      <w:pPr>
        <w:rPr>
          <w:rFonts w:hint="default" w:ascii="Times New Roman" w:hAnsi="Times New Roman" w:cs="Times New Roman"/>
          <w:color w:val="auto"/>
          <w:sz w:val="21"/>
          <w:highlight w:val="none"/>
        </w:rPr>
      </w:pPr>
    </w:p>
    <w:p w14:paraId="27B2725A">
      <w:pPr>
        <w:rPr>
          <w:rFonts w:hint="default" w:ascii="Times New Roman" w:hAnsi="Times New Roman" w:cs="Times New Roman"/>
          <w:color w:val="auto"/>
          <w:highlight w:val="none"/>
        </w:rPr>
        <w:sectPr>
          <w:footerReference r:id="rId7" w:type="default"/>
          <w:pgSz w:w="11906" w:h="16839"/>
          <w:pgMar w:top="1431" w:right="1451" w:bottom="955" w:left="1451" w:header="0" w:footer="692" w:gutter="0"/>
          <w:pgBorders>
            <w:top w:val="none" w:sz="0" w:space="0"/>
            <w:left w:val="none" w:sz="0" w:space="0"/>
            <w:bottom w:val="none" w:sz="0" w:space="0"/>
            <w:right w:val="none" w:sz="0" w:space="0"/>
          </w:pgBorders>
          <w:pgNumType w:fmt="decimal"/>
          <w:cols w:space="720" w:num="1"/>
        </w:sectPr>
      </w:pPr>
    </w:p>
    <w:p w14:paraId="4BD1717E">
      <w:pPr>
        <w:spacing w:line="259" w:lineRule="auto"/>
        <w:rPr>
          <w:rFonts w:hint="default" w:ascii="Times New Roman" w:hAnsi="Times New Roman" w:cs="Times New Roman"/>
          <w:color w:val="auto"/>
          <w:sz w:val="21"/>
          <w:highlight w:val="none"/>
        </w:rPr>
      </w:pPr>
    </w:p>
    <w:p w14:paraId="781AA661">
      <w:pPr>
        <w:pStyle w:val="2"/>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三、区域环境质量现状、环境保护目标及评价标准</w:t>
      </w:r>
    </w:p>
    <w:p w14:paraId="2AF5CBCD">
      <w:pPr>
        <w:spacing w:line="46" w:lineRule="auto"/>
        <w:rPr>
          <w:rFonts w:hint="default" w:ascii="Times New Roman" w:hAnsi="Times New Roman" w:cs="Times New Roman"/>
          <w:color w:val="auto"/>
          <w:sz w:val="2"/>
          <w:highlight w:val="none"/>
        </w:rPr>
      </w:pPr>
    </w:p>
    <w:tbl>
      <w:tblPr>
        <w:tblStyle w:val="28"/>
        <w:tblW w:w="899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08"/>
        <w:gridCol w:w="8186"/>
      </w:tblGrid>
      <w:tr w14:paraId="5CF775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50" w:hRule="atLeast"/>
        </w:trPr>
        <w:tc>
          <w:tcPr>
            <w:tcW w:w="808" w:type="dxa"/>
            <w:tcBorders>
              <w:left w:val="single" w:color="000000" w:sz="6" w:space="0"/>
            </w:tcBorders>
            <w:vAlign w:val="center"/>
          </w:tcPr>
          <w:p w14:paraId="45C9D521">
            <w:pPr>
              <w:bidi w:val="0"/>
              <w:jc w:val="center"/>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区域环境质量现状</w:t>
            </w:r>
          </w:p>
        </w:tc>
        <w:tc>
          <w:tcPr>
            <w:tcW w:w="8186" w:type="dxa"/>
            <w:tcBorders>
              <w:right w:val="single" w:color="000000" w:sz="6" w:space="0"/>
            </w:tcBorders>
            <w:vAlign w:val="center"/>
          </w:tcPr>
          <w:p w14:paraId="38F28088">
            <w:pPr>
              <w:pStyle w:val="3"/>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1、大气环境质量现状</w:t>
            </w:r>
          </w:p>
          <w:p w14:paraId="188E9CA9">
            <w:pPr>
              <w:pStyle w:val="31"/>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根据《新疆维吾尔自治区2025年生态环境状况公报》，库尔勒市2025</w:t>
            </w:r>
            <w:r>
              <w:rPr>
                <w:rFonts w:hint="eastAsia" w:cs="Times New Roman"/>
                <w:color w:val="000000" w:themeColor="text1"/>
                <w:highlight w:val="none"/>
                <w:lang w:val="en-US" w:eastAsia="zh-CN"/>
                <w14:textFill>
                  <w14:solidFill>
                    <w14:schemeClr w14:val="tx1"/>
                  </w14:solidFill>
                </w14:textFill>
              </w:rPr>
              <w:t>年</w:t>
            </w:r>
            <w:r>
              <w:rPr>
                <w:rFonts w:hint="default" w:ascii="Times New Roman" w:hAnsi="Times New Roman" w:eastAsia="宋体"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环境质量</w:t>
            </w:r>
            <w:r>
              <w:rPr>
                <w:rFonts w:hint="default" w:ascii="Times New Roman" w:hAnsi="Times New Roman" w:cs="Times New Roman"/>
                <w:color w:val="000000" w:themeColor="text1"/>
                <w:highlight w:val="none"/>
                <w14:textFill>
                  <w14:solidFill>
                    <w14:schemeClr w14:val="tx1"/>
                  </w14:solidFill>
                </w14:textFill>
              </w:rPr>
              <w:t>现状基本污染物SO</w:t>
            </w:r>
            <w:r>
              <w:rPr>
                <w:rFonts w:hint="default" w:ascii="Times New Roman" w:hAnsi="Times New Roman" w:cs="Times New Roman"/>
                <w:color w:val="000000" w:themeColor="text1"/>
                <w:highlight w:val="none"/>
                <w:vertAlign w:val="subscript"/>
                <w14:textFill>
                  <w14:solidFill>
                    <w14:schemeClr w14:val="tx1"/>
                  </w14:solidFill>
                </w14:textFill>
              </w:rPr>
              <w:t>2</w:t>
            </w:r>
            <w:r>
              <w:rPr>
                <w:rFonts w:hint="default" w:ascii="Times New Roman" w:hAnsi="Times New Roman" w:cs="Times New Roman"/>
                <w:color w:val="000000" w:themeColor="text1"/>
                <w:highlight w:val="none"/>
                <w14:textFill>
                  <w14:solidFill>
                    <w14:schemeClr w14:val="tx1"/>
                  </w14:solidFill>
                </w14:textFill>
              </w:rPr>
              <w:t>、NO</w:t>
            </w:r>
            <w:r>
              <w:rPr>
                <w:rFonts w:hint="default" w:ascii="Times New Roman" w:hAnsi="Times New Roman" w:cs="Times New Roman"/>
                <w:color w:val="000000" w:themeColor="text1"/>
                <w:highlight w:val="none"/>
                <w:vertAlign w:val="subscript"/>
                <w14:textFill>
                  <w14:solidFill>
                    <w14:schemeClr w14:val="tx1"/>
                  </w14:solidFill>
                </w14:textFill>
              </w:rPr>
              <w:t>2</w:t>
            </w:r>
            <w:r>
              <w:rPr>
                <w:rFonts w:hint="default" w:ascii="Times New Roman" w:hAnsi="Times New Roman" w:cs="Times New Roman"/>
                <w:color w:val="000000" w:themeColor="text1"/>
                <w:highlight w:val="none"/>
                <w14:textFill>
                  <w14:solidFill>
                    <w14:schemeClr w14:val="tx1"/>
                  </w14:solidFill>
                </w14:textFill>
              </w:rPr>
              <w:t>、PM</w:t>
            </w:r>
            <w:r>
              <w:rPr>
                <w:rFonts w:hint="default" w:ascii="Times New Roman" w:hAnsi="Times New Roman" w:cs="Times New Roman"/>
                <w:color w:val="000000" w:themeColor="text1"/>
                <w:highlight w:val="none"/>
                <w:vertAlign w:val="subscript"/>
                <w14:textFill>
                  <w14:solidFill>
                    <w14:schemeClr w14:val="tx1"/>
                  </w14:solidFill>
                </w14:textFill>
              </w:rPr>
              <w:t>10</w:t>
            </w:r>
            <w:r>
              <w:rPr>
                <w:rFonts w:hint="default" w:ascii="Times New Roman" w:hAnsi="Times New Roman" w:cs="Times New Roman"/>
                <w:color w:val="000000" w:themeColor="text1"/>
                <w:highlight w:val="none"/>
                <w14:textFill>
                  <w14:solidFill>
                    <w14:schemeClr w14:val="tx1"/>
                  </w14:solidFill>
                </w14:textFill>
              </w:rPr>
              <w:t>、PM</w:t>
            </w:r>
            <w:r>
              <w:rPr>
                <w:rFonts w:hint="default" w:ascii="Times New Roman" w:hAnsi="Times New Roman" w:cs="Times New Roman"/>
                <w:color w:val="000000" w:themeColor="text1"/>
                <w:highlight w:val="none"/>
                <w:vertAlign w:val="subscript"/>
                <w14:textFill>
                  <w14:solidFill>
                    <w14:schemeClr w14:val="tx1"/>
                  </w14:solidFill>
                </w14:textFill>
              </w:rPr>
              <w:t>2.5</w:t>
            </w:r>
            <w:r>
              <w:rPr>
                <w:rFonts w:hint="default" w:ascii="Times New Roman" w:hAnsi="Times New Roman" w:cs="Times New Roman"/>
                <w:color w:val="000000" w:themeColor="text1"/>
                <w:highlight w:val="none"/>
                <w14:textFill>
                  <w14:solidFill>
                    <w14:schemeClr w14:val="tx1"/>
                  </w14:solidFill>
                </w14:textFill>
              </w:rPr>
              <w:t>、CO和O</w:t>
            </w:r>
            <w:r>
              <w:rPr>
                <w:rFonts w:hint="default" w:ascii="Times New Roman" w:hAnsi="Times New Roman" w:cs="Times New Roman"/>
                <w:color w:val="000000" w:themeColor="text1"/>
                <w:highlight w:val="none"/>
                <w:vertAlign w:val="subscript"/>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的评价</w:t>
            </w:r>
            <w:r>
              <w:rPr>
                <w:rFonts w:hint="eastAsia" w:cs="Times New Roman"/>
                <w:color w:val="000000" w:themeColor="text1"/>
                <w:highlight w:val="none"/>
                <w:lang w:val="en-US" w:eastAsia="zh-CN"/>
                <w14:textFill>
                  <w14:solidFill>
                    <w14:schemeClr w14:val="tx1"/>
                  </w14:solidFill>
                </w14:textFill>
              </w:rPr>
              <w:t>结果</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详见下表</w:t>
            </w:r>
            <w:r>
              <w:rPr>
                <w:rFonts w:hint="default" w:ascii="Times New Roman" w:hAnsi="Times New Roman" w:cs="Times New Roman"/>
                <w:color w:val="000000" w:themeColor="text1"/>
                <w:highlight w:val="none"/>
                <w14:textFill>
                  <w14:solidFill>
                    <w14:schemeClr w14:val="tx1"/>
                  </w14:solidFill>
                </w14:textFill>
              </w:rPr>
              <w:t>。</w:t>
            </w:r>
          </w:p>
          <w:p w14:paraId="56DA9481">
            <w:pPr>
              <w:pStyle w:val="29"/>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zh-CN"/>
                <w14:textFill>
                  <w14:solidFill>
                    <w14:schemeClr w14:val="tx1"/>
                  </w14:solidFill>
                </w14:textFill>
              </w:rPr>
              <w:t>表</w:t>
            </w:r>
            <w:r>
              <w:rPr>
                <w:rFonts w:hint="default" w:ascii="Times New Roman" w:hAnsi="Times New Roman" w:cs="Times New Roman"/>
                <w:color w:val="000000" w:themeColor="text1"/>
                <w:highlight w:val="none"/>
                <w14:textFill>
                  <w14:solidFill>
                    <w14:schemeClr w14:val="tx1"/>
                  </w14:solidFill>
                </w14:textFill>
              </w:rPr>
              <w:t>3-</w:t>
            </w:r>
            <w:r>
              <w:rPr>
                <w:rFonts w:hint="default" w:ascii="Times New Roman" w:hAnsi="Times New Roman" w:cs="Times New Roman"/>
                <w:color w:val="000000" w:themeColor="text1"/>
                <w:highlight w:val="none"/>
                <w:lang w:val="en-US"/>
                <w14:textFill>
                  <w14:solidFill>
                    <w14:schemeClr w14:val="tx1"/>
                  </w14:solidFill>
                </w14:textFill>
              </w:rPr>
              <w:t xml:space="preserve">1   </w:t>
            </w:r>
            <w:r>
              <w:rPr>
                <w:rFonts w:hint="default" w:ascii="Times New Roman" w:hAnsi="Times New Roman" w:cs="Times New Roman"/>
                <w:color w:val="000000" w:themeColor="text1"/>
                <w:highlight w:val="none"/>
                <w14:textFill>
                  <w14:solidFill>
                    <w14:schemeClr w14:val="tx1"/>
                  </w14:solidFill>
                </w14:textFill>
              </w:rPr>
              <w:t>环境空气常规因子现状监测及评价结果</w:t>
            </w:r>
          </w:p>
          <w:tbl>
            <w:tblPr>
              <w:tblStyle w:val="1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59"/>
              <w:gridCol w:w="2685"/>
              <w:gridCol w:w="1049"/>
              <w:gridCol w:w="1246"/>
              <w:gridCol w:w="1093"/>
              <w:gridCol w:w="1230"/>
            </w:tblGrid>
            <w:tr w14:paraId="75EA1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526" w:type="pct"/>
                  <w:tcBorders>
                    <w:tl2br w:val="nil"/>
                    <w:tr2bl w:val="nil"/>
                  </w:tcBorders>
                  <w:noWrap w:val="0"/>
                  <w:vAlign w:val="center"/>
                </w:tcPr>
                <w:p w14:paraId="1DAC9913">
                  <w:pPr>
                    <w:spacing w:line="240" w:lineRule="auto"/>
                    <w:ind w:firstLine="0" w:firstLineChars="0"/>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污染物</w:t>
                  </w:r>
                </w:p>
              </w:tc>
              <w:tc>
                <w:tcPr>
                  <w:tcW w:w="1644" w:type="pct"/>
                  <w:tcBorders>
                    <w:tl2br w:val="nil"/>
                    <w:tr2bl w:val="nil"/>
                  </w:tcBorders>
                  <w:noWrap w:val="0"/>
                  <w:vAlign w:val="center"/>
                </w:tcPr>
                <w:p w14:paraId="03863609">
                  <w:pPr>
                    <w:spacing w:line="240" w:lineRule="auto"/>
                    <w:ind w:firstLine="0" w:firstLineChars="0"/>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年度评价指标</w:t>
                  </w:r>
                </w:p>
              </w:tc>
              <w:tc>
                <w:tcPr>
                  <w:tcW w:w="642" w:type="pct"/>
                  <w:tcBorders>
                    <w:tl2br w:val="nil"/>
                    <w:tr2bl w:val="nil"/>
                  </w:tcBorders>
                  <w:noWrap w:val="0"/>
                  <w:vAlign w:val="center"/>
                </w:tcPr>
                <w:p w14:paraId="43F68341">
                  <w:pPr>
                    <w:spacing w:line="240" w:lineRule="auto"/>
                    <w:ind w:firstLine="0" w:firstLineChars="0"/>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现状浓度</w:t>
                  </w:r>
                </w:p>
                <w:p w14:paraId="364D901B">
                  <w:pPr>
                    <w:spacing w:line="240" w:lineRule="auto"/>
                    <w:ind w:firstLine="0" w:firstLineChars="0"/>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eastAsia="黑体" w:cs="Times New Roman"/>
                      <w:color w:val="000000" w:themeColor="text1"/>
                      <w:highlight w:val="none"/>
                      <w14:textFill>
                        <w14:solidFill>
                          <w14:schemeClr w14:val="tx1"/>
                        </w14:solidFill>
                      </w14:textFill>
                    </w:rPr>
                    <w:t>µ</w:t>
                  </w:r>
                  <w:r>
                    <w:rPr>
                      <w:rFonts w:hint="default" w:ascii="Times New Roman" w:hAnsi="Times New Roman" w:eastAsia="黑体" w:cs="Times New Roman"/>
                      <w:color w:val="000000" w:themeColor="text1"/>
                      <w:szCs w:val="40"/>
                      <w:highlight w:val="none"/>
                      <w14:textFill>
                        <w14:solidFill>
                          <w14:schemeClr w14:val="tx1"/>
                        </w14:solidFill>
                      </w14:textFill>
                    </w:rPr>
                    <w:t>g/m</w:t>
                  </w:r>
                  <w:r>
                    <w:rPr>
                      <w:rFonts w:hint="default" w:ascii="Times New Roman" w:hAnsi="Times New Roman" w:eastAsia="黑体" w:cs="Times New Roman"/>
                      <w:color w:val="000000" w:themeColor="text1"/>
                      <w:szCs w:val="40"/>
                      <w:highlight w:val="none"/>
                      <w:vertAlign w:val="superscript"/>
                      <w14:textFill>
                        <w14:solidFill>
                          <w14:schemeClr w14:val="tx1"/>
                        </w14:solidFill>
                      </w14:textFill>
                    </w:rPr>
                    <w:t>3</w:t>
                  </w:r>
                </w:p>
              </w:tc>
              <w:tc>
                <w:tcPr>
                  <w:tcW w:w="763" w:type="pct"/>
                  <w:tcBorders>
                    <w:tl2br w:val="nil"/>
                    <w:tr2bl w:val="nil"/>
                  </w:tcBorders>
                  <w:noWrap w:val="0"/>
                  <w:vAlign w:val="center"/>
                </w:tcPr>
                <w:p w14:paraId="1D1859AF">
                  <w:pPr>
                    <w:spacing w:line="240" w:lineRule="auto"/>
                    <w:ind w:firstLine="0" w:firstLineChars="0"/>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标准值</w:t>
                  </w:r>
                </w:p>
                <w:p w14:paraId="1BE48477">
                  <w:pPr>
                    <w:spacing w:line="240" w:lineRule="auto"/>
                    <w:ind w:firstLine="0" w:firstLineChars="0"/>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eastAsia="黑体" w:cs="Times New Roman"/>
                      <w:color w:val="000000" w:themeColor="text1"/>
                      <w:highlight w:val="none"/>
                      <w14:textFill>
                        <w14:solidFill>
                          <w14:schemeClr w14:val="tx1"/>
                        </w14:solidFill>
                      </w14:textFill>
                    </w:rPr>
                    <w:t>µ</w:t>
                  </w:r>
                  <w:r>
                    <w:rPr>
                      <w:rFonts w:hint="default" w:ascii="Times New Roman" w:hAnsi="Times New Roman" w:eastAsia="黑体" w:cs="Times New Roman"/>
                      <w:color w:val="000000" w:themeColor="text1"/>
                      <w:szCs w:val="40"/>
                      <w:highlight w:val="none"/>
                      <w14:textFill>
                        <w14:solidFill>
                          <w14:schemeClr w14:val="tx1"/>
                        </w14:solidFill>
                      </w14:textFill>
                    </w:rPr>
                    <w:t>g/m</w:t>
                  </w:r>
                  <w:r>
                    <w:rPr>
                      <w:rFonts w:hint="default" w:ascii="Times New Roman" w:hAnsi="Times New Roman" w:eastAsia="黑体" w:cs="Times New Roman"/>
                      <w:color w:val="000000" w:themeColor="text1"/>
                      <w:szCs w:val="40"/>
                      <w:highlight w:val="none"/>
                      <w:vertAlign w:val="superscript"/>
                      <w14:textFill>
                        <w14:solidFill>
                          <w14:schemeClr w14:val="tx1"/>
                        </w14:solidFill>
                      </w14:textFill>
                    </w:rPr>
                    <w:t>3</w:t>
                  </w:r>
                </w:p>
              </w:tc>
              <w:tc>
                <w:tcPr>
                  <w:tcW w:w="669" w:type="pct"/>
                  <w:tcBorders>
                    <w:tl2br w:val="nil"/>
                    <w:tr2bl w:val="nil"/>
                  </w:tcBorders>
                  <w:noWrap w:val="0"/>
                  <w:vAlign w:val="center"/>
                </w:tcPr>
                <w:p w14:paraId="13C5A2D3">
                  <w:pPr>
                    <w:spacing w:line="240" w:lineRule="auto"/>
                    <w:ind w:firstLine="0" w:firstLineChars="0"/>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占标率</w:t>
                  </w:r>
                </w:p>
                <w:p w14:paraId="6DAD2123">
                  <w:pPr>
                    <w:spacing w:line="240" w:lineRule="auto"/>
                    <w:ind w:firstLine="0" w:firstLineChars="0"/>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w:t>
                  </w:r>
                </w:p>
              </w:tc>
              <w:tc>
                <w:tcPr>
                  <w:tcW w:w="753" w:type="pct"/>
                  <w:tcBorders>
                    <w:tl2br w:val="nil"/>
                    <w:tr2bl w:val="nil"/>
                  </w:tcBorders>
                  <w:noWrap w:val="0"/>
                  <w:vAlign w:val="center"/>
                </w:tcPr>
                <w:p w14:paraId="7C9C27CB">
                  <w:pPr>
                    <w:spacing w:line="240" w:lineRule="auto"/>
                    <w:ind w:firstLine="0" w:firstLineChars="0"/>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达标情况</w:t>
                  </w:r>
                </w:p>
              </w:tc>
            </w:tr>
            <w:tr w14:paraId="4BB29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526" w:type="pct"/>
                  <w:tcBorders>
                    <w:tl2br w:val="nil"/>
                    <w:tr2bl w:val="nil"/>
                  </w:tcBorders>
                  <w:noWrap w:val="0"/>
                  <w:vAlign w:val="center"/>
                </w:tcPr>
                <w:p w14:paraId="2777DE6F">
                  <w:pPr>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SO</w:t>
                  </w:r>
                  <w:r>
                    <w:rPr>
                      <w:rFonts w:hint="default" w:ascii="Times New Roman" w:hAnsi="Times New Roman" w:eastAsia="宋体" w:cs="Times New Roman"/>
                      <w:color w:val="000000" w:themeColor="text1"/>
                      <w:sz w:val="21"/>
                      <w:szCs w:val="21"/>
                      <w:highlight w:val="none"/>
                      <w:vertAlign w:val="subscript"/>
                      <w14:textFill>
                        <w14:solidFill>
                          <w14:schemeClr w14:val="tx1"/>
                        </w14:solidFill>
                      </w14:textFill>
                    </w:rPr>
                    <w:t>2</w:t>
                  </w:r>
                </w:p>
              </w:tc>
              <w:tc>
                <w:tcPr>
                  <w:tcW w:w="1644" w:type="pct"/>
                  <w:tcBorders>
                    <w:tl2br w:val="nil"/>
                    <w:tr2bl w:val="nil"/>
                  </w:tcBorders>
                  <w:noWrap w:val="0"/>
                  <w:vAlign w:val="center"/>
                </w:tcPr>
                <w:p w14:paraId="7BD30774">
                  <w:pPr>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年平均质量浓度</w:t>
                  </w:r>
                </w:p>
              </w:tc>
              <w:tc>
                <w:tcPr>
                  <w:tcW w:w="642" w:type="pct"/>
                  <w:tcBorders>
                    <w:tl2br w:val="nil"/>
                    <w:tr2bl w:val="nil"/>
                  </w:tcBorders>
                  <w:noWrap w:val="0"/>
                  <w:vAlign w:val="top"/>
                </w:tcPr>
                <w:p w14:paraId="297237C0">
                  <w:pPr>
                    <w:spacing w:line="240" w:lineRule="auto"/>
                    <w:ind w:firstLine="0" w:firstLineChars="0"/>
                    <w:jc w:val="cente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4</w:t>
                  </w:r>
                </w:p>
              </w:tc>
              <w:tc>
                <w:tcPr>
                  <w:tcW w:w="763" w:type="pct"/>
                  <w:tcBorders>
                    <w:tl2br w:val="nil"/>
                    <w:tr2bl w:val="nil"/>
                  </w:tcBorders>
                  <w:noWrap w:val="0"/>
                  <w:vAlign w:val="center"/>
                </w:tcPr>
                <w:p w14:paraId="4B3CD7DB">
                  <w:pPr>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60</w:t>
                  </w:r>
                </w:p>
              </w:tc>
              <w:tc>
                <w:tcPr>
                  <w:tcW w:w="669" w:type="pct"/>
                  <w:tcBorders>
                    <w:tl2br w:val="nil"/>
                    <w:tr2bl w:val="nil"/>
                  </w:tcBorders>
                  <w:noWrap w:val="0"/>
                  <w:vAlign w:val="top"/>
                </w:tcPr>
                <w:p w14:paraId="529FFDB5">
                  <w:pPr>
                    <w:spacing w:line="240" w:lineRule="auto"/>
                    <w:ind w:firstLine="0" w:firstLineChars="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6.7</w:t>
                  </w:r>
                </w:p>
              </w:tc>
              <w:tc>
                <w:tcPr>
                  <w:tcW w:w="753" w:type="pct"/>
                  <w:tcBorders>
                    <w:tl2br w:val="nil"/>
                    <w:tr2bl w:val="nil"/>
                  </w:tcBorders>
                  <w:noWrap w:val="0"/>
                  <w:vAlign w:val="center"/>
                </w:tcPr>
                <w:p w14:paraId="1909A671">
                  <w:pPr>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达标</w:t>
                  </w:r>
                </w:p>
              </w:tc>
            </w:tr>
            <w:tr w14:paraId="4EE12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526" w:type="pct"/>
                  <w:tcBorders>
                    <w:tl2br w:val="nil"/>
                    <w:tr2bl w:val="nil"/>
                  </w:tcBorders>
                  <w:noWrap w:val="0"/>
                  <w:vAlign w:val="center"/>
                </w:tcPr>
                <w:p w14:paraId="4221992B">
                  <w:pPr>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NO</w:t>
                  </w:r>
                  <w:r>
                    <w:rPr>
                      <w:rFonts w:hint="default" w:ascii="Times New Roman" w:hAnsi="Times New Roman" w:eastAsia="宋体" w:cs="Times New Roman"/>
                      <w:color w:val="000000" w:themeColor="text1"/>
                      <w:sz w:val="21"/>
                      <w:szCs w:val="21"/>
                      <w:highlight w:val="none"/>
                      <w:vertAlign w:val="subscript"/>
                      <w14:textFill>
                        <w14:solidFill>
                          <w14:schemeClr w14:val="tx1"/>
                        </w14:solidFill>
                      </w14:textFill>
                    </w:rPr>
                    <w:t>2</w:t>
                  </w:r>
                </w:p>
              </w:tc>
              <w:tc>
                <w:tcPr>
                  <w:tcW w:w="1644" w:type="pct"/>
                  <w:tcBorders>
                    <w:tl2br w:val="nil"/>
                    <w:tr2bl w:val="nil"/>
                  </w:tcBorders>
                  <w:noWrap w:val="0"/>
                  <w:vAlign w:val="center"/>
                </w:tcPr>
                <w:p w14:paraId="0A1E1950">
                  <w:pPr>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年平均质量浓度</w:t>
                  </w:r>
                </w:p>
              </w:tc>
              <w:tc>
                <w:tcPr>
                  <w:tcW w:w="642" w:type="pct"/>
                  <w:tcBorders>
                    <w:tl2br w:val="nil"/>
                    <w:tr2bl w:val="nil"/>
                  </w:tcBorders>
                  <w:noWrap w:val="0"/>
                  <w:vAlign w:val="top"/>
                </w:tcPr>
                <w:p w14:paraId="3488AE5F">
                  <w:pPr>
                    <w:spacing w:line="240" w:lineRule="auto"/>
                    <w:ind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34</w:t>
                  </w:r>
                </w:p>
              </w:tc>
              <w:tc>
                <w:tcPr>
                  <w:tcW w:w="763" w:type="pct"/>
                  <w:tcBorders>
                    <w:tl2br w:val="nil"/>
                    <w:tr2bl w:val="nil"/>
                  </w:tcBorders>
                  <w:noWrap w:val="0"/>
                  <w:vAlign w:val="center"/>
                </w:tcPr>
                <w:p w14:paraId="3486F0C1">
                  <w:pPr>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40</w:t>
                  </w:r>
                </w:p>
              </w:tc>
              <w:tc>
                <w:tcPr>
                  <w:tcW w:w="669" w:type="pct"/>
                  <w:tcBorders>
                    <w:tl2br w:val="nil"/>
                    <w:tr2bl w:val="nil"/>
                  </w:tcBorders>
                  <w:noWrap w:val="0"/>
                  <w:vAlign w:val="top"/>
                </w:tcPr>
                <w:p w14:paraId="3746AAD7">
                  <w:pPr>
                    <w:spacing w:line="240" w:lineRule="auto"/>
                    <w:ind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85</w:t>
                  </w:r>
                </w:p>
              </w:tc>
              <w:tc>
                <w:tcPr>
                  <w:tcW w:w="753" w:type="pct"/>
                  <w:tcBorders>
                    <w:tl2br w:val="nil"/>
                    <w:tr2bl w:val="nil"/>
                  </w:tcBorders>
                  <w:noWrap w:val="0"/>
                  <w:vAlign w:val="center"/>
                </w:tcPr>
                <w:p w14:paraId="50F25D37">
                  <w:pPr>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达标</w:t>
                  </w:r>
                </w:p>
              </w:tc>
            </w:tr>
            <w:tr w14:paraId="6C87D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526" w:type="pct"/>
                  <w:tcBorders>
                    <w:tl2br w:val="nil"/>
                    <w:tr2bl w:val="nil"/>
                  </w:tcBorders>
                  <w:noWrap w:val="0"/>
                  <w:vAlign w:val="center"/>
                </w:tcPr>
                <w:p w14:paraId="0D0AC72D">
                  <w:pPr>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PM</w:t>
                  </w:r>
                  <w:r>
                    <w:rPr>
                      <w:rFonts w:hint="default" w:ascii="Times New Roman" w:hAnsi="Times New Roman" w:eastAsia="宋体" w:cs="Times New Roman"/>
                      <w:color w:val="000000" w:themeColor="text1"/>
                      <w:sz w:val="21"/>
                      <w:szCs w:val="21"/>
                      <w:highlight w:val="none"/>
                      <w:vertAlign w:val="subscript"/>
                      <w14:textFill>
                        <w14:solidFill>
                          <w14:schemeClr w14:val="tx1"/>
                        </w14:solidFill>
                      </w14:textFill>
                    </w:rPr>
                    <w:t>10</w:t>
                  </w:r>
                </w:p>
              </w:tc>
              <w:tc>
                <w:tcPr>
                  <w:tcW w:w="1644" w:type="pct"/>
                  <w:tcBorders>
                    <w:tl2br w:val="nil"/>
                    <w:tr2bl w:val="nil"/>
                  </w:tcBorders>
                  <w:noWrap w:val="0"/>
                  <w:vAlign w:val="center"/>
                </w:tcPr>
                <w:p w14:paraId="1313EA76">
                  <w:pPr>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年平均质量浓度</w:t>
                  </w:r>
                </w:p>
              </w:tc>
              <w:tc>
                <w:tcPr>
                  <w:tcW w:w="642" w:type="pct"/>
                  <w:tcBorders>
                    <w:tl2br w:val="nil"/>
                    <w:tr2bl w:val="nil"/>
                  </w:tcBorders>
                  <w:noWrap w:val="0"/>
                  <w:vAlign w:val="top"/>
                </w:tcPr>
                <w:p w14:paraId="1A68F9EE">
                  <w:pPr>
                    <w:spacing w:line="240" w:lineRule="auto"/>
                    <w:ind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78</w:t>
                  </w:r>
                </w:p>
              </w:tc>
              <w:tc>
                <w:tcPr>
                  <w:tcW w:w="763" w:type="pct"/>
                  <w:tcBorders>
                    <w:tl2br w:val="nil"/>
                    <w:tr2bl w:val="nil"/>
                  </w:tcBorders>
                  <w:noWrap w:val="0"/>
                  <w:vAlign w:val="center"/>
                </w:tcPr>
                <w:p w14:paraId="05BB90E5">
                  <w:pPr>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6</w:t>
                  </w:r>
                  <w:r>
                    <w:rPr>
                      <w:rFonts w:hint="default" w:ascii="Times New Roman" w:hAnsi="Times New Roman" w:eastAsia="宋体" w:cs="Times New Roman"/>
                      <w:color w:val="000000" w:themeColor="text1"/>
                      <w:sz w:val="21"/>
                      <w:szCs w:val="21"/>
                      <w:highlight w:val="none"/>
                      <w14:textFill>
                        <w14:solidFill>
                          <w14:schemeClr w14:val="tx1"/>
                        </w14:solidFill>
                      </w14:textFill>
                    </w:rPr>
                    <w:t>0</w:t>
                  </w:r>
                </w:p>
              </w:tc>
              <w:tc>
                <w:tcPr>
                  <w:tcW w:w="669" w:type="pct"/>
                  <w:tcBorders>
                    <w:tl2br w:val="nil"/>
                    <w:tr2bl w:val="nil"/>
                  </w:tcBorders>
                  <w:noWrap w:val="0"/>
                  <w:vAlign w:val="top"/>
                </w:tcPr>
                <w:p w14:paraId="56FA053F">
                  <w:pPr>
                    <w:spacing w:line="240" w:lineRule="auto"/>
                    <w:ind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130</w:t>
                  </w:r>
                </w:p>
              </w:tc>
              <w:tc>
                <w:tcPr>
                  <w:tcW w:w="753" w:type="pct"/>
                  <w:tcBorders>
                    <w:tl2br w:val="nil"/>
                    <w:tr2bl w:val="nil"/>
                  </w:tcBorders>
                  <w:noWrap w:val="0"/>
                  <w:vAlign w:val="center"/>
                </w:tcPr>
                <w:p w14:paraId="13753049">
                  <w:pPr>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超</w:t>
                  </w:r>
                  <w:r>
                    <w:rPr>
                      <w:rFonts w:hint="default" w:ascii="Times New Roman" w:hAnsi="Times New Roman" w:eastAsia="宋体" w:cs="Times New Roman"/>
                      <w:color w:val="000000" w:themeColor="text1"/>
                      <w:sz w:val="21"/>
                      <w:szCs w:val="21"/>
                      <w:highlight w:val="none"/>
                      <w14:textFill>
                        <w14:solidFill>
                          <w14:schemeClr w14:val="tx1"/>
                        </w14:solidFill>
                      </w14:textFill>
                    </w:rPr>
                    <w:t>标</w:t>
                  </w:r>
                </w:p>
              </w:tc>
            </w:tr>
            <w:tr w14:paraId="68DBE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2" w:hRule="atLeast"/>
                <w:jc w:val="center"/>
              </w:trPr>
              <w:tc>
                <w:tcPr>
                  <w:tcW w:w="526" w:type="pct"/>
                  <w:tcBorders>
                    <w:tl2br w:val="nil"/>
                    <w:tr2bl w:val="nil"/>
                  </w:tcBorders>
                  <w:noWrap w:val="0"/>
                  <w:vAlign w:val="center"/>
                </w:tcPr>
                <w:p w14:paraId="08A0C511">
                  <w:pPr>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PM</w:t>
                  </w:r>
                  <w:r>
                    <w:rPr>
                      <w:rFonts w:hint="default" w:ascii="Times New Roman" w:hAnsi="Times New Roman" w:eastAsia="宋体" w:cs="Times New Roman"/>
                      <w:color w:val="000000" w:themeColor="text1"/>
                      <w:sz w:val="21"/>
                      <w:szCs w:val="21"/>
                      <w:highlight w:val="none"/>
                      <w:vertAlign w:val="subscript"/>
                      <w14:textFill>
                        <w14:solidFill>
                          <w14:schemeClr w14:val="tx1"/>
                        </w14:solidFill>
                      </w14:textFill>
                    </w:rPr>
                    <w:t>2.5</w:t>
                  </w:r>
                </w:p>
              </w:tc>
              <w:tc>
                <w:tcPr>
                  <w:tcW w:w="1644" w:type="pct"/>
                  <w:tcBorders>
                    <w:tl2br w:val="nil"/>
                    <w:tr2bl w:val="nil"/>
                  </w:tcBorders>
                  <w:noWrap w:val="0"/>
                  <w:vAlign w:val="center"/>
                </w:tcPr>
                <w:p w14:paraId="4F668B88">
                  <w:pPr>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年平均质量浓度</w:t>
                  </w:r>
                </w:p>
              </w:tc>
              <w:tc>
                <w:tcPr>
                  <w:tcW w:w="642" w:type="pct"/>
                  <w:tcBorders>
                    <w:tl2br w:val="nil"/>
                    <w:tr2bl w:val="nil"/>
                  </w:tcBorders>
                  <w:noWrap w:val="0"/>
                  <w:vAlign w:val="top"/>
                </w:tcPr>
                <w:p w14:paraId="0CF0DD4B">
                  <w:pPr>
                    <w:spacing w:line="240" w:lineRule="auto"/>
                    <w:ind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37</w:t>
                  </w:r>
                </w:p>
              </w:tc>
              <w:tc>
                <w:tcPr>
                  <w:tcW w:w="763" w:type="pct"/>
                  <w:tcBorders>
                    <w:tl2br w:val="nil"/>
                    <w:tr2bl w:val="nil"/>
                  </w:tcBorders>
                  <w:noWrap w:val="0"/>
                  <w:vAlign w:val="center"/>
                </w:tcPr>
                <w:p w14:paraId="52D8B767">
                  <w:pPr>
                    <w:spacing w:line="240" w:lineRule="auto"/>
                    <w:ind w:firstLine="0" w:firstLineChars="0"/>
                    <w:jc w:val="cente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3</w:t>
                  </w:r>
                  <w:r>
                    <w:rPr>
                      <w:rFonts w:hint="eastAsia" w:cs="Times New Roman"/>
                      <w:color w:val="000000" w:themeColor="text1"/>
                      <w:sz w:val="21"/>
                      <w:szCs w:val="21"/>
                      <w:highlight w:val="none"/>
                      <w:lang w:val="en-US" w:eastAsia="zh-CN"/>
                      <w14:textFill>
                        <w14:solidFill>
                          <w14:schemeClr w14:val="tx1"/>
                        </w14:solidFill>
                      </w14:textFill>
                    </w:rPr>
                    <w:t>0</w:t>
                  </w:r>
                </w:p>
              </w:tc>
              <w:tc>
                <w:tcPr>
                  <w:tcW w:w="669" w:type="pct"/>
                  <w:tcBorders>
                    <w:tl2br w:val="nil"/>
                    <w:tr2bl w:val="nil"/>
                  </w:tcBorders>
                  <w:noWrap w:val="0"/>
                  <w:vAlign w:val="top"/>
                </w:tcPr>
                <w:p w14:paraId="6F669853">
                  <w:pPr>
                    <w:spacing w:line="240" w:lineRule="auto"/>
                    <w:ind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123.3</w:t>
                  </w:r>
                </w:p>
              </w:tc>
              <w:tc>
                <w:tcPr>
                  <w:tcW w:w="753" w:type="pct"/>
                  <w:tcBorders>
                    <w:tl2br w:val="nil"/>
                    <w:tr2bl w:val="nil"/>
                  </w:tcBorders>
                  <w:noWrap w:val="0"/>
                  <w:vAlign w:val="center"/>
                </w:tcPr>
                <w:p w14:paraId="56E21D72">
                  <w:pPr>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超</w:t>
                  </w:r>
                  <w:r>
                    <w:rPr>
                      <w:rFonts w:hint="default" w:ascii="Times New Roman" w:hAnsi="Times New Roman" w:eastAsia="宋体" w:cs="Times New Roman"/>
                      <w:color w:val="000000" w:themeColor="text1"/>
                      <w:sz w:val="21"/>
                      <w:szCs w:val="21"/>
                      <w:highlight w:val="none"/>
                      <w14:textFill>
                        <w14:solidFill>
                          <w14:schemeClr w14:val="tx1"/>
                        </w14:solidFill>
                      </w14:textFill>
                    </w:rPr>
                    <w:t>标</w:t>
                  </w:r>
                </w:p>
              </w:tc>
            </w:tr>
            <w:tr w14:paraId="25BB9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526" w:type="pct"/>
                  <w:tcBorders>
                    <w:tl2br w:val="nil"/>
                    <w:tr2bl w:val="nil"/>
                  </w:tcBorders>
                  <w:noWrap w:val="0"/>
                  <w:vAlign w:val="center"/>
                </w:tcPr>
                <w:p w14:paraId="242B0E1E">
                  <w:pPr>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CO</w:t>
                  </w:r>
                </w:p>
              </w:tc>
              <w:tc>
                <w:tcPr>
                  <w:tcW w:w="1644" w:type="pct"/>
                  <w:tcBorders>
                    <w:tl2br w:val="nil"/>
                    <w:tr2bl w:val="nil"/>
                  </w:tcBorders>
                  <w:noWrap w:val="0"/>
                  <w:vAlign w:val="center"/>
                </w:tcPr>
                <w:p w14:paraId="64D736ED">
                  <w:pPr>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日平均95百分位数</w:t>
                  </w:r>
                </w:p>
              </w:tc>
              <w:tc>
                <w:tcPr>
                  <w:tcW w:w="642" w:type="pct"/>
                  <w:tcBorders>
                    <w:tl2br w:val="nil"/>
                    <w:tr2bl w:val="nil"/>
                  </w:tcBorders>
                  <w:noWrap w:val="0"/>
                  <w:vAlign w:val="top"/>
                </w:tcPr>
                <w:p w14:paraId="6C456F88">
                  <w:pPr>
                    <w:spacing w:line="240" w:lineRule="auto"/>
                    <w:ind w:firstLine="0" w:firstLineChars="0"/>
                    <w:jc w:val="center"/>
                    <w:rPr>
                      <w:rFonts w:hint="default" w:ascii="Times New Roman" w:hAnsi="Times New Roman" w:eastAsia="宋体" w:cs="Times New Roman"/>
                      <w:color w:val="000000" w:themeColor="text1"/>
                      <w:sz w:val="21"/>
                      <w:szCs w:val="21"/>
                      <w:highlight w:val="none"/>
                      <w:lang w:val="en-US"/>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600</w:t>
                  </w:r>
                </w:p>
              </w:tc>
              <w:tc>
                <w:tcPr>
                  <w:tcW w:w="763" w:type="pct"/>
                  <w:tcBorders>
                    <w:tl2br w:val="nil"/>
                    <w:tr2bl w:val="nil"/>
                  </w:tcBorders>
                  <w:noWrap w:val="0"/>
                  <w:vAlign w:val="center"/>
                </w:tcPr>
                <w:p w14:paraId="4569DCAF">
                  <w:pPr>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4000</w:t>
                  </w:r>
                </w:p>
              </w:tc>
              <w:tc>
                <w:tcPr>
                  <w:tcW w:w="669" w:type="pct"/>
                  <w:tcBorders>
                    <w:tl2br w:val="nil"/>
                    <w:tr2bl w:val="nil"/>
                  </w:tcBorders>
                  <w:noWrap w:val="0"/>
                  <w:vAlign w:val="top"/>
                </w:tcPr>
                <w:p w14:paraId="11985E87">
                  <w:pPr>
                    <w:spacing w:line="240" w:lineRule="auto"/>
                    <w:ind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15</w:t>
                  </w:r>
                </w:p>
              </w:tc>
              <w:tc>
                <w:tcPr>
                  <w:tcW w:w="753" w:type="pct"/>
                  <w:tcBorders>
                    <w:tl2br w:val="nil"/>
                    <w:tr2bl w:val="nil"/>
                  </w:tcBorders>
                  <w:noWrap w:val="0"/>
                  <w:vAlign w:val="center"/>
                </w:tcPr>
                <w:p w14:paraId="69E0223F">
                  <w:pPr>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达标</w:t>
                  </w:r>
                </w:p>
              </w:tc>
            </w:tr>
            <w:tr w14:paraId="29942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526" w:type="pct"/>
                  <w:tcBorders>
                    <w:tl2br w:val="nil"/>
                    <w:tr2bl w:val="nil"/>
                  </w:tcBorders>
                  <w:noWrap w:val="0"/>
                  <w:vAlign w:val="center"/>
                </w:tcPr>
                <w:p w14:paraId="3BE9F673">
                  <w:pPr>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O</w:t>
                  </w:r>
                  <w:r>
                    <w:rPr>
                      <w:rFonts w:hint="default" w:ascii="Times New Roman" w:hAnsi="Times New Roman" w:eastAsia="宋体" w:cs="Times New Roman"/>
                      <w:color w:val="000000" w:themeColor="text1"/>
                      <w:sz w:val="21"/>
                      <w:szCs w:val="21"/>
                      <w:highlight w:val="none"/>
                      <w:vertAlign w:val="subscript"/>
                      <w14:textFill>
                        <w14:solidFill>
                          <w14:schemeClr w14:val="tx1"/>
                        </w14:solidFill>
                      </w14:textFill>
                    </w:rPr>
                    <w:t>3</w:t>
                  </w:r>
                </w:p>
              </w:tc>
              <w:tc>
                <w:tcPr>
                  <w:tcW w:w="1644" w:type="pct"/>
                  <w:tcBorders>
                    <w:tl2br w:val="nil"/>
                    <w:tr2bl w:val="nil"/>
                  </w:tcBorders>
                  <w:noWrap w:val="0"/>
                  <w:vAlign w:val="center"/>
                </w:tcPr>
                <w:p w14:paraId="088C30E9">
                  <w:pPr>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8h最大平均第90百分位数</w:t>
                  </w:r>
                </w:p>
              </w:tc>
              <w:tc>
                <w:tcPr>
                  <w:tcW w:w="642" w:type="pct"/>
                  <w:tcBorders>
                    <w:tl2br w:val="nil"/>
                    <w:tr2bl w:val="nil"/>
                  </w:tcBorders>
                  <w:noWrap w:val="0"/>
                  <w:vAlign w:val="top"/>
                </w:tcPr>
                <w:p w14:paraId="488CAD64">
                  <w:pPr>
                    <w:spacing w:line="240" w:lineRule="auto"/>
                    <w:ind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63</w:t>
                  </w:r>
                </w:p>
              </w:tc>
              <w:tc>
                <w:tcPr>
                  <w:tcW w:w="763" w:type="pct"/>
                  <w:tcBorders>
                    <w:tl2br w:val="nil"/>
                    <w:tr2bl w:val="nil"/>
                  </w:tcBorders>
                  <w:noWrap w:val="0"/>
                  <w:vAlign w:val="center"/>
                </w:tcPr>
                <w:p w14:paraId="4E61E7FE">
                  <w:pPr>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160</w:t>
                  </w:r>
                </w:p>
              </w:tc>
              <w:tc>
                <w:tcPr>
                  <w:tcW w:w="669" w:type="pct"/>
                  <w:tcBorders>
                    <w:tl2br w:val="nil"/>
                    <w:tr2bl w:val="nil"/>
                  </w:tcBorders>
                  <w:noWrap w:val="0"/>
                  <w:vAlign w:val="top"/>
                </w:tcPr>
                <w:p w14:paraId="46852EBE">
                  <w:pPr>
                    <w:spacing w:line="240" w:lineRule="auto"/>
                    <w:ind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39.4</w:t>
                  </w:r>
                </w:p>
              </w:tc>
              <w:tc>
                <w:tcPr>
                  <w:tcW w:w="753" w:type="pct"/>
                  <w:tcBorders>
                    <w:tl2br w:val="nil"/>
                    <w:tr2bl w:val="nil"/>
                  </w:tcBorders>
                  <w:noWrap w:val="0"/>
                  <w:vAlign w:val="center"/>
                </w:tcPr>
                <w:p w14:paraId="696E02B4">
                  <w:pPr>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达标</w:t>
                  </w:r>
                </w:p>
              </w:tc>
            </w:tr>
          </w:tbl>
          <w:p w14:paraId="761AF1CB">
            <w:pPr>
              <w:pStyle w:val="31"/>
              <w:bidi w:val="0"/>
              <w:rPr>
                <w:rFonts w:hint="default" w:ascii="Times New Roman" w:hAnsi="Times New Roman" w:cs="Times New Roman"/>
                <w:color w:val="000000" w:themeColor="text1"/>
                <w:kern w:val="0"/>
                <w:highlight w:val="none"/>
                <w:lang w:bidi="ar"/>
                <w14:textFill>
                  <w14:solidFill>
                    <w14:schemeClr w14:val="tx1"/>
                  </w14:solidFill>
                </w14:textFill>
              </w:rPr>
            </w:pPr>
            <w:r>
              <w:rPr>
                <w:color w:val="000000" w:themeColor="text1"/>
                <w:sz w:val="24"/>
                <w:szCs w:val="32"/>
                <w:highlight w:val="none"/>
                <w14:textFill>
                  <w14:solidFill>
                    <w14:schemeClr w14:val="tx1"/>
                  </w14:solidFill>
                </w14:textFill>
              </w:rPr>
              <w:t>由上表可知，项目所在区域SO</w:t>
            </w:r>
            <w:r>
              <w:rPr>
                <w:color w:val="000000" w:themeColor="text1"/>
                <w:sz w:val="24"/>
                <w:szCs w:val="32"/>
                <w:highlight w:val="none"/>
                <w:vertAlign w:val="subscript"/>
                <w14:textFill>
                  <w14:solidFill>
                    <w14:schemeClr w14:val="tx1"/>
                  </w14:solidFill>
                </w14:textFill>
              </w:rPr>
              <w:t>2</w:t>
            </w:r>
            <w:r>
              <w:rPr>
                <w:color w:val="000000" w:themeColor="text1"/>
                <w:sz w:val="24"/>
                <w:szCs w:val="32"/>
                <w:highlight w:val="none"/>
                <w14:textFill>
                  <w14:solidFill>
                    <w14:schemeClr w14:val="tx1"/>
                  </w14:solidFill>
                </w14:textFill>
              </w:rPr>
              <w:t>、NO</w:t>
            </w:r>
            <w:r>
              <w:rPr>
                <w:color w:val="000000" w:themeColor="text1"/>
                <w:sz w:val="24"/>
                <w:szCs w:val="32"/>
                <w:highlight w:val="none"/>
                <w:vertAlign w:val="subscript"/>
                <w14:textFill>
                  <w14:solidFill>
                    <w14:schemeClr w14:val="tx1"/>
                  </w14:solidFill>
                </w14:textFill>
              </w:rPr>
              <w:t>2</w:t>
            </w:r>
            <w:r>
              <w:rPr>
                <w:color w:val="000000" w:themeColor="text1"/>
                <w:sz w:val="24"/>
                <w:szCs w:val="32"/>
                <w:highlight w:val="none"/>
                <w14:textFill>
                  <w14:solidFill>
                    <w14:schemeClr w14:val="tx1"/>
                  </w14:solidFill>
                </w14:textFill>
              </w:rPr>
              <w:t>的年均浓度和</w:t>
            </w:r>
            <w:r>
              <w:rPr>
                <w:color w:val="000000" w:themeColor="text1"/>
                <w:sz w:val="24"/>
                <w:highlight w:val="none"/>
                <w14:textFill>
                  <w14:solidFill>
                    <w14:schemeClr w14:val="tx1"/>
                  </w14:solidFill>
                </w14:textFill>
              </w:rPr>
              <w:t>CO的95百分位24小时平均、O</w:t>
            </w:r>
            <w:r>
              <w:rPr>
                <w:color w:val="000000" w:themeColor="text1"/>
                <w:sz w:val="24"/>
                <w:highlight w:val="none"/>
                <w:vertAlign w:val="subscript"/>
                <w14:textFill>
                  <w14:solidFill>
                    <w14:schemeClr w14:val="tx1"/>
                  </w14:solidFill>
                </w14:textFill>
              </w:rPr>
              <w:t>3</w:t>
            </w:r>
            <w:r>
              <w:rPr>
                <w:color w:val="000000" w:themeColor="text1"/>
                <w:sz w:val="24"/>
                <w:highlight w:val="none"/>
                <w14:textFill>
                  <w14:solidFill>
                    <w14:schemeClr w14:val="tx1"/>
                  </w14:solidFill>
                </w14:textFill>
              </w:rPr>
              <w:t>的90百分位8小时平均浓度</w:t>
            </w:r>
            <w:r>
              <w:rPr>
                <w:color w:val="000000" w:themeColor="text1"/>
                <w:sz w:val="24"/>
                <w:szCs w:val="32"/>
                <w:highlight w:val="none"/>
                <w14:textFill>
                  <w14:solidFill>
                    <w14:schemeClr w14:val="tx1"/>
                  </w14:solidFill>
                </w14:textFill>
              </w:rPr>
              <w:t>均</w:t>
            </w:r>
            <w:r>
              <w:rPr>
                <w:rFonts w:hint="eastAsia"/>
                <w:color w:val="000000" w:themeColor="text1"/>
                <w:kern w:val="0"/>
                <w:sz w:val="24"/>
                <w:highlight w:val="none"/>
                <w14:textFill>
                  <w14:solidFill>
                    <w14:schemeClr w14:val="tx1"/>
                  </w14:solidFill>
                </w14:textFill>
              </w:rPr>
              <w:t>满足</w:t>
            </w:r>
            <w:r>
              <w:rPr>
                <w:rFonts w:hint="default" w:ascii="Times New Roman" w:hAnsi="Times New Roman" w:eastAsia="宋体" w:cs="Times New Roman"/>
                <w:color w:val="000000" w:themeColor="text1"/>
                <w:kern w:val="21"/>
                <w:sz w:val="24"/>
                <w:lang w:val="en-US" w:eastAsia="zh-CN"/>
                <w14:textFill>
                  <w14:solidFill>
                    <w14:schemeClr w14:val="tx1"/>
                  </w14:solidFill>
                </w14:textFill>
              </w:rPr>
              <w:t>《环境空气质量标准》（GB3095-20</w:t>
            </w:r>
            <w:r>
              <w:rPr>
                <w:rFonts w:hint="eastAsia" w:cs="Times New Roman"/>
                <w:color w:val="000000" w:themeColor="text1"/>
                <w:kern w:val="21"/>
                <w:sz w:val="24"/>
                <w:lang w:val="en-US" w:eastAsia="zh-CN"/>
                <w14:textFill>
                  <w14:solidFill>
                    <w14:schemeClr w14:val="tx1"/>
                  </w14:solidFill>
                </w14:textFill>
              </w:rPr>
              <w:t>26</w:t>
            </w:r>
            <w:r>
              <w:rPr>
                <w:rFonts w:hint="default" w:ascii="Times New Roman" w:hAnsi="Times New Roman" w:eastAsia="宋体" w:cs="Times New Roman"/>
                <w:color w:val="000000" w:themeColor="text1"/>
                <w:kern w:val="21"/>
                <w:sz w:val="24"/>
                <w:lang w:val="en-US" w:eastAsia="zh-CN"/>
                <w14:textFill>
                  <w14:solidFill>
                    <w14:schemeClr w14:val="tx1"/>
                  </w14:solidFill>
                </w14:textFill>
              </w:rPr>
              <w:t>）中的过渡阶段</w:t>
            </w:r>
            <w:r>
              <w:rPr>
                <w:rFonts w:hint="eastAsia" w:cs="Times New Roman"/>
                <w:color w:val="000000" w:themeColor="text1"/>
                <w:kern w:val="21"/>
                <w:sz w:val="24"/>
                <w:lang w:val="en-US" w:eastAsia="zh-CN"/>
                <w14:textFill>
                  <w14:solidFill>
                    <w14:schemeClr w14:val="tx1"/>
                  </w14:solidFill>
                </w14:textFill>
              </w:rPr>
              <w:t>－</w:t>
            </w:r>
            <w:r>
              <w:rPr>
                <w:rFonts w:hint="default" w:ascii="Times New Roman" w:hAnsi="Times New Roman" w:eastAsia="宋体" w:cs="Times New Roman"/>
                <w:color w:val="000000" w:themeColor="text1"/>
                <w:kern w:val="21"/>
                <w:sz w:val="24"/>
                <w:lang w:val="en-US" w:eastAsia="zh-CN"/>
                <w14:textFill>
                  <w14:solidFill>
                    <w14:schemeClr w14:val="tx1"/>
                  </w14:solidFill>
                </w14:textFill>
              </w:rPr>
              <w:t>二级</w:t>
            </w:r>
            <w:r>
              <w:rPr>
                <w:rFonts w:hint="eastAsia" w:ascii="Times New Roman" w:hAnsi="Times New Roman" w:eastAsia="宋体" w:cs="Times New Roman"/>
                <w:color w:val="000000" w:themeColor="text1"/>
                <w:kern w:val="21"/>
                <w:sz w:val="24"/>
                <w:lang w:val="en-US" w:eastAsia="zh-CN"/>
                <w14:textFill>
                  <w14:solidFill>
                    <w14:schemeClr w14:val="tx1"/>
                  </w14:solidFill>
                </w14:textFill>
              </w:rPr>
              <w:t>标准</w:t>
            </w:r>
            <w:r>
              <w:rPr>
                <w:rFonts w:hint="default" w:ascii="Times New Roman" w:hAnsi="Times New Roman" w:eastAsia="宋体" w:cs="Times New Roman"/>
                <w:color w:val="000000" w:themeColor="text1"/>
                <w:kern w:val="21"/>
                <w:sz w:val="24"/>
                <w:lang w:val="en-US" w:eastAsia="zh-CN"/>
                <w14:textFill>
                  <w14:solidFill>
                    <w14:schemeClr w14:val="tx1"/>
                  </w14:solidFill>
                </w14:textFill>
              </w:rPr>
              <w:t>浓度限值</w:t>
            </w:r>
            <w:r>
              <w:rPr>
                <w:rFonts w:hint="eastAsia" w:ascii="Times New Roman" w:hAnsi="Times New Roman" w:eastAsia="宋体" w:cs="Times New Roman"/>
                <w:color w:val="000000" w:themeColor="text1"/>
                <w:kern w:val="21"/>
                <w:sz w:val="24"/>
                <w:lang w:val="en-US" w:eastAsia="zh-CN"/>
                <w14:textFill>
                  <w14:solidFill>
                    <w14:schemeClr w14:val="tx1"/>
                  </w14:solidFill>
                </w14:textFill>
              </w:rPr>
              <w:t>；</w:t>
            </w:r>
            <w:r>
              <w:rPr>
                <w:rFonts w:hint="default" w:ascii="Times New Roman" w:hAnsi="Times New Roman" w:eastAsia="宋体" w:cs="Times New Roman"/>
                <w:color w:val="000000" w:themeColor="text1"/>
                <w:kern w:val="21"/>
                <w:sz w:val="24"/>
                <w:lang w:val="en-US" w:eastAsia="zh-CN"/>
                <w14:textFill>
                  <w14:solidFill>
                    <w14:schemeClr w14:val="tx1"/>
                  </w14:solidFill>
                </w14:textFill>
              </w:rPr>
              <w:t>PM</w:t>
            </w:r>
            <w:r>
              <w:rPr>
                <w:rFonts w:hint="default" w:ascii="Times New Roman" w:hAnsi="Times New Roman" w:eastAsia="宋体" w:cs="Times New Roman"/>
                <w:color w:val="000000" w:themeColor="text1"/>
                <w:kern w:val="21"/>
                <w:sz w:val="24"/>
                <w:vertAlign w:val="subscript"/>
                <w:lang w:val="en-US" w:eastAsia="zh-CN"/>
                <w14:textFill>
                  <w14:solidFill>
                    <w14:schemeClr w14:val="tx1"/>
                  </w14:solidFill>
                </w14:textFill>
              </w:rPr>
              <w:t>10</w:t>
            </w:r>
            <w:r>
              <w:rPr>
                <w:rFonts w:hint="eastAsia" w:ascii="Times New Roman" w:hAnsi="Times New Roman" w:eastAsia="宋体" w:cs="Times New Roman"/>
                <w:color w:val="000000" w:themeColor="text1"/>
                <w:kern w:val="21"/>
                <w:sz w:val="24"/>
                <w:lang w:val="en-US" w:eastAsia="zh-CN"/>
                <w14:textFill>
                  <w14:solidFill>
                    <w14:schemeClr w14:val="tx1"/>
                  </w14:solidFill>
                </w14:textFill>
              </w:rPr>
              <w:t>、</w:t>
            </w:r>
            <w:r>
              <w:rPr>
                <w:rFonts w:hint="default" w:ascii="Times New Roman" w:hAnsi="Times New Roman" w:eastAsia="宋体" w:cs="Times New Roman"/>
                <w:color w:val="000000" w:themeColor="text1"/>
                <w:kern w:val="21"/>
                <w:sz w:val="24"/>
                <w:lang w:val="en-US" w:eastAsia="zh-CN"/>
                <w14:textFill>
                  <w14:solidFill>
                    <w14:schemeClr w14:val="tx1"/>
                  </w14:solidFill>
                </w14:textFill>
              </w:rPr>
              <w:t>PM</w:t>
            </w:r>
            <w:r>
              <w:rPr>
                <w:rFonts w:hint="default" w:ascii="Times New Roman" w:hAnsi="Times New Roman" w:eastAsia="宋体" w:cs="Times New Roman"/>
                <w:color w:val="000000" w:themeColor="text1"/>
                <w:kern w:val="21"/>
                <w:sz w:val="24"/>
                <w:vertAlign w:val="subscript"/>
                <w:lang w:val="en-US" w:eastAsia="zh-CN"/>
                <w14:textFill>
                  <w14:solidFill>
                    <w14:schemeClr w14:val="tx1"/>
                  </w14:solidFill>
                </w14:textFill>
              </w:rPr>
              <w:t>2.5</w:t>
            </w:r>
            <w:r>
              <w:rPr>
                <w:rFonts w:ascii="宋体" w:hAnsi="宋体" w:eastAsia="宋体" w:cs="宋体"/>
                <w:color w:val="000000" w:themeColor="text1"/>
                <w:sz w:val="24"/>
                <w:szCs w:val="24"/>
                <w14:textFill>
                  <w14:solidFill>
                    <w14:schemeClr w14:val="tx1"/>
                  </w14:solidFill>
                </w14:textFill>
              </w:rPr>
              <w:t>的年均浓度超过《环境空气质量标准》（</w:t>
            </w:r>
            <w:r>
              <w:rPr>
                <w:rFonts w:hint="default" w:ascii="Times New Roman" w:hAnsi="Times New Roman" w:eastAsia="宋体" w:cs="Times New Roman"/>
                <w:color w:val="000000" w:themeColor="text1"/>
                <w:kern w:val="21"/>
                <w:sz w:val="24"/>
                <w:lang w:val="en-US" w:eastAsia="zh-CN"/>
                <w14:textFill>
                  <w14:solidFill>
                    <w14:schemeClr w14:val="tx1"/>
                  </w14:solidFill>
                </w14:textFill>
              </w:rPr>
              <w:t>GB3095-2026）</w:t>
            </w:r>
            <w:r>
              <w:rPr>
                <w:rFonts w:ascii="宋体" w:hAnsi="宋体" w:eastAsia="宋体" w:cs="宋体"/>
                <w:color w:val="000000" w:themeColor="text1"/>
                <w:sz w:val="24"/>
                <w:szCs w:val="24"/>
                <w14:textFill>
                  <w14:solidFill>
                    <w14:schemeClr w14:val="tx1"/>
                  </w14:solidFill>
                </w14:textFill>
              </w:rPr>
              <w:t>的</w:t>
            </w:r>
            <w:r>
              <w:rPr>
                <w:rFonts w:hint="default" w:ascii="Times New Roman" w:hAnsi="Times New Roman" w:eastAsia="宋体" w:cs="Times New Roman"/>
                <w:color w:val="000000" w:themeColor="text1"/>
                <w:kern w:val="21"/>
                <w:sz w:val="24"/>
                <w:lang w:val="en-US" w:eastAsia="zh-CN"/>
                <w14:textFill>
                  <w14:solidFill>
                    <w14:schemeClr w14:val="tx1"/>
                  </w14:solidFill>
                </w14:textFill>
              </w:rPr>
              <w:t>过渡阶段</w:t>
            </w:r>
            <w:r>
              <w:rPr>
                <w:rFonts w:hint="eastAsia" w:cs="Times New Roman"/>
                <w:color w:val="000000" w:themeColor="text1"/>
                <w:kern w:val="21"/>
                <w:sz w:val="24"/>
                <w:lang w:val="en-US" w:eastAsia="zh-CN"/>
                <w14:textFill>
                  <w14:solidFill>
                    <w14:schemeClr w14:val="tx1"/>
                  </w14:solidFill>
                </w14:textFill>
              </w:rPr>
              <w:t>－</w:t>
            </w:r>
            <w:r>
              <w:rPr>
                <w:rFonts w:hint="default" w:ascii="Times New Roman" w:hAnsi="Times New Roman" w:eastAsia="宋体" w:cs="Times New Roman"/>
                <w:color w:val="000000" w:themeColor="text1"/>
                <w:kern w:val="21"/>
                <w:sz w:val="24"/>
                <w:lang w:val="en-US" w:eastAsia="zh-CN"/>
                <w14:textFill>
                  <w14:solidFill>
                    <w14:schemeClr w14:val="tx1"/>
                  </w14:solidFill>
                </w14:textFill>
              </w:rPr>
              <w:t>二级</w:t>
            </w:r>
            <w:r>
              <w:rPr>
                <w:rFonts w:hint="eastAsia" w:ascii="Times New Roman" w:hAnsi="Times New Roman" w:eastAsia="宋体" w:cs="Times New Roman"/>
                <w:color w:val="000000" w:themeColor="text1"/>
                <w:kern w:val="21"/>
                <w:sz w:val="24"/>
                <w:lang w:val="en-US" w:eastAsia="zh-CN"/>
                <w14:textFill>
                  <w14:solidFill>
                    <w14:schemeClr w14:val="tx1"/>
                  </w14:solidFill>
                </w14:textFill>
              </w:rPr>
              <w:t>标准</w:t>
            </w:r>
            <w:r>
              <w:rPr>
                <w:rFonts w:hint="default" w:ascii="Times New Roman" w:hAnsi="Times New Roman" w:eastAsia="宋体" w:cs="Times New Roman"/>
                <w:color w:val="000000" w:themeColor="text1"/>
                <w:kern w:val="21"/>
                <w:sz w:val="24"/>
                <w:lang w:val="en-US" w:eastAsia="zh-CN"/>
                <w14:textFill>
                  <w14:solidFill>
                    <w14:schemeClr w14:val="tx1"/>
                  </w14:solidFill>
                </w14:textFill>
              </w:rPr>
              <w:t>浓度限值</w:t>
            </w:r>
            <w:r>
              <w:rPr>
                <w:rFonts w:ascii="宋体" w:hAnsi="宋体" w:eastAsia="宋体" w:cs="宋体"/>
                <w:color w:val="000000" w:themeColor="text1"/>
                <w:sz w:val="24"/>
                <w:szCs w:val="24"/>
                <w14:textFill>
                  <w14:solidFill>
                    <w14:schemeClr w14:val="tx1"/>
                  </w14:solidFill>
                </w14:textFill>
              </w:rPr>
              <w:t>要求</w:t>
            </w:r>
            <w:r>
              <w:rPr>
                <w:rFonts w:hint="eastAsia" w:ascii="宋体" w:hAnsi="宋体" w:eastAsia="宋体" w:cs="宋体"/>
                <w:color w:val="000000" w:themeColor="text1"/>
                <w:sz w:val="24"/>
                <w:szCs w:val="24"/>
                <w:lang w:eastAsia="zh-CN"/>
                <w14:textFill>
                  <w14:solidFill>
                    <w14:schemeClr w14:val="tx1"/>
                  </w14:solidFill>
                </w14:textFill>
              </w:rPr>
              <w:t>。</w:t>
            </w:r>
            <w:r>
              <w:rPr>
                <w:color w:val="000000" w:themeColor="text1"/>
                <w:sz w:val="24"/>
                <w:szCs w:val="32"/>
                <w:highlight w:val="none"/>
                <w14:textFill>
                  <w14:solidFill>
                    <w14:schemeClr w14:val="tx1"/>
                  </w14:solidFill>
                </w14:textFill>
              </w:rPr>
              <w:t>因此，本项目所在区域为</w:t>
            </w:r>
            <w:r>
              <w:rPr>
                <w:rFonts w:hint="eastAsia"/>
                <w:color w:val="000000" w:themeColor="text1"/>
                <w:sz w:val="24"/>
                <w:szCs w:val="32"/>
                <w:highlight w:val="none"/>
                <w:lang w:val="en-US" w:eastAsia="zh-CN"/>
                <w14:textFill>
                  <w14:solidFill>
                    <w14:schemeClr w14:val="tx1"/>
                  </w14:solidFill>
                </w14:textFill>
              </w:rPr>
              <w:t>环境</w:t>
            </w:r>
            <w:r>
              <w:rPr>
                <w:rFonts w:hint="eastAsia" w:ascii="Times New Roman" w:hAnsi="Times New Roman" w:eastAsia="宋体" w:cs="Times New Roman"/>
                <w:color w:val="000000" w:themeColor="text1"/>
                <w:kern w:val="21"/>
                <w:sz w:val="24"/>
                <w:lang w:val="en-US" w:eastAsia="zh-CN"/>
                <w14:textFill>
                  <w14:solidFill>
                    <w14:schemeClr w14:val="tx1"/>
                  </w14:solidFill>
                </w14:textFill>
              </w:rPr>
              <w:t>空气质量不</w:t>
            </w:r>
            <w:r>
              <w:rPr>
                <w:color w:val="000000" w:themeColor="text1"/>
                <w:sz w:val="24"/>
                <w:szCs w:val="32"/>
                <w:highlight w:val="none"/>
                <w14:textFill>
                  <w14:solidFill>
                    <w14:schemeClr w14:val="tx1"/>
                  </w14:solidFill>
                </w14:textFill>
              </w:rPr>
              <w:t>达标区域</w:t>
            </w:r>
            <w:r>
              <w:rPr>
                <w:rFonts w:hint="default" w:ascii="Times New Roman" w:hAnsi="Times New Roman" w:cs="Times New Roman"/>
                <w:color w:val="000000" w:themeColor="text1"/>
                <w:kern w:val="0"/>
                <w:highlight w:val="none"/>
                <w:lang w:bidi="zh-CN"/>
                <w14:textFill>
                  <w14:solidFill>
                    <w14:schemeClr w14:val="tx1"/>
                  </w14:solidFill>
                </w14:textFill>
              </w:rPr>
              <w:t>。</w:t>
            </w:r>
          </w:p>
          <w:p w14:paraId="1881EA93">
            <w:pPr>
              <w:pStyle w:val="3"/>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2、</w:t>
            </w:r>
            <w:r>
              <w:rPr>
                <w:rFonts w:hint="default" w:ascii="Times New Roman" w:hAnsi="Times New Roman" w:cs="Times New Roman"/>
                <w:color w:val="000000" w:themeColor="text1"/>
                <w:highlight w:val="none"/>
                <w:lang w:val="en-US" w:eastAsia="zh-CN"/>
                <w14:textFill>
                  <w14:solidFill>
                    <w14:schemeClr w14:val="tx1"/>
                  </w14:solidFill>
                </w14:textFill>
              </w:rPr>
              <w:t>地表</w:t>
            </w:r>
            <w:r>
              <w:rPr>
                <w:rFonts w:hint="default" w:ascii="Times New Roman" w:hAnsi="Times New Roman" w:cs="Times New Roman"/>
                <w:color w:val="000000" w:themeColor="text1"/>
                <w:highlight w:val="none"/>
                <w14:textFill>
                  <w14:solidFill>
                    <w14:schemeClr w14:val="tx1"/>
                  </w14:solidFill>
                </w14:textFill>
              </w:rPr>
              <w:t>水环境质量现状</w:t>
            </w:r>
          </w:p>
          <w:p w14:paraId="6D9C367E">
            <w:pPr>
              <w:pStyle w:val="31"/>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本项目评价范围内无地表水，</w:t>
            </w:r>
            <w:r>
              <w:rPr>
                <w:rFonts w:hint="default" w:ascii="Times New Roman" w:hAnsi="Times New Roman" w:cs="Times New Roman"/>
                <w:color w:val="000000" w:themeColor="text1"/>
                <w:highlight w:val="none"/>
                <w14:textFill>
                  <w14:solidFill>
                    <w14:schemeClr w14:val="tx1"/>
                  </w14:solidFill>
                </w14:textFill>
              </w:rPr>
              <w:t>本项目与地表水没有直接的水力联系，本项目运营期不会对区域地表水产生影响</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故</w:t>
            </w:r>
            <w:r>
              <w:rPr>
                <w:rFonts w:hint="default" w:ascii="Times New Roman" w:hAnsi="Times New Roman" w:cs="Times New Roman"/>
                <w:color w:val="000000" w:themeColor="text1"/>
                <w:highlight w:val="none"/>
                <w:lang w:val="en-US" w:eastAsia="zh-CN"/>
                <w14:textFill>
                  <w14:solidFill>
                    <w14:schemeClr w14:val="tx1"/>
                  </w14:solidFill>
                </w14:textFill>
              </w:rPr>
              <w:t>本项目</w:t>
            </w:r>
            <w:r>
              <w:rPr>
                <w:rFonts w:hint="default" w:ascii="Times New Roman" w:hAnsi="Times New Roman" w:cs="Times New Roman"/>
                <w:color w:val="000000" w:themeColor="text1"/>
                <w:highlight w:val="none"/>
                <w14:textFill>
                  <w14:solidFill>
                    <w14:schemeClr w14:val="tx1"/>
                  </w14:solidFill>
                </w14:textFill>
              </w:rPr>
              <w:t>不开展</w:t>
            </w:r>
            <w:r>
              <w:rPr>
                <w:rFonts w:hint="default" w:ascii="Times New Roman" w:hAnsi="Times New Roman" w:cs="Times New Roman"/>
                <w:color w:val="000000" w:themeColor="text1"/>
                <w:highlight w:val="none"/>
                <w:lang w:val="en-US" w:eastAsia="zh-CN"/>
                <w14:textFill>
                  <w14:solidFill>
                    <w14:schemeClr w14:val="tx1"/>
                  </w14:solidFill>
                </w14:textFill>
              </w:rPr>
              <w:t>地表水</w:t>
            </w:r>
            <w:r>
              <w:rPr>
                <w:rFonts w:hint="default" w:ascii="Times New Roman" w:hAnsi="Times New Roman" w:cs="Times New Roman"/>
                <w:color w:val="000000" w:themeColor="text1"/>
                <w:highlight w:val="none"/>
                <w14:textFill>
                  <w14:solidFill>
                    <w14:schemeClr w14:val="tx1"/>
                  </w14:solidFill>
                </w14:textFill>
              </w:rPr>
              <w:t>环境质量现状评价。</w:t>
            </w:r>
          </w:p>
          <w:p w14:paraId="10C30731">
            <w:pPr>
              <w:pStyle w:val="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3.3、地下水及土壤环境</w:t>
            </w:r>
          </w:p>
          <w:p w14:paraId="6DFAD3F0">
            <w:pPr>
              <w:pStyle w:val="31"/>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根据《建设项目环境影响报告表编制技术指南</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污染影响类</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（试行</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环办环评〔2020〕33号</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规定，</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原则上不开展环境质量现状调查。建设项目存在土壤、地下水环境污染途径的，应结合污染源、保护目标分布情况开展现状调查以留作背景值</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。本项目租赁</w:t>
            </w:r>
            <w:r>
              <w:rPr>
                <w:rFonts w:hint="eastAsia" w:cs="Times New Roman"/>
                <w:color w:val="000000" w:themeColor="text1"/>
                <w:highlight w:val="none"/>
                <w:lang w:val="en-US" w:eastAsia="zh-CN"/>
                <w14:textFill>
                  <w14:solidFill>
                    <w14:schemeClr w14:val="tx1"/>
                  </w14:solidFill>
                </w14:textFill>
              </w:rPr>
              <w:t>闲置</w:t>
            </w:r>
            <w:r>
              <w:rPr>
                <w:rFonts w:hint="default" w:ascii="Times New Roman" w:hAnsi="Times New Roman" w:cs="Times New Roman"/>
                <w:color w:val="000000" w:themeColor="text1"/>
                <w:highlight w:val="none"/>
                <w14:textFill>
                  <w14:solidFill>
                    <w14:schemeClr w14:val="tx1"/>
                  </w14:solidFill>
                </w14:textFill>
              </w:rPr>
              <w:t>商铺</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地面已全部硬化，运营过</w:t>
            </w:r>
            <w:r>
              <w:rPr>
                <w:rFonts w:hint="eastAsia" w:cs="Times New Roman"/>
                <w:color w:val="000000" w:themeColor="text1"/>
                <w:highlight w:val="none"/>
                <w:lang w:eastAsia="zh-CN"/>
                <w14:textFill>
                  <w14:solidFill>
                    <w14:schemeClr w14:val="tx1"/>
                  </w14:solidFill>
                </w14:textFill>
              </w:rPr>
              <w:t>程中</w:t>
            </w:r>
            <w:r>
              <w:rPr>
                <w:rFonts w:hint="default" w:ascii="Times New Roman" w:hAnsi="Times New Roman" w:cs="Times New Roman"/>
                <w:color w:val="000000" w:themeColor="text1"/>
                <w:highlight w:val="none"/>
                <w14:textFill>
                  <w14:solidFill>
                    <w14:schemeClr w14:val="tx1"/>
                  </w14:solidFill>
                </w14:textFill>
              </w:rPr>
              <w:t>不会影响土壤和地下水环境，原则上不开展地下水、土壤环境质量现状调查。</w:t>
            </w:r>
          </w:p>
          <w:p w14:paraId="5784DB62">
            <w:pPr>
              <w:pStyle w:val="3"/>
              <w:bidi w:val="0"/>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3.4</w:t>
            </w:r>
            <w:r>
              <w:rPr>
                <w:rFonts w:hint="default" w:ascii="Times New Roman" w:hAnsi="Times New Roman" w:cs="Times New Roman"/>
                <w:color w:val="000000" w:themeColor="text1"/>
                <w:highlight w:val="none"/>
                <w:lang w:eastAsia="zh-CN"/>
                <w14:textFill>
                  <w14:solidFill>
                    <w14:schemeClr w14:val="tx1"/>
                  </w14:solidFill>
                </w14:textFill>
              </w:rPr>
              <w:t>、声环境质量现状</w:t>
            </w:r>
          </w:p>
          <w:p w14:paraId="3C888EB9">
            <w:pPr>
              <w:pStyle w:val="4"/>
              <w:bidi w:val="0"/>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3.4</w:t>
            </w:r>
            <w:r>
              <w:rPr>
                <w:rFonts w:hint="default" w:ascii="Times New Roman" w:hAnsi="Times New Roman" w:cs="Times New Roman"/>
                <w:color w:val="000000" w:themeColor="text1"/>
                <w:highlight w:val="none"/>
                <w:lang w:eastAsia="zh-CN"/>
                <w14:textFill>
                  <w14:solidFill>
                    <w14:schemeClr w14:val="tx1"/>
                  </w14:solidFill>
                </w14:textFill>
              </w:rPr>
              <w:t>.1监测布点</w:t>
            </w:r>
          </w:p>
          <w:p w14:paraId="0FE68F5A">
            <w:pPr>
              <w:pStyle w:val="31"/>
              <w:bidi w:val="0"/>
              <w:rPr>
                <w:rFonts w:hint="default" w:ascii="Times New Roman" w:hAnsi="Times New Roman" w:cs="Times New Roman"/>
                <w:color w:val="000000" w:themeColor="text1"/>
                <w:highlight w:val="yellow"/>
                <w:lang w:eastAsia="zh-CN"/>
                <w14:textFill>
                  <w14:solidFill>
                    <w14:schemeClr w14:val="tx1"/>
                  </w14:solidFill>
                </w14:textFill>
              </w:rPr>
            </w:pPr>
            <w:r>
              <w:rPr>
                <w:color w:val="auto"/>
              </w:rPr>
              <w:t>新疆坤元检测科技</w:t>
            </w:r>
            <w:r>
              <w:rPr>
                <w:color w:val="auto"/>
                <w:lang w:eastAsia="zh-CN"/>
              </w:rPr>
              <w:t>于</w:t>
            </w:r>
            <w:r>
              <w:rPr>
                <w:rFonts w:hint="default" w:ascii="Times New Roman" w:hAnsi="Times New Roman" w:cs="Times New Roman"/>
                <w:color w:val="000000" w:themeColor="text1"/>
                <w:highlight w:val="none"/>
                <w:lang w:eastAsia="zh-CN"/>
                <w14:textFill>
                  <w14:solidFill>
                    <w14:schemeClr w14:val="tx1"/>
                  </w14:solidFill>
                </w14:textFill>
              </w:rPr>
              <w:t>202</w:t>
            </w:r>
            <w:r>
              <w:rPr>
                <w:rFonts w:hint="eastAsia" w:cs="Times New Roman"/>
                <w:color w:val="000000" w:themeColor="text1"/>
                <w:highlight w:val="none"/>
                <w:lang w:val="en-US" w:eastAsia="zh-CN"/>
                <w14:textFill>
                  <w14:solidFill>
                    <w14:schemeClr w14:val="tx1"/>
                  </w14:solidFill>
                </w14:textFill>
              </w:rPr>
              <w:t>6</w:t>
            </w:r>
            <w:r>
              <w:rPr>
                <w:rFonts w:hint="default" w:ascii="Times New Roman" w:hAnsi="Times New Roman" w:cs="Times New Roman"/>
                <w:color w:val="000000" w:themeColor="text1"/>
                <w:highlight w:val="none"/>
                <w:lang w:eastAsia="zh-CN"/>
                <w14:textFill>
                  <w14:solidFill>
                    <w14:schemeClr w14:val="tx1"/>
                  </w14:solidFill>
                </w14:textFill>
              </w:rPr>
              <w:t>年</w:t>
            </w:r>
            <w:r>
              <w:rPr>
                <w:rFonts w:hint="eastAsia" w:cs="Times New Roman"/>
                <w:color w:val="000000" w:themeColor="text1"/>
                <w:highlight w:val="none"/>
                <w:lang w:val="en-US" w:eastAsia="zh-CN"/>
                <w14:textFill>
                  <w14:solidFill>
                    <w14:schemeClr w14:val="tx1"/>
                  </w14:solidFill>
                </w14:textFill>
              </w:rPr>
              <w:t>9</w:t>
            </w:r>
            <w:r>
              <w:rPr>
                <w:rFonts w:hint="default" w:ascii="Times New Roman" w:hAnsi="Times New Roman" w:cs="Times New Roman"/>
                <w:color w:val="000000" w:themeColor="text1"/>
                <w:highlight w:val="none"/>
                <w:lang w:eastAsia="zh-CN"/>
                <w14:textFill>
                  <w14:solidFill>
                    <w14:schemeClr w14:val="tx1"/>
                  </w14:solidFill>
                </w14:textFill>
              </w:rPr>
              <w:t>月</w:t>
            </w:r>
            <w:r>
              <w:rPr>
                <w:rFonts w:hint="eastAsia" w:cs="Times New Roman"/>
                <w:color w:val="000000" w:themeColor="text1"/>
                <w:highlight w:val="none"/>
                <w:lang w:val="en-US" w:eastAsia="zh-CN"/>
                <w14:textFill>
                  <w14:solidFill>
                    <w14:schemeClr w14:val="tx1"/>
                  </w14:solidFill>
                </w14:textFill>
              </w:rPr>
              <w:t>23</w:t>
            </w:r>
            <w:r>
              <w:rPr>
                <w:rFonts w:hint="default" w:ascii="Times New Roman" w:hAnsi="Times New Roman" w:cs="Times New Roman"/>
                <w:color w:val="000000" w:themeColor="text1"/>
                <w:highlight w:val="none"/>
                <w:lang w:eastAsia="zh-CN"/>
                <w14:textFill>
                  <w14:solidFill>
                    <w14:schemeClr w14:val="tx1"/>
                  </w14:solidFill>
                </w14:textFill>
              </w:rPr>
              <w:t>日</w:t>
            </w:r>
            <w:r>
              <w:rPr>
                <w:rFonts w:hint="eastAsia" w:cs="Times New Roman"/>
                <w:color w:val="000000" w:themeColor="text1"/>
                <w:highlight w:val="none"/>
                <w:lang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2026年9月24日</w:t>
            </w:r>
            <w:r>
              <w:rPr>
                <w:rFonts w:hint="default" w:ascii="Times New Roman" w:hAnsi="Times New Roman" w:cs="Times New Roman"/>
                <w:color w:val="000000" w:themeColor="text1"/>
                <w:highlight w:val="none"/>
                <w:lang w:eastAsia="zh-CN"/>
                <w14:textFill>
                  <w14:solidFill>
                    <w14:schemeClr w14:val="tx1"/>
                  </w14:solidFill>
                </w14:textFill>
              </w:rPr>
              <w:t>对</w:t>
            </w:r>
            <w:r>
              <w:rPr>
                <w:rFonts w:hint="default" w:ascii="Times New Roman" w:hAnsi="Times New Roman" w:cs="Times New Roman"/>
                <w:color w:val="000000" w:themeColor="text1"/>
                <w:highlight w:val="none"/>
                <w:lang w:val="en-US" w:eastAsia="zh-CN"/>
                <w14:textFill>
                  <w14:solidFill>
                    <w14:schemeClr w14:val="tx1"/>
                  </w14:solidFill>
                </w14:textFill>
              </w:rPr>
              <w:t>项目</w:t>
            </w:r>
            <w:r>
              <w:rPr>
                <w:rFonts w:hint="eastAsia" w:cs="Times New Roman"/>
                <w:color w:val="000000" w:themeColor="text1"/>
                <w:highlight w:val="none"/>
                <w:lang w:val="en-US" w:eastAsia="zh-CN"/>
                <w14:textFill>
                  <w14:solidFill>
                    <w14:schemeClr w14:val="tx1"/>
                  </w14:solidFill>
                </w14:textFill>
              </w:rPr>
              <w:t>区周边</w:t>
            </w:r>
            <w:r>
              <w:rPr>
                <w:rFonts w:hint="default" w:ascii="Times New Roman" w:hAnsi="Times New Roman" w:cs="Times New Roman"/>
                <w:color w:val="000000" w:themeColor="text1"/>
                <w:highlight w:val="none"/>
                <w:lang w:val="en-US" w:eastAsia="zh-CN"/>
                <w14:textFill>
                  <w14:solidFill>
                    <w14:schemeClr w14:val="tx1"/>
                  </w14:solidFill>
                </w14:textFill>
              </w:rPr>
              <w:t>丝路华庭</w:t>
            </w:r>
            <w:r>
              <w:rPr>
                <w:rFonts w:hint="eastAsia" w:cs="Times New Roman"/>
                <w:color w:val="000000" w:themeColor="text1"/>
                <w:highlight w:val="none"/>
                <w:lang w:val="en-US" w:eastAsia="zh-CN"/>
                <w14:textFill>
                  <w14:solidFill>
                    <w14:schemeClr w14:val="tx1"/>
                  </w14:solidFill>
                </w14:textFill>
              </w:rPr>
              <w:t>11号楼</w:t>
            </w:r>
            <w:r>
              <w:rPr>
                <w:rFonts w:hint="default" w:ascii="Times New Roman" w:hAnsi="Times New Roman" w:cs="Times New Roman"/>
                <w:color w:val="000000" w:themeColor="text1"/>
                <w:highlight w:val="none"/>
                <w:lang w:val="en-US" w:eastAsia="zh-CN"/>
                <w14:textFill>
                  <w14:solidFill>
                    <w14:schemeClr w14:val="tx1"/>
                  </w14:solidFill>
                </w14:textFill>
              </w:rPr>
              <w:t>、丝路华庭</w:t>
            </w:r>
            <w:r>
              <w:rPr>
                <w:rFonts w:hint="eastAsia" w:cs="Times New Roman"/>
                <w:color w:val="000000" w:themeColor="text1"/>
                <w:highlight w:val="none"/>
                <w:lang w:val="en-US" w:eastAsia="zh-CN"/>
                <w14:textFill>
                  <w14:solidFill>
                    <w14:schemeClr w14:val="tx1"/>
                  </w14:solidFill>
                </w14:textFill>
              </w:rPr>
              <w:t>12号楼</w:t>
            </w:r>
            <w:r>
              <w:rPr>
                <w:rFonts w:hint="default" w:ascii="Times New Roman" w:hAnsi="Times New Roman" w:cs="Times New Roman"/>
                <w:color w:val="000000" w:themeColor="text1"/>
                <w:highlight w:val="none"/>
                <w:lang w:val="en-US" w:eastAsia="zh-CN"/>
                <w14:textFill>
                  <w14:solidFill>
                    <w14:schemeClr w14:val="tx1"/>
                  </w14:solidFill>
                </w14:textFill>
              </w:rPr>
              <w:t>以及</w:t>
            </w:r>
            <w:r>
              <w:rPr>
                <w:rFonts w:hint="eastAsia" w:cs="Times New Roman"/>
                <w:color w:val="000000" w:themeColor="text1"/>
                <w:highlight w:val="none"/>
                <w:lang w:val="en-US" w:eastAsia="zh-CN"/>
                <w14:textFill>
                  <w14:solidFill>
                    <w14:schemeClr w14:val="tx1"/>
                  </w14:solidFill>
                </w14:textFill>
              </w:rPr>
              <w:t>项目</w:t>
            </w:r>
            <w:r>
              <w:rPr>
                <w:rFonts w:hint="default" w:ascii="Times New Roman" w:hAnsi="Times New Roman" w:cs="Times New Roman"/>
                <w:color w:val="000000" w:themeColor="text1"/>
                <w:highlight w:val="none"/>
                <w:lang w:val="en-US" w:eastAsia="zh-CN"/>
                <w14:textFill>
                  <w14:solidFill>
                    <w14:schemeClr w14:val="tx1"/>
                  </w14:solidFill>
                </w14:textFill>
              </w:rPr>
              <w:t>厂界四周</w:t>
            </w:r>
            <w:r>
              <w:rPr>
                <w:rFonts w:hint="default" w:ascii="Times New Roman" w:hAnsi="Times New Roman" w:cs="Times New Roman"/>
                <w:color w:val="000000" w:themeColor="text1"/>
                <w:highlight w:val="none"/>
                <w:lang w:eastAsia="zh-CN"/>
                <w14:textFill>
                  <w14:solidFill>
                    <w14:schemeClr w14:val="tx1"/>
                  </w14:solidFill>
                </w14:textFill>
              </w:rPr>
              <w:t>进行监测，监测点位</w:t>
            </w:r>
            <w:r>
              <w:rPr>
                <w:rFonts w:hint="default" w:ascii="Times New Roman" w:hAnsi="Times New Roman" w:cs="Times New Roman"/>
                <w:color w:val="000000" w:themeColor="text1"/>
                <w:highlight w:val="none"/>
                <w:lang w:val="en-US" w:eastAsia="zh-CN"/>
                <w14:textFill>
                  <w14:solidFill>
                    <w14:schemeClr w14:val="tx1"/>
                  </w14:solidFill>
                </w14:textFill>
              </w:rPr>
              <w:t>分布</w:t>
            </w:r>
            <w:r>
              <w:rPr>
                <w:rFonts w:hint="default" w:ascii="Times New Roman" w:hAnsi="Times New Roman" w:cs="Times New Roman"/>
                <w:color w:val="000000" w:themeColor="text1"/>
                <w:highlight w:val="none"/>
                <w:lang w:eastAsia="zh-CN"/>
                <w14:textFill>
                  <w14:solidFill>
                    <w14:schemeClr w14:val="tx1"/>
                  </w14:solidFill>
                </w14:textFill>
              </w:rPr>
              <w:t>见</w:t>
            </w:r>
            <w:r>
              <w:rPr>
                <w:rFonts w:hint="default" w:ascii="Times New Roman" w:hAnsi="Times New Roman" w:cs="Times New Roman"/>
                <w:color w:val="000000" w:themeColor="text1"/>
                <w:highlight w:val="none"/>
                <w:lang w:val="en-US" w:eastAsia="zh-CN"/>
                <w14:textFill>
                  <w14:solidFill>
                    <w14:schemeClr w14:val="tx1"/>
                  </w14:solidFill>
                </w14:textFill>
              </w:rPr>
              <w:t>附</w:t>
            </w:r>
            <w:r>
              <w:rPr>
                <w:rFonts w:hint="default" w:ascii="Times New Roman" w:hAnsi="Times New Roman" w:cs="Times New Roman"/>
                <w:color w:val="000000" w:themeColor="text1"/>
                <w:highlight w:val="none"/>
                <w:lang w:eastAsia="zh-CN"/>
                <w14:textFill>
                  <w14:solidFill>
                    <w14:schemeClr w14:val="tx1"/>
                  </w14:solidFill>
                </w14:textFill>
              </w:rPr>
              <w:t>图。</w:t>
            </w:r>
          </w:p>
          <w:p w14:paraId="34A44297">
            <w:pPr>
              <w:pStyle w:val="4"/>
              <w:bidi w:val="0"/>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3.4</w:t>
            </w:r>
            <w:r>
              <w:rPr>
                <w:rFonts w:hint="default" w:ascii="Times New Roman" w:hAnsi="Times New Roman" w:cs="Times New Roman"/>
                <w:color w:val="000000" w:themeColor="text1"/>
                <w:highlight w:val="none"/>
                <w:lang w:eastAsia="zh-CN"/>
                <w14:textFill>
                  <w14:solidFill>
                    <w14:schemeClr w14:val="tx1"/>
                  </w14:solidFill>
                </w14:textFill>
              </w:rPr>
              <w:t>.2监测方法</w:t>
            </w:r>
          </w:p>
          <w:p w14:paraId="328640AC">
            <w:pPr>
              <w:pStyle w:val="31"/>
              <w:bidi w:val="0"/>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依照《声环境质量标准》（GB3096-2008）进行噪声监测，监测仪器使用AWA</w:t>
            </w:r>
            <w:r>
              <w:rPr>
                <w:rFonts w:hint="eastAsia" w:cs="Times New Roman"/>
                <w:color w:val="000000" w:themeColor="text1"/>
                <w:highlight w:val="none"/>
                <w:lang w:val="en-US" w:eastAsia="zh-CN"/>
                <w14:textFill>
                  <w14:solidFill>
                    <w14:schemeClr w14:val="tx1"/>
                  </w14:solidFill>
                </w14:textFill>
              </w:rPr>
              <w:t>6228+</w:t>
            </w:r>
            <w:r>
              <w:rPr>
                <w:rFonts w:hint="default" w:ascii="Times New Roman" w:hAnsi="Times New Roman" w:cs="Times New Roman"/>
                <w:color w:val="000000" w:themeColor="text1"/>
                <w:highlight w:val="none"/>
                <w:lang w:eastAsia="zh-CN"/>
                <w14:textFill>
                  <w14:solidFill>
                    <w14:schemeClr w14:val="tx1"/>
                  </w14:solidFill>
                </w14:textFill>
              </w:rPr>
              <w:t>型多功能声级计，监测前用声</w:t>
            </w:r>
            <w:r>
              <w:rPr>
                <w:rFonts w:hint="eastAsia" w:cs="Times New Roman"/>
                <w:color w:val="000000" w:themeColor="text1"/>
                <w:highlight w:val="none"/>
                <w:lang w:val="en-US" w:eastAsia="zh-CN"/>
                <w14:textFill>
                  <w14:solidFill>
                    <w14:schemeClr w14:val="tx1"/>
                  </w14:solidFill>
                </w14:textFill>
              </w:rPr>
              <w:t>计</w:t>
            </w:r>
            <w:r>
              <w:rPr>
                <w:rFonts w:hint="default" w:ascii="Times New Roman" w:hAnsi="Times New Roman" w:cs="Times New Roman"/>
                <w:color w:val="000000" w:themeColor="text1"/>
                <w:highlight w:val="none"/>
                <w:lang w:eastAsia="zh-CN"/>
                <w14:textFill>
                  <w14:solidFill>
                    <w14:schemeClr w14:val="tx1"/>
                  </w14:solidFill>
                </w14:textFill>
              </w:rPr>
              <w:t>校准</w:t>
            </w:r>
            <w:r>
              <w:rPr>
                <w:rFonts w:hint="eastAsia" w:cs="Times New Roman"/>
                <w:color w:val="000000" w:themeColor="text1"/>
                <w:highlight w:val="none"/>
                <w:lang w:val="en-US" w:eastAsia="zh-CN"/>
                <w14:textFill>
                  <w14:solidFill>
                    <w14:schemeClr w14:val="tx1"/>
                  </w14:solidFill>
                </w14:textFill>
              </w:rPr>
              <w:t>计</w:t>
            </w:r>
            <w:r>
              <w:rPr>
                <w:rFonts w:hint="default" w:ascii="Times New Roman" w:hAnsi="Times New Roman" w:cs="Times New Roman"/>
                <w:color w:val="000000" w:themeColor="text1"/>
                <w:highlight w:val="none"/>
                <w:lang w:eastAsia="zh-CN"/>
                <w14:textFill>
                  <w14:solidFill>
                    <w14:schemeClr w14:val="tx1"/>
                  </w14:solidFill>
                </w14:textFill>
              </w:rPr>
              <w:t>进行校准。</w:t>
            </w:r>
          </w:p>
          <w:p w14:paraId="78660259">
            <w:pPr>
              <w:pStyle w:val="4"/>
              <w:bidi w:val="0"/>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3.4</w:t>
            </w:r>
            <w:r>
              <w:rPr>
                <w:rFonts w:hint="default" w:ascii="Times New Roman" w:hAnsi="Times New Roman" w:cs="Times New Roman"/>
                <w:color w:val="000000" w:themeColor="text1"/>
                <w:highlight w:val="none"/>
                <w:lang w:eastAsia="zh-CN"/>
                <w14:textFill>
                  <w14:solidFill>
                    <w14:schemeClr w14:val="tx1"/>
                  </w14:solidFill>
                </w14:textFill>
              </w:rPr>
              <w:t>.3评价标准</w:t>
            </w:r>
          </w:p>
          <w:p w14:paraId="5AE6A5ED">
            <w:pPr>
              <w:pStyle w:val="31"/>
              <w:bidi w:val="0"/>
              <w:rPr>
                <w:color w:val="000000" w:themeColor="text1"/>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根据该项目所处地理位置和周围环境现状，</w:t>
            </w:r>
            <w:r>
              <w:rPr>
                <w:rFonts w:hint="default" w:ascii="Times New Roman" w:hAnsi="Times New Roman" w:cs="Times New Roman"/>
                <w:color w:val="000000" w:themeColor="text1"/>
                <w:highlight w:val="none"/>
                <w:lang w:val="en-US" w:eastAsia="zh-CN"/>
                <w14:textFill>
                  <w14:solidFill>
                    <w14:schemeClr w14:val="tx1"/>
                  </w14:solidFill>
                </w14:textFill>
              </w:rPr>
              <w:t>声环境敏感点丝路华庭</w:t>
            </w:r>
            <w:r>
              <w:rPr>
                <w:rFonts w:hint="eastAsia" w:cs="Times New Roman"/>
                <w:color w:val="000000" w:themeColor="text1"/>
                <w:highlight w:val="none"/>
                <w:lang w:val="en-US" w:eastAsia="zh-CN"/>
                <w14:textFill>
                  <w14:solidFill>
                    <w14:schemeClr w14:val="tx1"/>
                  </w14:solidFill>
                </w14:textFill>
              </w:rPr>
              <w:t>11号楼</w:t>
            </w:r>
            <w:r>
              <w:rPr>
                <w:rFonts w:hint="default" w:ascii="Times New Roman" w:hAnsi="Times New Roman" w:cs="Times New Roman"/>
                <w:color w:val="000000" w:themeColor="text1"/>
                <w:highlight w:val="none"/>
                <w:lang w:val="en-US" w:eastAsia="zh-CN"/>
                <w14:textFill>
                  <w14:solidFill>
                    <w14:schemeClr w14:val="tx1"/>
                  </w14:solidFill>
                </w14:textFill>
              </w:rPr>
              <w:t>、丝路华庭</w:t>
            </w:r>
            <w:r>
              <w:rPr>
                <w:rFonts w:hint="eastAsia" w:cs="Times New Roman"/>
                <w:color w:val="000000" w:themeColor="text1"/>
                <w:highlight w:val="none"/>
                <w:lang w:val="en-US" w:eastAsia="zh-CN"/>
                <w14:textFill>
                  <w14:solidFill>
                    <w14:schemeClr w14:val="tx1"/>
                  </w14:solidFill>
                </w14:textFill>
              </w:rPr>
              <w:t>12号楼、</w:t>
            </w:r>
            <w:r>
              <w:rPr>
                <w:rFonts w:hint="default" w:ascii="Times New Roman" w:hAnsi="Times New Roman" w:cs="Times New Roman"/>
                <w:color w:val="000000" w:themeColor="text1"/>
                <w:highlight w:val="none"/>
                <w:lang w:val="en-US" w:eastAsia="zh-CN"/>
                <w14:textFill>
                  <w14:solidFill>
                    <w14:schemeClr w14:val="tx1"/>
                  </w14:solidFill>
                </w14:textFill>
              </w:rPr>
              <w:t>厂界</w:t>
            </w:r>
            <w:r>
              <w:rPr>
                <w:rFonts w:hint="eastAsia" w:cs="Times New Roman"/>
                <w:color w:val="000000" w:themeColor="text1"/>
                <w:highlight w:val="none"/>
                <w:lang w:val="en-US" w:eastAsia="zh-CN"/>
                <w14:textFill>
                  <w14:solidFill>
                    <w14:schemeClr w14:val="tx1"/>
                  </w14:solidFill>
                </w14:textFill>
              </w:rPr>
              <w:t>东侧执行</w:t>
            </w:r>
            <w:r>
              <w:rPr>
                <w:rFonts w:hint="default" w:ascii="Times New Roman" w:hAnsi="Times New Roman" w:cs="Times New Roman"/>
                <w:color w:val="000000" w:themeColor="text1"/>
                <w:highlight w:val="none"/>
                <w:lang w:eastAsia="zh-CN"/>
                <w14:textFill>
                  <w14:solidFill>
                    <w14:schemeClr w14:val="tx1"/>
                  </w14:solidFill>
                </w14:textFill>
              </w:rPr>
              <w:t>《声环境质量标准》（GB3096-2008）</w:t>
            </w:r>
            <w:r>
              <w:rPr>
                <w:rFonts w:hint="default" w:ascii="Times New Roman" w:hAnsi="Times New Roman" w:cs="Times New Roman"/>
                <w:color w:val="000000" w:themeColor="text1"/>
                <w:highlight w:val="none"/>
                <w:lang w:val="en-US" w:eastAsia="zh-CN"/>
                <w14:textFill>
                  <w14:solidFill>
                    <w14:schemeClr w14:val="tx1"/>
                  </w14:solidFill>
                </w14:textFill>
              </w:rPr>
              <w:t>表1中</w:t>
            </w:r>
            <w:r>
              <w:rPr>
                <w:rFonts w:hint="default" w:ascii="Times New Roman" w:hAnsi="Times New Roman" w:cs="Times New Roman"/>
                <w:color w:val="000000" w:themeColor="text1"/>
                <w:highlight w:val="none"/>
                <w:lang w:eastAsia="zh-CN"/>
                <w14:textFill>
                  <w14:solidFill>
                    <w14:schemeClr w14:val="tx1"/>
                  </w14:solidFill>
                </w14:textFill>
              </w:rPr>
              <w:t>2类标准；</w:t>
            </w:r>
            <w:r>
              <w:rPr>
                <w:rFonts w:hint="eastAsia"/>
                <w:color w:val="000000" w:themeColor="text1"/>
                <w:lang w:val="en-US" w:eastAsia="zh-CN"/>
                <w14:textFill>
                  <w14:solidFill>
                    <w14:schemeClr w14:val="tx1"/>
                  </w14:solidFill>
                </w14:textFill>
              </w:rPr>
              <w:t>厂界</w:t>
            </w:r>
            <w:r>
              <w:rPr>
                <w:rFonts w:hint="eastAsia" w:cs="Times New Roman"/>
                <w:color w:val="000000" w:themeColor="text1"/>
                <w:lang w:val="en-US" w:eastAsia="zh-CN"/>
                <w14:textFill>
                  <w14:solidFill>
                    <w14:schemeClr w14:val="tx1"/>
                  </w14:solidFill>
                </w14:textFill>
              </w:rPr>
              <w:t>西侧为城市交通主干道：喀拉苏路，</w:t>
            </w:r>
            <w:r>
              <w:rPr>
                <w:rFonts w:hint="default" w:ascii="Times New Roman" w:hAnsi="Times New Roman" w:cs="Times New Roman"/>
                <w:color w:val="000000" w:themeColor="text1"/>
                <w:lang w:eastAsia="zh-CN"/>
                <w14:textFill>
                  <w14:solidFill>
                    <w14:schemeClr w14:val="tx1"/>
                  </w14:solidFill>
                </w14:textFill>
              </w:rPr>
              <w:t>按照</w:t>
            </w:r>
            <w:r>
              <w:rPr>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库尔勒市</w:t>
            </w:r>
            <w:r>
              <w:rPr>
                <w:color w:val="000000" w:themeColor="text1"/>
                <w:lang w:eastAsia="zh-CN"/>
                <w14:textFill>
                  <w14:solidFill>
                    <w14:schemeClr w14:val="tx1"/>
                  </w14:solidFill>
                </w14:textFill>
              </w:rPr>
              <w:t>声环境</w:t>
            </w:r>
            <w:r>
              <w:rPr>
                <w:rFonts w:hint="eastAsia"/>
                <w:color w:val="000000" w:themeColor="text1"/>
                <w:lang w:val="en-US" w:eastAsia="zh-CN"/>
                <w14:textFill>
                  <w14:solidFill>
                    <w14:schemeClr w14:val="tx1"/>
                  </w14:solidFill>
                </w14:textFill>
              </w:rPr>
              <w:t>功能区划分</w:t>
            </w:r>
            <w:r>
              <w:rPr>
                <w:color w:val="000000" w:themeColor="text1"/>
                <w:lang w:eastAsia="zh-CN"/>
                <w14:textFill>
                  <w14:solidFill>
                    <w14:schemeClr w14:val="tx1"/>
                  </w14:solidFill>
                </w14:textFill>
              </w:rPr>
              <w:t>》</w:t>
            </w:r>
            <w:r>
              <w:rPr>
                <w:rFonts w:hint="default" w:ascii="Times New Roman" w:hAnsi="Times New Roman" w:cs="Times New Roman"/>
                <w:color w:val="000000" w:themeColor="text1"/>
                <w:lang w:eastAsia="zh-CN"/>
                <w14:textFill>
                  <w14:solidFill>
                    <w14:schemeClr w14:val="tx1"/>
                  </w14:solidFill>
                </w14:textFill>
              </w:rPr>
              <w:t>中声环境功能区的划分要求，相邻区域为2类声环境功能区，距离为</w:t>
            </w:r>
            <w:r>
              <w:rPr>
                <w:rFonts w:hint="eastAsia" w:cs="Times New Roman"/>
                <w:color w:val="000000" w:themeColor="text1"/>
                <w:lang w:val="en-US" w:eastAsia="zh-CN"/>
                <w14:textFill>
                  <w14:solidFill>
                    <w14:schemeClr w14:val="tx1"/>
                  </w14:solidFill>
                </w14:textFill>
              </w:rPr>
              <w:t>10</w:t>
            </w:r>
            <w:r>
              <w:rPr>
                <w:rFonts w:hint="default" w:ascii="Times New Roman" w:hAnsi="Times New Roman" w:cs="Times New Roman"/>
                <w:color w:val="000000" w:themeColor="text1"/>
                <w:lang w:eastAsia="zh-CN"/>
                <w14:textFill>
                  <w14:solidFill>
                    <w14:schemeClr w14:val="tx1"/>
                  </w14:solidFill>
                </w14:textFill>
              </w:rPr>
              <w:t>m，</w:t>
            </w:r>
            <w:r>
              <w:rPr>
                <w:rFonts w:hint="eastAsia"/>
                <w:color w:val="000000" w:themeColor="text1"/>
                <w:lang w:val="en-US" w:eastAsia="zh-CN"/>
                <w14:textFill>
                  <w14:solidFill>
                    <w14:schemeClr w14:val="tx1"/>
                  </w14:solidFill>
                </w14:textFill>
              </w:rPr>
              <w:t>厂界南侧、</w:t>
            </w:r>
            <w:r>
              <w:rPr>
                <w:rFonts w:hint="eastAsia" w:cs="Times New Roman"/>
                <w:color w:val="000000" w:themeColor="text1"/>
                <w:lang w:val="en-US" w:eastAsia="zh-CN"/>
                <w14:textFill>
                  <w14:solidFill>
                    <w14:schemeClr w14:val="tx1"/>
                  </w14:solidFill>
                </w14:textFill>
              </w:rPr>
              <w:t>西侧及北侧</w:t>
            </w:r>
            <w:r>
              <w:rPr>
                <w:rFonts w:hint="default" w:ascii="Times New Roman" w:hAnsi="Times New Roman" w:cs="Times New Roman"/>
                <w:color w:val="000000" w:themeColor="text1"/>
                <w:lang w:val="en-US" w:eastAsia="zh-CN"/>
                <w14:textFill>
                  <w14:solidFill>
                    <w14:schemeClr w14:val="tx1"/>
                  </w14:solidFill>
                </w14:textFill>
              </w:rPr>
              <w:t>执行表1中4a</w:t>
            </w:r>
            <w:r>
              <w:rPr>
                <w:rFonts w:hint="default" w:ascii="Times New Roman" w:hAnsi="Times New Roman" w:cs="Times New Roman"/>
                <w:color w:val="000000" w:themeColor="text1"/>
                <w:lang w:eastAsia="zh-CN"/>
                <w14:textFill>
                  <w14:solidFill>
                    <w14:schemeClr w14:val="tx1"/>
                  </w14:solidFill>
                </w14:textFill>
              </w:rPr>
              <w:t>类标准</w:t>
            </w:r>
            <w:r>
              <w:rPr>
                <w:rFonts w:hint="eastAsia"/>
                <w:color w:val="000000" w:themeColor="text1"/>
                <w:lang w:eastAsia="zh-CN"/>
                <w14:textFill>
                  <w14:solidFill>
                    <w14:schemeClr w14:val="tx1"/>
                  </w14:solidFill>
                </w14:textFill>
              </w:rPr>
              <w:t>。</w:t>
            </w:r>
          </w:p>
          <w:p w14:paraId="3342A943">
            <w:pPr>
              <w:pStyle w:val="4"/>
              <w:bidi w:val="0"/>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3.4</w:t>
            </w:r>
            <w:r>
              <w:rPr>
                <w:rFonts w:hint="default" w:ascii="Times New Roman" w:hAnsi="Times New Roman" w:cs="Times New Roman"/>
                <w:color w:val="000000" w:themeColor="text1"/>
                <w:highlight w:val="none"/>
                <w:lang w:eastAsia="zh-CN"/>
                <w14:textFill>
                  <w14:solidFill>
                    <w14:schemeClr w14:val="tx1"/>
                  </w14:solidFill>
                </w14:textFill>
              </w:rPr>
              <w:t>.4监测结果及评价</w:t>
            </w:r>
          </w:p>
          <w:p w14:paraId="6063A5D4">
            <w:pPr>
              <w:pStyle w:val="31"/>
              <w:bidi w:val="0"/>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监测结果及评价结果见表3-</w:t>
            </w:r>
            <w:r>
              <w:rPr>
                <w:rFonts w:hint="default" w:ascii="Times New Roman" w:hAnsi="Times New Roman" w:cs="Times New Roman"/>
                <w:color w:val="000000" w:themeColor="text1"/>
                <w:highlight w:val="none"/>
                <w:lang w:val="en-US" w:eastAsia="zh-CN"/>
                <w14:textFill>
                  <w14:solidFill>
                    <w14:schemeClr w14:val="tx1"/>
                  </w14:solidFill>
                </w14:textFill>
              </w:rPr>
              <w:t>2</w:t>
            </w:r>
            <w:r>
              <w:rPr>
                <w:rFonts w:hint="default" w:ascii="Times New Roman" w:hAnsi="Times New Roman" w:cs="Times New Roman"/>
                <w:color w:val="000000" w:themeColor="text1"/>
                <w:highlight w:val="none"/>
                <w:lang w:eastAsia="zh-CN"/>
                <w14:textFill>
                  <w14:solidFill>
                    <w14:schemeClr w14:val="tx1"/>
                  </w14:solidFill>
                </w14:textFill>
              </w:rPr>
              <w:t>。</w:t>
            </w:r>
          </w:p>
          <w:p w14:paraId="3C84749A">
            <w:pPr>
              <w:pStyle w:val="29"/>
              <w:bidi w:val="0"/>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表3-</w:t>
            </w:r>
            <w:r>
              <w:rPr>
                <w:rFonts w:hint="default" w:ascii="Times New Roman" w:hAnsi="Times New Roman" w:cs="Times New Roman"/>
                <w:color w:val="000000" w:themeColor="text1"/>
                <w:highlight w:val="none"/>
                <w:lang w:val="en-US" w:eastAsia="zh-CN"/>
                <w14:textFill>
                  <w14:solidFill>
                    <w14:schemeClr w14:val="tx1"/>
                  </w14:solidFill>
                </w14:textFill>
              </w:rPr>
              <w:t>2</w:t>
            </w:r>
            <w:r>
              <w:rPr>
                <w:rFonts w:hint="default" w:ascii="Times New Roman" w:hAnsi="Times New Roman" w:cs="Times New Roman"/>
                <w:color w:val="000000" w:themeColor="text1"/>
                <w:highlight w:val="none"/>
                <w:lang w:eastAsia="zh-CN"/>
                <w14:textFill>
                  <w14:solidFill>
                    <w14:schemeClr w14:val="tx1"/>
                  </w14:solidFill>
                </w14:textFill>
              </w:rPr>
              <w:t xml:space="preserve">   环境现状监测结果   单位：dB（A）</w:t>
            </w:r>
          </w:p>
          <w:tbl>
            <w:tblPr>
              <w:tblStyle w:val="18"/>
              <w:tblW w:w="4922" w:type="pct"/>
              <w:jc w:val="center"/>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Layout w:type="fixed"/>
              <w:tblCellMar>
                <w:top w:w="0" w:type="dxa"/>
                <w:left w:w="108" w:type="dxa"/>
                <w:bottom w:w="0" w:type="dxa"/>
                <w:right w:w="108" w:type="dxa"/>
              </w:tblCellMar>
            </w:tblPr>
            <w:tblGrid>
              <w:gridCol w:w="2406"/>
              <w:gridCol w:w="1030"/>
              <w:gridCol w:w="896"/>
              <w:gridCol w:w="2733"/>
              <w:gridCol w:w="973"/>
            </w:tblGrid>
            <w:tr w14:paraId="75325E6B">
              <w:tblPrEx>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CellMar>
                  <w:top w:w="0" w:type="dxa"/>
                  <w:left w:w="108" w:type="dxa"/>
                  <w:bottom w:w="0" w:type="dxa"/>
                  <w:right w:w="108" w:type="dxa"/>
                </w:tblCellMar>
              </w:tblPrEx>
              <w:trPr>
                <w:trHeight w:val="360" w:hRule="atLeast"/>
                <w:jc w:val="center"/>
              </w:trPr>
              <w:tc>
                <w:tcPr>
                  <w:tcW w:w="1496" w:type="pct"/>
                  <w:vMerge w:val="restart"/>
                  <w:tcBorders>
                    <w:left w:val="single" w:color="auto" w:sz="4" w:space="0"/>
                    <w:tl2br w:val="nil"/>
                    <w:tr2bl w:val="nil"/>
                  </w:tcBorders>
                  <w:noWrap w:val="0"/>
                  <w:vAlign w:val="center"/>
                </w:tcPr>
                <w:p w14:paraId="19AEEC85">
                  <w:pPr>
                    <w:pStyle w:val="30"/>
                    <w:bidi w:val="0"/>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监测点</w:t>
                  </w:r>
                </w:p>
              </w:tc>
              <w:tc>
                <w:tcPr>
                  <w:tcW w:w="1198" w:type="pct"/>
                  <w:gridSpan w:val="2"/>
                  <w:tcBorders>
                    <w:tl2br w:val="nil"/>
                    <w:tr2bl w:val="nil"/>
                  </w:tcBorders>
                  <w:noWrap w:val="0"/>
                  <w:vAlign w:val="center"/>
                </w:tcPr>
                <w:p w14:paraId="41ECD581">
                  <w:pPr>
                    <w:pStyle w:val="30"/>
                    <w:bidi w:val="0"/>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监测值</w:t>
                  </w:r>
                </w:p>
              </w:tc>
              <w:tc>
                <w:tcPr>
                  <w:tcW w:w="1700" w:type="pct"/>
                  <w:vMerge w:val="restart"/>
                  <w:tcBorders>
                    <w:tl2br w:val="nil"/>
                    <w:tr2bl w:val="nil"/>
                  </w:tcBorders>
                  <w:noWrap w:val="0"/>
                  <w:vAlign w:val="center"/>
                </w:tcPr>
                <w:p w14:paraId="3C26081D">
                  <w:pPr>
                    <w:pStyle w:val="30"/>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环境功能</w:t>
                  </w:r>
                  <w:r>
                    <w:rPr>
                      <w:rFonts w:hint="default" w:ascii="Times New Roman" w:hAnsi="Times New Roman" w:cs="Times New Roman"/>
                      <w:color w:val="000000" w:themeColor="text1"/>
                      <w:highlight w:val="none"/>
                      <w:lang w:val="en-US" w:eastAsia="zh-CN"/>
                      <w14:textFill>
                        <w14:solidFill>
                          <w14:schemeClr w14:val="tx1"/>
                        </w14:solidFill>
                      </w14:textFill>
                    </w:rPr>
                    <w:t>及标准</w:t>
                  </w:r>
                </w:p>
              </w:tc>
              <w:tc>
                <w:tcPr>
                  <w:tcW w:w="605" w:type="pct"/>
                  <w:vMerge w:val="restart"/>
                  <w:tcBorders>
                    <w:tl2br w:val="nil"/>
                    <w:tr2bl w:val="nil"/>
                  </w:tcBorders>
                  <w:noWrap w:val="0"/>
                  <w:vAlign w:val="center"/>
                </w:tcPr>
                <w:p w14:paraId="50694061">
                  <w:pPr>
                    <w:pStyle w:val="30"/>
                    <w:bidi w:val="0"/>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达标状况</w:t>
                  </w:r>
                </w:p>
              </w:tc>
            </w:tr>
            <w:tr w14:paraId="61C530C9">
              <w:tblPrEx>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CellMar>
                  <w:top w:w="0" w:type="dxa"/>
                  <w:left w:w="108" w:type="dxa"/>
                  <w:bottom w:w="0" w:type="dxa"/>
                  <w:right w:w="108" w:type="dxa"/>
                </w:tblCellMar>
              </w:tblPrEx>
              <w:trPr>
                <w:trHeight w:val="390" w:hRule="atLeast"/>
                <w:jc w:val="center"/>
              </w:trPr>
              <w:tc>
                <w:tcPr>
                  <w:tcW w:w="1496" w:type="pct"/>
                  <w:vMerge w:val="continue"/>
                  <w:tcBorders>
                    <w:left w:val="single" w:color="auto" w:sz="4" w:space="0"/>
                    <w:tl2br w:val="nil"/>
                    <w:tr2bl w:val="nil"/>
                  </w:tcBorders>
                  <w:noWrap w:val="0"/>
                  <w:vAlign w:val="center"/>
                </w:tcPr>
                <w:p w14:paraId="18FACA35">
                  <w:pPr>
                    <w:pStyle w:val="30"/>
                    <w:bidi w:val="0"/>
                    <w:rPr>
                      <w:rFonts w:hint="default" w:ascii="Times New Roman" w:hAnsi="Times New Roman" w:cs="Times New Roman"/>
                      <w:color w:val="000000" w:themeColor="text1"/>
                      <w:highlight w:val="none"/>
                      <w:lang w:eastAsia="zh-CN"/>
                      <w14:textFill>
                        <w14:solidFill>
                          <w14:schemeClr w14:val="tx1"/>
                        </w14:solidFill>
                      </w14:textFill>
                    </w:rPr>
                  </w:pPr>
                </w:p>
              </w:tc>
              <w:tc>
                <w:tcPr>
                  <w:tcW w:w="640" w:type="pct"/>
                  <w:tcBorders>
                    <w:tl2br w:val="nil"/>
                    <w:tr2bl w:val="nil"/>
                  </w:tcBorders>
                  <w:noWrap w:val="0"/>
                  <w:vAlign w:val="center"/>
                </w:tcPr>
                <w:p w14:paraId="03E8491A">
                  <w:pPr>
                    <w:pStyle w:val="30"/>
                    <w:bidi w:val="0"/>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昼间</w:t>
                  </w:r>
                </w:p>
              </w:tc>
              <w:tc>
                <w:tcPr>
                  <w:tcW w:w="557" w:type="pct"/>
                  <w:tcBorders>
                    <w:tl2br w:val="nil"/>
                    <w:tr2bl w:val="nil"/>
                  </w:tcBorders>
                  <w:noWrap w:val="0"/>
                  <w:vAlign w:val="center"/>
                </w:tcPr>
                <w:p w14:paraId="2D786A5E">
                  <w:pPr>
                    <w:pStyle w:val="30"/>
                    <w:bidi w:val="0"/>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夜间</w:t>
                  </w:r>
                </w:p>
              </w:tc>
              <w:tc>
                <w:tcPr>
                  <w:tcW w:w="1700" w:type="pct"/>
                  <w:vMerge w:val="continue"/>
                  <w:tcBorders>
                    <w:tl2br w:val="nil"/>
                    <w:tr2bl w:val="nil"/>
                  </w:tcBorders>
                  <w:noWrap w:val="0"/>
                  <w:vAlign w:val="center"/>
                </w:tcPr>
                <w:p w14:paraId="103A25FB">
                  <w:pPr>
                    <w:pStyle w:val="30"/>
                    <w:bidi w:val="0"/>
                    <w:rPr>
                      <w:rFonts w:hint="default" w:ascii="Times New Roman" w:hAnsi="Times New Roman" w:cs="Times New Roman"/>
                      <w:color w:val="000000" w:themeColor="text1"/>
                      <w:highlight w:val="none"/>
                      <w:lang w:eastAsia="zh-CN"/>
                      <w14:textFill>
                        <w14:solidFill>
                          <w14:schemeClr w14:val="tx1"/>
                        </w14:solidFill>
                      </w14:textFill>
                    </w:rPr>
                  </w:pPr>
                </w:p>
              </w:tc>
              <w:tc>
                <w:tcPr>
                  <w:tcW w:w="605" w:type="pct"/>
                  <w:vMerge w:val="continue"/>
                  <w:tcBorders>
                    <w:tl2br w:val="nil"/>
                    <w:tr2bl w:val="nil"/>
                  </w:tcBorders>
                  <w:noWrap w:val="0"/>
                  <w:vAlign w:val="center"/>
                </w:tcPr>
                <w:p w14:paraId="32CC6EBF">
                  <w:pPr>
                    <w:pStyle w:val="30"/>
                    <w:bidi w:val="0"/>
                    <w:rPr>
                      <w:rFonts w:hint="default" w:ascii="Times New Roman" w:hAnsi="Times New Roman" w:cs="Times New Roman"/>
                      <w:color w:val="000000" w:themeColor="text1"/>
                      <w:highlight w:val="none"/>
                      <w:lang w:eastAsia="zh-CN"/>
                      <w14:textFill>
                        <w14:solidFill>
                          <w14:schemeClr w14:val="tx1"/>
                        </w14:solidFill>
                      </w14:textFill>
                    </w:rPr>
                  </w:pPr>
                </w:p>
              </w:tc>
            </w:tr>
            <w:tr w14:paraId="3AA8EF2A">
              <w:tblPrEx>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CellMar>
                  <w:top w:w="0" w:type="dxa"/>
                  <w:left w:w="108" w:type="dxa"/>
                  <w:bottom w:w="0" w:type="dxa"/>
                  <w:right w:w="108" w:type="dxa"/>
                </w:tblCellMar>
              </w:tblPrEx>
              <w:trPr>
                <w:trHeight w:val="324" w:hRule="atLeast"/>
                <w:jc w:val="center"/>
              </w:trPr>
              <w:tc>
                <w:tcPr>
                  <w:tcW w:w="1496" w:type="pct"/>
                  <w:tcBorders>
                    <w:left w:val="single" w:color="auto" w:sz="4" w:space="0"/>
                    <w:tl2br w:val="nil"/>
                    <w:tr2bl w:val="nil"/>
                  </w:tcBorders>
                  <w:noWrap w:val="0"/>
                  <w:vAlign w:val="center"/>
                </w:tcPr>
                <w:p w14:paraId="5134DA15">
                  <w:pPr>
                    <w:pStyle w:val="30"/>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丝路华庭</w:t>
                  </w:r>
                  <w:r>
                    <w:rPr>
                      <w:rFonts w:hint="eastAsia" w:cs="Times New Roman"/>
                      <w:color w:val="000000" w:themeColor="text1"/>
                      <w:highlight w:val="none"/>
                      <w:lang w:val="en-US" w:eastAsia="zh-CN"/>
                      <w14:textFill>
                        <w14:solidFill>
                          <w14:schemeClr w14:val="tx1"/>
                        </w14:solidFill>
                      </w14:textFill>
                    </w:rPr>
                    <w:t>11号楼</w:t>
                  </w:r>
                </w:p>
              </w:tc>
              <w:tc>
                <w:tcPr>
                  <w:tcW w:w="640" w:type="pct"/>
                  <w:tcBorders>
                    <w:bottom w:val="single" w:color="auto" w:sz="4" w:space="0"/>
                    <w:tl2br w:val="nil"/>
                    <w:tr2bl w:val="nil"/>
                  </w:tcBorders>
                  <w:noWrap w:val="0"/>
                  <w:vAlign w:val="center"/>
                </w:tcPr>
                <w:p w14:paraId="1932C7A7">
                  <w:pPr>
                    <w:pStyle w:val="30"/>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52</w:t>
                  </w:r>
                </w:p>
              </w:tc>
              <w:tc>
                <w:tcPr>
                  <w:tcW w:w="557" w:type="pct"/>
                  <w:tcBorders>
                    <w:bottom w:val="single" w:color="auto" w:sz="4" w:space="0"/>
                    <w:tl2br w:val="nil"/>
                    <w:tr2bl w:val="nil"/>
                  </w:tcBorders>
                  <w:noWrap w:val="0"/>
                  <w:vAlign w:val="center"/>
                </w:tcPr>
                <w:p w14:paraId="0ED5C66B">
                  <w:pPr>
                    <w:pStyle w:val="30"/>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43</w:t>
                  </w:r>
                </w:p>
              </w:tc>
              <w:tc>
                <w:tcPr>
                  <w:tcW w:w="1700" w:type="pct"/>
                  <w:vMerge w:val="restart"/>
                  <w:tcBorders>
                    <w:tl2br w:val="nil"/>
                    <w:tr2bl w:val="nil"/>
                  </w:tcBorders>
                  <w:noWrap w:val="0"/>
                  <w:vAlign w:val="center"/>
                </w:tcPr>
                <w:p w14:paraId="6F284683">
                  <w:pPr>
                    <w:pStyle w:val="30"/>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《声环境质量标准》</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GB3096-2008</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2类</w:t>
                  </w:r>
                  <w:r>
                    <w:rPr>
                      <w:rFonts w:hint="default" w:ascii="Times New Roman" w:hAnsi="Times New Roman" w:cs="Times New Roman"/>
                      <w:color w:val="000000" w:themeColor="text1"/>
                      <w:highlight w:val="none"/>
                      <w:lang w:val="en-US" w:eastAsia="zh-CN"/>
                      <w14:textFill>
                        <w14:solidFill>
                          <w14:schemeClr w14:val="tx1"/>
                        </w14:solidFill>
                      </w14:textFill>
                    </w:rPr>
                    <w:t>标准限值</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昼间60，夜间50</w:t>
                  </w:r>
                </w:p>
              </w:tc>
              <w:tc>
                <w:tcPr>
                  <w:tcW w:w="605" w:type="pct"/>
                  <w:vMerge w:val="restart"/>
                  <w:tcBorders>
                    <w:tl2br w:val="nil"/>
                    <w:tr2bl w:val="nil"/>
                  </w:tcBorders>
                  <w:noWrap w:val="0"/>
                  <w:vAlign w:val="center"/>
                </w:tcPr>
                <w:p w14:paraId="1F27BDE8">
                  <w:pPr>
                    <w:pStyle w:val="30"/>
                    <w:bidi w:val="0"/>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达标</w:t>
                  </w:r>
                </w:p>
              </w:tc>
            </w:tr>
            <w:tr w14:paraId="40A8F2BE">
              <w:tblPrEx>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CellMar>
                  <w:top w:w="0" w:type="dxa"/>
                  <w:left w:w="108" w:type="dxa"/>
                  <w:bottom w:w="0" w:type="dxa"/>
                  <w:right w:w="108" w:type="dxa"/>
                </w:tblCellMar>
              </w:tblPrEx>
              <w:trPr>
                <w:trHeight w:val="387" w:hRule="atLeast"/>
                <w:jc w:val="center"/>
              </w:trPr>
              <w:tc>
                <w:tcPr>
                  <w:tcW w:w="1496" w:type="pct"/>
                  <w:tcBorders>
                    <w:left w:val="single" w:color="auto" w:sz="4" w:space="0"/>
                    <w:tl2br w:val="nil"/>
                    <w:tr2bl w:val="nil"/>
                  </w:tcBorders>
                  <w:noWrap w:val="0"/>
                  <w:vAlign w:val="center"/>
                </w:tcPr>
                <w:p w14:paraId="02624D4B">
                  <w:pPr>
                    <w:pStyle w:val="30"/>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丝路华庭</w:t>
                  </w:r>
                  <w:r>
                    <w:rPr>
                      <w:rFonts w:hint="eastAsia" w:cs="Times New Roman"/>
                      <w:color w:val="000000" w:themeColor="text1"/>
                      <w:highlight w:val="none"/>
                      <w:lang w:val="en-US" w:eastAsia="zh-CN"/>
                      <w14:textFill>
                        <w14:solidFill>
                          <w14:schemeClr w14:val="tx1"/>
                        </w14:solidFill>
                      </w14:textFill>
                    </w:rPr>
                    <w:t>12号楼</w:t>
                  </w:r>
                </w:p>
              </w:tc>
              <w:tc>
                <w:tcPr>
                  <w:tcW w:w="640" w:type="pct"/>
                  <w:tcBorders>
                    <w:bottom w:val="single" w:color="auto" w:sz="4" w:space="0"/>
                    <w:tl2br w:val="nil"/>
                    <w:tr2bl w:val="nil"/>
                  </w:tcBorders>
                  <w:noWrap w:val="0"/>
                  <w:vAlign w:val="center"/>
                </w:tcPr>
                <w:p w14:paraId="5310C79F">
                  <w:pPr>
                    <w:pStyle w:val="30"/>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52</w:t>
                  </w:r>
                </w:p>
              </w:tc>
              <w:tc>
                <w:tcPr>
                  <w:tcW w:w="557" w:type="pct"/>
                  <w:tcBorders>
                    <w:bottom w:val="single" w:color="auto" w:sz="4" w:space="0"/>
                    <w:tl2br w:val="nil"/>
                    <w:tr2bl w:val="nil"/>
                  </w:tcBorders>
                  <w:noWrap w:val="0"/>
                  <w:vAlign w:val="center"/>
                </w:tcPr>
                <w:p w14:paraId="59802B1B">
                  <w:pPr>
                    <w:pStyle w:val="30"/>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42</w:t>
                  </w:r>
                </w:p>
              </w:tc>
              <w:tc>
                <w:tcPr>
                  <w:tcW w:w="1700" w:type="pct"/>
                  <w:vMerge w:val="continue"/>
                  <w:tcBorders>
                    <w:tl2br w:val="nil"/>
                    <w:tr2bl w:val="nil"/>
                  </w:tcBorders>
                  <w:noWrap w:val="0"/>
                  <w:vAlign w:val="center"/>
                </w:tcPr>
                <w:p w14:paraId="48E79946">
                  <w:pPr>
                    <w:pStyle w:val="30"/>
                    <w:bidi w:val="0"/>
                    <w:rPr>
                      <w:rFonts w:hint="default" w:ascii="Times New Roman" w:hAnsi="Times New Roman" w:cs="Times New Roman"/>
                      <w:color w:val="000000" w:themeColor="text1"/>
                      <w:highlight w:val="none"/>
                      <w14:textFill>
                        <w14:solidFill>
                          <w14:schemeClr w14:val="tx1"/>
                        </w14:solidFill>
                      </w14:textFill>
                    </w:rPr>
                  </w:pPr>
                </w:p>
              </w:tc>
              <w:tc>
                <w:tcPr>
                  <w:tcW w:w="605" w:type="pct"/>
                  <w:vMerge w:val="continue"/>
                  <w:tcBorders>
                    <w:tl2br w:val="nil"/>
                    <w:tr2bl w:val="nil"/>
                  </w:tcBorders>
                  <w:noWrap w:val="0"/>
                  <w:vAlign w:val="center"/>
                </w:tcPr>
                <w:p w14:paraId="4B252FC5">
                  <w:pPr>
                    <w:pStyle w:val="30"/>
                    <w:bidi w:val="0"/>
                    <w:rPr>
                      <w:rFonts w:hint="default" w:ascii="Times New Roman" w:hAnsi="Times New Roman" w:cs="Times New Roman"/>
                      <w:color w:val="000000" w:themeColor="text1"/>
                      <w:highlight w:val="none"/>
                      <w:lang w:eastAsia="zh-CN"/>
                      <w14:textFill>
                        <w14:solidFill>
                          <w14:schemeClr w14:val="tx1"/>
                        </w14:solidFill>
                      </w14:textFill>
                    </w:rPr>
                  </w:pPr>
                </w:p>
              </w:tc>
            </w:tr>
            <w:tr w14:paraId="21C62019">
              <w:tblPrEx>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CellMar>
                  <w:top w:w="0" w:type="dxa"/>
                  <w:left w:w="108" w:type="dxa"/>
                  <w:bottom w:w="0" w:type="dxa"/>
                  <w:right w:w="108" w:type="dxa"/>
                </w:tblCellMar>
              </w:tblPrEx>
              <w:trPr>
                <w:trHeight w:val="487" w:hRule="atLeast"/>
                <w:jc w:val="center"/>
              </w:trPr>
              <w:tc>
                <w:tcPr>
                  <w:tcW w:w="1496" w:type="pct"/>
                  <w:tcBorders>
                    <w:left w:val="single" w:color="auto" w:sz="4" w:space="0"/>
                    <w:tl2br w:val="nil"/>
                    <w:tr2bl w:val="nil"/>
                  </w:tcBorders>
                  <w:noWrap w:val="0"/>
                  <w:vAlign w:val="center"/>
                </w:tcPr>
                <w:p w14:paraId="2CEB3171">
                  <w:pPr>
                    <w:pStyle w:val="30"/>
                    <w:bidi w:val="0"/>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宠爱一生宠物医院东</w:t>
                  </w:r>
                </w:p>
              </w:tc>
              <w:tc>
                <w:tcPr>
                  <w:tcW w:w="640" w:type="pct"/>
                  <w:tcBorders>
                    <w:bottom w:val="single" w:color="auto" w:sz="4" w:space="0"/>
                    <w:tl2br w:val="nil"/>
                    <w:tr2bl w:val="nil"/>
                  </w:tcBorders>
                  <w:noWrap w:val="0"/>
                  <w:vAlign w:val="center"/>
                </w:tcPr>
                <w:p w14:paraId="1B8206AC">
                  <w:pPr>
                    <w:pStyle w:val="30"/>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54</w:t>
                  </w:r>
                </w:p>
              </w:tc>
              <w:tc>
                <w:tcPr>
                  <w:tcW w:w="557" w:type="pct"/>
                  <w:tcBorders>
                    <w:bottom w:val="single" w:color="auto" w:sz="4" w:space="0"/>
                    <w:tl2br w:val="nil"/>
                    <w:tr2bl w:val="nil"/>
                  </w:tcBorders>
                  <w:noWrap w:val="0"/>
                  <w:vAlign w:val="center"/>
                </w:tcPr>
                <w:p w14:paraId="56754D84">
                  <w:pPr>
                    <w:pStyle w:val="30"/>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42</w:t>
                  </w:r>
                </w:p>
              </w:tc>
              <w:tc>
                <w:tcPr>
                  <w:tcW w:w="1700" w:type="pct"/>
                  <w:vMerge w:val="continue"/>
                  <w:tcBorders>
                    <w:bottom w:val="single" w:color="auto" w:sz="4" w:space="0"/>
                    <w:tl2br w:val="nil"/>
                    <w:tr2bl w:val="nil"/>
                  </w:tcBorders>
                  <w:noWrap w:val="0"/>
                  <w:vAlign w:val="center"/>
                </w:tcPr>
                <w:p w14:paraId="2F33709F">
                  <w:pPr>
                    <w:pStyle w:val="30"/>
                    <w:bidi w:val="0"/>
                    <w:rPr>
                      <w:rFonts w:hint="default" w:ascii="Times New Roman" w:hAnsi="Times New Roman" w:cs="Times New Roman"/>
                      <w:color w:val="000000" w:themeColor="text1"/>
                      <w:highlight w:val="none"/>
                      <w:lang w:val="en-US"/>
                      <w14:textFill>
                        <w14:solidFill>
                          <w14:schemeClr w14:val="tx1"/>
                        </w14:solidFill>
                      </w14:textFill>
                    </w:rPr>
                  </w:pPr>
                </w:p>
              </w:tc>
              <w:tc>
                <w:tcPr>
                  <w:tcW w:w="605" w:type="pct"/>
                  <w:vMerge w:val="continue"/>
                  <w:tcBorders>
                    <w:tl2br w:val="nil"/>
                    <w:tr2bl w:val="nil"/>
                  </w:tcBorders>
                  <w:noWrap w:val="0"/>
                  <w:vAlign w:val="center"/>
                </w:tcPr>
                <w:p w14:paraId="64C1B0B1">
                  <w:pPr>
                    <w:pStyle w:val="30"/>
                    <w:bidi w:val="0"/>
                    <w:rPr>
                      <w:rFonts w:hint="default" w:ascii="Times New Roman" w:hAnsi="Times New Roman" w:cs="Times New Roman"/>
                      <w:color w:val="000000" w:themeColor="text1"/>
                      <w:highlight w:val="none"/>
                      <w:lang w:eastAsia="zh-CN"/>
                      <w14:textFill>
                        <w14:solidFill>
                          <w14:schemeClr w14:val="tx1"/>
                        </w14:solidFill>
                      </w14:textFill>
                    </w:rPr>
                  </w:pPr>
                </w:p>
              </w:tc>
            </w:tr>
            <w:tr w14:paraId="1765FC15">
              <w:tblPrEx>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CellMar>
                  <w:top w:w="0" w:type="dxa"/>
                  <w:left w:w="108" w:type="dxa"/>
                  <w:bottom w:w="0" w:type="dxa"/>
                  <w:right w:w="108" w:type="dxa"/>
                </w:tblCellMar>
              </w:tblPrEx>
              <w:trPr>
                <w:trHeight w:val="465" w:hRule="atLeast"/>
                <w:jc w:val="center"/>
              </w:trPr>
              <w:tc>
                <w:tcPr>
                  <w:tcW w:w="1496" w:type="pct"/>
                  <w:tcBorders>
                    <w:left w:val="single" w:color="auto" w:sz="4" w:space="0"/>
                    <w:tl2br w:val="nil"/>
                    <w:tr2bl w:val="nil"/>
                  </w:tcBorders>
                  <w:noWrap w:val="0"/>
                  <w:vAlign w:val="center"/>
                </w:tcPr>
                <w:p w14:paraId="330279D1">
                  <w:pPr>
                    <w:pStyle w:val="30"/>
                    <w:bidi w:val="0"/>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宠爱一生宠物医院</w:t>
                  </w:r>
                  <w:r>
                    <w:rPr>
                      <w:rFonts w:hint="default" w:ascii="Times New Roman" w:hAnsi="Times New Roman" w:cs="Times New Roman"/>
                      <w:color w:val="000000" w:themeColor="text1"/>
                      <w:highlight w:val="none"/>
                      <w:lang w:val="en-US" w:eastAsia="zh-CN"/>
                      <w14:textFill>
                        <w14:solidFill>
                          <w14:schemeClr w14:val="tx1"/>
                        </w14:solidFill>
                      </w14:textFill>
                    </w:rPr>
                    <w:t>南</w:t>
                  </w:r>
                </w:p>
              </w:tc>
              <w:tc>
                <w:tcPr>
                  <w:tcW w:w="640" w:type="pct"/>
                  <w:tcBorders>
                    <w:bottom w:val="single" w:color="auto" w:sz="4" w:space="0"/>
                    <w:tl2br w:val="nil"/>
                    <w:tr2bl w:val="nil"/>
                  </w:tcBorders>
                  <w:noWrap w:val="0"/>
                  <w:vAlign w:val="center"/>
                </w:tcPr>
                <w:p w14:paraId="4ADD597C">
                  <w:pPr>
                    <w:pStyle w:val="30"/>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51</w:t>
                  </w:r>
                </w:p>
              </w:tc>
              <w:tc>
                <w:tcPr>
                  <w:tcW w:w="557" w:type="pct"/>
                  <w:tcBorders>
                    <w:top w:val="single" w:color="auto" w:sz="4" w:space="0"/>
                    <w:bottom w:val="single" w:color="auto" w:sz="4" w:space="0"/>
                    <w:tl2br w:val="nil"/>
                    <w:tr2bl w:val="nil"/>
                  </w:tcBorders>
                  <w:noWrap w:val="0"/>
                  <w:vAlign w:val="center"/>
                </w:tcPr>
                <w:p w14:paraId="51F56BE1">
                  <w:pPr>
                    <w:pStyle w:val="30"/>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50</w:t>
                  </w:r>
                </w:p>
              </w:tc>
              <w:tc>
                <w:tcPr>
                  <w:tcW w:w="1700" w:type="pct"/>
                  <w:vMerge w:val="restart"/>
                  <w:tcBorders>
                    <w:top w:val="single" w:color="auto" w:sz="4" w:space="0"/>
                    <w:tl2br w:val="nil"/>
                    <w:tr2bl w:val="nil"/>
                  </w:tcBorders>
                  <w:noWrap w:val="0"/>
                  <w:vAlign w:val="center"/>
                </w:tcPr>
                <w:p w14:paraId="36CB0E3B">
                  <w:pPr>
                    <w:pStyle w:val="30"/>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《声环境质量标准》</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GB3096-2008</w:t>
                  </w:r>
                  <w:r>
                    <w:rPr>
                      <w:rFonts w:hint="eastAsia" w:cs="Times New Roman"/>
                      <w:color w:val="000000" w:themeColor="text1"/>
                      <w:highlight w:val="none"/>
                      <w:lang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4a</w:t>
                  </w:r>
                  <w:r>
                    <w:rPr>
                      <w:rFonts w:hint="default" w:ascii="Times New Roman" w:hAnsi="Times New Roman" w:cs="Times New Roman"/>
                      <w:color w:val="000000" w:themeColor="text1"/>
                      <w:highlight w:val="none"/>
                      <w14:textFill>
                        <w14:solidFill>
                          <w14:schemeClr w14:val="tx1"/>
                        </w14:solidFill>
                      </w14:textFill>
                    </w:rPr>
                    <w:t>类</w:t>
                  </w:r>
                  <w:r>
                    <w:rPr>
                      <w:rFonts w:hint="default" w:ascii="Times New Roman" w:hAnsi="Times New Roman" w:cs="Times New Roman"/>
                      <w:color w:val="000000" w:themeColor="text1"/>
                      <w:highlight w:val="none"/>
                      <w:lang w:val="en-US" w:eastAsia="zh-CN"/>
                      <w14:textFill>
                        <w14:solidFill>
                          <w14:schemeClr w14:val="tx1"/>
                        </w14:solidFill>
                      </w14:textFill>
                    </w:rPr>
                    <w:t>标准限值</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昼间70，夜间55</w:t>
                  </w:r>
                </w:p>
              </w:tc>
              <w:tc>
                <w:tcPr>
                  <w:tcW w:w="605" w:type="pct"/>
                  <w:vMerge w:val="continue"/>
                  <w:tcBorders>
                    <w:tl2br w:val="nil"/>
                    <w:tr2bl w:val="nil"/>
                  </w:tcBorders>
                  <w:noWrap w:val="0"/>
                  <w:vAlign w:val="center"/>
                </w:tcPr>
                <w:p w14:paraId="75275288">
                  <w:pPr>
                    <w:pStyle w:val="30"/>
                    <w:bidi w:val="0"/>
                    <w:rPr>
                      <w:rFonts w:hint="default" w:ascii="Times New Roman" w:hAnsi="Times New Roman" w:cs="Times New Roman"/>
                      <w:color w:val="000000" w:themeColor="text1"/>
                      <w:highlight w:val="none"/>
                      <w:lang w:eastAsia="zh-CN"/>
                      <w14:textFill>
                        <w14:solidFill>
                          <w14:schemeClr w14:val="tx1"/>
                        </w14:solidFill>
                      </w14:textFill>
                    </w:rPr>
                  </w:pPr>
                </w:p>
              </w:tc>
            </w:tr>
            <w:tr w14:paraId="322CD7D0">
              <w:tblPrEx>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CellMar>
                  <w:top w:w="0" w:type="dxa"/>
                  <w:left w:w="108" w:type="dxa"/>
                  <w:bottom w:w="0" w:type="dxa"/>
                  <w:right w:w="108" w:type="dxa"/>
                </w:tblCellMar>
              </w:tblPrEx>
              <w:trPr>
                <w:trHeight w:val="402" w:hRule="atLeast"/>
                <w:jc w:val="center"/>
              </w:trPr>
              <w:tc>
                <w:tcPr>
                  <w:tcW w:w="1496" w:type="pct"/>
                  <w:tcBorders>
                    <w:left w:val="single" w:color="auto" w:sz="4" w:space="0"/>
                    <w:tl2br w:val="nil"/>
                    <w:tr2bl w:val="nil"/>
                  </w:tcBorders>
                  <w:noWrap w:val="0"/>
                  <w:vAlign w:val="center"/>
                </w:tcPr>
                <w:p w14:paraId="55375994">
                  <w:pPr>
                    <w:pStyle w:val="30"/>
                    <w:bidi w:val="0"/>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宠爱一生宠物医院</w:t>
                  </w:r>
                  <w:r>
                    <w:rPr>
                      <w:rFonts w:hint="default" w:ascii="Times New Roman" w:hAnsi="Times New Roman" w:cs="Times New Roman"/>
                      <w:color w:val="000000" w:themeColor="text1"/>
                      <w:highlight w:val="none"/>
                      <w:lang w:val="en-US" w:eastAsia="zh-CN"/>
                      <w14:textFill>
                        <w14:solidFill>
                          <w14:schemeClr w14:val="tx1"/>
                        </w14:solidFill>
                      </w14:textFill>
                    </w:rPr>
                    <w:t>西</w:t>
                  </w:r>
                </w:p>
              </w:tc>
              <w:tc>
                <w:tcPr>
                  <w:tcW w:w="640" w:type="pct"/>
                  <w:tcBorders>
                    <w:bottom w:val="single" w:color="auto" w:sz="4" w:space="0"/>
                    <w:tl2br w:val="nil"/>
                    <w:tr2bl w:val="nil"/>
                  </w:tcBorders>
                  <w:noWrap w:val="0"/>
                  <w:vAlign w:val="center"/>
                </w:tcPr>
                <w:p w14:paraId="3BE4E9DC">
                  <w:pPr>
                    <w:pStyle w:val="30"/>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55</w:t>
                  </w:r>
                </w:p>
              </w:tc>
              <w:tc>
                <w:tcPr>
                  <w:tcW w:w="557" w:type="pct"/>
                  <w:tcBorders>
                    <w:bottom w:val="single" w:color="auto" w:sz="4" w:space="0"/>
                    <w:tl2br w:val="nil"/>
                    <w:tr2bl w:val="nil"/>
                  </w:tcBorders>
                  <w:noWrap w:val="0"/>
                  <w:vAlign w:val="center"/>
                </w:tcPr>
                <w:p w14:paraId="55ABCC11">
                  <w:pPr>
                    <w:pStyle w:val="30"/>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46</w:t>
                  </w:r>
                </w:p>
              </w:tc>
              <w:tc>
                <w:tcPr>
                  <w:tcW w:w="1700" w:type="pct"/>
                  <w:vMerge w:val="continue"/>
                  <w:tcBorders>
                    <w:tl2br w:val="nil"/>
                    <w:tr2bl w:val="nil"/>
                  </w:tcBorders>
                  <w:noWrap w:val="0"/>
                  <w:vAlign w:val="center"/>
                </w:tcPr>
                <w:p w14:paraId="57E15272">
                  <w:pPr>
                    <w:pStyle w:val="30"/>
                    <w:bidi w:val="0"/>
                    <w:rPr>
                      <w:rFonts w:hint="default" w:ascii="Times New Roman" w:hAnsi="Times New Roman" w:cs="Times New Roman"/>
                      <w:color w:val="000000" w:themeColor="text1"/>
                      <w:highlight w:val="none"/>
                      <w14:textFill>
                        <w14:solidFill>
                          <w14:schemeClr w14:val="tx1"/>
                        </w14:solidFill>
                      </w14:textFill>
                    </w:rPr>
                  </w:pPr>
                </w:p>
              </w:tc>
              <w:tc>
                <w:tcPr>
                  <w:tcW w:w="605" w:type="pct"/>
                  <w:vMerge w:val="continue"/>
                  <w:tcBorders>
                    <w:tl2br w:val="nil"/>
                    <w:tr2bl w:val="nil"/>
                  </w:tcBorders>
                  <w:noWrap w:val="0"/>
                  <w:vAlign w:val="center"/>
                </w:tcPr>
                <w:p w14:paraId="50E86DC8">
                  <w:pPr>
                    <w:pStyle w:val="30"/>
                    <w:bidi w:val="0"/>
                    <w:rPr>
                      <w:rFonts w:hint="default" w:ascii="Times New Roman" w:hAnsi="Times New Roman" w:cs="Times New Roman"/>
                      <w:color w:val="000000" w:themeColor="text1"/>
                      <w:highlight w:val="none"/>
                      <w:lang w:eastAsia="zh-CN"/>
                      <w14:textFill>
                        <w14:solidFill>
                          <w14:schemeClr w14:val="tx1"/>
                        </w14:solidFill>
                      </w14:textFill>
                    </w:rPr>
                  </w:pPr>
                </w:p>
              </w:tc>
            </w:tr>
            <w:tr w14:paraId="622A0D2C">
              <w:tblPrEx>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CellMar>
                  <w:top w:w="0" w:type="dxa"/>
                  <w:left w:w="108" w:type="dxa"/>
                  <w:bottom w:w="0" w:type="dxa"/>
                  <w:right w:w="108" w:type="dxa"/>
                </w:tblCellMar>
              </w:tblPrEx>
              <w:trPr>
                <w:trHeight w:val="514" w:hRule="atLeast"/>
                <w:jc w:val="center"/>
              </w:trPr>
              <w:tc>
                <w:tcPr>
                  <w:tcW w:w="1496" w:type="pct"/>
                  <w:tcBorders>
                    <w:left w:val="single" w:color="auto" w:sz="4" w:space="0"/>
                    <w:tl2br w:val="nil"/>
                    <w:tr2bl w:val="nil"/>
                  </w:tcBorders>
                  <w:shd w:val="clear" w:color="auto" w:fill="auto"/>
                  <w:noWrap w:val="0"/>
                  <w:vAlign w:val="center"/>
                </w:tcPr>
                <w:p w14:paraId="292AD39C">
                  <w:pPr>
                    <w:pStyle w:val="30"/>
                    <w:bidi w:val="0"/>
                    <w:rPr>
                      <w:rFonts w:hint="eastAsia" w:ascii="Times New Roman" w:hAnsi="Times New Roman" w:eastAsia="宋体" w:cs="Times New Roman"/>
                      <w:bCs/>
                      <w:snapToGrid w:val="0"/>
                      <w:color w:val="000000" w:themeColor="text1"/>
                      <w:spacing w:val="8"/>
                      <w:kern w:val="0"/>
                      <w:sz w:val="21"/>
                      <w:szCs w:val="72"/>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宠爱一生宠物医院</w:t>
                  </w:r>
                  <w:r>
                    <w:rPr>
                      <w:rFonts w:hint="default" w:ascii="Times New Roman" w:hAnsi="Times New Roman" w:cs="Times New Roman"/>
                      <w:color w:val="000000" w:themeColor="text1"/>
                      <w:highlight w:val="none"/>
                      <w:lang w:val="en-US" w:eastAsia="zh-CN"/>
                      <w14:textFill>
                        <w14:solidFill>
                          <w14:schemeClr w14:val="tx1"/>
                        </w14:solidFill>
                      </w14:textFill>
                    </w:rPr>
                    <w:t>北</w:t>
                  </w:r>
                </w:p>
              </w:tc>
              <w:tc>
                <w:tcPr>
                  <w:tcW w:w="640" w:type="pct"/>
                  <w:tcBorders>
                    <w:bottom w:val="single" w:color="auto" w:sz="4" w:space="0"/>
                    <w:tl2br w:val="nil"/>
                    <w:tr2bl w:val="nil"/>
                  </w:tcBorders>
                  <w:shd w:val="clear" w:color="auto" w:fill="auto"/>
                  <w:noWrap w:val="0"/>
                  <w:vAlign w:val="center"/>
                </w:tcPr>
                <w:p w14:paraId="0C24FE0B">
                  <w:pPr>
                    <w:pStyle w:val="30"/>
                    <w:bidi w:val="0"/>
                    <w:rPr>
                      <w:rFonts w:hint="default" w:ascii="Times New Roman" w:hAnsi="Times New Roman" w:eastAsia="宋体" w:cs="Times New Roman"/>
                      <w:bCs/>
                      <w:snapToGrid w:val="0"/>
                      <w:color w:val="000000" w:themeColor="text1"/>
                      <w:spacing w:val="8"/>
                      <w:kern w:val="0"/>
                      <w:sz w:val="21"/>
                      <w:szCs w:val="72"/>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53</w:t>
                  </w:r>
                </w:p>
              </w:tc>
              <w:tc>
                <w:tcPr>
                  <w:tcW w:w="557" w:type="pct"/>
                  <w:tcBorders>
                    <w:top w:val="single" w:color="auto" w:sz="4" w:space="0"/>
                    <w:bottom w:val="single" w:color="auto" w:sz="4" w:space="0"/>
                    <w:tl2br w:val="nil"/>
                    <w:tr2bl w:val="nil"/>
                  </w:tcBorders>
                  <w:shd w:val="clear" w:color="auto" w:fill="auto"/>
                  <w:noWrap w:val="0"/>
                  <w:vAlign w:val="center"/>
                </w:tcPr>
                <w:p w14:paraId="7A370983">
                  <w:pPr>
                    <w:pStyle w:val="30"/>
                    <w:bidi w:val="0"/>
                    <w:rPr>
                      <w:rFonts w:hint="default" w:ascii="Times New Roman" w:hAnsi="Times New Roman" w:eastAsia="宋体" w:cs="Times New Roman"/>
                      <w:bCs/>
                      <w:snapToGrid w:val="0"/>
                      <w:color w:val="000000" w:themeColor="text1"/>
                      <w:spacing w:val="8"/>
                      <w:kern w:val="0"/>
                      <w:sz w:val="21"/>
                      <w:szCs w:val="72"/>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44</w:t>
                  </w:r>
                </w:p>
              </w:tc>
              <w:tc>
                <w:tcPr>
                  <w:tcW w:w="1700" w:type="pct"/>
                  <w:vMerge w:val="continue"/>
                  <w:tcBorders>
                    <w:tl2br w:val="nil"/>
                    <w:tr2bl w:val="nil"/>
                  </w:tcBorders>
                  <w:noWrap w:val="0"/>
                  <w:vAlign w:val="center"/>
                </w:tcPr>
                <w:p w14:paraId="0BFB3C8C">
                  <w:pPr>
                    <w:pStyle w:val="30"/>
                    <w:bidi w:val="0"/>
                    <w:rPr>
                      <w:rFonts w:hint="default" w:ascii="Times New Roman" w:hAnsi="Times New Roman" w:cs="Times New Roman"/>
                      <w:color w:val="000000" w:themeColor="text1"/>
                      <w:highlight w:val="none"/>
                      <w14:textFill>
                        <w14:solidFill>
                          <w14:schemeClr w14:val="tx1"/>
                        </w14:solidFill>
                      </w14:textFill>
                    </w:rPr>
                  </w:pPr>
                </w:p>
              </w:tc>
              <w:tc>
                <w:tcPr>
                  <w:tcW w:w="605" w:type="pct"/>
                  <w:vMerge w:val="continue"/>
                  <w:tcBorders>
                    <w:tl2br w:val="nil"/>
                    <w:tr2bl w:val="nil"/>
                  </w:tcBorders>
                  <w:noWrap w:val="0"/>
                  <w:vAlign w:val="center"/>
                </w:tcPr>
                <w:p w14:paraId="7E9F6DC6">
                  <w:pPr>
                    <w:pStyle w:val="30"/>
                    <w:bidi w:val="0"/>
                    <w:rPr>
                      <w:rFonts w:hint="default" w:ascii="Times New Roman" w:hAnsi="Times New Roman" w:cs="Times New Roman"/>
                      <w:color w:val="000000" w:themeColor="text1"/>
                      <w:highlight w:val="none"/>
                      <w:lang w:eastAsia="zh-CN"/>
                      <w14:textFill>
                        <w14:solidFill>
                          <w14:schemeClr w14:val="tx1"/>
                        </w14:solidFill>
                      </w14:textFill>
                    </w:rPr>
                  </w:pPr>
                </w:p>
              </w:tc>
            </w:tr>
          </w:tbl>
          <w:p w14:paraId="357C3224">
            <w:pPr>
              <w:pStyle w:val="31"/>
              <w:bidi w:val="0"/>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val="zh-CN" w:eastAsia="zh-CN"/>
                <w14:textFill>
                  <w14:solidFill>
                    <w14:schemeClr w14:val="tx1"/>
                  </w14:solidFill>
                </w14:textFill>
              </w:rPr>
              <w:t>现状监测结果表明，</w:t>
            </w:r>
            <w:r>
              <w:rPr>
                <w:rFonts w:hint="default" w:ascii="Times New Roman" w:hAnsi="Times New Roman" w:cs="Times New Roman"/>
                <w:color w:val="000000" w:themeColor="text1"/>
                <w:highlight w:val="none"/>
                <w:lang w:val="en-US" w:eastAsia="zh-CN"/>
                <w14:textFill>
                  <w14:solidFill>
                    <w14:schemeClr w14:val="tx1"/>
                  </w14:solidFill>
                </w14:textFill>
              </w:rPr>
              <w:t>项目敏感点</w:t>
            </w:r>
            <w:r>
              <w:rPr>
                <w:rFonts w:hint="default" w:ascii="Times New Roman" w:hAnsi="Times New Roman" w:cs="Times New Roman"/>
                <w:color w:val="000000" w:themeColor="text1"/>
                <w:highlight w:val="none"/>
                <w:lang w:val="zh-CN" w:eastAsia="zh-CN"/>
                <w14:textFill>
                  <w14:solidFill>
                    <w14:schemeClr w14:val="tx1"/>
                  </w14:solidFill>
                </w14:textFill>
              </w:rPr>
              <w:t>声</w:t>
            </w:r>
            <w:r>
              <w:rPr>
                <w:rFonts w:hint="eastAsia" w:cs="Times New Roman"/>
                <w:color w:val="000000" w:themeColor="text1"/>
                <w:highlight w:val="none"/>
                <w:lang w:val="en-US" w:eastAsia="zh-CN"/>
                <w14:textFill>
                  <w14:solidFill>
                    <w14:schemeClr w14:val="tx1"/>
                  </w14:solidFill>
                </w14:textFill>
              </w:rPr>
              <w:t>及</w:t>
            </w:r>
            <w:r>
              <w:rPr>
                <w:rFonts w:hint="eastAsia"/>
                <w:color w:val="000000" w:themeColor="text1"/>
                <w:lang w:val="en-US" w:eastAsia="zh-CN"/>
                <w14:textFill>
                  <w14:solidFill>
                    <w14:schemeClr w14:val="tx1"/>
                  </w14:solidFill>
                </w14:textFill>
              </w:rPr>
              <w:t>厂界东侧</w:t>
            </w:r>
            <w:r>
              <w:rPr>
                <w:rFonts w:hint="default" w:ascii="Times New Roman" w:hAnsi="Times New Roman" w:cs="Times New Roman"/>
                <w:color w:val="000000" w:themeColor="text1"/>
                <w:highlight w:val="none"/>
                <w:lang w:val="zh-CN" w:eastAsia="zh-CN"/>
                <w14:textFill>
                  <w14:solidFill>
                    <w14:schemeClr w14:val="tx1"/>
                  </w14:solidFill>
                </w14:textFill>
              </w:rPr>
              <w:t>环境质量现状满足《声环境质量标准》（GB3096-2008）中的</w:t>
            </w:r>
            <w:r>
              <w:rPr>
                <w:rFonts w:hint="default" w:ascii="Times New Roman" w:hAnsi="Times New Roman" w:cs="Times New Roman"/>
                <w:color w:val="000000" w:themeColor="text1"/>
                <w:highlight w:val="none"/>
                <w:lang w:val="en-US" w:eastAsia="zh-CN"/>
                <w14:textFill>
                  <w14:solidFill>
                    <w14:schemeClr w14:val="tx1"/>
                  </w14:solidFill>
                </w14:textFill>
              </w:rPr>
              <w:t>2</w:t>
            </w:r>
            <w:r>
              <w:rPr>
                <w:rFonts w:hint="default" w:ascii="Times New Roman" w:hAnsi="Times New Roman" w:cs="Times New Roman"/>
                <w:color w:val="000000" w:themeColor="text1"/>
                <w:highlight w:val="none"/>
                <w:lang w:val="zh-CN" w:eastAsia="zh-CN"/>
                <w14:textFill>
                  <w14:solidFill>
                    <w14:schemeClr w14:val="tx1"/>
                  </w14:solidFill>
                </w14:textFill>
              </w:rPr>
              <w:t>类标准</w:t>
            </w:r>
            <w:r>
              <w:rPr>
                <w:rFonts w:hint="default" w:ascii="Times New Roman" w:hAnsi="Times New Roman" w:cs="Times New Roman"/>
                <w:color w:val="000000" w:themeColor="text1"/>
                <w:highlight w:val="none"/>
                <w:lang w:val="en-US" w:eastAsia="zh-CN"/>
                <w14:textFill>
                  <w14:solidFill>
                    <w14:schemeClr w14:val="tx1"/>
                  </w14:solidFill>
                </w14:textFill>
              </w:rPr>
              <w:t>限值，厂界</w:t>
            </w:r>
            <w:r>
              <w:rPr>
                <w:rFonts w:hint="eastAsia" w:cs="Times New Roman"/>
                <w:color w:val="000000" w:themeColor="text1"/>
                <w:highlight w:val="none"/>
                <w:lang w:val="en-US" w:eastAsia="zh-CN"/>
                <w14:textFill>
                  <w14:solidFill>
                    <w14:schemeClr w14:val="tx1"/>
                  </w14:solidFill>
                </w14:textFill>
              </w:rPr>
              <w:t>北侧、</w:t>
            </w:r>
            <w:r>
              <w:rPr>
                <w:rFonts w:hint="eastAsia"/>
                <w:color w:val="000000" w:themeColor="text1"/>
                <w:lang w:val="en-US" w:eastAsia="zh-CN"/>
                <w14:textFill>
                  <w14:solidFill>
                    <w14:schemeClr w14:val="tx1"/>
                  </w14:solidFill>
                </w14:textFill>
              </w:rPr>
              <w:t>西侧、南侧</w:t>
            </w:r>
            <w:r>
              <w:rPr>
                <w:rFonts w:hint="default" w:ascii="Times New Roman" w:hAnsi="Times New Roman" w:cs="Times New Roman"/>
                <w:color w:val="000000" w:themeColor="text1"/>
                <w:highlight w:val="none"/>
                <w:lang w:val="zh-CN" w:eastAsia="zh-CN"/>
                <w14:textFill>
                  <w14:solidFill>
                    <w14:schemeClr w14:val="tx1"/>
                  </w14:solidFill>
                </w14:textFill>
              </w:rPr>
              <w:t>声环境质量现状满足《声环境质量标准》（GB3096-2008）中的</w:t>
            </w:r>
            <w:r>
              <w:rPr>
                <w:rFonts w:hint="default" w:ascii="Times New Roman" w:hAnsi="Times New Roman" w:cs="Times New Roman"/>
                <w:color w:val="000000" w:themeColor="text1"/>
                <w:highlight w:val="none"/>
                <w:lang w:val="en-US" w:eastAsia="zh-CN"/>
                <w14:textFill>
                  <w14:solidFill>
                    <w14:schemeClr w14:val="tx1"/>
                  </w14:solidFill>
                </w14:textFill>
              </w:rPr>
              <w:t>2</w:t>
            </w:r>
            <w:r>
              <w:rPr>
                <w:rFonts w:hint="default" w:ascii="Times New Roman" w:hAnsi="Times New Roman" w:cs="Times New Roman"/>
                <w:color w:val="000000" w:themeColor="text1"/>
                <w:highlight w:val="none"/>
                <w:lang w:val="zh-CN" w:eastAsia="zh-CN"/>
                <w14:textFill>
                  <w14:solidFill>
                    <w14:schemeClr w14:val="tx1"/>
                  </w14:solidFill>
                </w14:textFill>
              </w:rPr>
              <w:t>类标准</w:t>
            </w:r>
            <w:r>
              <w:rPr>
                <w:rFonts w:hint="default" w:ascii="Times New Roman" w:hAnsi="Times New Roman" w:cs="Times New Roman"/>
                <w:color w:val="000000" w:themeColor="text1"/>
                <w:highlight w:val="none"/>
                <w:lang w:val="en-US" w:eastAsia="zh-CN"/>
                <w14:textFill>
                  <w14:solidFill>
                    <w14:schemeClr w14:val="tx1"/>
                  </w14:solidFill>
                </w14:textFill>
              </w:rPr>
              <w:t>限值</w:t>
            </w:r>
            <w:r>
              <w:rPr>
                <w:rFonts w:hint="default" w:ascii="Times New Roman" w:hAnsi="Times New Roman" w:cs="Times New Roman"/>
                <w:color w:val="000000" w:themeColor="text1"/>
                <w:highlight w:val="none"/>
                <w:lang w:eastAsia="zh-CN"/>
                <w14:textFill>
                  <w14:solidFill>
                    <w14:schemeClr w14:val="tx1"/>
                  </w14:solidFill>
                </w14:textFill>
              </w:rPr>
              <w:t>。</w:t>
            </w:r>
          </w:p>
          <w:p w14:paraId="09ED7ABF">
            <w:pPr>
              <w:pStyle w:val="3"/>
              <w:bidi w:val="0"/>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3.5</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电磁辐射</w:t>
            </w:r>
            <w:r>
              <w:rPr>
                <w:rFonts w:hint="default" w:ascii="Times New Roman" w:hAnsi="Times New Roman" w:cs="Times New Roman"/>
                <w:color w:val="000000" w:themeColor="text1"/>
                <w:highlight w:val="none"/>
                <w:lang w:eastAsia="zh-CN"/>
                <w14:textFill>
                  <w14:solidFill>
                    <w14:schemeClr w14:val="tx1"/>
                  </w14:solidFill>
                </w14:textFill>
              </w:rPr>
              <w:t>现状</w:t>
            </w:r>
          </w:p>
          <w:p w14:paraId="198D04FE">
            <w:pPr>
              <w:pStyle w:val="31"/>
              <w:bidi w:val="0"/>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本项目所设X光</w:t>
            </w:r>
            <w:r>
              <w:rPr>
                <w:rFonts w:hint="eastAsia" w:cs="Times New Roman"/>
                <w:color w:val="000000" w:themeColor="text1"/>
                <w:highlight w:val="none"/>
                <w:lang w:val="en-US" w:eastAsia="zh-CN"/>
                <w14:textFill>
                  <w14:solidFill>
                    <w14:schemeClr w14:val="tx1"/>
                  </w14:solidFill>
                </w14:textFill>
              </w:rPr>
              <w:t>室X光机</w:t>
            </w:r>
            <w:r>
              <w:rPr>
                <w:rFonts w:hint="default" w:ascii="Times New Roman" w:hAnsi="Times New Roman" w:cs="Times New Roman"/>
                <w:color w:val="000000" w:themeColor="text1"/>
                <w:highlight w:val="none"/>
                <w:lang w:eastAsia="zh-CN"/>
                <w14:textFill>
                  <w14:solidFill>
                    <w14:schemeClr w14:val="tx1"/>
                  </w14:solidFill>
                </w14:textFill>
              </w:rPr>
              <w:t>应按相关环保要求另行申报，办理相关手续，不在本次评价范围内。故本次评价不开展电磁辐射环境现状调查。</w:t>
            </w:r>
          </w:p>
          <w:p w14:paraId="7F04BA05">
            <w:pPr>
              <w:pStyle w:val="3"/>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3.6、生态环境</w:t>
            </w:r>
          </w:p>
          <w:p w14:paraId="3C73C128">
            <w:pPr>
              <w:pStyle w:val="31"/>
              <w:bidi w:val="0"/>
              <w:rPr>
                <w:rFonts w:hint="default" w:ascii="Times New Roman" w:hAnsi="Times New Roman" w:cs="Times New Roman"/>
                <w:color w:val="000000" w:themeColor="text1"/>
                <w:highlight w:val="none"/>
                <w:lang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项目租赁</w:t>
            </w:r>
            <w:r>
              <w:rPr>
                <w:rFonts w:hint="eastAsia" w:ascii="Times New Roman" w:hAnsi="Times New Roman" w:eastAsia="宋体" w:cs="Times New Roman"/>
                <w:color w:val="000000" w:themeColor="text1"/>
                <w:highlight w:val="none"/>
                <w:lang w:val="en-US" w:eastAsia="zh-CN"/>
                <w14:textFill>
                  <w14:solidFill>
                    <w14:schemeClr w14:val="tx1"/>
                  </w14:solidFill>
                </w14:textFill>
              </w:rPr>
              <w:t>闲置商铺，不新增占地，且用地范围内无水源地、文物保护对象和名胜风景区等生态环境保护目标，不需进行生态现状调查。</w:t>
            </w:r>
          </w:p>
        </w:tc>
      </w:tr>
      <w:tr w14:paraId="5AD151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0" w:hRule="atLeast"/>
        </w:trPr>
        <w:tc>
          <w:tcPr>
            <w:tcW w:w="808" w:type="dxa"/>
            <w:tcBorders>
              <w:left w:val="single" w:color="000000" w:sz="6" w:space="0"/>
            </w:tcBorders>
            <w:vAlign w:val="center"/>
          </w:tcPr>
          <w:p w14:paraId="1B44B722">
            <w:pPr>
              <w:bidi w:val="0"/>
              <w:jc w:val="both"/>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环境保护目标</w:t>
            </w:r>
          </w:p>
        </w:tc>
        <w:tc>
          <w:tcPr>
            <w:tcW w:w="8186" w:type="dxa"/>
            <w:tcBorders>
              <w:right w:val="single" w:color="000000" w:sz="6" w:space="0"/>
            </w:tcBorders>
            <w:vAlign w:val="center"/>
          </w:tcPr>
          <w:p w14:paraId="3CED9C4A">
            <w:pPr>
              <w:pStyle w:val="3"/>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3.6</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环境保护目标</w:t>
            </w:r>
          </w:p>
          <w:p w14:paraId="49DA8B00">
            <w:pPr>
              <w:pStyle w:val="31"/>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根据《建设项目环境影响报告表编制技术指南（污染影响类）（2021年试行）》和本项目特点，主要环境保护目标如下：</w:t>
            </w:r>
          </w:p>
          <w:p w14:paraId="7407122D">
            <w:pPr>
              <w:pStyle w:val="31"/>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（1）大气环境</w:t>
            </w:r>
          </w:p>
          <w:p w14:paraId="3E04E6FC">
            <w:pPr>
              <w:pStyle w:val="31"/>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根据现场调查，项目</w:t>
            </w:r>
            <w:r>
              <w:rPr>
                <w:rFonts w:hint="default" w:ascii="Times New Roman" w:hAnsi="Times New Roman" w:cs="Times New Roman"/>
                <w:color w:val="000000" w:themeColor="text1"/>
                <w:highlight w:val="none"/>
                <w:lang w:val="en-US" w:eastAsia="zh-CN"/>
                <w14:textFill>
                  <w14:solidFill>
                    <w14:schemeClr w14:val="tx1"/>
                  </w14:solidFill>
                </w14:textFill>
              </w:rPr>
              <w:t>周边</w:t>
            </w:r>
            <w:r>
              <w:rPr>
                <w:rFonts w:hint="default" w:ascii="Times New Roman" w:hAnsi="Times New Roman" w:cs="Times New Roman"/>
                <w:color w:val="000000" w:themeColor="text1"/>
                <w:highlight w:val="none"/>
                <w14:textFill>
                  <w14:solidFill>
                    <w14:schemeClr w14:val="tx1"/>
                  </w14:solidFill>
                </w14:textFill>
              </w:rPr>
              <w:t>500</w:t>
            </w:r>
            <w:r>
              <w:rPr>
                <w:rFonts w:hint="default" w:ascii="Times New Roman" w:hAnsi="Times New Roman" w:cs="Times New Roman"/>
                <w:color w:val="000000" w:themeColor="text1"/>
                <w:highlight w:val="none"/>
                <w:lang w:val="en-US" w:eastAsia="zh-CN"/>
                <w14:textFill>
                  <w14:solidFill>
                    <w14:schemeClr w14:val="tx1"/>
                  </w14:solidFill>
                </w14:textFill>
              </w:rPr>
              <w:t>米</w:t>
            </w:r>
            <w:r>
              <w:rPr>
                <w:rFonts w:hint="default" w:ascii="Times New Roman" w:hAnsi="Times New Roman" w:cs="Times New Roman"/>
                <w:color w:val="000000" w:themeColor="text1"/>
                <w:highlight w:val="none"/>
                <w14:textFill>
                  <w14:solidFill>
                    <w14:schemeClr w14:val="tx1"/>
                  </w14:solidFill>
                </w14:textFill>
              </w:rPr>
              <w:t>范围内</w:t>
            </w:r>
            <w:r>
              <w:rPr>
                <w:rFonts w:hint="default" w:ascii="Times New Roman" w:hAnsi="Times New Roman" w:cs="Times New Roman"/>
                <w:color w:val="000000" w:themeColor="text1"/>
                <w:highlight w:val="none"/>
                <w:lang w:val="en-US" w:eastAsia="zh-CN"/>
                <w14:textFill>
                  <w14:solidFill>
                    <w14:schemeClr w14:val="tx1"/>
                  </w14:solidFill>
                </w14:textFill>
              </w:rPr>
              <w:t>主要为商铺和</w:t>
            </w:r>
            <w:r>
              <w:rPr>
                <w:rFonts w:hint="default" w:ascii="Times New Roman" w:hAnsi="Times New Roman" w:cs="Times New Roman"/>
                <w:color w:val="000000" w:themeColor="text1"/>
                <w:highlight w:val="none"/>
                <w14:textFill>
                  <w14:solidFill>
                    <w14:schemeClr w14:val="tx1"/>
                  </w14:solidFill>
                </w14:textFill>
              </w:rPr>
              <w:t>居住区</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本项目主要环境空气环境保护目标与级别详见下表。</w:t>
            </w:r>
          </w:p>
          <w:p w14:paraId="64468B7A">
            <w:pPr>
              <w:pStyle w:val="29"/>
              <w:bidi w:val="0"/>
              <w:rPr>
                <w:rFonts w:hint="default" w:ascii="Times New Roman" w:hAnsi="Times New Roman" w:eastAsia="宋体" w:cs="Times New Roman"/>
                <w:b/>
                <w:bCs/>
                <w:color w:val="000000" w:themeColor="text1"/>
                <w:szCs w:val="2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表3-3    本项目大气环境保护目标及保护级别一览表</w:t>
            </w:r>
          </w:p>
          <w:tbl>
            <w:tblPr>
              <w:tblStyle w:val="1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2"/>
              <w:gridCol w:w="2014"/>
              <w:gridCol w:w="1200"/>
              <w:gridCol w:w="1100"/>
              <w:gridCol w:w="1865"/>
              <w:gridCol w:w="1291"/>
            </w:tblGrid>
            <w:tr w14:paraId="18839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423" w:type="pct"/>
                  <w:vMerge w:val="restart"/>
                  <w:tcBorders>
                    <w:tl2br w:val="nil"/>
                    <w:tr2bl w:val="nil"/>
                  </w:tcBorders>
                  <w:noWrap w:val="0"/>
                  <w:vAlign w:val="center"/>
                </w:tcPr>
                <w:p w14:paraId="79145A90">
                  <w:pPr>
                    <w:pStyle w:val="30"/>
                    <w:bidi w:val="0"/>
                    <w:rPr>
                      <w:rFonts w:hint="default" w:ascii="Times New Roman" w:hAnsi="Times New Roman" w:cs="Times New Roman"/>
                      <w:b/>
                      <w:bCs w:val="0"/>
                      <w:color w:val="000000" w:themeColor="text1"/>
                      <w:highlight w:val="none"/>
                      <w14:textFill>
                        <w14:solidFill>
                          <w14:schemeClr w14:val="tx1"/>
                        </w14:solidFill>
                      </w14:textFill>
                    </w:rPr>
                  </w:pPr>
                  <w:r>
                    <w:rPr>
                      <w:rFonts w:hint="default" w:ascii="Times New Roman" w:hAnsi="Times New Roman" w:cs="Times New Roman"/>
                      <w:b/>
                      <w:bCs w:val="0"/>
                      <w:color w:val="000000" w:themeColor="text1"/>
                      <w:highlight w:val="none"/>
                      <w14:textFill>
                        <w14:solidFill>
                          <w14:schemeClr w14:val="tx1"/>
                        </w14:solidFill>
                      </w14:textFill>
                    </w:rPr>
                    <w:t>环境要素</w:t>
                  </w:r>
                </w:p>
              </w:tc>
              <w:tc>
                <w:tcPr>
                  <w:tcW w:w="1233" w:type="pct"/>
                  <w:vMerge w:val="restart"/>
                  <w:tcBorders>
                    <w:tl2br w:val="nil"/>
                    <w:tr2bl w:val="nil"/>
                  </w:tcBorders>
                  <w:noWrap w:val="0"/>
                  <w:vAlign w:val="center"/>
                </w:tcPr>
                <w:p w14:paraId="4C578F87">
                  <w:pPr>
                    <w:pStyle w:val="30"/>
                    <w:bidi w:val="0"/>
                    <w:rPr>
                      <w:rFonts w:hint="default" w:ascii="Times New Roman" w:hAnsi="Times New Roman" w:cs="Times New Roman"/>
                      <w:b/>
                      <w:bCs w:val="0"/>
                      <w:color w:val="000000" w:themeColor="text1"/>
                      <w:highlight w:val="none"/>
                      <w14:textFill>
                        <w14:solidFill>
                          <w14:schemeClr w14:val="tx1"/>
                        </w14:solidFill>
                      </w14:textFill>
                    </w:rPr>
                  </w:pPr>
                  <w:r>
                    <w:rPr>
                      <w:rFonts w:hint="default" w:ascii="Times New Roman" w:hAnsi="Times New Roman" w:cs="Times New Roman"/>
                      <w:b/>
                      <w:bCs w:val="0"/>
                      <w:color w:val="000000" w:themeColor="text1"/>
                      <w:highlight w:val="none"/>
                      <w14:textFill>
                        <w14:solidFill>
                          <w14:schemeClr w14:val="tx1"/>
                        </w14:solidFill>
                      </w14:textFill>
                    </w:rPr>
                    <w:t>保护目标</w:t>
                  </w:r>
                </w:p>
              </w:tc>
              <w:tc>
                <w:tcPr>
                  <w:tcW w:w="735" w:type="pct"/>
                  <w:vMerge w:val="restart"/>
                  <w:tcBorders>
                    <w:tl2br w:val="nil"/>
                    <w:tr2bl w:val="nil"/>
                  </w:tcBorders>
                  <w:noWrap w:val="0"/>
                  <w:vAlign w:val="center"/>
                </w:tcPr>
                <w:p w14:paraId="3E2E36AB">
                  <w:pPr>
                    <w:pStyle w:val="30"/>
                    <w:bidi w:val="0"/>
                    <w:rPr>
                      <w:rFonts w:hint="default" w:ascii="Times New Roman" w:hAnsi="Times New Roman" w:cs="Times New Roman"/>
                      <w:b/>
                      <w:bCs w:val="0"/>
                      <w:color w:val="000000" w:themeColor="text1"/>
                      <w:highlight w:val="none"/>
                      <w14:textFill>
                        <w14:solidFill>
                          <w14:schemeClr w14:val="tx1"/>
                        </w14:solidFill>
                      </w14:textFill>
                    </w:rPr>
                  </w:pPr>
                  <w:r>
                    <w:rPr>
                      <w:rFonts w:hint="default" w:ascii="Times New Roman" w:hAnsi="Times New Roman" w:cs="Times New Roman"/>
                      <w:b/>
                      <w:bCs w:val="0"/>
                      <w:color w:val="000000" w:themeColor="text1"/>
                      <w:highlight w:val="none"/>
                      <w14:textFill>
                        <w14:solidFill>
                          <w14:schemeClr w14:val="tx1"/>
                        </w14:solidFill>
                      </w14:textFill>
                    </w:rPr>
                    <w:t>保护对象</w:t>
                  </w:r>
                </w:p>
              </w:tc>
              <w:tc>
                <w:tcPr>
                  <w:tcW w:w="673" w:type="pct"/>
                  <w:vMerge w:val="restart"/>
                  <w:tcBorders>
                    <w:tl2br w:val="nil"/>
                    <w:tr2bl w:val="nil"/>
                  </w:tcBorders>
                  <w:noWrap w:val="0"/>
                  <w:vAlign w:val="center"/>
                </w:tcPr>
                <w:p w14:paraId="1EB8462E">
                  <w:pPr>
                    <w:pStyle w:val="30"/>
                    <w:bidi w:val="0"/>
                    <w:rPr>
                      <w:rFonts w:hint="default" w:ascii="Times New Roman" w:hAnsi="Times New Roman" w:cs="Times New Roman"/>
                      <w:b/>
                      <w:bCs w:val="0"/>
                      <w:color w:val="000000" w:themeColor="text1"/>
                      <w:highlight w:val="none"/>
                      <w14:textFill>
                        <w14:solidFill>
                          <w14:schemeClr w14:val="tx1"/>
                        </w14:solidFill>
                      </w14:textFill>
                    </w:rPr>
                  </w:pPr>
                  <w:r>
                    <w:rPr>
                      <w:rFonts w:hint="default" w:ascii="Times New Roman" w:hAnsi="Times New Roman" w:cs="Times New Roman"/>
                      <w:b/>
                      <w:bCs w:val="0"/>
                      <w:color w:val="000000" w:themeColor="text1"/>
                      <w:highlight w:val="none"/>
                      <w14:textFill>
                        <w14:solidFill>
                          <w14:schemeClr w14:val="tx1"/>
                        </w14:solidFill>
                      </w14:textFill>
                    </w:rPr>
                    <w:t>相对厂址位置</w:t>
                  </w:r>
                </w:p>
              </w:tc>
              <w:tc>
                <w:tcPr>
                  <w:tcW w:w="1142" w:type="pct"/>
                  <w:vMerge w:val="restart"/>
                  <w:tcBorders>
                    <w:tl2br w:val="nil"/>
                    <w:tr2bl w:val="nil"/>
                  </w:tcBorders>
                  <w:noWrap w:val="0"/>
                  <w:vAlign w:val="center"/>
                </w:tcPr>
                <w:p w14:paraId="0963920C">
                  <w:pPr>
                    <w:pStyle w:val="30"/>
                    <w:bidi w:val="0"/>
                    <w:rPr>
                      <w:rFonts w:hint="default" w:ascii="Times New Roman" w:hAnsi="Times New Roman" w:cs="Times New Roman"/>
                      <w:b/>
                      <w:bCs w:val="0"/>
                      <w:color w:val="000000" w:themeColor="text1"/>
                      <w:highlight w:val="none"/>
                      <w:lang w:eastAsia="zh-CN"/>
                      <w14:textFill>
                        <w14:solidFill>
                          <w14:schemeClr w14:val="tx1"/>
                        </w14:solidFill>
                      </w14:textFill>
                    </w:rPr>
                  </w:pPr>
                  <w:r>
                    <w:rPr>
                      <w:rFonts w:hint="default" w:ascii="Times New Roman" w:hAnsi="Times New Roman" w:cs="Times New Roman"/>
                      <w:b/>
                      <w:bCs w:val="0"/>
                      <w:color w:val="000000" w:themeColor="text1"/>
                      <w:highlight w:val="none"/>
                      <w14:textFill>
                        <w14:solidFill>
                          <w14:schemeClr w14:val="tx1"/>
                        </w14:solidFill>
                      </w14:textFill>
                    </w:rPr>
                    <w:t>相对厂址距离/</w:t>
                  </w:r>
                  <w:r>
                    <w:rPr>
                      <w:rFonts w:hint="eastAsia" w:cs="Times New Roman"/>
                      <w:b/>
                      <w:bCs w:val="0"/>
                      <w:color w:val="000000" w:themeColor="text1"/>
                      <w:highlight w:val="none"/>
                      <w:lang w:val="en-US" w:eastAsia="zh-CN"/>
                      <w14:textFill>
                        <w14:solidFill>
                          <w14:schemeClr w14:val="tx1"/>
                        </w14:solidFill>
                      </w14:textFill>
                    </w:rPr>
                    <w:t>m</w:t>
                  </w:r>
                </w:p>
              </w:tc>
              <w:tc>
                <w:tcPr>
                  <w:tcW w:w="790" w:type="pct"/>
                  <w:vMerge w:val="restart"/>
                  <w:tcBorders>
                    <w:tl2br w:val="nil"/>
                    <w:tr2bl w:val="nil"/>
                  </w:tcBorders>
                  <w:noWrap w:val="0"/>
                  <w:vAlign w:val="center"/>
                </w:tcPr>
                <w:p w14:paraId="46738282">
                  <w:pPr>
                    <w:pStyle w:val="30"/>
                    <w:bidi w:val="0"/>
                    <w:rPr>
                      <w:rFonts w:hint="default" w:ascii="Times New Roman" w:hAnsi="Times New Roman" w:cs="Times New Roman"/>
                      <w:b/>
                      <w:bCs w:val="0"/>
                      <w:color w:val="000000" w:themeColor="text1"/>
                      <w:highlight w:val="none"/>
                      <w14:textFill>
                        <w14:solidFill>
                          <w14:schemeClr w14:val="tx1"/>
                        </w14:solidFill>
                      </w14:textFill>
                    </w:rPr>
                  </w:pPr>
                  <w:r>
                    <w:rPr>
                      <w:rFonts w:hint="default" w:ascii="Times New Roman" w:hAnsi="Times New Roman" w:cs="Times New Roman"/>
                      <w:b/>
                      <w:bCs w:val="0"/>
                      <w:color w:val="000000" w:themeColor="text1"/>
                      <w:highlight w:val="none"/>
                      <w14:textFill>
                        <w14:solidFill>
                          <w14:schemeClr w14:val="tx1"/>
                        </w14:solidFill>
                      </w14:textFill>
                    </w:rPr>
                    <w:t>保护级别</w:t>
                  </w:r>
                </w:p>
              </w:tc>
            </w:tr>
            <w:tr w14:paraId="086D1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423" w:type="pct"/>
                  <w:vMerge w:val="continue"/>
                  <w:tcBorders>
                    <w:tl2br w:val="nil"/>
                    <w:tr2bl w:val="nil"/>
                  </w:tcBorders>
                  <w:noWrap w:val="0"/>
                  <w:vAlign w:val="center"/>
                </w:tcPr>
                <w:p w14:paraId="75B4C7D2">
                  <w:pPr>
                    <w:pStyle w:val="30"/>
                    <w:bidi w:val="0"/>
                    <w:rPr>
                      <w:rFonts w:hint="default" w:ascii="Times New Roman" w:hAnsi="Times New Roman" w:cs="Times New Roman"/>
                      <w:b/>
                      <w:bCs w:val="0"/>
                      <w:color w:val="000000" w:themeColor="text1"/>
                      <w:highlight w:val="none"/>
                      <w14:textFill>
                        <w14:solidFill>
                          <w14:schemeClr w14:val="tx1"/>
                        </w14:solidFill>
                      </w14:textFill>
                    </w:rPr>
                  </w:pPr>
                </w:p>
              </w:tc>
              <w:tc>
                <w:tcPr>
                  <w:tcW w:w="1233" w:type="pct"/>
                  <w:vMerge w:val="continue"/>
                  <w:tcBorders>
                    <w:tl2br w:val="nil"/>
                    <w:tr2bl w:val="nil"/>
                  </w:tcBorders>
                  <w:noWrap w:val="0"/>
                  <w:vAlign w:val="center"/>
                </w:tcPr>
                <w:p w14:paraId="4999C298">
                  <w:pPr>
                    <w:pStyle w:val="30"/>
                    <w:bidi w:val="0"/>
                    <w:rPr>
                      <w:rFonts w:hint="default" w:ascii="Times New Roman" w:hAnsi="Times New Roman" w:cs="Times New Roman"/>
                      <w:b/>
                      <w:bCs w:val="0"/>
                      <w:color w:val="000000" w:themeColor="text1"/>
                      <w:highlight w:val="none"/>
                      <w14:textFill>
                        <w14:solidFill>
                          <w14:schemeClr w14:val="tx1"/>
                        </w14:solidFill>
                      </w14:textFill>
                    </w:rPr>
                  </w:pPr>
                </w:p>
              </w:tc>
              <w:tc>
                <w:tcPr>
                  <w:tcW w:w="735" w:type="pct"/>
                  <w:vMerge w:val="continue"/>
                  <w:tcBorders>
                    <w:tl2br w:val="nil"/>
                    <w:tr2bl w:val="nil"/>
                  </w:tcBorders>
                  <w:noWrap w:val="0"/>
                  <w:vAlign w:val="center"/>
                </w:tcPr>
                <w:p w14:paraId="48B04672">
                  <w:pPr>
                    <w:pStyle w:val="30"/>
                    <w:bidi w:val="0"/>
                    <w:rPr>
                      <w:rFonts w:hint="default" w:ascii="Times New Roman" w:hAnsi="Times New Roman" w:cs="Times New Roman"/>
                      <w:b/>
                      <w:bCs w:val="0"/>
                      <w:color w:val="000000" w:themeColor="text1"/>
                      <w:highlight w:val="none"/>
                      <w14:textFill>
                        <w14:solidFill>
                          <w14:schemeClr w14:val="tx1"/>
                        </w14:solidFill>
                      </w14:textFill>
                    </w:rPr>
                  </w:pPr>
                </w:p>
              </w:tc>
              <w:tc>
                <w:tcPr>
                  <w:tcW w:w="673" w:type="pct"/>
                  <w:vMerge w:val="continue"/>
                  <w:tcBorders>
                    <w:tl2br w:val="nil"/>
                    <w:tr2bl w:val="nil"/>
                  </w:tcBorders>
                  <w:noWrap w:val="0"/>
                  <w:vAlign w:val="center"/>
                </w:tcPr>
                <w:p w14:paraId="5AD6A409">
                  <w:pPr>
                    <w:pStyle w:val="30"/>
                    <w:bidi w:val="0"/>
                    <w:rPr>
                      <w:rFonts w:hint="default" w:ascii="Times New Roman" w:hAnsi="Times New Roman" w:cs="Times New Roman"/>
                      <w:b/>
                      <w:bCs w:val="0"/>
                      <w:color w:val="000000" w:themeColor="text1"/>
                      <w:highlight w:val="none"/>
                      <w14:textFill>
                        <w14:solidFill>
                          <w14:schemeClr w14:val="tx1"/>
                        </w14:solidFill>
                      </w14:textFill>
                    </w:rPr>
                  </w:pPr>
                </w:p>
              </w:tc>
              <w:tc>
                <w:tcPr>
                  <w:tcW w:w="1142" w:type="pct"/>
                  <w:vMerge w:val="continue"/>
                  <w:tcBorders>
                    <w:tl2br w:val="nil"/>
                    <w:tr2bl w:val="nil"/>
                  </w:tcBorders>
                  <w:noWrap w:val="0"/>
                  <w:vAlign w:val="center"/>
                </w:tcPr>
                <w:p w14:paraId="2DA290BE">
                  <w:pPr>
                    <w:pStyle w:val="30"/>
                    <w:bidi w:val="0"/>
                    <w:rPr>
                      <w:rFonts w:hint="default" w:ascii="Times New Roman" w:hAnsi="Times New Roman" w:cs="Times New Roman"/>
                      <w:b/>
                      <w:bCs w:val="0"/>
                      <w:color w:val="000000" w:themeColor="text1"/>
                      <w:highlight w:val="none"/>
                      <w14:textFill>
                        <w14:solidFill>
                          <w14:schemeClr w14:val="tx1"/>
                        </w14:solidFill>
                      </w14:textFill>
                    </w:rPr>
                  </w:pPr>
                </w:p>
              </w:tc>
              <w:tc>
                <w:tcPr>
                  <w:tcW w:w="790" w:type="pct"/>
                  <w:vMerge w:val="continue"/>
                  <w:tcBorders>
                    <w:tl2br w:val="nil"/>
                    <w:tr2bl w:val="nil"/>
                  </w:tcBorders>
                  <w:noWrap w:val="0"/>
                  <w:vAlign w:val="center"/>
                </w:tcPr>
                <w:p w14:paraId="30C6153C">
                  <w:pPr>
                    <w:pStyle w:val="30"/>
                    <w:bidi w:val="0"/>
                    <w:rPr>
                      <w:rFonts w:hint="default" w:ascii="Times New Roman" w:hAnsi="Times New Roman" w:cs="Times New Roman"/>
                      <w:b/>
                      <w:bCs w:val="0"/>
                      <w:color w:val="000000" w:themeColor="text1"/>
                      <w:highlight w:val="none"/>
                      <w14:textFill>
                        <w14:solidFill>
                          <w14:schemeClr w14:val="tx1"/>
                        </w14:solidFill>
                      </w14:textFill>
                    </w:rPr>
                  </w:pPr>
                </w:p>
              </w:tc>
            </w:tr>
            <w:tr w14:paraId="4B921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3" w:type="pct"/>
                  <w:vMerge w:val="restart"/>
                  <w:tcBorders>
                    <w:tl2br w:val="nil"/>
                    <w:tr2bl w:val="nil"/>
                  </w:tcBorders>
                  <w:noWrap w:val="0"/>
                  <w:vAlign w:val="center"/>
                </w:tcPr>
                <w:p w14:paraId="21A56CAD">
                  <w:pPr>
                    <w:pStyle w:val="30"/>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大气环境</w:t>
                  </w:r>
                </w:p>
              </w:tc>
              <w:tc>
                <w:tcPr>
                  <w:tcW w:w="1233" w:type="pct"/>
                  <w:tcBorders>
                    <w:tl2br w:val="nil"/>
                    <w:tr2bl w:val="nil"/>
                  </w:tcBorders>
                  <w:shd w:val="clear" w:color="auto" w:fill="auto"/>
                  <w:noWrap w:val="0"/>
                  <w:vAlign w:val="center"/>
                </w:tcPr>
                <w:p w14:paraId="5AA1686C">
                  <w:pPr>
                    <w:pStyle w:val="30"/>
                    <w:bidi w:val="0"/>
                    <w:rPr>
                      <w:rFonts w:hint="default" w:ascii="Times New Roman" w:hAnsi="Times New Roman" w:eastAsia="宋体" w:cs="Times New Roman"/>
                      <w:bCs/>
                      <w:snapToGrid w:val="0"/>
                      <w:color w:val="000000" w:themeColor="text1"/>
                      <w:spacing w:val="8"/>
                      <w:kern w:val="0"/>
                      <w:sz w:val="21"/>
                      <w:szCs w:val="72"/>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壹号千城</w:t>
                  </w:r>
                </w:p>
              </w:tc>
              <w:tc>
                <w:tcPr>
                  <w:tcW w:w="735" w:type="pct"/>
                  <w:tcBorders>
                    <w:tl2br w:val="nil"/>
                    <w:tr2bl w:val="nil"/>
                  </w:tcBorders>
                  <w:shd w:val="clear" w:color="auto" w:fill="auto"/>
                  <w:noWrap w:val="0"/>
                  <w:vAlign w:val="center"/>
                </w:tcPr>
                <w:p w14:paraId="39FA3783">
                  <w:pPr>
                    <w:pStyle w:val="30"/>
                    <w:bidi w:val="0"/>
                    <w:rPr>
                      <w:rFonts w:hint="default" w:ascii="Times New Roman" w:hAnsi="Times New Roman" w:eastAsia="宋体" w:cs="Times New Roman"/>
                      <w:bCs/>
                      <w:snapToGrid w:val="0"/>
                      <w:color w:val="000000" w:themeColor="text1"/>
                      <w:spacing w:val="8"/>
                      <w:kern w:val="0"/>
                      <w:sz w:val="21"/>
                      <w:szCs w:val="72"/>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居</w:t>
                  </w:r>
                  <w:r>
                    <w:rPr>
                      <w:rFonts w:hint="eastAsia" w:cs="Times New Roman"/>
                      <w:color w:val="000000" w:themeColor="text1"/>
                      <w:highlight w:val="none"/>
                      <w:lang w:val="en-US" w:eastAsia="zh-CN"/>
                      <w14:textFill>
                        <w14:solidFill>
                          <w14:schemeClr w14:val="tx1"/>
                        </w14:solidFill>
                      </w14:textFill>
                    </w:rPr>
                    <w:t>民</w:t>
                  </w:r>
                </w:p>
              </w:tc>
              <w:tc>
                <w:tcPr>
                  <w:tcW w:w="673" w:type="pct"/>
                  <w:tcBorders>
                    <w:tl2br w:val="nil"/>
                    <w:tr2bl w:val="nil"/>
                  </w:tcBorders>
                  <w:shd w:val="clear" w:color="auto" w:fill="auto"/>
                  <w:noWrap w:val="0"/>
                  <w:vAlign w:val="center"/>
                </w:tcPr>
                <w:p w14:paraId="795998F1">
                  <w:pPr>
                    <w:pStyle w:val="30"/>
                    <w:bidi w:val="0"/>
                    <w:rPr>
                      <w:rFonts w:hint="default" w:ascii="Times New Roman" w:hAnsi="Times New Roman" w:eastAsia="宋体" w:cs="Times New Roman"/>
                      <w:bCs/>
                      <w:snapToGrid w:val="0"/>
                      <w:color w:val="000000" w:themeColor="text1"/>
                      <w:spacing w:val="8"/>
                      <w:kern w:val="0"/>
                      <w:sz w:val="21"/>
                      <w:szCs w:val="72"/>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NE</w:t>
                  </w:r>
                </w:p>
              </w:tc>
              <w:tc>
                <w:tcPr>
                  <w:tcW w:w="1142" w:type="pct"/>
                  <w:tcBorders>
                    <w:tl2br w:val="nil"/>
                    <w:tr2bl w:val="nil"/>
                  </w:tcBorders>
                  <w:shd w:val="clear" w:color="auto" w:fill="auto"/>
                  <w:noWrap w:val="0"/>
                  <w:vAlign w:val="center"/>
                </w:tcPr>
                <w:p w14:paraId="57606EE1">
                  <w:pPr>
                    <w:pStyle w:val="30"/>
                    <w:bidi w:val="0"/>
                    <w:rPr>
                      <w:rFonts w:hint="default" w:ascii="Times New Roman" w:hAnsi="Times New Roman" w:eastAsia="宋体" w:cs="Times New Roman"/>
                      <w:bCs/>
                      <w:snapToGrid w:val="0"/>
                      <w:color w:val="000000" w:themeColor="text1"/>
                      <w:spacing w:val="8"/>
                      <w:kern w:val="0"/>
                      <w:sz w:val="21"/>
                      <w:szCs w:val="72"/>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300-500</w:t>
                  </w:r>
                </w:p>
              </w:tc>
              <w:tc>
                <w:tcPr>
                  <w:tcW w:w="790" w:type="pct"/>
                  <w:vMerge w:val="restart"/>
                  <w:tcBorders>
                    <w:tl2br w:val="nil"/>
                    <w:tr2bl w:val="nil"/>
                  </w:tcBorders>
                  <w:noWrap w:val="0"/>
                  <w:vAlign w:val="center"/>
                </w:tcPr>
                <w:p w14:paraId="3ADBAB7F">
                  <w:pPr>
                    <w:pStyle w:val="30"/>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《环境空气质量标准》（GB3095-20</w:t>
                  </w:r>
                  <w:r>
                    <w:rPr>
                      <w:rFonts w:hint="eastAsia" w:cs="Times New Roman"/>
                      <w:color w:val="000000" w:themeColor="text1"/>
                      <w:highlight w:val="none"/>
                      <w:lang w:val="en-US" w:eastAsia="zh-CN"/>
                      <w14:textFill>
                        <w14:solidFill>
                          <w14:schemeClr w14:val="tx1"/>
                        </w14:solidFill>
                      </w14:textFill>
                    </w:rPr>
                    <w:t>26</w:t>
                  </w:r>
                  <w:r>
                    <w:rPr>
                      <w:rFonts w:hint="default" w:ascii="Times New Roman" w:hAnsi="Times New Roman" w:cs="Times New Roman"/>
                      <w:color w:val="000000" w:themeColor="text1"/>
                      <w:highlight w:val="none"/>
                      <w14:textFill>
                        <w14:solidFill>
                          <w14:schemeClr w14:val="tx1"/>
                        </w14:solidFill>
                      </w14:textFill>
                    </w:rPr>
                    <w:t>）过渡阶段</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二级标准</w:t>
                  </w:r>
                </w:p>
              </w:tc>
            </w:tr>
            <w:tr w14:paraId="4B4C1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3" w:type="pct"/>
                  <w:vMerge w:val="continue"/>
                  <w:tcBorders>
                    <w:tl2br w:val="nil"/>
                    <w:tr2bl w:val="nil"/>
                  </w:tcBorders>
                  <w:noWrap w:val="0"/>
                  <w:vAlign w:val="center"/>
                </w:tcPr>
                <w:p w14:paraId="366D4290">
                  <w:pPr>
                    <w:pStyle w:val="30"/>
                    <w:bidi w:val="0"/>
                    <w:rPr>
                      <w:rFonts w:hint="default" w:ascii="Times New Roman" w:hAnsi="Times New Roman" w:cs="Times New Roman"/>
                      <w:color w:val="000000" w:themeColor="text1"/>
                      <w:highlight w:val="none"/>
                      <w14:textFill>
                        <w14:solidFill>
                          <w14:schemeClr w14:val="tx1"/>
                        </w14:solidFill>
                      </w14:textFill>
                    </w:rPr>
                  </w:pPr>
                </w:p>
              </w:tc>
              <w:tc>
                <w:tcPr>
                  <w:tcW w:w="1233" w:type="pct"/>
                  <w:tcBorders>
                    <w:tl2br w:val="nil"/>
                    <w:tr2bl w:val="nil"/>
                  </w:tcBorders>
                  <w:shd w:val="clear" w:color="auto" w:fill="auto"/>
                  <w:noWrap w:val="0"/>
                  <w:vAlign w:val="center"/>
                </w:tcPr>
                <w:p w14:paraId="7819E7C3">
                  <w:pPr>
                    <w:pStyle w:val="30"/>
                    <w:bidi w:val="0"/>
                    <w:rPr>
                      <w:rFonts w:hint="eastAsia" w:ascii="Times New Roman" w:hAnsi="Times New Roman" w:eastAsia="宋体" w:cs="Times New Roman"/>
                      <w:bCs/>
                      <w:snapToGrid w:val="0"/>
                      <w:color w:val="000000" w:themeColor="text1"/>
                      <w:spacing w:val="8"/>
                      <w:kern w:val="0"/>
                      <w:sz w:val="21"/>
                      <w:szCs w:val="72"/>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富康医院</w:t>
                  </w:r>
                </w:p>
              </w:tc>
              <w:tc>
                <w:tcPr>
                  <w:tcW w:w="735" w:type="pct"/>
                  <w:tcBorders>
                    <w:tl2br w:val="nil"/>
                    <w:tr2bl w:val="nil"/>
                  </w:tcBorders>
                  <w:shd w:val="clear" w:color="auto" w:fill="auto"/>
                  <w:noWrap w:val="0"/>
                  <w:vAlign w:val="center"/>
                </w:tcPr>
                <w:p w14:paraId="29E7001D">
                  <w:pPr>
                    <w:pStyle w:val="30"/>
                    <w:bidi w:val="0"/>
                    <w:rPr>
                      <w:rFonts w:hint="eastAsia" w:ascii="Times New Roman" w:hAnsi="Times New Roman" w:eastAsia="宋体" w:cs="Times New Roman"/>
                      <w:bCs/>
                      <w:snapToGrid w:val="0"/>
                      <w:color w:val="000000" w:themeColor="text1"/>
                      <w:spacing w:val="8"/>
                      <w:kern w:val="0"/>
                      <w:sz w:val="21"/>
                      <w:szCs w:val="72"/>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医患</w:t>
                  </w:r>
                </w:p>
              </w:tc>
              <w:tc>
                <w:tcPr>
                  <w:tcW w:w="673" w:type="pct"/>
                  <w:tcBorders>
                    <w:tl2br w:val="nil"/>
                    <w:tr2bl w:val="nil"/>
                  </w:tcBorders>
                  <w:shd w:val="clear" w:color="auto" w:fill="auto"/>
                  <w:noWrap w:val="0"/>
                  <w:vAlign w:val="center"/>
                </w:tcPr>
                <w:p w14:paraId="5160ED35">
                  <w:pPr>
                    <w:pStyle w:val="30"/>
                    <w:bidi w:val="0"/>
                    <w:rPr>
                      <w:rFonts w:hint="eastAsia" w:ascii="Times New Roman" w:hAnsi="Times New Roman" w:eastAsia="宋体" w:cs="Times New Roman"/>
                      <w:bCs/>
                      <w:snapToGrid w:val="0"/>
                      <w:color w:val="000000" w:themeColor="text1"/>
                      <w:spacing w:val="8"/>
                      <w:kern w:val="0"/>
                      <w:sz w:val="21"/>
                      <w:szCs w:val="72"/>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NE</w:t>
                  </w:r>
                </w:p>
              </w:tc>
              <w:tc>
                <w:tcPr>
                  <w:tcW w:w="1142" w:type="pct"/>
                  <w:tcBorders>
                    <w:tl2br w:val="nil"/>
                    <w:tr2bl w:val="nil"/>
                  </w:tcBorders>
                  <w:shd w:val="clear" w:color="auto" w:fill="auto"/>
                  <w:noWrap w:val="0"/>
                  <w:vAlign w:val="center"/>
                </w:tcPr>
                <w:p w14:paraId="7DBC5DD4">
                  <w:pPr>
                    <w:pStyle w:val="30"/>
                    <w:bidi w:val="0"/>
                    <w:rPr>
                      <w:rFonts w:hint="default" w:ascii="Times New Roman" w:hAnsi="Times New Roman" w:eastAsia="宋体" w:cs="Times New Roman"/>
                      <w:bCs/>
                      <w:snapToGrid w:val="0"/>
                      <w:color w:val="000000" w:themeColor="text1"/>
                      <w:spacing w:val="8"/>
                      <w:kern w:val="0"/>
                      <w:sz w:val="21"/>
                      <w:szCs w:val="72"/>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90-150</w:t>
                  </w:r>
                </w:p>
              </w:tc>
              <w:tc>
                <w:tcPr>
                  <w:tcW w:w="790" w:type="pct"/>
                  <w:vMerge w:val="continue"/>
                  <w:tcBorders>
                    <w:tl2br w:val="nil"/>
                    <w:tr2bl w:val="nil"/>
                  </w:tcBorders>
                  <w:noWrap w:val="0"/>
                  <w:vAlign w:val="center"/>
                </w:tcPr>
                <w:p w14:paraId="5F9FA1CF">
                  <w:pPr>
                    <w:pStyle w:val="30"/>
                    <w:bidi w:val="0"/>
                    <w:rPr>
                      <w:rFonts w:hint="default" w:ascii="Times New Roman" w:hAnsi="Times New Roman" w:cs="Times New Roman"/>
                      <w:color w:val="000000" w:themeColor="text1"/>
                      <w:highlight w:val="none"/>
                      <w14:textFill>
                        <w14:solidFill>
                          <w14:schemeClr w14:val="tx1"/>
                        </w14:solidFill>
                      </w14:textFill>
                    </w:rPr>
                  </w:pPr>
                </w:p>
              </w:tc>
            </w:tr>
            <w:tr w14:paraId="36E03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3" w:type="pct"/>
                  <w:vMerge w:val="continue"/>
                  <w:tcBorders>
                    <w:tl2br w:val="nil"/>
                    <w:tr2bl w:val="nil"/>
                  </w:tcBorders>
                  <w:noWrap w:val="0"/>
                  <w:vAlign w:val="center"/>
                </w:tcPr>
                <w:p w14:paraId="7BCF1274">
                  <w:pPr>
                    <w:pStyle w:val="30"/>
                    <w:bidi w:val="0"/>
                    <w:rPr>
                      <w:rFonts w:hint="default" w:ascii="Times New Roman" w:hAnsi="Times New Roman" w:cs="Times New Roman"/>
                      <w:color w:val="000000" w:themeColor="text1"/>
                      <w:highlight w:val="none"/>
                      <w14:textFill>
                        <w14:solidFill>
                          <w14:schemeClr w14:val="tx1"/>
                        </w14:solidFill>
                      </w14:textFill>
                    </w:rPr>
                  </w:pPr>
                </w:p>
              </w:tc>
              <w:tc>
                <w:tcPr>
                  <w:tcW w:w="1233" w:type="pct"/>
                  <w:tcBorders>
                    <w:tl2br w:val="nil"/>
                    <w:tr2bl w:val="nil"/>
                  </w:tcBorders>
                  <w:shd w:val="clear" w:color="auto" w:fill="auto"/>
                  <w:noWrap w:val="0"/>
                  <w:vAlign w:val="center"/>
                </w:tcPr>
                <w:p w14:paraId="45D33E55">
                  <w:pPr>
                    <w:pStyle w:val="30"/>
                    <w:bidi w:val="0"/>
                    <w:rPr>
                      <w:rFonts w:hint="default" w:ascii="Times New Roman" w:hAnsi="Times New Roman" w:eastAsia="宋体" w:cs="Times New Roman"/>
                      <w:bCs/>
                      <w:snapToGrid w:val="0"/>
                      <w:color w:val="000000" w:themeColor="text1"/>
                      <w:spacing w:val="8"/>
                      <w:kern w:val="0"/>
                      <w:sz w:val="21"/>
                      <w:szCs w:val="72"/>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库尔勒市梨香水韵综合门诊</w:t>
                  </w:r>
                </w:p>
              </w:tc>
              <w:tc>
                <w:tcPr>
                  <w:tcW w:w="735" w:type="pct"/>
                  <w:tcBorders>
                    <w:tl2br w:val="nil"/>
                    <w:tr2bl w:val="nil"/>
                  </w:tcBorders>
                  <w:shd w:val="clear" w:color="auto" w:fill="auto"/>
                  <w:noWrap w:val="0"/>
                  <w:vAlign w:val="center"/>
                </w:tcPr>
                <w:p w14:paraId="00D6F548">
                  <w:pPr>
                    <w:pStyle w:val="30"/>
                    <w:bidi w:val="0"/>
                    <w:rPr>
                      <w:rFonts w:hint="default" w:ascii="Times New Roman" w:hAnsi="Times New Roman" w:eastAsia="宋体" w:cs="Times New Roman"/>
                      <w:bCs/>
                      <w:snapToGrid w:val="0"/>
                      <w:color w:val="000000" w:themeColor="text1"/>
                      <w:spacing w:val="8"/>
                      <w:kern w:val="0"/>
                      <w:sz w:val="21"/>
                      <w:szCs w:val="72"/>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医患</w:t>
                  </w:r>
                </w:p>
              </w:tc>
              <w:tc>
                <w:tcPr>
                  <w:tcW w:w="673" w:type="pct"/>
                  <w:tcBorders>
                    <w:tl2br w:val="nil"/>
                    <w:tr2bl w:val="nil"/>
                  </w:tcBorders>
                  <w:shd w:val="clear" w:color="auto" w:fill="auto"/>
                  <w:noWrap w:val="0"/>
                  <w:vAlign w:val="center"/>
                </w:tcPr>
                <w:p w14:paraId="6C8DE436">
                  <w:pPr>
                    <w:pStyle w:val="30"/>
                    <w:bidi w:val="0"/>
                    <w:rPr>
                      <w:rFonts w:hint="eastAsia" w:ascii="Times New Roman" w:hAnsi="Times New Roman" w:eastAsia="宋体" w:cs="Times New Roman"/>
                      <w:bCs/>
                      <w:snapToGrid w:val="0"/>
                      <w:color w:val="000000" w:themeColor="text1"/>
                      <w:spacing w:val="8"/>
                      <w:kern w:val="0"/>
                      <w:sz w:val="21"/>
                      <w:szCs w:val="72"/>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NE</w:t>
                  </w:r>
                </w:p>
              </w:tc>
              <w:tc>
                <w:tcPr>
                  <w:tcW w:w="1142" w:type="pct"/>
                  <w:tcBorders>
                    <w:tl2br w:val="nil"/>
                    <w:tr2bl w:val="nil"/>
                  </w:tcBorders>
                  <w:shd w:val="clear" w:color="auto" w:fill="auto"/>
                  <w:noWrap w:val="0"/>
                  <w:vAlign w:val="center"/>
                </w:tcPr>
                <w:p w14:paraId="1702333A">
                  <w:pPr>
                    <w:pStyle w:val="30"/>
                    <w:bidi w:val="0"/>
                    <w:rPr>
                      <w:rFonts w:hint="default" w:ascii="Times New Roman" w:hAnsi="Times New Roman" w:eastAsia="宋体" w:cs="Times New Roman"/>
                      <w:bCs/>
                      <w:snapToGrid w:val="0"/>
                      <w:color w:val="000000" w:themeColor="text1"/>
                      <w:spacing w:val="8"/>
                      <w:kern w:val="0"/>
                      <w:sz w:val="21"/>
                      <w:szCs w:val="72"/>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280-350</w:t>
                  </w:r>
                </w:p>
              </w:tc>
              <w:tc>
                <w:tcPr>
                  <w:tcW w:w="790" w:type="pct"/>
                  <w:vMerge w:val="continue"/>
                  <w:tcBorders>
                    <w:tl2br w:val="nil"/>
                    <w:tr2bl w:val="nil"/>
                  </w:tcBorders>
                  <w:noWrap w:val="0"/>
                  <w:vAlign w:val="center"/>
                </w:tcPr>
                <w:p w14:paraId="1B1B3E52">
                  <w:pPr>
                    <w:pStyle w:val="30"/>
                    <w:bidi w:val="0"/>
                    <w:rPr>
                      <w:rFonts w:hint="default" w:ascii="Times New Roman" w:hAnsi="Times New Roman" w:cs="Times New Roman"/>
                      <w:color w:val="000000" w:themeColor="text1"/>
                      <w:highlight w:val="none"/>
                      <w14:textFill>
                        <w14:solidFill>
                          <w14:schemeClr w14:val="tx1"/>
                        </w14:solidFill>
                      </w14:textFill>
                    </w:rPr>
                  </w:pPr>
                </w:p>
              </w:tc>
            </w:tr>
            <w:tr w14:paraId="0F118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3" w:type="pct"/>
                  <w:vMerge w:val="continue"/>
                  <w:tcBorders>
                    <w:tl2br w:val="nil"/>
                    <w:tr2bl w:val="nil"/>
                  </w:tcBorders>
                  <w:noWrap w:val="0"/>
                  <w:vAlign w:val="center"/>
                </w:tcPr>
                <w:p w14:paraId="48483C77">
                  <w:pPr>
                    <w:pStyle w:val="30"/>
                    <w:bidi w:val="0"/>
                    <w:rPr>
                      <w:rFonts w:hint="default" w:ascii="Times New Roman" w:hAnsi="Times New Roman" w:cs="Times New Roman"/>
                      <w:color w:val="000000" w:themeColor="text1"/>
                      <w:highlight w:val="none"/>
                      <w14:textFill>
                        <w14:solidFill>
                          <w14:schemeClr w14:val="tx1"/>
                        </w14:solidFill>
                      </w14:textFill>
                    </w:rPr>
                  </w:pPr>
                </w:p>
              </w:tc>
              <w:tc>
                <w:tcPr>
                  <w:tcW w:w="1233" w:type="pct"/>
                  <w:tcBorders>
                    <w:tl2br w:val="nil"/>
                    <w:tr2bl w:val="nil"/>
                  </w:tcBorders>
                  <w:shd w:val="clear" w:color="auto" w:fill="auto"/>
                  <w:noWrap w:val="0"/>
                  <w:vAlign w:val="center"/>
                </w:tcPr>
                <w:p w14:paraId="142D8434">
                  <w:pPr>
                    <w:pStyle w:val="30"/>
                    <w:bidi w:val="0"/>
                    <w:rPr>
                      <w:rFonts w:hint="default" w:ascii="Times New Roman" w:hAnsi="Times New Roman" w:eastAsia="宋体" w:cs="Times New Roman"/>
                      <w:bCs/>
                      <w:snapToGrid w:val="0"/>
                      <w:color w:val="000000" w:themeColor="text1"/>
                      <w:spacing w:val="8"/>
                      <w:kern w:val="0"/>
                      <w:sz w:val="21"/>
                      <w:szCs w:val="72"/>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小天才幼儿园</w:t>
                  </w:r>
                </w:p>
              </w:tc>
              <w:tc>
                <w:tcPr>
                  <w:tcW w:w="735" w:type="pct"/>
                  <w:tcBorders>
                    <w:tl2br w:val="nil"/>
                    <w:tr2bl w:val="nil"/>
                  </w:tcBorders>
                  <w:shd w:val="clear" w:color="auto" w:fill="auto"/>
                  <w:noWrap w:val="0"/>
                  <w:vAlign w:val="center"/>
                </w:tcPr>
                <w:p w14:paraId="584DCDB2">
                  <w:pPr>
                    <w:pStyle w:val="30"/>
                    <w:bidi w:val="0"/>
                    <w:rPr>
                      <w:rFonts w:hint="default" w:ascii="Times New Roman" w:hAnsi="Times New Roman" w:eastAsia="宋体" w:cs="Times New Roman"/>
                      <w:bCs/>
                      <w:snapToGrid w:val="0"/>
                      <w:color w:val="000000" w:themeColor="text1"/>
                      <w:spacing w:val="8"/>
                      <w:kern w:val="0"/>
                      <w:sz w:val="21"/>
                      <w:szCs w:val="72"/>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师生</w:t>
                  </w:r>
                </w:p>
              </w:tc>
              <w:tc>
                <w:tcPr>
                  <w:tcW w:w="673" w:type="pct"/>
                  <w:tcBorders>
                    <w:tl2br w:val="nil"/>
                    <w:tr2bl w:val="nil"/>
                  </w:tcBorders>
                  <w:shd w:val="clear" w:color="auto" w:fill="auto"/>
                  <w:noWrap w:val="0"/>
                  <w:vAlign w:val="center"/>
                </w:tcPr>
                <w:p w14:paraId="3BB087BB">
                  <w:pPr>
                    <w:pStyle w:val="30"/>
                    <w:bidi w:val="0"/>
                    <w:rPr>
                      <w:rFonts w:hint="default" w:ascii="Times New Roman" w:hAnsi="Times New Roman" w:eastAsia="宋体" w:cs="Times New Roman"/>
                      <w:bCs/>
                      <w:snapToGrid w:val="0"/>
                      <w:color w:val="000000" w:themeColor="text1"/>
                      <w:spacing w:val="8"/>
                      <w:kern w:val="0"/>
                      <w:sz w:val="21"/>
                      <w:szCs w:val="72"/>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NE</w:t>
                  </w:r>
                </w:p>
              </w:tc>
              <w:tc>
                <w:tcPr>
                  <w:tcW w:w="1142" w:type="pct"/>
                  <w:tcBorders>
                    <w:tl2br w:val="nil"/>
                    <w:tr2bl w:val="nil"/>
                  </w:tcBorders>
                  <w:shd w:val="clear" w:color="auto" w:fill="auto"/>
                  <w:noWrap w:val="0"/>
                  <w:vAlign w:val="center"/>
                </w:tcPr>
                <w:p w14:paraId="52910779">
                  <w:pPr>
                    <w:pStyle w:val="30"/>
                    <w:bidi w:val="0"/>
                    <w:rPr>
                      <w:rFonts w:hint="default" w:ascii="Times New Roman" w:hAnsi="Times New Roman" w:eastAsia="宋体" w:cs="Times New Roman"/>
                      <w:bCs/>
                      <w:snapToGrid w:val="0"/>
                      <w:color w:val="000000" w:themeColor="text1"/>
                      <w:spacing w:val="8"/>
                      <w:kern w:val="0"/>
                      <w:sz w:val="21"/>
                      <w:szCs w:val="72"/>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330-400</w:t>
                  </w:r>
                </w:p>
              </w:tc>
              <w:tc>
                <w:tcPr>
                  <w:tcW w:w="790" w:type="pct"/>
                  <w:vMerge w:val="continue"/>
                  <w:tcBorders>
                    <w:tl2br w:val="nil"/>
                    <w:tr2bl w:val="nil"/>
                  </w:tcBorders>
                  <w:noWrap w:val="0"/>
                  <w:vAlign w:val="center"/>
                </w:tcPr>
                <w:p w14:paraId="25984D2F">
                  <w:pPr>
                    <w:pStyle w:val="30"/>
                    <w:bidi w:val="0"/>
                    <w:rPr>
                      <w:rFonts w:hint="default" w:ascii="Times New Roman" w:hAnsi="Times New Roman" w:cs="Times New Roman"/>
                      <w:color w:val="000000" w:themeColor="text1"/>
                      <w:highlight w:val="none"/>
                      <w14:textFill>
                        <w14:solidFill>
                          <w14:schemeClr w14:val="tx1"/>
                        </w14:solidFill>
                      </w14:textFill>
                    </w:rPr>
                  </w:pPr>
                </w:p>
              </w:tc>
            </w:tr>
            <w:tr w14:paraId="06FE8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3" w:type="pct"/>
                  <w:vMerge w:val="continue"/>
                  <w:tcBorders>
                    <w:tl2br w:val="nil"/>
                    <w:tr2bl w:val="nil"/>
                  </w:tcBorders>
                  <w:noWrap w:val="0"/>
                  <w:vAlign w:val="center"/>
                </w:tcPr>
                <w:p w14:paraId="3D2BC392">
                  <w:pPr>
                    <w:pStyle w:val="30"/>
                    <w:bidi w:val="0"/>
                    <w:rPr>
                      <w:rFonts w:hint="default" w:ascii="Times New Roman" w:hAnsi="Times New Roman" w:cs="Times New Roman"/>
                      <w:color w:val="000000" w:themeColor="text1"/>
                      <w:highlight w:val="none"/>
                      <w14:textFill>
                        <w14:solidFill>
                          <w14:schemeClr w14:val="tx1"/>
                        </w14:solidFill>
                      </w14:textFill>
                    </w:rPr>
                  </w:pPr>
                </w:p>
              </w:tc>
              <w:tc>
                <w:tcPr>
                  <w:tcW w:w="1233" w:type="pct"/>
                  <w:tcBorders>
                    <w:tl2br w:val="nil"/>
                    <w:tr2bl w:val="nil"/>
                  </w:tcBorders>
                  <w:noWrap w:val="0"/>
                  <w:vAlign w:val="center"/>
                </w:tcPr>
                <w:p w14:paraId="0C9722EE">
                  <w:pPr>
                    <w:pStyle w:val="30"/>
                    <w:bidi w:val="0"/>
                    <w:rPr>
                      <w:rFonts w:hint="default"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圣果名苑</w:t>
                  </w:r>
                </w:p>
              </w:tc>
              <w:tc>
                <w:tcPr>
                  <w:tcW w:w="735" w:type="pct"/>
                  <w:tcBorders>
                    <w:tl2br w:val="nil"/>
                    <w:tr2bl w:val="nil"/>
                  </w:tcBorders>
                  <w:noWrap w:val="0"/>
                  <w:vAlign w:val="center"/>
                </w:tcPr>
                <w:p w14:paraId="4F6F3DA5">
                  <w:pPr>
                    <w:pStyle w:val="30"/>
                    <w:bidi w:val="0"/>
                    <w:rPr>
                      <w:rFonts w:hint="default"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居民</w:t>
                  </w:r>
                </w:p>
              </w:tc>
              <w:tc>
                <w:tcPr>
                  <w:tcW w:w="673" w:type="pct"/>
                  <w:tcBorders>
                    <w:tl2br w:val="nil"/>
                    <w:tr2bl w:val="nil"/>
                  </w:tcBorders>
                  <w:noWrap w:val="0"/>
                  <w:vAlign w:val="center"/>
                </w:tcPr>
                <w:p w14:paraId="229D5A95">
                  <w:pPr>
                    <w:pStyle w:val="30"/>
                    <w:bidi w:val="0"/>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E</w:t>
                  </w:r>
                </w:p>
              </w:tc>
              <w:tc>
                <w:tcPr>
                  <w:tcW w:w="1142" w:type="pct"/>
                  <w:tcBorders>
                    <w:tl2br w:val="nil"/>
                    <w:tr2bl w:val="nil"/>
                  </w:tcBorders>
                  <w:noWrap w:val="0"/>
                  <w:vAlign w:val="center"/>
                </w:tcPr>
                <w:p w14:paraId="62A8430A">
                  <w:pPr>
                    <w:pStyle w:val="30"/>
                    <w:bidi w:val="0"/>
                    <w:rPr>
                      <w:rFonts w:hint="default"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430-500</w:t>
                  </w:r>
                </w:p>
              </w:tc>
              <w:tc>
                <w:tcPr>
                  <w:tcW w:w="790" w:type="pct"/>
                  <w:vMerge w:val="continue"/>
                  <w:tcBorders>
                    <w:tl2br w:val="nil"/>
                    <w:tr2bl w:val="nil"/>
                  </w:tcBorders>
                  <w:noWrap w:val="0"/>
                  <w:vAlign w:val="center"/>
                </w:tcPr>
                <w:p w14:paraId="25E4AE90">
                  <w:pPr>
                    <w:pStyle w:val="30"/>
                    <w:bidi w:val="0"/>
                    <w:rPr>
                      <w:rFonts w:hint="default" w:ascii="Times New Roman" w:hAnsi="Times New Roman" w:cs="Times New Roman"/>
                      <w:color w:val="000000" w:themeColor="text1"/>
                      <w:highlight w:val="none"/>
                      <w14:textFill>
                        <w14:solidFill>
                          <w14:schemeClr w14:val="tx1"/>
                        </w14:solidFill>
                      </w14:textFill>
                    </w:rPr>
                  </w:pPr>
                </w:p>
              </w:tc>
            </w:tr>
            <w:tr w14:paraId="1E402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3" w:type="pct"/>
                  <w:vMerge w:val="continue"/>
                  <w:tcBorders>
                    <w:tl2br w:val="nil"/>
                    <w:tr2bl w:val="nil"/>
                  </w:tcBorders>
                  <w:noWrap w:val="0"/>
                  <w:vAlign w:val="center"/>
                </w:tcPr>
                <w:p w14:paraId="6E84B323">
                  <w:pPr>
                    <w:pStyle w:val="30"/>
                    <w:bidi w:val="0"/>
                    <w:rPr>
                      <w:rFonts w:hint="default" w:ascii="Times New Roman" w:hAnsi="Times New Roman" w:cs="Times New Roman"/>
                      <w:color w:val="000000" w:themeColor="text1"/>
                      <w:highlight w:val="none"/>
                      <w14:textFill>
                        <w14:solidFill>
                          <w14:schemeClr w14:val="tx1"/>
                        </w14:solidFill>
                      </w14:textFill>
                    </w:rPr>
                  </w:pPr>
                </w:p>
              </w:tc>
              <w:tc>
                <w:tcPr>
                  <w:tcW w:w="1233" w:type="pct"/>
                  <w:tcBorders>
                    <w:tl2br w:val="nil"/>
                    <w:tr2bl w:val="nil"/>
                  </w:tcBorders>
                  <w:noWrap w:val="0"/>
                  <w:vAlign w:val="center"/>
                </w:tcPr>
                <w:p w14:paraId="017961D7">
                  <w:pPr>
                    <w:pStyle w:val="30"/>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丝路华庭1</w:t>
                  </w:r>
                  <w:r>
                    <w:rPr>
                      <w:rFonts w:hint="eastAsia" w:cs="Times New Roman"/>
                      <w:color w:val="000000" w:themeColor="text1"/>
                      <w:highlight w:val="none"/>
                      <w:lang w:val="en-US" w:eastAsia="zh-CN"/>
                      <w14:textFill>
                        <w14:solidFill>
                          <w14:schemeClr w14:val="tx1"/>
                        </w14:solidFill>
                      </w14:textFill>
                    </w:rPr>
                    <w:t>1</w:t>
                  </w:r>
                  <w:r>
                    <w:rPr>
                      <w:rFonts w:hint="default" w:ascii="Times New Roman" w:hAnsi="Times New Roman" w:cs="Times New Roman"/>
                      <w:color w:val="000000" w:themeColor="text1"/>
                      <w:highlight w:val="none"/>
                      <w:lang w:val="en-US" w:eastAsia="zh-CN"/>
                      <w14:textFill>
                        <w14:solidFill>
                          <w14:schemeClr w14:val="tx1"/>
                        </w14:solidFill>
                      </w14:textFill>
                    </w:rPr>
                    <w:t>栋</w:t>
                  </w:r>
                </w:p>
              </w:tc>
              <w:tc>
                <w:tcPr>
                  <w:tcW w:w="735" w:type="pct"/>
                  <w:tcBorders>
                    <w:tl2br w:val="nil"/>
                    <w:tr2bl w:val="nil"/>
                  </w:tcBorders>
                  <w:noWrap w:val="0"/>
                  <w:vAlign w:val="center"/>
                </w:tcPr>
                <w:p w14:paraId="2EC682C3">
                  <w:pPr>
                    <w:pStyle w:val="30"/>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居民</w:t>
                  </w:r>
                </w:p>
              </w:tc>
              <w:tc>
                <w:tcPr>
                  <w:tcW w:w="673" w:type="pct"/>
                  <w:tcBorders>
                    <w:tl2br w:val="nil"/>
                    <w:tr2bl w:val="nil"/>
                  </w:tcBorders>
                  <w:noWrap w:val="0"/>
                  <w:vAlign w:val="center"/>
                </w:tcPr>
                <w:p w14:paraId="0A6593BC">
                  <w:pPr>
                    <w:pStyle w:val="30"/>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NE</w:t>
                  </w:r>
                </w:p>
              </w:tc>
              <w:tc>
                <w:tcPr>
                  <w:tcW w:w="1142" w:type="pct"/>
                  <w:tcBorders>
                    <w:tl2br w:val="nil"/>
                    <w:tr2bl w:val="nil"/>
                  </w:tcBorders>
                  <w:noWrap w:val="0"/>
                  <w:vAlign w:val="center"/>
                </w:tcPr>
                <w:p w14:paraId="5B72C82C">
                  <w:pPr>
                    <w:pStyle w:val="30"/>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14-95</w:t>
                  </w:r>
                </w:p>
              </w:tc>
              <w:tc>
                <w:tcPr>
                  <w:tcW w:w="790" w:type="pct"/>
                  <w:vMerge w:val="continue"/>
                  <w:tcBorders>
                    <w:tl2br w:val="nil"/>
                    <w:tr2bl w:val="nil"/>
                  </w:tcBorders>
                  <w:noWrap w:val="0"/>
                  <w:vAlign w:val="center"/>
                </w:tcPr>
                <w:p w14:paraId="07F79ECC">
                  <w:pPr>
                    <w:pStyle w:val="30"/>
                    <w:bidi w:val="0"/>
                    <w:rPr>
                      <w:rFonts w:hint="default" w:ascii="Times New Roman" w:hAnsi="Times New Roman" w:cs="Times New Roman"/>
                      <w:color w:val="000000" w:themeColor="text1"/>
                      <w:highlight w:val="none"/>
                      <w14:textFill>
                        <w14:solidFill>
                          <w14:schemeClr w14:val="tx1"/>
                        </w14:solidFill>
                      </w14:textFill>
                    </w:rPr>
                  </w:pPr>
                </w:p>
              </w:tc>
            </w:tr>
            <w:tr w14:paraId="6E768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3" w:type="pct"/>
                  <w:vMerge w:val="continue"/>
                  <w:tcBorders>
                    <w:tl2br w:val="nil"/>
                    <w:tr2bl w:val="nil"/>
                  </w:tcBorders>
                  <w:noWrap w:val="0"/>
                  <w:vAlign w:val="center"/>
                </w:tcPr>
                <w:p w14:paraId="2BDE3F0B">
                  <w:pPr>
                    <w:pStyle w:val="30"/>
                    <w:bidi w:val="0"/>
                    <w:rPr>
                      <w:rFonts w:hint="default" w:ascii="Times New Roman" w:hAnsi="Times New Roman" w:cs="Times New Roman"/>
                      <w:color w:val="000000" w:themeColor="text1"/>
                      <w:highlight w:val="none"/>
                      <w14:textFill>
                        <w14:solidFill>
                          <w14:schemeClr w14:val="tx1"/>
                        </w14:solidFill>
                      </w14:textFill>
                    </w:rPr>
                  </w:pPr>
                </w:p>
              </w:tc>
              <w:tc>
                <w:tcPr>
                  <w:tcW w:w="1233" w:type="pct"/>
                  <w:tcBorders>
                    <w:tl2br w:val="nil"/>
                    <w:tr2bl w:val="nil"/>
                  </w:tcBorders>
                  <w:shd w:val="clear" w:color="auto" w:fill="auto"/>
                  <w:noWrap w:val="0"/>
                  <w:vAlign w:val="center"/>
                </w:tcPr>
                <w:p w14:paraId="472150D7">
                  <w:pPr>
                    <w:pStyle w:val="30"/>
                    <w:bidi w:val="0"/>
                    <w:rPr>
                      <w:rFonts w:hint="eastAsia" w:ascii="Times New Roman" w:hAnsi="Times New Roman" w:eastAsia="宋体" w:cs="Times New Roman"/>
                      <w:bCs/>
                      <w:snapToGrid w:val="0"/>
                      <w:color w:val="000000" w:themeColor="text1"/>
                      <w:spacing w:val="8"/>
                      <w:kern w:val="0"/>
                      <w:sz w:val="21"/>
                      <w:szCs w:val="72"/>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金宝贝幼儿园</w:t>
                  </w:r>
                </w:p>
              </w:tc>
              <w:tc>
                <w:tcPr>
                  <w:tcW w:w="735" w:type="pct"/>
                  <w:tcBorders>
                    <w:tl2br w:val="nil"/>
                    <w:tr2bl w:val="nil"/>
                  </w:tcBorders>
                  <w:shd w:val="clear" w:color="auto" w:fill="auto"/>
                  <w:noWrap w:val="0"/>
                  <w:vAlign w:val="center"/>
                </w:tcPr>
                <w:p w14:paraId="0C64FF8D">
                  <w:pPr>
                    <w:pStyle w:val="30"/>
                    <w:bidi w:val="0"/>
                    <w:rPr>
                      <w:rFonts w:hint="default" w:ascii="Times New Roman" w:hAnsi="Times New Roman" w:eastAsia="宋体" w:cs="Times New Roman"/>
                      <w:bCs/>
                      <w:snapToGrid w:val="0"/>
                      <w:color w:val="000000" w:themeColor="text1"/>
                      <w:spacing w:val="8"/>
                      <w:kern w:val="0"/>
                      <w:sz w:val="21"/>
                      <w:szCs w:val="72"/>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师生</w:t>
                  </w:r>
                </w:p>
              </w:tc>
              <w:tc>
                <w:tcPr>
                  <w:tcW w:w="673" w:type="pct"/>
                  <w:tcBorders>
                    <w:tl2br w:val="nil"/>
                    <w:tr2bl w:val="nil"/>
                  </w:tcBorders>
                  <w:shd w:val="clear" w:color="auto" w:fill="auto"/>
                  <w:noWrap w:val="0"/>
                  <w:vAlign w:val="center"/>
                </w:tcPr>
                <w:p w14:paraId="54F7AA05">
                  <w:pPr>
                    <w:pStyle w:val="30"/>
                    <w:bidi w:val="0"/>
                    <w:rPr>
                      <w:rFonts w:hint="eastAsia" w:ascii="Times New Roman" w:hAnsi="Times New Roman" w:eastAsia="宋体" w:cs="Times New Roman"/>
                      <w:bCs/>
                      <w:snapToGrid w:val="0"/>
                      <w:color w:val="000000" w:themeColor="text1"/>
                      <w:spacing w:val="8"/>
                      <w:kern w:val="0"/>
                      <w:sz w:val="21"/>
                      <w:szCs w:val="72"/>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E</w:t>
                  </w:r>
                </w:p>
              </w:tc>
              <w:tc>
                <w:tcPr>
                  <w:tcW w:w="1142" w:type="pct"/>
                  <w:tcBorders>
                    <w:tl2br w:val="nil"/>
                    <w:tr2bl w:val="nil"/>
                  </w:tcBorders>
                  <w:shd w:val="clear" w:color="auto" w:fill="auto"/>
                  <w:noWrap w:val="0"/>
                  <w:vAlign w:val="center"/>
                </w:tcPr>
                <w:p w14:paraId="3BA08FF3">
                  <w:pPr>
                    <w:pStyle w:val="30"/>
                    <w:bidi w:val="0"/>
                    <w:rPr>
                      <w:rFonts w:hint="default" w:ascii="Times New Roman" w:hAnsi="Times New Roman" w:eastAsia="宋体" w:cs="Times New Roman"/>
                      <w:bCs/>
                      <w:snapToGrid w:val="0"/>
                      <w:color w:val="000000" w:themeColor="text1"/>
                      <w:spacing w:val="8"/>
                      <w:kern w:val="0"/>
                      <w:sz w:val="21"/>
                      <w:szCs w:val="72"/>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125-140</w:t>
                  </w:r>
                </w:p>
              </w:tc>
              <w:tc>
                <w:tcPr>
                  <w:tcW w:w="790" w:type="pct"/>
                  <w:vMerge w:val="continue"/>
                  <w:tcBorders>
                    <w:tl2br w:val="nil"/>
                    <w:tr2bl w:val="nil"/>
                  </w:tcBorders>
                  <w:noWrap w:val="0"/>
                  <w:vAlign w:val="center"/>
                </w:tcPr>
                <w:p w14:paraId="57686BF0">
                  <w:pPr>
                    <w:pStyle w:val="30"/>
                    <w:bidi w:val="0"/>
                    <w:rPr>
                      <w:rFonts w:hint="default" w:ascii="Times New Roman" w:hAnsi="Times New Roman" w:cs="Times New Roman"/>
                      <w:color w:val="000000" w:themeColor="text1"/>
                      <w:highlight w:val="none"/>
                      <w14:textFill>
                        <w14:solidFill>
                          <w14:schemeClr w14:val="tx1"/>
                        </w14:solidFill>
                      </w14:textFill>
                    </w:rPr>
                  </w:pPr>
                </w:p>
              </w:tc>
            </w:tr>
            <w:tr w14:paraId="2A1E2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3" w:type="pct"/>
                  <w:vMerge w:val="continue"/>
                  <w:tcBorders>
                    <w:tl2br w:val="nil"/>
                    <w:tr2bl w:val="nil"/>
                  </w:tcBorders>
                  <w:noWrap w:val="0"/>
                  <w:vAlign w:val="center"/>
                </w:tcPr>
                <w:p w14:paraId="4EBF8F2A">
                  <w:pPr>
                    <w:pStyle w:val="30"/>
                    <w:bidi w:val="0"/>
                    <w:rPr>
                      <w:rFonts w:hint="default" w:ascii="Times New Roman" w:hAnsi="Times New Roman" w:cs="Times New Roman"/>
                      <w:color w:val="000000" w:themeColor="text1"/>
                      <w:highlight w:val="none"/>
                      <w14:textFill>
                        <w14:solidFill>
                          <w14:schemeClr w14:val="tx1"/>
                        </w14:solidFill>
                      </w14:textFill>
                    </w:rPr>
                  </w:pPr>
                </w:p>
              </w:tc>
              <w:tc>
                <w:tcPr>
                  <w:tcW w:w="1233" w:type="pct"/>
                  <w:tcBorders>
                    <w:tl2br w:val="nil"/>
                    <w:tr2bl w:val="nil"/>
                  </w:tcBorders>
                  <w:noWrap w:val="0"/>
                  <w:vAlign w:val="center"/>
                </w:tcPr>
                <w:p w14:paraId="59492CCB">
                  <w:pPr>
                    <w:pStyle w:val="30"/>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哈拉苏小区</w:t>
                  </w:r>
                </w:p>
              </w:tc>
              <w:tc>
                <w:tcPr>
                  <w:tcW w:w="735" w:type="pct"/>
                  <w:tcBorders>
                    <w:tl2br w:val="nil"/>
                    <w:tr2bl w:val="nil"/>
                  </w:tcBorders>
                  <w:noWrap w:val="0"/>
                  <w:vAlign w:val="center"/>
                </w:tcPr>
                <w:p w14:paraId="5F9CC6B8">
                  <w:pPr>
                    <w:pStyle w:val="30"/>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居民</w:t>
                  </w:r>
                </w:p>
              </w:tc>
              <w:tc>
                <w:tcPr>
                  <w:tcW w:w="673" w:type="pct"/>
                  <w:tcBorders>
                    <w:tl2br w:val="nil"/>
                    <w:tr2bl w:val="nil"/>
                  </w:tcBorders>
                  <w:noWrap w:val="0"/>
                  <w:vAlign w:val="center"/>
                </w:tcPr>
                <w:p w14:paraId="1FFC3CC1">
                  <w:pPr>
                    <w:pStyle w:val="30"/>
                    <w:bidi w:val="0"/>
                    <w:rPr>
                      <w:rFonts w:hint="default"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SE</w:t>
                  </w:r>
                </w:p>
              </w:tc>
              <w:tc>
                <w:tcPr>
                  <w:tcW w:w="1142" w:type="pct"/>
                  <w:tcBorders>
                    <w:tl2br w:val="nil"/>
                    <w:tr2bl w:val="nil"/>
                  </w:tcBorders>
                  <w:noWrap w:val="0"/>
                  <w:vAlign w:val="center"/>
                </w:tcPr>
                <w:p w14:paraId="29EB038C">
                  <w:pPr>
                    <w:pStyle w:val="30"/>
                    <w:bidi w:val="0"/>
                    <w:rPr>
                      <w:rFonts w:hint="default"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255-500</w:t>
                  </w:r>
                </w:p>
              </w:tc>
              <w:tc>
                <w:tcPr>
                  <w:tcW w:w="790" w:type="pct"/>
                  <w:vMerge w:val="continue"/>
                  <w:tcBorders>
                    <w:tl2br w:val="nil"/>
                    <w:tr2bl w:val="nil"/>
                  </w:tcBorders>
                  <w:noWrap w:val="0"/>
                  <w:vAlign w:val="center"/>
                </w:tcPr>
                <w:p w14:paraId="0C95986B">
                  <w:pPr>
                    <w:pStyle w:val="30"/>
                    <w:bidi w:val="0"/>
                    <w:rPr>
                      <w:rFonts w:hint="default" w:ascii="Times New Roman" w:hAnsi="Times New Roman" w:cs="Times New Roman"/>
                      <w:color w:val="000000" w:themeColor="text1"/>
                      <w:highlight w:val="none"/>
                      <w14:textFill>
                        <w14:solidFill>
                          <w14:schemeClr w14:val="tx1"/>
                        </w14:solidFill>
                      </w14:textFill>
                    </w:rPr>
                  </w:pPr>
                </w:p>
              </w:tc>
            </w:tr>
            <w:tr w14:paraId="07D0B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3" w:type="pct"/>
                  <w:vMerge w:val="continue"/>
                  <w:tcBorders>
                    <w:tl2br w:val="nil"/>
                    <w:tr2bl w:val="nil"/>
                  </w:tcBorders>
                  <w:noWrap w:val="0"/>
                  <w:vAlign w:val="center"/>
                </w:tcPr>
                <w:p w14:paraId="26F1842D">
                  <w:pPr>
                    <w:pStyle w:val="30"/>
                    <w:bidi w:val="0"/>
                    <w:rPr>
                      <w:rFonts w:hint="default" w:ascii="Times New Roman" w:hAnsi="Times New Roman" w:cs="Times New Roman"/>
                      <w:color w:val="000000" w:themeColor="text1"/>
                      <w:highlight w:val="none"/>
                      <w14:textFill>
                        <w14:solidFill>
                          <w14:schemeClr w14:val="tx1"/>
                        </w14:solidFill>
                      </w14:textFill>
                    </w:rPr>
                  </w:pPr>
                </w:p>
              </w:tc>
              <w:tc>
                <w:tcPr>
                  <w:tcW w:w="1233" w:type="pct"/>
                  <w:tcBorders>
                    <w:tl2br w:val="nil"/>
                    <w:tr2bl w:val="nil"/>
                  </w:tcBorders>
                  <w:shd w:val="clear" w:color="auto" w:fill="auto"/>
                  <w:noWrap w:val="0"/>
                  <w:vAlign w:val="center"/>
                </w:tcPr>
                <w:p w14:paraId="5EA39392">
                  <w:pPr>
                    <w:pStyle w:val="30"/>
                    <w:bidi w:val="0"/>
                    <w:rPr>
                      <w:rFonts w:hint="default" w:ascii="Times New Roman" w:hAnsi="Times New Roman" w:eastAsia="宋体" w:cs="Times New Roman"/>
                      <w:bCs/>
                      <w:snapToGrid w:val="0"/>
                      <w:color w:val="000000" w:themeColor="text1"/>
                      <w:spacing w:val="8"/>
                      <w:kern w:val="0"/>
                      <w:sz w:val="21"/>
                      <w:szCs w:val="72"/>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丝路华庭1</w:t>
                  </w:r>
                  <w:r>
                    <w:rPr>
                      <w:rFonts w:hint="eastAsia" w:cs="Times New Roman"/>
                      <w:color w:val="000000" w:themeColor="text1"/>
                      <w:highlight w:val="none"/>
                      <w:lang w:val="en-US" w:eastAsia="zh-CN"/>
                      <w14:textFill>
                        <w14:solidFill>
                          <w14:schemeClr w14:val="tx1"/>
                        </w14:solidFill>
                      </w14:textFill>
                    </w:rPr>
                    <w:t>2</w:t>
                  </w:r>
                  <w:r>
                    <w:rPr>
                      <w:rFonts w:hint="default" w:ascii="Times New Roman" w:hAnsi="Times New Roman" w:cs="Times New Roman"/>
                      <w:color w:val="000000" w:themeColor="text1"/>
                      <w:highlight w:val="none"/>
                      <w:lang w:val="en-US" w:eastAsia="zh-CN"/>
                      <w14:textFill>
                        <w14:solidFill>
                          <w14:schemeClr w14:val="tx1"/>
                        </w14:solidFill>
                      </w14:textFill>
                    </w:rPr>
                    <w:t>栋</w:t>
                  </w:r>
                </w:p>
              </w:tc>
              <w:tc>
                <w:tcPr>
                  <w:tcW w:w="735" w:type="pct"/>
                  <w:tcBorders>
                    <w:tl2br w:val="nil"/>
                    <w:tr2bl w:val="nil"/>
                  </w:tcBorders>
                  <w:shd w:val="clear" w:color="auto" w:fill="auto"/>
                  <w:noWrap w:val="0"/>
                  <w:vAlign w:val="center"/>
                </w:tcPr>
                <w:p w14:paraId="61FC0B56">
                  <w:pPr>
                    <w:pStyle w:val="30"/>
                    <w:bidi w:val="0"/>
                    <w:rPr>
                      <w:rFonts w:hint="default" w:ascii="Times New Roman" w:hAnsi="Times New Roman" w:eastAsia="宋体" w:cs="Times New Roman"/>
                      <w:bCs/>
                      <w:snapToGrid w:val="0"/>
                      <w:color w:val="000000" w:themeColor="text1"/>
                      <w:spacing w:val="8"/>
                      <w:kern w:val="0"/>
                      <w:sz w:val="21"/>
                      <w:szCs w:val="72"/>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居民</w:t>
                  </w:r>
                </w:p>
              </w:tc>
              <w:tc>
                <w:tcPr>
                  <w:tcW w:w="673" w:type="pct"/>
                  <w:tcBorders>
                    <w:tl2br w:val="nil"/>
                    <w:tr2bl w:val="nil"/>
                  </w:tcBorders>
                  <w:shd w:val="clear" w:color="auto" w:fill="auto"/>
                  <w:noWrap w:val="0"/>
                  <w:vAlign w:val="center"/>
                </w:tcPr>
                <w:p w14:paraId="65186235">
                  <w:pPr>
                    <w:pStyle w:val="30"/>
                    <w:bidi w:val="0"/>
                    <w:rPr>
                      <w:rFonts w:hint="eastAsia" w:ascii="Times New Roman" w:hAnsi="Times New Roman" w:eastAsia="宋体" w:cs="Times New Roman"/>
                      <w:bCs/>
                      <w:snapToGrid w:val="0"/>
                      <w:color w:val="000000" w:themeColor="text1"/>
                      <w:spacing w:val="8"/>
                      <w:kern w:val="0"/>
                      <w:sz w:val="21"/>
                      <w:szCs w:val="72"/>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S</w:t>
                  </w:r>
                </w:p>
              </w:tc>
              <w:tc>
                <w:tcPr>
                  <w:tcW w:w="1142" w:type="pct"/>
                  <w:tcBorders>
                    <w:tl2br w:val="nil"/>
                    <w:tr2bl w:val="nil"/>
                  </w:tcBorders>
                  <w:shd w:val="clear" w:color="auto" w:fill="auto"/>
                  <w:noWrap w:val="0"/>
                  <w:vAlign w:val="center"/>
                </w:tcPr>
                <w:p w14:paraId="17D3FF06">
                  <w:pPr>
                    <w:pStyle w:val="30"/>
                    <w:bidi w:val="0"/>
                    <w:rPr>
                      <w:rFonts w:hint="default" w:ascii="Times New Roman" w:hAnsi="Times New Roman" w:eastAsia="宋体" w:cs="Times New Roman"/>
                      <w:bCs/>
                      <w:snapToGrid w:val="0"/>
                      <w:color w:val="000000" w:themeColor="text1"/>
                      <w:spacing w:val="8"/>
                      <w:kern w:val="0"/>
                      <w:sz w:val="21"/>
                      <w:szCs w:val="72"/>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35-100</w:t>
                  </w:r>
                </w:p>
              </w:tc>
              <w:tc>
                <w:tcPr>
                  <w:tcW w:w="790" w:type="pct"/>
                  <w:vMerge w:val="continue"/>
                  <w:tcBorders>
                    <w:tl2br w:val="nil"/>
                    <w:tr2bl w:val="nil"/>
                  </w:tcBorders>
                  <w:noWrap w:val="0"/>
                  <w:vAlign w:val="center"/>
                </w:tcPr>
                <w:p w14:paraId="10FEDC53">
                  <w:pPr>
                    <w:pStyle w:val="30"/>
                    <w:bidi w:val="0"/>
                    <w:rPr>
                      <w:rFonts w:hint="default" w:ascii="Times New Roman" w:hAnsi="Times New Roman" w:cs="Times New Roman"/>
                      <w:color w:val="000000" w:themeColor="text1"/>
                      <w:highlight w:val="none"/>
                      <w14:textFill>
                        <w14:solidFill>
                          <w14:schemeClr w14:val="tx1"/>
                        </w14:solidFill>
                      </w14:textFill>
                    </w:rPr>
                  </w:pPr>
                </w:p>
              </w:tc>
            </w:tr>
            <w:tr w14:paraId="236C6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3" w:type="pct"/>
                  <w:vMerge w:val="continue"/>
                  <w:tcBorders>
                    <w:tl2br w:val="nil"/>
                    <w:tr2bl w:val="nil"/>
                  </w:tcBorders>
                  <w:noWrap w:val="0"/>
                  <w:vAlign w:val="center"/>
                </w:tcPr>
                <w:p w14:paraId="13383A86">
                  <w:pPr>
                    <w:pStyle w:val="30"/>
                    <w:bidi w:val="0"/>
                    <w:rPr>
                      <w:rFonts w:hint="default" w:ascii="Times New Roman" w:hAnsi="Times New Roman" w:cs="Times New Roman"/>
                      <w:color w:val="000000" w:themeColor="text1"/>
                      <w:highlight w:val="none"/>
                      <w14:textFill>
                        <w14:solidFill>
                          <w14:schemeClr w14:val="tx1"/>
                        </w14:solidFill>
                      </w14:textFill>
                    </w:rPr>
                  </w:pPr>
                </w:p>
              </w:tc>
              <w:tc>
                <w:tcPr>
                  <w:tcW w:w="1233" w:type="pct"/>
                  <w:tcBorders>
                    <w:tl2br w:val="nil"/>
                    <w:tr2bl w:val="nil"/>
                  </w:tcBorders>
                  <w:noWrap w:val="0"/>
                  <w:vAlign w:val="center"/>
                </w:tcPr>
                <w:p w14:paraId="7BC6F292">
                  <w:pPr>
                    <w:pStyle w:val="30"/>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宋涛口腔诊所</w:t>
                  </w:r>
                </w:p>
              </w:tc>
              <w:tc>
                <w:tcPr>
                  <w:tcW w:w="735" w:type="pct"/>
                  <w:tcBorders>
                    <w:tl2br w:val="nil"/>
                    <w:tr2bl w:val="nil"/>
                  </w:tcBorders>
                  <w:noWrap w:val="0"/>
                  <w:vAlign w:val="center"/>
                </w:tcPr>
                <w:p w14:paraId="6E0B185F">
                  <w:pPr>
                    <w:pStyle w:val="30"/>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医患</w:t>
                  </w:r>
                </w:p>
              </w:tc>
              <w:tc>
                <w:tcPr>
                  <w:tcW w:w="673" w:type="pct"/>
                  <w:tcBorders>
                    <w:tl2br w:val="nil"/>
                    <w:tr2bl w:val="nil"/>
                  </w:tcBorders>
                  <w:noWrap w:val="0"/>
                  <w:vAlign w:val="center"/>
                </w:tcPr>
                <w:p w14:paraId="7AB4634F">
                  <w:pPr>
                    <w:pStyle w:val="30"/>
                    <w:bidi w:val="0"/>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S</w:t>
                  </w:r>
                </w:p>
              </w:tc>
              <w:tc>
                <w:tcPr>
                  <w:tcW w:w="1142" w:type="pct"/>
                  <w:tcBorders>
                    <w:tl2br w:val="nil"/>
                    <w:tr2bl w:val="nil"/>
                  </w:tcBorders>
                  <w:noWrap w:val="0"/>
                  <w:vAlign w:val="center"/>
                </w:tcPr>
                <w:p w14:paraId="1C5B5AD7">
                  <w:pPr>
                    <w:pStyle w:val="30"/>
                    <w:bidi w:val="0"/>
                    <w:rPr>
                      <w:rFonts w:hint="default"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420-460</w:t>
                  </w:r>
                </w:p>
              </w:tc>
              <w:tc>
                <w:tcPr>
                  <w:tcW w:w="790" w:type="pct"/>
                  <w:vMerge w:val="continue"/>
                  <w:tcBorders>
                    <w:tl2br w:val="nil"/>
                    <w:tr2bl w:val="nil"/>
                  </w:tcBorders>
                  <w:noWrap w:val="0"/>
                  <w:vAlign w:val="center"/>
                </w:tcPr>
                <w:p w14:paraId="07085872">
                  <w:pPr>
                    <w:pStyle w:val="30"/>
                    <w:bidi w:val="0"/>
                    <w:rPr>
                      <w:rFonts w:hint="default" w:ascii="Times New Roman" w:hAnsi="Times New Roman" w:cs="Times New Roman"/>
                      <w:color w:val="000000" w:themeColor="text1"/>
                      <w:highlight w:val="none"/>
                      <w14:textFill>
                        <w14:solidFill>
                          <w14:schemeClr w14:val="tx1"/>
                        </w14:solidFill>
                      </w14:textFill>
                    </w:rPr>
                  </w:pPr>
                </w:p>
              </w:tc>
            </w:tr>
            <w:tr w14:paraId="463DD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3" w:type="pct"/>
                  <w:vMerge w:val="continue"/>
                  <w:tcBorders>
                    <w:tl2br w:val="nil"/>
                    <w:tr2bl w:val="nil"/>
                  </w:tcBorders>
                  <w:noWrap w:val="0"/>
                  <w:vAlign w:val="center"/>
                </w:tcPr>
                <w:p w14:paraId="09C7913C">
                  <w:pPr>
                    <w:pStyle w:val="30"/>
                    <w:bidi w:val="0"/>
                    <w:rPr>
                      <w:rFonts w:hint="default" w:ascii="Times New Roman" w:hAnsi="Times New Roman" w:cs="Times New Roman"/>
                      <w:color w:val="000000" w:themeColor="text1"/>
                      <w:highlight w:val="none"/>
                      <w14:textFill>
                        <w14:solidFill>
                          <w14:schemeClr w14:val="tx1"/>
                        </w14:solidFill>
                      </w14:textFill>
                    </w:rPr>
                  </w:pPr>
                </w:p>
              </w:tc>
              <w:tc>
                <w:tcPr>
                  <w:tcW w:w="1233" w:type="pct"/>
                  <w:tcBorders>
                    <w:tl2br w:val="nil"/>
                    <w:tr2bl w:val="nil"/>
                  </w:tcBorders>
                  <w:noWrap w:val="0"/>
                  <w:vAlign w:val="center"/>
                </w:tcPr>
                <w:p w14:paraId="366F1B72">
                  <w:pPr>
                    <w:pStyle w:val="30"/>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新和居小区</w:t>
                  </w:r>
                </w:p>
              </w:tc>
              <w:tc>
                <w:tcPr>
                  <w:tcW w:w="735" w:type="pct"/>
                  <w:tcBorders>
                    <w:tl2br w:val="nil"/>
                    <w:tr2bl w:val="nil"/>
                  </w:tcBorders>
                  <w:noWrap w:val="0"/>
                  <w:vAlign w:val="center"/>
                </w:tcPr>
                <w:p w14:paraId="5365C46A">
                  <w:pPr>
                    <w:pStyle w:val="30"/>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居民</w:t>
                  </w:r>
                </w:p>
              </w:tc>
              <w:tc>
                <w:tcPr>
                  <w:tcW w:w="673" w:type="pct"/>
                  <w:tcBorders>
                    <w:tl2br w:val="nil"/>
                    <w:tr2bl w:val="nil"/>
                  </w:tcBorders>
                  <w:noWrap w:val="0"/>
                  <w:vAlign w:val="center"/>
                </w:tcPr>
                <w:p w14:paraId="10C74361">
                  <w:pPr>
                    <w:pStyle w:val="30"/>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SW</w:t>
                  </w:r>
                </w:p>
              </w:tc>
              <w:tc>
                <w:tcPr>
                  <w:tcW w:w="1142" w:type="pct"/>
                  <w:tcBorders>
                    <w:tl2br w:val="nil"/>
                    <w:tr2bl w:val="nil"/>
                  </w:tcBorders>
                  <w:noWrap w:val="0"/>
                  <w:vAlign w:val="center"/>
                </w:tcPr>
                <w:p w14:paraId="13277B30">
                  <w:pPr>
                    <w:pStyle w:val="30"/>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180-300</w:t>
                  </w:r>
                </w:p>
              </w:tc>
              <w:tc>
                <w:tcPr>
                  <w:tcW w:w="790" w:type="pct"/>
                  <w:vMerge w:val="continue"/>
                  <w:tcBorders>
                    <w:tl2br w:val="nil"/>
                    <w:tr2bl w:val="nil"/>
                  </w:tcBorders>
                  <w:noWrap w:val="0"/>
                  <w:vAlign w:val="center"/>
                </w:tcPr>
                <w:p w14:paraId="1BFBD274">
                  <w:pPr>
                    <w:pStyle w:val="30"/>
                    <w:bidi w:val="0"/>
                    <w:rPr>
                      <w:rFonts w:hint="default" w:ascii="Times New Roman" w:hAnsi="Times New Roman" w:cs="Times New Roman"/>
                      <w:color w:val="000000" w:themeColor="text1"/>
                      <w:highlight w:val="none"/>
                      <w14:textFill>
                        <w14:solidFill>
                          <w14:schemeClr w14:val="tx1"/>
                        </w14:solidFill>
                      </w14:textFill>
                    </w:rPr>
                  </w:pPr>
                </w:p>
              </w:tc>
            </w:tr>
            <w:tr w14:paraId="2B610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3" w:type="pct"/>
                  <w:vMerge w:val="continue"/>
                  <w:tcBorders>
                    <w:tl2br w:val="nil"/>
                    <w:tr2bl w:val="nil"/>
                  </w:tcBorders>
                  <w:noWrap w:val="0"/>
                  <w:vAlign w:val="center"/>
                </w:tcPr>
                <w:p w14:paraId="03E8A046">
                  <w:pPr>
                    <w:pStyle w:val="30"/>
                    <w:bidi w:val="0"/>
                    <w:rPr>
                      <w:rFonts w:hint="default" w:ascii="Times New Roman" w:hAnsi="Times New Roman" w:cs="Times New Roman"/>
                      <w:color w:val="000000" w:themeColor="text1"/>
                      <w:highlight w:val="none"/>
                      <w14:textFill>
                        <w14:solidFill>
                          <w14:schemeClr w14:val="tx1"/>
                        </w14:solidFill>
                      </w14:textFill>
                    </w:rPr>
                  </w:pPr>
                </w:p>
              </w:tc>
              <w:tc>
                <w:tcPr>
                  <w:tcW w:w="1233" w:type="pct"/>
                  <w:tcBorders>
                    <w:tl2br w:val="nil"/>
                    <w:tr2bl w:val="nil"/>
                  </w:tcBorders>
                  <w:noWrap w:val="0"/>
                  <w:vAlign w:val="center"/>
                </w:tcPr>
                <w:p w14:paraId="0DA941B2">
                  <w:pPr>
                    <w:pStyle w:val="30"/>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京龙美湖</w:t>
                  </w:r>
                </w:p>
              </w:tc>
              <w:tc>
                <w:tcPr>
                  <w:tcW w:w="735" w:type="pct"/>
                  <w:tcBorders>
                    <w:tl2br w:val="nil"/>
                    <w:tr2bl w:val="nil"/>
                  </w:tcBorders>
                  <w:noWrap w:val="0"/>
                  <w:vAlign w:val="center"/>
                </w:tcPr>
                <w:p w14:paraId="2B6E7915">
                  <w:pPr>
                    <w:pStyle w:val="30"/>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居民</w:t>
                  </w:r>
                </w:p>
              </w:tc>
              <w:tc>
                <w:tcPr>
                  <w:tcW w:w="673" w:type="pct"/>
                  <w:tcBorders>
                    <w:tl2br w:val="nil"/>
                    <w:tr2bl w:val="nil"/>
                  </w:tcBorders>
                  <w:noWrap w:val="0"/>
                  <w:vAlign w:val="center"/>
                </w:tcPr>
                <w:p w14:paraId="200816CE">
                  <w:pPr>
                    <w:pStyle w:val="30"/>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SW</w:t>
                  </w:r>
                </w:p>
              </w:tc>
              <w:tc>
                <w:tcPr>
                  <w:tcW w:w="1142" w:type="pct"/>
                  <w:tcBorders>
                    <w:tl2br w:val="nil"/>
                    <w:tr2bl w:val="nil"/>
                  </w:tcBorders>
                  <w:noWrap w:val="0"/>
                  <w:vAlign w:val="center"/>
                </w:tcPr>
                <w:p w14:paraId="3CB40FFE">
                  <w:pPr>
                    <w:pStyle w:val="30"/>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445-500</w:t>
                  </w:r>
                </w:p>
              </w:tc>
              <w:tc>
                <w:tcPr>
                  <w:tcW w:w="790" w:type="pct"/>
                  <w:vMerge w:val="continue"/>
                  <w:tcBorders>
                    <w:tl2br w:val="nil"/>
                    <w:tr2bl w:val="nil"/>
                  </w:tcBorders>
                  <w:noWrap w:val="0"/>
                  <w:vAlign w:val="center"/>
                </w:tcPr>
                <w:p w14:paraId="7F5AB70F">
                  <w:pPr>
                    <w:pStyle w:val="30"/>
                    <w:bidi w:val="0"/>
                    <w:rPr>
                      <w:rFonts w:hint="default" w:ascii="Times New Roman" w:hAnsi="Times New Roman" w:cs="Times New Roman"/>
                      <w:color w:val="000000" w:themeColor="text1"/>
                      <w:highlight w:val="none"/>
                      <w14:textFill>
                        <w14:solidFill>
                          <w14:schemeClr w14:val="tx1"/>
                        </w14:solidFill>
                      </w14:textFill>
                    </w:rPr>
                  </w:pPr>
                </w:p>
              </w:tc>
            </w:tr>
            <w:tr w14:paraId="5E78D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3" w:type="pct"/>
                  <w:vMerge w:val="continue"/>
                  <w:tcBorders>
                    <w:tl2br w:val="nil"/>
                    <w:tr2bl w:val="nil"/>
                  </w:tcBorders>
                  <w:noWrap w:val="0"/>
                  <w:vAlign w:val="center"/>
                </w:tcPr>
                <w:p w14:paraId="26390902">
                  <w:pPr>
                    <w:pStyle w:val="30"/>
                    <w:bidi w:val="0"/>
                    <w:rPr>
                      <w:rFonts w:hint="default" w:ascii="Times New Roman" w:hAnsi="Times New Roman" w:cs="Times New Roman"/>
                      <w:color w:val="000000" w:themeColor="text1"/>
                      <w:highlight w:val="none"/>
                      <w14:textFill>
                        <w14:solidFill>
                          <w14:schemeClr w14:val="tx1"/>
                        </w14:solidFill>
                      </w14:textFill>
                    </w:rPr>
                  </w:pPr>
                </w:p>
              </w:tc>
              <w:tc>
                <w:tcPr>
                  <w:tcW w:w="1233" w:type="pct"/>
                  <w:tcBorders>
                    <w:tl2br w:val="nil"/>
                    <w:tr2bl w:val="nil"/>
                  </w:tcBorders>
                  <w:noWrap w:val="0"/>
                  <w:vAlign w:val="center"/>
                </w:tcPr>
                <w:p w14:paraId="182FA1CB">
                  <w:pPr>
                    <w:pStyle w:val="30"/>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汇嘉中央公馆</w:t>
                  </w:r>
                </w:p>
              </w:tc>
              <w:tc>
                <w:tcPr>
                  <w:tcW w:w="735" w:type="pct"/>
                  <w:tcBorders>
                    <w:tl2br w:val="nil"/>
                    <w:tr2bl w:val="nil"/>
                  </w:tcBorders>
                  <w:noWrap w:val="0"/>
                  <w:vAlign w:val="center"/>
                </w:tcPr>
                <w:p w14:paraId="3DA239AC">
                  <w:pPr>
                    <w:pStyle w:val="30"/>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居民</w:t>
                  </w:r>
                </w:p>
              </w:tc>
              <w:tc>
                <w:tcPr>
                  <w:tcW w:w="673" w:type="pct"/>
                  <w:tcBorders>
                    <w:tl2br w:val="nil"/>
                    <w:tr2bl w:val="nil"/>
                  </w:tcBorders>
                  <w:noWrap w:val="0"/>
                  <w:vAlign w:val="center"/>
                </w:tcPr>
                <w:p w14:paraId="1891FF59">
                  <w:pPr>
                    <w:pStyle w:val="30"/>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SW</w:t>
                  </w:r>
                </w:p>
              </w:tc>
              <w:tc>
                <w:tcPr>
                  <w:tcW w:w="1142" w:type="pct"/>
                  <w:tcBorders>
                    <w:tl2br w:val="nil"/>
                    <w:tr2bl w:val="nil"/>
                  </w:tcBorders>
                  <w:noWrap w:val="0"/>
                  <w:vAlign w:val="center"/>
                </w:tcPr>
                <w:p w14:paraId="78B5AEB5">
                  <w:pPr>
                    <w:pStyle w:val="30"/>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425-500</w:t>
                  </w:r>
                </w:p>
              </w:tc>
              <w:tc>
                <w:tcPr>
                  <w:tcW w:w="790" w:type="pct"/>
                  <w:vMerge w:val="continue"/>
                  <w:tcBorders>
                    <w:tl2br w:val="nil"/>
                    <w:tr2bl w:val="nil"/>
                  </w:tcBorders>
                  <w:noWrap w:val="0"/>
                  <w:vAlign w:val="center"/>
                </w:tcPr>
                <w:p w14:paraId="36120AAC">
                  <w:pPr>
                    <w:pStyle w:val="30"/>
                    <w:bidi w:val="0"/>
                    <w:rPr>
                      <w:rFonts w:hint="default" w:ascii="Times New Roman" w:hAnsi="Times New Roman" w:cs="Times New Roman"/>
                      <w:color w:val="000000" w:themeColor="text1"/>
                      <w:highlight w:val="none"/>
                      <w14:textFill>
                        <w14:solidFill>
                          <w14:schemeClr w14:val="tx1"/>
                        </w14:solidFill>
                      </w14:textFill>
                    </w:rPr>
                  </w:pPr>
                </w:p>
              </w:tc>
            </w:tr>
            <w:tr w14:paraId="1CECC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3" w:type="pct"/>
                  <w:vMerge w:val="continue"/>
                  <w:tcBorders>
                    <w:tl2br w:val="nil"/>
                    <w:tr2bl w:val="nil"/>
                  </w:tcBorders>
                  <w:noWrap w:val="0"/>
                  <w:vAlign w:val="center"/>
                </w:tcPr>
                <w:p w14:paraId="1B45D568">
                  <w:pPr>
                    <w:pStyle w:val="30"/>
                    <w:bidi w:val="0"/>
                    <w:rPr>
                      <w:rFonts w:hint="default" w:ascii="Times New Roman" w:hAnsi="Times New Roman" w:cs="Times New Roman"/>
                      <w:color w:val="000000" w:themeColor="text1"/>
                      <w:highlight w:val="none"/>
                      <w14:textFill>
                        <w14:solidFill>
                          <w14:schemeClr w14:val="tx1"/>
                        </w14:solidFill>
                      </w14:textFill>
                    </w:rPr>
                  </w:pPr>
                </w:p>
              </w:tc>
              <w:tc>
                <w:tcPr>
                  <w:tcW w:w="1233" w:type="pct"/>
                  <w:tcBorders>
                    <w:tl2br w:val="nil"/>
                    <w:tr2bl w:val="nil"/>
                  </w:tcBorders>
                  <w:noWrap w:val="0"/>
                  <w:vAlign w:val="center"/>
                </w:tcPr>
                <w:p w14:paraId="16C3197D">
                  <w:pPr>
                    <w:pStyle w:val="30"/>
                    <w:bidi w:val="0"/>
                    <w:rPr>
                      <w:rFonts w:hint="default"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艾兰巴格村</w:t>
                  </w:r>
                </w:p>
              </w:tc>
              <w:tc>
                <w:tcPr>
                  <w:tcW w:w="735" w:type="pct"/>
                  <w:tcBorders>
                    <w:tl2br w:val="nil"/>
                    <w:tr2bl w:val="nil"/>
                  </w:tcBorders>
                  <w:noWrap w:val="0"/>
                  <w:vAlign w:val="center"/>
                </w:tcPr>
                <w:p w14:paraId="2D96F5BD">
                  <w:pPr>
                    <w:pStyle w:val="30"/>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居民</w:t>
                  </w:r>
                </w:p>
              </w:tc>
              <w:tc>
                <w:tcPr>
                  <w:tcW w:w="673" w:type="pct"/>
                  <w:tcBorders>
                    <w:tl2br w:val="nil"/>
                    <w:tr2bl w:val="nil"/>
                  </w:tcBorders>
                  <w:noWrap w:val="0"/>
                  <w:vAlign w:val="center"/>
                </w:tcPr>
                <w:p w14:paraId="2893EC3D">
                  <w:pPr>
                    <w:pStyle w:val="30"/>
                    <w:bidi w:val="0"/>
                    <w:rPr>
                      <w:rFonts w:hint="default"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NW</w:t>
                  </w:r>
                </w:p>
              </w:tc>
              <w:tc>
                <w:tcPr>
                  <w:tcW w:w="1142" w:type="pct"/>
                  <w:tcBorders>
                    <w:tl2br w:val="nil"/>
                    <w:tr2bl w:val="nil"/>
                  </w:tcBorders>
                  <w:noWrap w:val="0"/>
                  <w:vAlign w:val="center"/>
                </w:tcPr>
                <w:p w14:paraId="7DA903C6">
                  <w:pPr>
                    <w:pStyle w:val="30"/>
                    <w:bidi w:val="0"/>
                    <w:rPr>
                      <w:rFonts w:hint="default"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455-500</w:t>
                  </w:r>
                </w:p>
              </w:tc>
              <w:tc>
                <w:tcPr>
                  <w:tcW w:w="790" w:type="pct"/>
                  <w:vMerge w:val="continue"/>
                  <w:tcBorders>
                    <w:tl2br w:val="nil"/>
                    <w:tr2bl w:val="nil"/>
                  </w:tcBorders>
                  <w:noWrap w:val="0"/>
                  <w:vAlign w:val="center"/>
                </w:tcPr>
                <w:p w14:paraId="27F4F44C">
                  <w:pPr>
                    <w:pStyle w:val="30"/>
                    <w:bidi w:val="0"/>
                    <w:rPr>
                      <w:rFonts w:hint="default" w:ascii="Times New Roman" w:hAnsi="Times New Roman" w:cs="Times New Roman"/>
                      <w:color w:val="000000" w:themeColor="text1"/>
                      <w:highlight w:val="none"/>
                      <w14:textFill>
                        <w14:solidFill>
                          <w14:schemeClr w14:val="tx1"/>
                        </w14:solidFill>
                      </w14:textFill>
                    </w:rPr>
                  </w:pPr>
                </w:p>
              </w:tc>
            </w:tr>
            <w:tr w14:paraId="6BBF8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3" w:type="pct"/>
                  <w:vMerge w:val="continue"/>
                  <w:tcBorders>
                    <w:tl2br w:val="nil"/>
                    <w:tr2bl w:val="nil"/>
                  </w:tcBorders>
                  <w:noWrap w:val="0"/>
                  <w:vAlign w:val="center"/>
                </w:tcPr>
                <w:p w14:paraId="6BC34A1D">
                  <w:pPr>
                    <w:pStyle w:val="30"/>
                    <w:bidi w:val="0"/>
                    <w:rPr>
                      <w:rFonts w:hint="default" w:ascii="Times New Roman" w:hAnsi="Times New Roman" w:cs="Times New Roman"/>
                      <w:color w:val="000000" w:themeColor="text1"/>
                      <w:highlight w:val="none"/>
                      <w14:textFill>
                        <w14:solidFill>
                          <w14:schemeClr w14:val="tx1"/>
                        </w14:solidFill>
                      </w14:textFill>
                    </w:rPr>
                  </w:pPr>
                </w:p>
              </w:tc>
              <w:tc>
                <w:tcPr>
                  <w:tcW w:w="1233" w:type="pct"/>
                  <w:tcBorders>
                    <w:tl2br w:val="nil"/>
                    <w:tr2bl w:val="nil"/>
                  </w:tcBorders>
                  <w:noWrap w:val="0"/>
                  <w:vAlign w:val="center"/>
                </w:tcPr>
                <w:p w14:paraId="351B8536">
                  <w:pPr>
                    <w:pStyle w:val="30"/>
                    <w:bidi w:val="0"/>
                    <w:rPr>
                      <w:rFonts w:hint="default"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塔河明城</w:t>
                  </w:r>
                </w:p>
              </w:tc>
              <w:tc>
                <w:tcPr>
                  <w:tcW w:w="735" w:type="pct"/>
                  <w:tcBorders>
                    <w:tl2br w:val="nil"/>
                    <w:tr2bl w:val="nil"/>
                  </w:tcBorders>
                  <w:noWrap w:val="0"/>
                  <w:vAlign w:val="center"/>
                </w:tcPr>
                <w:p w14:paraId="0E88D920">
                  <w:pPr>
                    <w:pStyle w:val="30"/>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居民</w:t>
                  </w:r>
                </w:p>
              </w:tc>
              <w:tc>
                <w:tcPr>
                  <w:tcW w:w="673" w:type="pct"/>
                  <w:tcBorders>
                    <w:tl2br w:val="nil"/>
                    <w:tr2bl w:val="nil"/>
                  </w:tcBorders>
                  <w:noWrap w:val="0"/>
                  <w:vAlign w:val="center"/>
                </w:tcPr>
                <w:p w14:paraId="25CA18B7">
                  <w:pPr>
                    <w:pStyle w:val="30"/>
                    <w:bidi w:val="0"/>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NW</w:t>
                  </w:r>
                </w:p>
              </w:tc>
              <w:tc>
                <w:tcPr>
                  <w:tcW w:w="1142" w:type="pct"/>
                  <w:tcBorders>
                    <w:tl2br w:val="nil"/>
                    <w:tr2bl w:val="nil"/>
                  </w:tcBorders>
                  <w:noWrap w:val="0"/>
                  <w:vAlign w:val="center"/>
                </w:tcPr>
                <w:p w14:paraId="45949F43">
                  <w:pPr>
                    <w:pStyle w:val="30"/>
                    <w:bidi w:val="0"/>
                    <w:rPr>
                      <w:rFonts w:hint="default"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75-250</w:t>
                  </w:r>
                </w:p>
              </w:tc>
              <w:tc>
                <w:tcPr>
                  <w:tcW w:w="790" w:type="pct"/>
                  <w:vMerge w:val="continue"/>
                  <w:tcBorders>
                    <w:tl2br w:val="nil"/>
                    <w:tr2bl w:val="nil"/>
                  </w:tcBorders>
                  <w:noWrap w:val="0"/>
                  <w:vAlign w:val="center"/>
                </w:tcPr>
                <w:p w14:paraId="0879A517">
                  <w:pPr>
                    <w:pStyle w:val="30"/>
                    <w:bidi w:val="0"/>
                    <w:rPr>
                      <w:rFonts w:hint="default" w:ascii="Times New Roman" w:hAnsi="Times New Roman" w:cs="Times New Roman"/>
                      <w:color w:val="000000" w:themeColor="text1"/>
                      <w:highlight w:val="none"/>
                      <w14:textFill>
                        <w14:solidFill>
                          <w14:schemeClr w14:val="tx1"/>
                        </w14:solidFill>
                      </w14:textFill>
                    </w:rPr>
                  </w:pPr>
                </w:p>
              </w:tc>
            </w:tr>
          </w:tbl>
          <w:p w14:paraId="58DAD6A8">
            <w:pPr>
              <w:pStyle w:val="31"/>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（2）声环境</w:t>
            </w:r>
          </w:p>
          <w:p w14:paraId="7E67CD57">
            <w:pPr>
              <w:pStyle w:val="31"/>
              <w:bidi w:val="0"/>
              <w:rPr>
                <w:rFonts w:hint="default" w:ascii="Times New Roman" w:hAnsi="Times New Roman" w:cs="Times New Roman"/>
                <w:color w:val="000000" w:themeColor="text1"/>
                <w:highlight w:val="yellow"/>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本项目厂界外50</w:t>
            </w:r>
            <w:r>
              <w:rPr>
                <w:rFonts w:hint="eastAsia" w:cs="Times New Roman"/>
                <w:color w:val="000000" w:themeColor="text1"/>
                <w:highlight w:val="none"/>
                <w:lang w:val="en-US" w:eastAsia="zh-CN"/>
                <w14:textFill>
                  <w14:solidFill>
                    <w14:schemeClr w14:val="tx1"/>
                  </w14:solidFill>
                </w14:textFill>
              </w:rPr>
              <w:t>m</w:t>
            </w:r>
            <w:r>
              <w:rPr>
                <w:rFonts w:hint="default" w:ascii="Times New Roman" w:hAnsi="Times New Roman" w:cs="Times New Roman"/>
                <w:color w:val="000000" w:themeColor="text1"/>
                <w:highlight w:val="none"/>
                <w14:textFill>
                  <w14:solidFill>
                    <w14:schemeClr w14:val="tx1"/>
                  </w14:solidFill>
                </w14:textFill>
              </w:rPr>
              <w:t>范围内声环境保护目标</w:t>
            </w:r>
            <w:r>
              <w:rPr>
                <w:rFonts w:hint="default" w:ascii="Times New Roman" w:hAnsi="Times New Roman" w:cs="Times New Roman"/>
                <w:color w:val="000000" w:themeColor="text1"/>
                <w:highlight w:val="none"/>
                <w:lang w:val="en-US" w:eastAsia="zh-CN"/>
                <w14:textFill>
                  <w14:solidFill>
                    <w14:schemeClr w14:val="tx1"/>
                  </w14:solidFill>
                </w14:textFill>
              </w:rPr>
              <w:t>主要为丝路华庭1</w:t>
            </w:r>
            <w:r>
              <w:rPr>
                <w:rFonts w:hint="eastAsia" w:cs="Times New Roman"/>
                <w:color w:val="000000" w:themeColor="text1"/>
                <w:highlight w:val="none"/>
                <w:lang w:val="en-US" w:eastAsia="zh-CN"/>
                <w14:textFill>
                  <w14:solidFill>
                    <w14:schemeClr w14:val="tx1"/>
                  </w14:solidFill>
                </w14:textFill>
              </w:rPr>
              <w:t>1</w:t>
            </w:r>
            <w:r>
              <w:rPr>
                <w:rFonts w:hint="default" w:ascii="Times New Roman" w:hAnsi="Times New Roman" w:cs="Times New Roman"/>
                <w:color w:val="000000" w:themeColor="text1"/>
                <w:highlight w:val="none"/>
                <w:lang w:val="en-US" w:eastAsia="zh-CN"/>
                <w14:textFill>
                  <w14:solidFill>
                    <w14:schemeClr w14:val="tx1"/>
                  </w14:solidFill>
                </w14:textFill>
              </w:rPr>
              <w:t>栋、丝路华庭1</w:t>
            </w:r>
            <w:r>
              <w:rPr>
                <w:rFonts w:hint="eastAsia" w:cs="Times New Roman"/>
                <w:color w:val="000000" w:themeColor="text1"/>
                <w:highlight w:val="none"/>
                <w:lang w:val="en-US" w:eastAsia="zh-CN"/>
                <w14:textFill>
                  <w14:solidFill>
                    <w14:schemeClr w14:val="tx1"/>
                  </w14:solidFill>
                </w14:textFill>
              </w:rPr>
              <w:t>2</w:t>
            </w:r>
            <w:r>
              <w:rPr>
                <w:rFonts w:hint="default" w:ascii="Times New Roman" w:hAnsi="Times New Roman" w:cs="Times New Roman"/>
                <w:color w:val="000000" w:themeColor="text1"/>
                <w:highlight w:val="none"/>
                <w:lang w:val="en-US" w:eastAsia="zh-CN"/>
                <w14:textFill>
                  <w14:solidFill>
                    <w14:schemeClr w14:val="tx1"/>
                  </w14:solidFill>
                </w14:textFill>
              </w:rPr>
              <w:t>栋</w:t>
            </w:r>
            <w:r>
              <w:rPr>
                <w:rFonts w:hint="default" w:ascii="Times New Roman" w:hAnsi="Times New Roman" w:cs="Times New Roman"/>
                <w:color w:val="000000" w:themeColor="text1"/>
                <w:highlight w:val="none"/>
                <w14:textFill>
                  <w14:solidFill>
                    <w14:schemeClr w14:val="tx1"/>
                  </w14:solidFill>
                </w14:textFill>
              </w:rPr>
              <w:t>。</w:t>
            </w:r>
          </w:p>
          <w:p w14:paraId="4AF97C5C">
            <w:pPr>
              <w:spacing w:line="240" w:lineRule="auto"/>
              <w:ind w:firstLine="0" w:firstLineChars="0"/>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表3-4    本项目声环境保护目标一览表</w:t>
            </w:r>
          </w:p>
          <w:tbl>
            <w:tblPr>
              <w:tblStyle w:val="18"/>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48"/>
              <w:gridCol w:w="1450"/>
              <w:gridCol w:w="938"/>
              <w:gridCol w:w="967"/>
              <w:gridCol w:w="980"/>
              <w:gridCol w:w="650"/>
              <w:gridCol w:w="733"/>
              <w:gridCol w:w="715"/>
              <w:gridCol w:w="1176"/>
            </w:tblGrid>
            <w:tr w14:paraId="717F4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9" w:hRule="atLeast"/>
                <w:jc w:val="center"/>
              </w:trPr>
              <w:tc>
                <w:tcPr>
                  <w:tcW w:w="335" w:type="pct"/>
                  <w:vMerge w:val="restart"/>
                  <w:tcBorders>
                    <w:tl2br w:val="nil"/>
                    <w:tr2bl w:val="nil"/>
                  </w:tcBorders>
                  <w:noWrap w:val="0"/>
                  <w:vAlign w:val="center"/>
                </w:tcPr>
                <w:p w14:paraId="0641C4E3">
                  <w:pPr>
                    <w:pStyle w:val="30"/>
                    <w:bidi w:val="0"/>
                    <w:rPr>
                      <w:rFonts w:hint="default" w:ascii="Times New Roman" w:hAnsi="Times New Roman" w:cs="Times New Roman"/>
                      <w:b/>
                      <w:bCs w:val="0"/>
                      <w:color w:val="000000" w:themeColor="text1"/>
                      <w:highlight w:val="none"/>
                      <w14:textFill>
                        <w14:solidFill>
                          <w14:schemeClr w14:val="tx1"/>
                        </w14:solidFill>
                      </w14:textFill>
                    </w:rPr>
                  </w:pPr>
                  <w:r>
                    <w:rPr>
                      <w:rFonts w:hint="default" w:ascii="Times New Roman" w:hAnsi="Times New Roman" w:cs="Times New Roman"/>
                      <w:b/>
                      <w:bCs w:val="0"/>
                      <w:color w:val="000000" w:themeColor="text1"/>
                      <w:highlight w:val="none"/>
                      <w14:textFill>
                        <w14:solidFill>
                          <w14:schemeClr w14:val="tx1"/>
                        </w14:solidFill>
                      </w14:textFill>
                    </w:rPr>
                    <w:t>环境要素</w:t>
                  </w:r>
                </w:p>
              </w:tc>
              <w:tc>
                <w:tcPr>
                  <w:tcW w:w="888" w:type="pct"/>
                  <w:vMerge w:val="restart"/>
                  <w:tcBorders>
                    <w:tl2br w:val="nil"/>
                    <w:tr2bl w:val="nil"/>
                  </w:tcBorders>
                  <w:noWrap w:val="0"/>
                  <w:vAlign w:val="center"/>
                </w:tcPr>
                <w:p w14:paraId="5FA85ED5">
                  <w:pPr>
                    <w:pStyle w:val="30"/>
                    <w:bidi w:val="0"/>
                    <w:rPr>
                      <w:rFonts w:hint="default" w:ascii="Times New Roman" w:hAnsi="Times New Roman" w:cs="Times New Roman"/>
                      <w:b/>
                      <w:bCs w:val="0"/>
                      <w:color w:val="000000" w:themeColor="text1"/>
                      <w:highlight w:val="none"/>
                      <w14:textFill>
                        <w14:solidFill>
                          <w14:schemeClr w14:val="tx1"/>
                        </w14:solidFill>
                      </w14:textFill>
                    </w:rPr>
                  </w:pPr>
                  <w:r>
                    <w:rPr>
                      <w:rFonts w:hint="default" w:ascii="Times New Roman" w:hAnsi="Times New Roman" w:cs="Times New Roman"/>
                      <w:b/>
                      <w:bCs w:val="0"/>
                      <w:color w:val="000000" w:themeColor="text1"/>
                      <w:highlight w:val="none"/>
                      <w14:textFill>
                        <w14:solidFill>
                          <w14:schemeClr w14:val="tx1"/>
                        </w14:solidFill>
                      </w14:textFill>
                    </w:rPr>
                    <w:t>保护目标</w:t>
                  </w:r>
                </w:p>
              </w:tc>
              <w:tc>
                <w:tcPr>
                  <w:tcW w:w="1768" w:type="pct"/>
                  <w:gridSpan w:val="3"/>
                  <w:tcBorders>
                    <w:tl2br w:val="nil"/>
                    <w:tr2bl w:val="nil"/>
                  </w:tcBorders>
                  <w:noWrap w:val="0"/>
                  <w:vAlign w:val="center"/>
                </w:tcPr>
                <w:p w14:paraId="5302A973">
                  <w:pPr>
                    <w:pStyle w:val="30"/>
                    <w:bidi w:val="0"/>
                    <w:rPr>
                      <w:rFonts w:hint="default" w:ascii="Times New Roman" w:hAnsi="Times New Roman" w:cs="Times New Roman"/>
                      <w:b/>
                      <w:bCs w:val="0"/>
                      <w:color w:val="000000" w:themeColor="text1"/>
                      <w:highlight w:val="none"/>
                      <w14:textFill>
                        <w14:solidFill>
                          <w14:schemeClr w14:val="tx1"/>
                        </w14:solidFill>
                      </w14:textFill>
                    </w:rPr>
                  </w:pPr>
                  <w:r>
                    <w:rPr>
                      <w:rFonts w:hint="eastAsia" w:cs="Times New Roman"/>
                      <w:b/>
                      <w:bCs w:val="0"/>
                      <w:color w:val="000000" w:themeColor="text1"/>
                      <w:highlight w:val="none"/>
                      <w:lang w:val="en-US" w:eastAsia="zh-CN"/>
                      <w14:textFill>
                        <w14:solidFill>
                          <w14:schemeClr w14:val="tx1"/>
                        </w14:solidFill>
                      </w14:textFill>
                    </w:rPr>
                    <w:t>空间相对位置</w:t>
                  </w:r>
                </w:p>
              </w:tc>
              <w:tc>
                <w:tcPr>
                  <w:tcW w:w="398" w:type="pct"/>
                  <w:vMerge w:val="restart"/>
                  <w:tcBorders>
                    <w:tl2br w:val="nil"/>
                    <w:tr2bl w:val="nil"/>
                  </w:tcBorders>
                  <w:noWrap w:val="0"/>
                  <w:vAlign w:val="center"/>
                </w:tcPr>
                <w:p w14:paraId="149D5334">
                  <w:pPr>
                    <w:pStyle w:val="30"/>
                    <w:bidi w:val="0"/>
                    <w:rPr>
                      <w:rFonts w:hint="default" w:ascii="Times New Roman" w:hAnsi="Times New Roman" w:cs="Times New Roman"/>
                      <w:b/>
                      <w:bCs w:val="0"/>
                      <w:color w:val="000000" w:themeColor="text1"/>
                      <w:highlight w:val="none"/>
                      <w14:textFill>
                        <w14:solidFill>
                          <w14:schemeClr w14:val="tx1"/>
                        </w14:solidFill>
                      </w14:textFill>
                    </w:rPr>
                  </w:pPr>
                  <w:r>
                    <w:rPr>
                      <w:rFonts w:hint="default" w:ascii="Times New Roman" w:hAnsi="Times New Roman" w:cs="Times New Roman"/>
                      <w:b/>
                      <w:bCs w:val="0"/>
                      <w:color w:val="000000" w:themeColor="text1"/>
                      <w:highlight w:val="none"/>
                      <w14:textFill>
                        <w14:solidFill>
                          <w14:schemeClr w14:val="tx1"/>
                        </w14:solidFill>
                      </w14:textFill>
                    </w:rPr>
                    <w:t>保护</w:t>
                  </w:r>
                </w:p>
                <w:p w14:paraId="2FE34994">
                  <w:pPr>
                    <w:pStyle w:val="30"/>
                    <w:bidi w:val="0"/>
                    <w:rPr>
                      <w:rFonts w:hint="default" w:ascii="Times New Roman" w:hAnsi="Times New Roman" w:cs="Times New Roman"/>
                      <w:b/>
                      <w:bCs w:val="0"/>
                      <w:color w:val="000000" w:themeColor="text1"/>
                      <w:highlight w:val="none"/>
                      <w14:textFill>
                        <w14:solidFill>
                          <w14:schemeClr w14:val="tx1"/>
                        </w14:solidFill>
                      </w14:textFill>
                    </w:rPr>
                  </w:pPr>
                  <w:r>
                    <w:rPr>
                      <w:rFonts w:hint="default" w:ascii="Times New Roman" w:hAnsi="Times New Roman" w:cs="Times New Roman"/>
                      <w:b/>
                      <w:bCs w:val="0"/>
                      <w:color w:val="000000" w:themeColor="text1"/>
                      <w:highlight w:val="none"/>
                      <w14:textFill>
                        <w14:solidFill>
                          <w14:schemeClr w14:val="tx1"/>
                        </w14:solidFill>
                      </w14:textFill>
                    </w:rPr>
                    <w:t>对象</w:t>
                  </w:r>
                </w:p>
              </w:tc>
              <w:tc>
                <w:tcPr>
                  <w:tcW w:w="449" w:type="pct"/>
                  <w:vMerge w:val="restart"/>
                  <w:tcBorders>
                    <w:tl2br w:val="nil"/>
                    <w:tr2bl w:val="nil"/>
                  </w:tcBorders>
                  <w:noWrap w:val="0"/>
                  <w:vAlign w:val="center"/>
                </w:tcPr>
                <w:p w14:paraId="37AD195D">
                  <w:pPr>
                    <w:pStyle w:val="30"/>
                    <w:bidi w:val="0"/>
                    <w:rPr>
                      <w:rFonts w:hint="default" w:ascii="Times New Roman" w:hAnsi="Times New Roman" w:cs="Times New Roman"/>
                      <w:b/>
                      <w:bCs w:val="0"/>
                      <w:color w:val="000000" w:themeColor="text1"/>
                      <w:highlight w:val="none"/>
                      <w14:textFill>
                        <w14:solidFill>
                          <w14:schemeClr w14:val="tx1"/>
                        </w14:solidFill>
                      </w14:textFill>
                    </w:rPr>
                  </w:pPr>
                  <w:r>
                    <w:rPr>
                      <w:rFonts w:hint="default" w:ascii="Times New Roman" w:hAnsi="Times New Roman" w:cs="Times New Roman"/>
                      <w:b/>
                      <w:bCs w:val="0"/>
                      <w:color w:val="000000" w:themeColor="text1"/>
                      <w:highlight w:val="none"/>
                      <w14:textFill>
                        <w14:solidFill>
                          <w14:schemeClr w14:val="tx1"/>
                        </w14:solidFill>
                      </w14:textFill>
                    </w:rPr>
                    <w:t>相对厂址位置</w:t>
                  </w:r>
                </w:p>
              </w:tc>
              <w:tc>
                <w:tcPr>
                  <w:tcW w:w="438" w:type="pct"/>
                  <w:vMerge w:val="restart"/>
                  <w:tcBorders>
                    <w:tl2br w:val="nil"/>
                    <w:tr2bl w:val="nil"/>
                  </w:tcBorders>
                  <w:noWrap w:val="0"/>
                  <w:vAlign w:val="center"/>
                </w:tcPr>
                <w:p w14:paraId="37974AF1">
                  <w:pPr>
                    <w:pStyle w:val="30"/>
                    <w:bidi w:val="0"/>
                    <w:rPr>
                      <w:rFonts w:hint="default" w:ascii="Times New Roman" w:hAnsi="Times New Roman" w:cs="Times New Roman"/>
                      <w:b/>
                      <w:bCs w:val="0"/>
                      <w:color w:val="000000" w:themeColor="text1"/>
                      <w:highlight w:val="none"/>
                      <w:lang w:eastAsia="zh-CN"/>
                      <w14:textFill>
                        <w14:solidFill>
                          <w14:schemeClr w14:val="tx1"/>
                        </w14:solidFill>
                      </w14:textFill>
                    </w:rPr>
                  </w:pPr>
                  <w:r>
                    <w:rPr>
                      <w:rFonts w:hint="default" w:ascii="Times New Roman" w:hAnsi="Times New Roman" w:cs="Times New Roman"/>
                      <w:b/>
                      <w:bCs w:val="0"/>
                      <w:color w:val="000000" w:themeColor="text1"/>
                      <w:highlight w:val="none"/>
                      <w14:textFill>
                        <w14:solidFill>
                          <w14:schemeClr w14:val="tx1"/>
                        </w14:solidFill>
                      </w14:textFill>
                    </w:rPr>
                    <w:t>相对厂址距离/</w:t>
                  </w:r>
                  <w:r>
                    <w:rPr>
                      <w:rFonts w:hint="eastAsia" w:cs="Times New Roman"/>
                      <w:b/>
                      <w:bCs w:val="0"/>
                      <w:color w:val="000000" w:themeColor="text1"/>
                      <w:highlight w:val="none"/>
                      <w:lang w:val="en-US" w:eastAsia="zh-CN"/>
                      <w14:textFill>
                        <w14:solidFill>
                          <w14:schemeClr w14:val="tx1"/>
                        </w14:solidFill>
                      </w14:textFill>
                    </w:rPr>
                    <w:t>m</w:t>
                  </w:r>
                </w:p>
              </w:tc>
              <w:tc>
                <w:tcPr>
                  <w:tcW w:w="720" w:type="pct"/>
                  <w:vMerge w:val="restart"/>
                  <w:tcBorders>
                    <w:tl2br w:val="nil"/>
                    <w:tr2bl w:val="nil"/>
                  </w:tcBorders>
                  <w:noWrap w:val="0"/>
                  <w:vAlign w:val="center"/>
                </w:tcPr>
                <w:p w14:paraId="549177CD">
                  <w:pPr>
                    <w:pStyle w:val="30"/>
                    <w:bidi w:val="0"/>
                    <w:rPr>
                      <w:rFonts w:hint="default" w:ascii="Times New Roman" w:hAnsi="Times New Roman" w:cs="Times New Roman"/>
                      <w:b/>
                      <w:bCs w:val="0"/>
                      <w:color w:val="000000" w:themeColor="text1"/>
                      <w:highlight w:val="none"/>
                      <w14:textFill>
                        <w14:solidFill>
                          <w14:schemeClr w14:val="tx1"/>
                        </w14:solidFill>
                      </w14:textFill>
                    </w:rPr>
                  </w:pPr>
                  <w:r>
                    <w:rPr>
                      <w:rFonts w:hint="default" w:ascii="Times New Roman" w:hAnsi="Times New Roman" w:cs="Times New Roman"/>
                      <w:b/>
                      <w:bCs w:val="0"/>
                      <w:color w:val="000000" w:themeColor="text1"/>
                      <w:highlight w:val="none"/>
                      <w14:textFill>
                        <w14:solidFill>
                          <w14:schemeClr w14:val="tx1"/>
                        </w14:solidFill>
                      </w14:textFill>
                    </w:rPr>
                    <w:t>保护级别</w:t>
                  </w:r>
                </w:p>
              </w:tc>
            </w:tr>
            <w:tr w14:paraId="5EC89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8" w:hRule="atLeast"/>
                <w:jc w:val="center"/>
              </w:trPr>
              <w:tc>
                <w:tcPr>
                  <w:tcW w:w="335" w:type="pct"/>
                  <w:vMerge w:val="continue"/>
                  <w:tcBorders>
                    <w:tl2br w:val="nil"/>
                    <w:tr2bl w:val="nil"/>
                  </w:tcBorders>
                  <w:noWrap w:val="0"/>
                  <w:vAlign w:val="center"/>
                </w:tcPr>
                <w:p w14:paraId="0008DF26">
                  <w:pPr>
                    <w:pStyle w:val="30"/>
                    <w:bidi w:val="0"/>
                    <w:rPr>
                      <w:rFonts w:hint="default" w:ascii="Times New Roman" w:hAnsi="Times New Roman" w:cs="Times New Roman"/>
                      <w:b/>
                      <w:bCs w:val="0"/>
                      <w:color w:val="000000" w:themeColor="text1"/>
                      <w:highlight w:val="none"/>
                      <w14:textFill>
                        <w14:solidFill>
                          <w14:schemeClr w14:val="tx1"/>
                        </w14:solidFill>
                      </w14:textFill>
                    </w:rPr>
                  </w:pPr>
                </w:p>
              </w:tc>
              <w:tc>
                <w:tcPr>
                  <w:tcW w:w="888" w:type="pct"/>
                  <w:vMerge w:val="continue"/>
                  <w:tcBorders>
                    <w:tl2br w:val="nil"/>
                    <w:tr2bl w:val="nil"/>
                  </w:tcBorders>
                  <w:noWrap w:val="0"/>
                  <w:vAlign w:val="center"/>
                </w:tcPr>
                <w:p w14:paraId="5C74D4E1">
                  <w:pPr>
                    <w:pStyle w:val="30"/>
                    <w:bidi w:val="0"/>
                    <w:rPr>
                      <w:rFonts w:hint="default" w:ascii="Times New Roman" w:hAnsi="Times New Roman" w:cs="Times New Roman"/>
                      <w:b/>
                      <w:bCs w:val="0"/>
                      <w:color w:val="000000" w:themeColor="text1"/>
                      <w:highlight w:val="none"/>
                      <w14:textFill>
                        <w14:solidFill>
                          <w14:schemeClr w14:val="tx1"/>
                        </w14:solidFill>
                      </w14:textFill>
                    </w:rPr>
                  </w:pPr>
                </w:p>
              </w:tc>
              <w:tc>
                <w:tcPr>
                  <w:tcW w:w="574" w:type="pct"/>
                  <w:tcBorders>
                    <w:tl2br w:val="nil"/>
                    <w:tr2bl w:val="nil"/>
                  </w:tcBorders>
                  <w:noWrap w:val="0"/>
                  <w:vAlign w:val="center"/>
                </w:tcPr>
                <w:p w14:paraId="03A78034">
                  <w:pPr>
                    <w:pStyle w:val="30"/>
                    <w:bidi w:val="0"/>
                    <w:rPr>
                      <w:rFonts w:hint="eastAsia" w:ascii="Times New Roman" w:hAnsi="Times New Roman" w:eastAsia="宋体" w:cs="Times New Roman"/>
                      <w:b/>
                      <w:bCs w:val="0"/>
                      <w:color w:val="000000" w:themeColor="text1"/>
                      <w:highlight w:val="none"/>
                      <w:lang w:val="en-US" w:eastAsia="zh-CN"/>
                      <w14:textFill>
                        <w14:solidFill>
                          <w14:schemeClr w14:val="tx1"/>
                        </w14:solidFill>
                      </w14:textFill>
                    </w:rPr>
                  </w:pPr>
                  <w:r>
                    <w:rPr>
                      <w:rFonts w:hint="eastAsia" w:cs="Times New Roman"/>
                      <w:b/>
                      <w:bCs w:val="0"/>
                      <w:color w:val="000000" w:themeColor="text1"/>
                      <w:highlight w:val="none"/>
                      <w:lang w:val="en-US" w:eastAsia="zh-CN"/>
                      <w14:textFill>
                        <w14:solidFill>
                          <w14:schemeClr w14:val="tx1"/>
                        </w14:solidFill>
                      </w14:textFill>
                    </w:rPr>
                    <w:t>X</w:t>
                  </w:r>
                </w:p>
              </w:tc>
              <w:tc>
                <w:tcPr>
                  <w:tcW w:w="592" w:type="pct"/>
                  <w:tcBorders>
                    <w:tl2br w:val="nil"/>
                    <w:tr2bl w:val="nil"/>
                  </w:tcBorders>
                  <w:noWrap w:val="0"/>
                  <w:vAlign w:val="center"/>
                </w:tcPr>
                <w:p w14:paraId="2020CBCD">
                  <w:pPr>
                    <w:pStyle w:val="30"/>
                    <w:bidi w:val="0"/>
                    <w:rPr>
                      <w:rFonts w:hint="eastAsia" w:ascii="Times New Roman" w:hAnsi="Times New Roman" w:eastAsia="宋体" w:cs="Times New Roman"/>
                      <w:b/>
                      <w:bCs w:val="0"/>
                      <w:color w:val="000000" w:themeColor="text1"/>
                      <w:highlight w:val="none"/>
                      <w:lang w:val="en-US" w:eastAsia="zh-CN"/>
                      <w14:textFill>
                        <w14:solidFill>
                          <w14:schemeClr w14:val="tx1"/>
                        </w14:solidFill>
                      </w14:textFill>
                    </w:rPr>
                  </w:pPr>
                  <w:r>
                    <w:rPr>
                      <w:rFonts w:hint="eastAsia" w:cs="Times New Roman"/>
                      <w:b/>
                      <w:bCs w:val="0"/>
                      <w:color w:val="000000" w:themeColor="text1"/>
                      <w:highlight w:val="none"/>
                      <w:lang w:val="en-US" w:eastAsia="zh-CN"/>
                      <w14:textFill>
                        <w14:solidFill>
                          <w14:schemeClr w14:val="tx1"/>
                        </w14:solidFill>
                      </w14:textFill>
                    </w:rPr>
                    <w:t>Y</w:t>
                  </w:r>
                </w:p>
              </w:tc>
              <w:tc>
                <w:tcPr>
                  <w:tcW w:w="600" w:type="pct"/>
                  <w:tcBorders>
                    <w:tl2br w:val="nil"/>
                    <w:tr2bl w:val="nil"/>
                  </w:tcBorders>
                  <w:noWrap w:val="0"/>
                  <w:vAlign w:val="center"/>
                </w:tcPr>
                <w:p w14:paraId="4033A24F">
                  <w:pPr>
                    <w:pStyle w:val="30"/>
                    <w:bidi w:val="0"/>
                    <w:rPr>
                      <w:rFonts w:hint="eastAsia" w:ascii="Times New Roman" w:hAnsi="Times New Roman" w:eastAsia="宋体" w:cs="Times New Roman"/>
                      <w:b/>
                      <w:bCs w:val="0"/>
                      <w:color w:val="000000" w:themeColor="text1"/>
                      <w:highlight w:val="none"/>
                      <w:lang w:val="en-US" w:eastAsia="zh-CN"/>
                      <w14:textFill>
                        <w14:solidFill>
                          <w14:schemeClr w14:val="tx1"/>
                        </w14:solidFill>
                      </w14:textFill>
                    </w:rPr>
                  </w:pPr>
                  <w:r>
                    <w:rPr>
                      <w:rFonts w:hint="eastAsia" w:cs="Times New Roman"/>
                      <w:b/>
                      <w:bCs w:val="0"/>
                      <w:color w:val="000000" w:themeColor="text1"/>
                      <w:highlight w:val="none"/>
                      <w:lang w:val="en-US" w:eastAsia="zh-CN"/>
                      <w14:textFill>
                        <w14:solidFill>
                          <w14:schemeClr w14:val="tx1"/>
                        </w14:solidFill>
                      </w14:textFill>
                    </w:rPr>
                    <w:t>Z</w:t>
                  </w:r>
                </w:p>
              </w:tc>
              <w:tc>
                <w:tcPr>
                  <w:tcW w:w="398" w:type="pct"/>
                  <w:vMerge w:val="continue"/>
                  <w:tcBorders>
                    <w:tl2br w:val="nil"/>
                    <w:tr2bl w:val="nil"/>
                  </w:tcBorders>
                  <w:noWrap w:val="0"/>
                  <w:vAlign w:val="center"/>
                </w:tcPr>
                <w:p w14:paraId="563BC44F">
                  <w:pPr>
                    <w:pStyle w:val="30"/>
                    <w:bidi w:val="0"/>
                    <w:rPr>
                      <w:rFonts w:hint="default" w:ascii="Times New Roman" w:hAnsi="Times New Roman" w:cs="Times New Roman"/>
                      <w:b/>
                      <w:bCs w:val="0"/>
                      <w:color w:val="000000" w:themeColor="text1"/>
                      <w:highlight w:val="none"/>
                      <w14:textFill>
                        <w14:solidFill>
                          <w14:schemeClr w14:val="tx1"/>
                        </w14:solidFill>
                      </w14:textFill>
                    </w:rPr>
                  </w:pPr>
                </w:p>
              </w:tc>
              <w:tc>
                <w:tcPr>
                  <w:tcW w:w="449" w:type="pct"/>
                  <w:vMerge w:val="continue"/>
                  <w:tcBorders>
                    <w:tl2br w:val="nil"/>
                    <w:tr2bl w:val="nil"/>
                  </w:tcBorders>
                  <w:noWrap w:val="0"/>
                  <w:vAlign w:val="center"/>
                </w:tcPr>
                <w:p w14:paraId="6A4BA39B">
                  <w:pPr>
                    <w:pStyle w:val="30"/>
                    <w:bidi w:val="0"/>
                    <w:rPr>
                      <w:rFonts w:hint="default" w:ascii="Times New Roman" w:hAnsi="Times New Roman" w:cs="Times New Roman"/>
                      <w:b/>
                      <w:bCs w:val="0"/>
                      <w:color w:val="000000" w:themeColor="text1"/>
                      <w:highlight w:val="none"/>
                      <w14:textFill>
                        <w14:solidFill>
                          <w14:schemeClr w14:val="tx1"/>
                        </w14:solidFill>
                      </w14:textFill>
                    </w:rPr>
                  </w:pPr>
                </w:p>
              </w:tc>
              <w:tc>
                <w:tcPr>
                  <w:tcW w:w="438" w:type="pct"/>
                  <w:vMerge w:val="continue"/>
                  <w:tcBorders>
                    <w:tl2br w:val="nil"/>
                    <w:tr2bl w:val="nil"/>
                  </w:tcBorders>
                  <w:noWrap w:val="0"/>
                  <w:vAlign w:val="center"/>
                </w:tcPr>
                <w:p w14:paraId="0BCECF36">
                  <w:pPr>
                    <w:pStyle w:val="30"/>
                    <w:bidi w:val="0"/>
                    <w:rPr>
                      <w:rFonts w:hint="default" w:ascii="Times New Roman" w:hAnsi="Times New Roman" w:cs="Times New Roman"/>
                      <w:b/>
                      <w:bCs w:val="0"/>
                      <w:color w:val="000000" w:themeColor="text1"/>
                      <w:highlight w:val="none"/>
                      <w14:textFill>
                        <w14:solidFill>
                          <w14:schemeClr w14:val="tx1"/>
                        </w14:solidFill>
                      </w14:textFill>
                    </w:rPr>
                  </w:pPr>
                </w:p>
              </w:tc>
              <w:tc>
                <w:tcPr>
                  <w:tcW w:w="720" w:type="pct"/>
                  <w:vMerge w:val="continue"/>
                  <w:tcBorders>
                    <w:tl2br w:val="nil"/>
                    <w:tr2bl w:val="nil"/>
                  </w:tcBorders>
                  <w:noWrap w:val="0"/>
                  <w:vAlign w:val="center"/>
                </w:tcPr>
                <w:p w14:paraId="134AD9B8">
                  <w:pPr>
                    <w:pStyle w:val="30"/>
                    <w:bidi w:val="0"/>
                    <w:rPr>
                      <w:rFonts w:hint="default" w:ascii="Times New Roman" w:hAnsi="Times New Roman" w:cs="Times New Roman"/>
                      <w:b/>
                      <w:bCs w:val="0"/>
                      <w:color w:val="000000" w:themeColor="text1"/>
                      <w:highlight w:val="none"/>
                      <w14:textFill>
                        <w14:solidFill>
                          <w14:schemeClr w14:val="tx1"/>
                        </w14:solidFill>
                      </w14:textFill>
                    </w:rPr>
                  </w:pPr>
                </w:p>
              </w:tc>
            </w:tr>
            <w:tr w14:paraId="0EED1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4" w:hRule="atLeast"/>
                <w:jc w:val="center"/>
              </w:trPr>
              <w:tc>
                <w:tcPr>
                  <w:tcW w:w="335" w:type="pct"/>
                  <w:vMerge w:val="restart"/>
                  <w:tcBorders>
                    <w:tl2br w:val="nil"/>
                    <w:tr2bl w:val="nil"/>
                  </w:tcBorders>
                  <w:noWrap w:val="0"/>
                  <w:vAlign w:val="center"/>
                </w:tcPr>
                <w:p w14:paraId="74F410BC">
                  <w:pPr>
                    <w:pStyle w:val="30"/>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声</w:t>
                  </w:r>
                  <w:r>
                    <w:rPr>
                      <w:rFonts w:hint="default" w:ascii="Times New Roman" w:hAnsi="Times New Roman" w:cs="Times New Roman"/>
                      <w:color w:val="000000" w:themeColor="text1"/>
                      <w:highlight w:val="none"/>
                      <w14:textFill>
                        <w14:solidFill>
                          <w14:schemeClr w14:val="tx1"/>
                        </w14:solidFill>
                      </w14:textFill>
                    </w:rPr>
                    <w:t>环境</w:t>
                  </w:r>
                </w:p>
              </w:tc>
              <w:tc>
                <w:tcPr>
                  <w:tcW w:w="888" w:type="pct"/>
                  <w:tcBorders>
                    <w:tl2br w:val="nil"/>
                    <w:tr2bl w:val="nil"/>
                  </w:tcBorders>
                  <w:shd w:val="clear" w:color="auto" w:fill="auto"/>
                  <w:noWrap w:val="0"/>
                  <w:vAlign w:val="center"/>
                </w:tcPr>
                <w:p w14:paraId="387EEF3F">
                  <w:pPr>
                    <w:pStyle w:val="30"/>
                    <w:bidi w:val="0"/>
                    <w:rPr>
                      <w:rFonts w:hint="default" w:ascii="Times New Roman" w:hAnsi="Times New Roman" w:eastAsia="宋体" w:cs="Times New Roman"/>
                      <w:bCs/>
                      <w:snapToGrid w:val="0"/>
                      <w:color w:val="000000" w:themeColor="text1"/>
                      <w:spacing w:val="8"/>
                      <w:kern w:val="0"/>
                      <w:sz w:val="21"/>
                      <w:szCs w:val="72"/>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丝路华庭1</w:t>
                  </w:r>
                  <w:r>
                    <w:rPr>
                      <w:rFonts w:hint="eastAsia" w:ascii="Times New Roman" w:hAnsi="Times New Roman" w:cs="Times New Roman"/>
                      <w:color w:val="000000" w:themeColor="text1"/>
                      <w:highlight w:val="none"/>
                      <w:lang w:val="en-US" w:eastAsia="zh-CN"/>
                      <w14:textFill>
                        <w14:solidFill>
                          <w14:schemeClr w14:val="tx1"/>
                        </w14:solidFill>
                      </w14:textFill>
                    </w:rPr>
                    <w:t>1</w:t>
                  </w:r>
                  <w:r>
                    <w:rPr>
                      <w:rFonts w:hint="default" w:ascii="Times New Roman" w:hAnsi="Times New Roman" w:cs="Times New Roman"/>
                      <w:color w:val="000000" w:themeColor="text1"/>
                      <w:highlight w:val="none"/>
                      <w:lang w:val="en-US" w:eastAsia="zh-CN"/>
                      <w14:textFill>
                        <w14:solidFill>
                          <w14:schemeClr w14:val="tx1"/>
                        </w14:solidFill>
                      </w14:textFill>
                    </w:rPr>
                    <w:t>栋</w:t>
                  </w:r>
                </w:p>
              </w:tc>
              <w:tc>
                <w:tcPr>
                  <w:tcW w:w="574" w:type="pct"/>
                  <w:tcBorders>
                    <w:tl2br w:val="nil"/>
                    <w:tr2bl w:val="nil"/>
                  </w:tcBorders>
                  <w:shd w:val="clear" w:color="auto" w:fill="auto"/>
                  <w:noWrap w:val="0"/>
                  <w:vAlign w:val="center"/>
                </w:tcPr>
                <w:p w14:paraId="42130D28">
                  <w:pPr>
                    <w:pStyle w:val="30"/>
                    <w:bidi w:val="0"/>
                    <w:rPr>
                      <w:rFonts w:hint="default" w:ascii="Times New Roman" w:hAnsi="Times New Roman" w:eastAsia="宋体" w:cs="Times New Roman"/>
                      <w:bCs/>
                      <w:snapToGrid w:val="0"/>
                      <w:color w:val="000000" w:themeColor="text1"/>
                      <w:spacing w:val="8"/>
                      <w:kern w:val="0"/>
                      <w:sz w:val="21"/>
                      <w:szCs w:val="72"/>
                      <w:highlight w:val="none"/>
                      <w:lang w:val="en-US" w:eastAsia="zh-CN"/>
                      <w14:textFill>
                        <w14:solidFill>
                          <w14:schemeClr w14:val="tx1"/>
                        </w14:solidFill>
                      </w14:textFill>
                    </w:rPr>
                  </w:pPr>
                  <w:r>
                    <w:rPr>
                      <w:rFonts w:hint="eastAsia" w:cs="Times New Roman"/>
                      <w:bCs/>
                      <w:snapToGrid w:val="0"/>
                      <w:color w:val="000000" w:themeColor="text1"/>
                      <w:spacing w:val="8"/>
                      <w:kern w:val="0"/>
                      <w:sz w:val="21"/>
                      <w:szCs w:val="72"/>
                      <w:highlight w:val="none"/>
                      <w:lang w:val="en-US" w:eastAsia="zh-CN"/>
                      <w14:textFill>
                        <w14:solidFill>
                          <w14:schemeClr w14:val="tx1"/>
                        </w14:solidFill>
                      </w14:textFill>
                    </w:rPr>
                    <w:t>15</w:t>
                  </w:r>
                </w:p>
              </w:tc>
              <w:tc>
                <w:tcPr>
                  <w:tcW w:w="592" w:type="pct"/>
                  <w:tcBorders>
                    <w:tl2br w:val="nil"/>
                    <w:tr2bl w:val="nil"/>
                  </w:tcBorders>
                  <w:shd w:val="clear" w:color="auto" w:fill="auto"/>
                  <w:noWrap w:val="0"/>
                  <w:vAlign w:val="center"/>
                </w:tcPr>
                <w:p w14:paraId="3C3127A2">
                  <w:pPr>
                    <w:pStyle w:val="30"/>
                    <w:bidi w:val="0"/>
                    <w:rPr>
                      <w:rFonts w:hint="default" w:ascii="Times New Roman" w:hAnsi="Times New Roman" w:eastAsia="宋体" w:cs="Times New Roman"/>
                      <w:bCs/>
                      <w:snapToGrid w:val="0"/>
                      <w:color w:val="000000" w:themeColor="text1"/>
                      <w:spacing w:val="8"/>
                      <w:kern w:val="0"/>
                      <w:sz w:val="21"/>
                      <w:szCs w:val="72"/>
                      <w:highlight w:val="none"/>
                      <w:lang w:val="en-US" w:eastAsia="zh-CN"/>
                      <w14:textFill>
                        <w14:solidFill>
                          <w14:schemeClr w14:val="tx1"/>
                        </w14:solidFill>
                      </w14:textFill>
                    </w:rPr>
                  </w:pPr>
                  <w:r>
                    <w:rPr>
                      <w:rFonts w:hint="eastAsia" w:cs="Times New Roman"/>
                      <w:bCs/>
                      <w:snapToGrid w:val="0"/>
                      <w:color w:val="000000" w:themeColor="text1"/>
                      <w:spacing w:val="8"/>
                      <w:kern w:val="0"/>
                      <w:sz w:val="21"/>
                      <w:szCs w:val="72"/>
                      <w:highlight w:val="none"/>
                      <w:lang w:val="en-US" w:eastAsia="zh-CN"/>
                      <w14:textFill>
                        <w14:solidFill>
                          <w14:schemeClr w14:val="tx1"/>
                        </w14:solidFill>
                      </w14:textFill>
                    </w:rPr>
                    <w:t>10</w:t>
                  </w:r>
                </w:p>
              </w:tc>
              <w:tc>
                <w:tcPr>
                  <w:tcW w:w="600" w:type="pct"/>
                  <w:tcBorders>
                    <w:tl2br w:val="nil"/>
                    <w:tr2bl w:val="nil"/>
                  </w:tcBorders>
                  <w:shd w:val="clear" w:color="auto" w:fill="auto"/>
                  <w:noWrap w:val="0"/>
                  <w:vAlign w:val="center"/>
                </w:tcPr>
                <w:p w14:paraId="198086BA">
                  <w:pPr>
                    <w:pStyle w:val="30"/>
                    <w:bidi w:val="0"/>
                    <w:rPr>
                      <w:rFonts w:hint="default" w:ascii="Times New Roman" w:hAnsi="Times New Roman" w:eastAsia="宋体" w:cs="Times New Roman"/>
                      <w:bCs/>
                      <w:snapToGrid w:val="0"/>
                      <w:color w:val="000000" w:themeColor="text1"/>
                      <w:spacing w:val="8"/>
                      <w:kern w:val="0"/>
                      <w:sz w:val="21"/>
                      <w:szCs w:val="72"/>
                      <w:highlight w:val="none"/>
                      <w:lang w:val="en-US" w:eastAsia="zh-CN"/>
                      <w14:textFill>
                        <w14:solidFill>
                          <w14:schemeClr w14:val="tx1"/>
                        </w14:solidFill>
                      </w14:textFill>
                    </w:rPr>
                  </w:pPr>
                  <w:r>
                    <w:rPr>
                      <w:rFonts w:hint="eastAsia" w:cs="Times New Roman"/>
                      <w:bCs/>
                      <w:snapToGrid w:val="0"/>
                      <w:color w:val="000000" w:themeColor="text1"/>
                      <w:spacing w:val="8"/>
                      <w:kern w:val="0"/>
                      <w:sz w:val="21"/>
                      <w:szCs w:val="72"/>
                      <w:highlight w:val="none"/>
                      <w:lang w:val="en-US" w:eastAsia="zh-CN"/>
                      <w14:textFill>
                        <w14:solidFill>
                          <w14:schemeClr w14:val="tx1"/>
                        </w14:solidFill>
                      </w14:textFill>
                    </w:rPr>
                    <w:t>1</w:t>
                  </w:r>
                </w:p>
              </w:tc>
              <w:tc>
                <w:tcPr>
                  <w:tcW w:w="398" w:type="pct"/>
                  <w:tcBorders>
                    <w:tl2br w:val="nil"/>
                    <w:tr2bl w:val="nil"/>
                  </w:tcBorders>
                  <w:shd w:val="clear" w:color="auto" w:fill="auto"/>
                  <w:noWrap w:val="0"/>
                  <w:vAlign w:val="center"/>
                </w:tcPr>
                <w:p w14:paraId="60A1EBFE">
                  <w:pPr>
                    <w:pStyle w:val="30"/>
                    <w:bidi w:val="0"/>
                    <w:rPr>
                      <w:rFonts w:hint="default" w:ascii="Times New Roman" w:hAnsi="Times New Roman" w:eastAsia="宋体" w:cs="Times New Roman"/>
                      <w:bCs/>
                      <w:snapToGrid w:val="0"/>
                      <w:color w:val="000000" w:themeColor="text1"/>
                      <w:spacing w:val="8"/>
                      <w:kern w:val="0"/>
                      <w:sz w:val="21"/>
                      <w:szCs w:val="72"/>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居民</w:t>
                  </w:r>
                </w:p>
              </w:tc>
              <w:tc>
                <w:tcPr>
                  <w:tcW w:w="449" w:type="pct"/>
                  <w:tcBorders>
                    <w:tl2br w:val="nil"/>
                    <w:tr2bl w:val="nil"/>
                  </w:tcBorders>
                  <w:shd w:val="clear" w:color="auto" w:fill="auto"/>
                  <w:noWrap w:val="0"/>
                  <w:vAlign w:val="center"/>
                </w:tcPr>
                <w:p w14:paraId="58AB6693">
                  <w:pPr>
                    <w:pStyle w:val="30"/>
                    <w:bidi w:val="0"/>
                    <w:rPr>
                      <w:rFonts w:hint="default" w:ascii="Times New Roman" w:hAnsi="Times New Roman" w:eastAsia="宋体" w:cs="Times New Roman"/>
                      <w:bCs/>
                      <w:snapToGrid w:val="0"/>
                      <w:color w:val="000000" w:themeColor="text1"/>
                      <w:spacing w:val="8"/>
                      <w:kern w:val="0"/>
                      <w:sz w:val="21"/>
                      <w:szCs w:val="72"/>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NE</w:t>
                  </w:r>
                </w:p>
              </w:tc>
              <w:tc>
                <w:tcPr>
                  <w:tcW w:w="438" w:type="pct"/>
                  <w:tcBorders>
                    <w:tl2br w:val="nil"/>
                    <w:tr2bl w:val="nil"/>
                  </w:tcBorders>
                  <w:shd w:val="clear" w:color="auto" w:fill="auto"/>
                  <w:noWrap w:val="0"/>
                  <w:vAlign w:val="center"/>
                </w:tcPr>
                <w:p w14:paraId="7EEF0F7D">
                  <w:pPr>
                    <w:pStyle w:val="30"/>
                    <w:bidi w:val="0"/>
                    <w:rPr>
                      <w:rFonts w:hint="default" w:ascii="Times New Roman" w:hAnsi="Times New Roman" w:eastAsia="宋体" w:cs="Times New Roman"/>
                      <w:bCs/>
                      <w:snapToGrid w:val="0"/>
                      <w:color w:val="000000" w:themeColor="text1"/>
                      <w:spacing w:val="8"/>
                      <w:kern w:val="0"/>
                      <w:sz w:val="21"/>
                      <w:szCs w:val="72"/>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14</w:t>
                  </w:r>
                </w:p>
              </w:tc>
              <w:tc>
                <w:tcPr>
                  <w:tcW w:w="720" w:type="pct"/>
                  <w:vMerge w:val="restart"/>
                  <w:tcBorders>
                    <w:tl2br w:val="nil"/>
                    <w:tr2bl w:val="nil"/>
                  </w:tcBorders>
                  <w:noWrap w:val="0"/>
                  <w:vAlign w:val="center"/>
                </w:tcPr>
                <w:p w14:paraId="575AE8C9">
                  <w:pPr>
                    <w:pStyle w:val="30"/>
                    <w:bidi w:val="0"/>
                    <w:rPr>
                      <w:rFonts w:hint="default" w:ascii="Times New Roman" w:hAnsi="Times New Roman" w:cs="Times New Roman"/>
                      <w:color w:val="000000" w:themeColor="text1"/>
                      <w:highlight w:val="none"/>
                      <w:lang w:val="en-US"/>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《声环境质量标准》（GB3096-2008）中2类标准限值</w:t>
                  </w:r>
                </w:p>
              </w:tc>
            </w:tr>
            <w:tr w14:paraId="64F30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35" w:type="pct"/>
                  <w:vMerge w:val="continue"/>
                  <w:tcBorders>
                    <w:tl2br w:val="nil"/>
                    <w:tr2bl w:val="nil"/>
                  </w:tcBorders>
                  <w:noWrap w:val="0"/>
                  <w:vAlign w:val="center"/>
                </w:tcPr>
                <w:p w14:paraId="4F287FF5">
                  <w:pPr>
                    <w:pStyle w:val="30"/>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888" w:type="pct"/>
                  <w:tcBorders>
                    <w:tl2br w:val="nil"/>
                    <w:tr2bl w:val="nil"/>
                  </w:tcBorders>
                  <w:noWrap w:val="0"/>
                  <w:vAlign w:val="center"/>
                </w:tcPr>
                <w:p w14:paraId="63EED952">
                  <w:pPr>
                    <w:pStyle w:val="30"/>
                    <w:bidi w:val="0"/>
                    <w:rPr>
                      <w:rFonts w:hint="eastAsia"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丝路华庭1</w:t>
                  </w:r>
                  <w:r>
                    <w:rPr>
                      <w:rFonts w:hint="eastAsia" w:ascii="Times New Roman" w:hAnsi="Times New Roman" w:cs="Times New Roman"/>
                      <w:color w:val="000000" w:themeColor="text1"/>
                      <w:highlight w:val="none"/>
                      <w:lang w:val="en-US" w:eastAsia="zh-CN"/>
                      <w14:textFill>
                        <w14:solidFill>
                          <w14:schemeClr w14:val="tx1"/>
                        </w14:solidFill>
                      </w14:textFill>
                    </w:rPr>
                    <w:t>2</w:t>
                  </w:r>
                  <w:r>
                    <w:rPr>
                      <w:rFonts w:hint="default" w:ascii="Times New Roman" w:hAnsi="Times New Roman" w:cs="Times New Roman"/>
                      <w:color w:val="000000" w:themeColor="text1"/>
                      <w:highlight w:val="none"/>
                      <w:lang w:val="en-US" w:eastAsia="zh-CN"/>
                      <w14:textFill>
                        <w14:solidFill>
                          <w14:schemeClr w14:val="tx1"/>
                        </w14:solidFill>
                      </w14:textFill>
                    </w:rPr>
                    <w:t>栋</w:t>
                  </w:r>
                </w:p>
              </w:tc>
              <w:tc>
                <w:tcPr>
                  <w:tcW w:w="574" w:type="pct"/>
                  <w:tcBorders>
                    <w:tl2br w:val="nil"/>
                    <w:tr2bl w:val="nil"/>
                  </w:tcBorders>
                  <w:noWrap w:val="0"/>
                  <w:vAlign w:val="center"/>
                </w:tcPr>
                <w:p w14:paraId="7002CBF0">
                  <w:pPr>
                    <w:pStyle w:val="30"/>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-5</w:t>
                  </w:r>
                </w:p>
              </w:tc>
              <w:tc>
                <w:tcPr>
                  <w:tcW w:w="592" w:type="pct"/>
                  <w:tcBorders>
                    <w:tl2br w:val="nil"/>
                    <w:tr2bl w:val="nil"/>
                  </w:tcBorders>
                  <w:noWrap w:val="0"/>
                  <w:vAlign w:val="center"/>
                </w:tcPr>
                <w:p w14:paraId="39EC0C68">
                  <w:pPr>
                    <w:pStyle w:val="30"/>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-45</w:t>
                  </w:r>
                </w:p>
              </w:tc>
              <w:tc>
                <w:tcPr>
                  <w:tcW w:w="600" w:type="pct"/>
                  <w:tcBorders>
                    <w:tl2br w:val="nil"/>
                    <w:tr2bl w:val="nil"/>
                  </w:tcBorders>
                  <w:noWrap w:val="0"/>
                  <w:vAlign w:val="center"/>
                </w:tcPr>
                <w:p w14:paraId="34910A77">
                  <w:pPr>
                    <w:pStyle w:val="30"/>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1</w:t>
                  </w:r>
                </w:p>
              </w:tc>
              <w:tc>
                <w:tcPr>
                  <w:tcW w:w="398" w:type="pct"/>
                  <w:tcBorders>
                    <w:tl2br w:val="nil"/>
                    <w:tr2bl w:val="nil"/>
                  </w:tcBorders>
                  <w:noWrap w:val="0"/>
                  <w:vAlign w:val="center"/>
                </w:tcPr>
                <w:p w14:paraId="157E7F77">
                  <w:pPr>
                    <w:pStyle w:val="30"/>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居民</w:t>
                  </w:r>
                </w:p>
              </w:tc>
              <w:tc>
                <w:tcPr>
                  <w:tcW w:w="449" w:type="pct"/>
                  <w:tcBorders>
                    <w:tl2br w:val="nil"/>
                    <w:tr2bl w:val="nil"/>
                  </w:tcBorders>
                  <w:noWrap w:val="0"/>
                  <w:vAlign w:val="center"/>
                </w:tcPr>
                <w:p w14:paraId="2C8580E9">
                  <w:pPr>
                    <w:pStyle w:val="30"/>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S</w:t>
                  </w:r>
                </w:p>
              </w:tc>
              <w:tc>
                <w:tcPr>
                  <w:tcW w:w="438" w:type="pct"/>
                  <w:tcBorders>
                    <w:tl2br w:val="nil"/>
                    <w:tr2bl w:val="nil"/>
                  </w:tcBorders>
                  <w:noWrap w:val="0"/>
                  <w:vAlign w:val="center"/>
                </w:tcPr>
                <w:p w14:paraId="338B4290">
                  <w:pPr>
                    <w:pStyle w:val="30"/>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35</w:t>
                  </w:r>
                </w:p>
              </w:tc>
              <w:tc>
                <w:tcPr>
                  <w:tcW w:w="720" w:type="pct"/>
                  <w:vMerge w:val="continue"/>
                  <w:tcBorders>
                    <w:tl2br w:val="nil"/>
                    <w:tr2bl w:val="nil"/>
                  </w:tcBorders>
                  <w:noWrap w:val="0"/>
                  <w:vAlign w:val="center"/>
                </w:tcPr>
                <w:p w14:paraId="312F61B7">
                  <w:pPr>
                    <w:pStyle w:val="30"/>
                    <w:bidi w:val="0"/>
                    <w:rPr>
                      <w:rFonts w:hint="default" w:ascii="Times New Roman" w:hAnsi="Times New Roman" w:cs="Times New Roman"/>
                      <w:color w:val="000000" w:themeColor="text1"/>
                      <w:highlight w:val="none"/>
                      <w:lang w:val="en-US" w:eastAsia="zh-CN"/>
                      <w14:textFill>
                        <w14:solidFill>
                          <w14:schemeClr w14:val="tx1"/>
                        </w14:solidFill>
                      </w14:textFill>
                    </w:rPr>
                  </w:pPr>
                </w:p>
              </w:tc>
            </w:tr>
          </w:tbl>
          <w:p w14:paraId="4E594D6F">
            <w:pPr>
              <w:pStyle w:val="31"/>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3</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地表水环境</w:t>
            </w:r>
          </w:p>
          <w:p w14:paraId="305E0CA3">
            <w:pPr>
              <w:pStyle w:val="31"/>
              <w:keepNext w:val="0"/>
              <w:keepLines w:val="0"/>
              <w:pageBreakBefore w:val="0"/>
              <w:widowControl/>
              <w:kinsoku/>
              <w:wordWrap/>
              <w:overflowPunct/>
              <w:topLinePunct w:val="0"/>
              <w:autoSpaceDE w:val="0"/>
              <w:autoSpaceDN w:val="0"/>
              <w:bidi w:val="0"/>
              <w:adjustRightInd/>
              <w:snapToGrid/>
              <w:textAlignment w:val="baseline"/>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本项目为动物医院项目，租赁现有</w:t>
            </w:r>
            <w:r>
              <w:rPr>
                <w:rFonts w:hint="default" w:ascii="Times New Roman" w:hAnsi="Times New Roman" w:cs="Times New Roman"/>
                <w:color w:val="000000" w:themeColor="text1"/>
                <w:highlight w:val="none"/>
                <w:lang w:val="en-US" w:eastAsia="zh-CN"/>
                <w14:textFill>
                  <w14:solidFill>
                    <w14:schemeClr w14:val="tx1"/>
                  </w14:solidFill>
                </w14:textFill>
              </w:rPr>
              <w:t>闲置</w:t>
            </w:r>
            <w:r>
              <w:rPr>
                <w:rFonts w:hint="default" w:ascii="Times New Roman" w:hAnsi="Times New Roman" w:cs="Times New Roman"/>
                <w:color w:val="000000" w:themeColor="text1"/>
                <w:highlight w:val="none"/>
                <w14:textFill>
                  <w14:solidFill>
                    <w14:schemeClr w14:val="tx1"/>
                  </w14:solidFill>
                </w14:textFill>
              </w:rPr>
              <w:t>商铺，地面已做硬化处理，</w:t>
            </w:r>
            <w:r>
              <w:rPr>
                <w:rFonts w:hint="default" w:ascii="Times New Roman" w:hAnsi="Times New Roman" w:cs="Times New Roman"/>
                <w:color w:val="000000" w:themeColor="text1"/>
                <w:highlight w:val="none"/>
                <w:lang w:val="en-US" w:eastAsia="en-US"/>
                <w14:textFill>
                  <w14:solidFill>
                    <w14:schemeClr w14:val="tx1"/>
                  </w14:solidFill>
                </w14:textFill>
              </w:rPr>
              <w:t>本项目医疗废水</w:t>
            </w:r>
            <w:r>
              <w:rPr>
                <w:rFonts w:hint="eastAsia" w:cs="Times New Roman"/>
                <w:color w:val="000000" w:themeColor="text1"/>
                <w:highlight w:val="none"/>
                <w:lang w:val="en-US" w:eastAsia="zh-CN"/>
                <w14:textFill>
                  <w14:solidFill>
                    <w14:schemeClr w14:val="tx1"/>
                  </w14:solidFill>
                </w14:textFill>
              </w:rPr>
              <w:t>、</w:t>
            </w:r>
            <w:r>
              <w:rPr>
                <w:rFonts w:hint="eastAsia" w:ascii="Times New Roman" w:hAnsi="Times New Roman" w:cs="Times New Roman"/>
                <w:color w:val="000000" w:themeColor="text1"/>
                <w:highlight w:val="none"/>
                <w:lang w:val="en-US" w:eastAsia="zh-CN"/>
                <w14:textFill>
                  <w14:solidFill>
                    <w14:schemeClr w14:val="tx1"/>
                  </w14:solidFill>
                </w14:textFill>
              </w:rPr>
              <w:t>清洗消毒废水</w:t>
            </w:r>
            <w:r>
              <w:rPr>
                <w:rFonts w:hint="default" w:ascii="Times New Roman" w:hAnsi="Times New Roman" w:cs="Times New Roman"/>
                <w:color w:val="000000" w:themeColor="text1"/>
                <w:highlight w:val="none"/>
                <w:lang w:val="en-US" w:eastAsia="en-US"/>
                <w14:textFill>
                  <w14:solidFill>
                    <w14:schemeClr w14:val="tx1"/>
                  </w14:solidFill>
                </w14:textFill>
              </w:rPr>
              <w:t>经</w:t>
            </w:r>
            <w:r>
              <w:rPr>
                <w:rFonts w:hint="default" w:ascii="Times New Roman" w:hAnsi="Times New Roman" w:cs="Times New Roman"/>
                <w:color w:val="000000" w:themeColor="text1"/>
                <w:highlight w:val="none"/>
                <w14:textFill>
                  <w14:solidFill>
                    <w14:schemeClr w14:val="tx1"/>
                  </w14:solidFill>
                </w14:textFill>
              </w:rPr>
              <w:t>污水处理设施</w:t>
            </w:r>
            <w:r>
              <w:rPr>
                <w:rFonts w:hint="default" w:ascii="Times New Roman" w:hAnsi="Times New Roman" w:cs="Times New Roman"/>
                <w:color w:val="000000" w:themeColor="text1"/>
                <w:highlight w:val="none"/>
                <w:lang w:val="en-US" w:eastAsia="zh-CN"/>
                <w14:textFill>
                  <w14:solidFill>
                    <w14:schemeClr w14:val="tx1"/>
                  </w14:solidFill>
                </w14:textFill>
              </w:rPr>
              <w:t>预</w:t>
            </w:r>
            <w:r>
              <w:rPr>
                <w:rFonts w:hint="default" w:ascii="Times New Roman" w:hAnsi="Times New Roman" w:cs="Times New Roman"/>
                <w:color w:val="000000" w:themeColor="text1"/>
                <w:highlight w:val="none"/>
                <w:lang w:val="en-US" w:eastAsia="en-US"/>
                <w14:textFill>
                  <w14:solidFill>
                    <w14:schemeClr w14:val="tx1"/>
                  </w14:solidFill>
                </w14:textFill>
              </w:rPr>
              <w:t>处理后与</w:t>
            </w:r>
            <w:r>
              <w:rPr>
                <w:rFonts w:hint="default" w:ascii="Times New Roman" w:hAnsi="Times New Roman" w:cs="Times New Roman"/>
                <w:color w:val="000000" w:themeColor="text1"/>
                <w:highlight w:val="none"/>
                <w:lang w:val="en-US" w:eastAsia="zh-CN"/>
                <w14:textFill>
                  <w14:solidFill>
                    <w14:schemeClr w14:val="tx1"/>
                  </w14:solidFill>
                </w14:textFill>
              </w:rPr>
              <w:t>生活污水</w:t>
            </w:r>
            <w:r>
              <w:rPr>
                <w:rFonts w:hint="eastAsia"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洗浴</w:t>
            </w:r>
            <w:r>
              <w:rPr>
                <w:rFonts w:hint="default" w:ascii="Times New Roman" w:hAnsi="Times New Roman" w:cs="Times New Roman"/>
                <w:color w:val="000000" w:themeColor="text1"/>
                <w:highlight w:val="none"/>
                <w:lang w:val="en-US" w:eastAsia="en-US"/>
                <w14:textFill>
                  <w14:solidFill>
                    <w14:schemeClr w14:val="tx1"/>
                  </w14:solidFill>
                </w14:textFill>
              </w:rPr>
              <w:t>废水</w:t>
            </w:r>
            <w:r>
              <w:rPr>
                <w:rFonts w:hint="default" w:ascii="Times New Roman" w:hAnsi="Times New Roman" w:cs="Times New Roman"/>
                <w:color w:val="000000" w:themeColor="text1"/>
                <w:highlight w:val="none"/>
                <w:lang w:val="en-US" w:eastAsia="zh-CN"/>
                <w14:textFill>
                  <w14:solidFill>
                    <w14:schemeClr w14:val="tx1"/>
                  </w14:solidFill>
                </w14:textFill>
              </w:rPr>
              <w:t>经</w:t>
            </w:r>
            <w:r>
              <w:rPr>
                <w:rFonts w:hint="default" w:ascii="Times New Roman" w:hAnsi="Times New Roman" w:cs="Times New Roman"/>
                <w:color w:val="000000" w:themeColor="text1"/>
                <w:highlight w:val="none"/>
                <w:lang w:val="en-US" w:eastAsia="en-US"/>
                <w14:textFill>
                  <w14:solidFill>
                    <w14:schemeClr w14:val="tx1"/>
                  </w14:solidFill>
                </w14:textFill>
              </w:rPr>
              <w:t>市政污水</w:t>
            </w:r>
            <w:r>
              <w:rPr>
                <w:rFonts w:hint="default" w:ascii="Times New Roman" w:hAnsi="Times New Roman" w:cs="Times New Roman"/>
                <w:color w:val="000000" w:themeColor="text1"/>
                <w:highlight w:val="none"/>
                <w:lang w:val="en-US" w:eastAsia="zh-CN"/>
                <w14:textFill>
                  <w14:solidFill>
                    <w14:schemeClr w14:val="tx1"/>
                  </w14:solidFill>
                </w14:textFill>
              </w:rPr>
              <w:t>管</w:t>
            </w:r>
            <w:r>
              <w:rPr>
                <w:rFonts w:hint="default" w:ascii="Times New Roman" w:hAnsi="Times New Roman" w:cs="Times New Roman"/>
                <w:color w:val="000000" w:themeColor="text1"/>
                <w:highlight w:val="none"/>
                <w:lang w:val="en-US" w:eastAsia="en-US"/>
                <w14:textFill>
                  <w14:solidFill>
                    <w14:schemeClr w14:val="tx1"/>
                  </w14:solidFill>
                </w14:textFill>
              </w:rPr>
              <w:t>网</w:t>
            </w:r>
            <w:r>
              <w:rPr>
                <w:rFonts w:hint="default" w:ascii="Times New Roman" w:hAnsi="Times New Roman" w:cs="Times New Roman"/>
                <w:color w:val="000000" w:themeColor="text1"/>
                <w:highlight w:val="none"/>
                <w:lang w:val="en-US" w:eastAsia="zh-CN"/>
                <w14:textFill>
                  <w14:solidFill>
                    <w14:schemeClr w14:val="tx1"/>
                  </w14:solidFill>
                </w14:textFill>
              </w:rPr>
              <w:t>排入</w:t>
            </w:r>
            <w:r>
              <w:rPr>
                <w:rFonts w:hint="eastAsia" w:cs="Times New Roman"/>
                <w:color w:val="000000" w:themeColor="text1"/>
                <w:highlight w:val="none"/>
                <w:lang w:val="en-US" w:eastAsia="zh-CN"/>
                <w14:textFill>
                  <w14:solidFill>
                    <w14:schemeClr w14:val="tx1"/>
                  </w14:solidFill>
                </w14:textFill>
              </w:rPr>
              <w:t>库尔勒市南市区污水处理厂（库尔勒龙润水处理有限公司）</w:t>
            </w:r>
            <w:r>
              <w:rPr>
                <w:rFonts w:hint="default" w:ascii="Times New Roman" w:hAnsi="Times New Roman" w:cs="Times New Roman"/>
                <w:color w:val="000000" w:themeColor="text1"/>
                <w:highlight w:val="none"/>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属于间接排放，无地表水受纳水体，无地表水环境保护目标</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p>
          <w:p w14:paraId="091CC60D">
            <w:pPr>
              <w:pStyle w:val="31"/>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4</w:t>
            </w:r>
            <w:r>
              <w:rPr>
                <w:rFonts w:hint="default" w:ascii="Times New Roman" w:hAnsi="Times New Roman" w:cs="Times New Roman"/>
                <w:color w:val="000000" w:themeColor="text1"/>
                <w:highlight w:val="none"/>
                <w14:textFill>
                  <w14:solidFill>
                    <w14:schemeClr w14:val="tx1"/>
                  </w14:solidFill>
                </w14:textFill>
              </w:rPr>
              <w:t>）地下水环境</w:t>
            </w:r>
          </w:p>
          <w:p w14:paraId="20C0737E">
            <w:pPr>
              <w:keepNext w:val="0"/>
              <w:keepLines w:val="0"/>
              <w:widowControl/>
              <w:suppressLineNumbers w:val="0"/>
              <w:spacing w:line="360" w:lineRule="auto"/>
              <w:ind w:firstLine="480" w:firstLineChars="200"/>
              <w:jc w:val="left"/>
              <w:rPr>
                <w:rFonts w:hint="default" w:ascii="Times New Roman" w:hAnsi="Times New Roman" w:eastAsia="宋体" w:cs="Times New Roman"/>
                <w:b w:val="0"/>
                <w:bCs w:val="0"/>
                <w:snapToGrid w:val="0"/>
                <w:color w:val="000000" w:themeColor="text1"/>
                <w:kern w:val="3"/>
                <w:sz w:val="24"/>
                <w:szCs w:val="24"/>
                <w:highlight w:val="none"/>
                <w:lang w:val="en-US" w:eastAsia="zh-CN" w:bidi="ar-SA"/>
                <w14:textFill>
                  <w14:solidFill>
                    <w14:schemeClr w14:val="tx1"/>
                  </w14:solidFill>
                </w14:textFill>
              </w:rPr>
            </w:pPr>
            <w:r>
              <w:rPr>
                <w:rFonts w:hint="default" w:ascii="Times New Roman" w:hAnsi="Times New Roman" w:eastAsia="宋体" w:cs="Times New Roman"/>
                <w:b w:val="0"/>
                <w:bCs w:val="0"/>
                <w:snapToGrid w:val="0"/>
                <w:color w:val="000000" w:themeColor="text1"/>
                <w:kern w:val="3"/>
                <w:sz w:val="24"/>
                <w:szCs w:val="24"/>
                <w:highlight w:val="none"/>
                <w:lang w:val="en-US" w:eastAsia="zh-CN" w:bidi="ar-SA"/>
                <w14:textFill>
                  <w14:solidFill>
                    <w14:schemeClr w14:val="tx1"/>
                  </w14:solidFill>
                </w14:textFill>
              </w:rPr>
              <w:t>厂界外500</w:t>
            </w:r>
            <w:r>
              <w:rPr>
                <w:rFonts w:hint="default" w:ascii="Times New Roman" w:hAnsi="Times New Roman" w:cs="Times New Roman"/>
                <w:color w:val="000000" w:themeColor="text1"/>
                <w:highlight w:val="none"/>
                <w14:textFill>
                  <w14:solidFill>
                    <w14:schemeClr w14:val="tx1"/>
                  </w14:solidFill>
                </w14:textFill>
              </w:rPr>
              <w:t>m</w:t>
            </w:r>
            <w:r>
              <w:rPr>
                <w:rFonts w:hint="default" w:ascii="Times New Roman" w:hAnsi="Times New Roman" w:eastAsia="宋体" w:cs="Times New Roman"/>
                <w:b w:val="0"/>
                <w:bCs w:val="0"/>
                <w:snapToGrid w:val="0"/>
                <w:color w:val="000000" w:themeColor="text1"/>
                <w:kern w:val="3"/>
                <w:sz w:val="24"/>
                <w:szCs w:val="24"/>
                <w:highlight w:val="none"/>
                <w:lang w:val="en-US" w:eastAsia="zh-CN" w:bidi="ar-SA"/>
                <w14:textFill>
                  <w14:solidFill>
                    <w14:schemeClr w14:val="tx1"/>
                  </w14:solidFill>
                </w14:textFill>
              </w:rPr>
              <w:t>范围内无地下水集中式饮用水水源和热水、矿泉水、温泉等特殊地下水资源。</w:t>
            </w:r>
          </w:p>
          <w:p w14:paraId="248A812B">
            <w:pPr>
              <w:pStyle w:val="31"/>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5</w:t>
            </w:r>
            <w:r>
              <w:rPr>
                <w:rFonts w:hint="default" w:ascii="Times New Roman" w:hAnsi="Times New Roman" w:cs="Times New Roman"/>
                <w:color w:val="000000" w:themeColor="text1"/>
                <w:highlight w:val="none"/>
                <w14:textFill>
                  <w14:solidFill>
                    <w14:schemeClr w14:val="tx1"/>
                  </w14:solidFill>
                </w14:textFill>
              </w:rPr>
              <w:t>）生态环境</w:t>
            </w:r>
          </w:p>
          <w:p w14:paraId="179461A0">
            <w:pPr>
              <w:pStyle w:val="31"/>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本项目位于</w:t>
            </w:r>
            <w:r>
              <w:rPr>
                <w:rFonts w:hint="default" w:ascii="Times New Roman" w:hAnsi="Times New Roman" w:cs="Times New Roman"/>
                <w:color w:val="000000" w:themeColor="text1"/>
                <w:highlight w:val="none"/>
                <w:lang w:val="en-US" w:eastAsia="zh-CN"/>
                <w14:textFill>
                  <w14:solidFill>
                    <w14:schemeClr w14:val="tx1"/>
                  </w14:solidFill>
                </w14:textFill>
              </w:rPr>
              <w:t>城市</w:t>
            </w:r>
            <w:r>
              <w:rPr>
                <w:rFonts w:hint="default" w:ascii="Times New Roman" w:hAnsi="Times New Roman" w:cs="Times New Roman"/>
                <w:color w:val="000000" w:themeColor="text1"/>
                <w:highlight w:val="none"/>
                <w14:textFill>
                  <w14:solidFill>
                    <w14:schemeClr w14:val="tx1"/>
                  </w14:solidFill>
                </w14:textFill>
              </w:rPr>
              <w:t>建成区，租赁现有闲置商铺，无新增用地，周围无生态环境保护目标，无需开展生态现状调查。</w:t>
            </w:r>
          </w:p>
        </w:tc>
      </w:tr>
      <w:tr w14:paraId="672F8B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8" w:hRule="atLeast"/>
        </w:trPr>
        <w:tc>
          <w:tcPr>
            <w:tcW w:w="808" w:type="dxa"/>
            <w:tcBorders>
              <w:left w:val="single" w:color="000000" w:sz="6" w:space="0"/>
            </w:tcBorders>
            <w:vAlign w:val="center"/>
          </w:tcPr>
          <w:p w14:paraId="0316D19C">
            <w:pPr>
              <w:bidi w:val="0"/>
              <w:jc w:val="both"/>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污染物排放控制标准</w:t>
            </w:r>
          </w:p>
        </w:tc>
        <w:tc>
          <w:tcPr>
            <w:tcW w:w="8186" w:type="dxa"/>
            <w:tcBorders>
              <w:right w:val="single" w:color="000000" w:sz="6" w:space="0"/>
            </w:tcBorders>
            <w:vAlign w:val="center"/>
          </w:tcPr>
          <w:p w14:paraId="6C729B59">
            <w:pPr>
              <w:pStyle w:val="3"/>
              <w:bidi w:val="0"/>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3.7、</w:t>
            </w:r>
            <w:r>
              <w:rPr>
                <w:rFonts w:hint="default" w:ascii="Times New Roman" w:hAnsi="Times New Roman" w:cs="Times New Roman"/>
                <w:color w:val="000000" w:themeColor="text1"/>
                <w:highlight w:val="none"/>
                <w:lang w:eastAsia="zh-CN"/>
                <w14:textFill>
                  <w14:solidFill>
                    <w14:schemeClr w14:val="tx1"/>
                  </w14:solidFill>
                </w14:textFill>
              </w:rPr>
              <w:t>废气排放标准</w:t>
            </w:r>
          </w:p>
          <w:p w14:paraId="76473073">
            <w:pPr>
              <w:pStyle w:val="31"/>
              <w:bidi w:val="0"/>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运营过程中废气主要为宠物本身散发</w:t>
            </w:r>
            <w:r>
              <w:rPr>
                <w:rFonts w:hint="eastAsia" w:cs="Times New Roman"/>
                <w:color w:val="000000" w:themeColor="text1"/>
                <w:highlight w:val="none"/>
                <w:lang w:eastAsia="zh-CN"/>
                <w14:textFill>
                  <w14:solidFill>
                    <w14:schemeClr w14:val="tx1"/>
                  </w14:solidFill>
                </w14:textFill>
              </w:rPr>
              <w:t>、医疗废物贮存间</w:t>
            </w:r>
            <w:r>
              <w:rPr>
                <w:rFonts w:hint="default" w:ascii="Times New Roman" w:hAnsi="Times New Roman" w:cs="Times New Roman"/>
                <w:color w:val="000000" w:themeColor="text1"/>
                <w:highlight w:val="none"/>
                <w14:textFill>
                  <w14:solidFill>
                    <w14:schemeClr w14:val="tx1"/>
                  </w14:solidFill>
                </w14:textFill>
              </w:rPr>
              <w:t>产生的少量异味，以臭气浓度表征，废气排放执行《恶臭污染物排放标准》（GB14554-93）中表1中相关标准限值。见表3-</w:t>
            </w:r>
            <w:r>
              <w:rPr>
                <w:rFonts w:hint="default" w:ascii="Times New Roman" w:hAnsi="Times New Roman" w:cs="Times New Roman"/>
                <w:color w:val="000000" w:themeColor="text1"/>
                <w:highlight w:val="none"/>
                <w:lang w:val="en-US" w:eastAsia="zh-CN"/>
                <w14:textFill>
                  <w14:solidFill>
                    <w14:schemeClr w14:val="tx1"/>
                  </w14:solidFill>
                </w14:textFill>
              </w:rPr>
              <w:t>5</w:t>
            </w:r>
            <w:r>
              <w:rPr>
                <w:rFonts w:hint="default" w:ascii="Times New Roman" w:hAnsi="Times New Roman" w:cs="Times New Roman"/>
                <w:color w:val="000000" w:themeColor="text1"/>
                <w:highlight w:val="none"/>
                <w14:textFill>
                  <w14:solidFill>
                    <w14:schemeClr w14:val="tx1"/>
                  </w14:solidFill>
                </w14:textFill>
              </w:rPr>
              <w:t>。</w:t>
            </w:r>
          </w:p>
          <w:p w14:paraId="26491C3C">
            <w:pPr>
              <w:pStyle w:val="29"/>
              <w:bidi w:val="0"/>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表3-</w:t>
            </w:r>
            <w:r>
              <w:rPr>
                <w:rFonts w:hint="default" w:ascii="Times New Roman" w:hAnsi="Times New Roman" w:cs="Times New Roman"/>
                <w:color w:val="000000" w:themeColor="text1"/>
                <w:highlight w:val="none"/>
                <w:lang w:val="en-US" w:eastAsia="zh-CN"/>
                <w14:textFill>
                  <w14:solidFill>
                    <w14:schemeClr w14:val="tx1"/>
                  </w14:solidFill>
                </w14:textFill>
              </w:rPr>
              <w:t xml:space="preserve">5   </w:t>
            </w:r>
            <w:r>
              <w:rPr>
                <w:rFonts w:hint="default" w:ascii="Times New Roman" w:hAnsi="Times New Roman" w:cs="Times New Roman"/>
                <w:color w:val="000000" w:themeColor="text1"/>
                <w:highlight w:val="none"/>
                <w:lang w:eastAsia="zh-CN"/>
                <w14:textFill>
                  <w14:solidFill>
                    <w14:schemeClr w14:val="tx1"/>
                  </w14:solidFill>
                </w14:textFill>
              </w:rPr>
              <w:t>废气污染物最高允许浓度</w:t>
            </w:r>
          </w:p>
          <w:tbl>
            <w:tblPr>
              <w:tblStyle w:val="1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8"/>
              <w:gridCol w:w="1404"/>
              <w:gridCol w:w="1213"/>
              <w:gridCol w:w="4957"/>
            </w:tblGrid>
            <w:tr w14:paraId="23284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0" w:type="pct"/>
                  <w:tcBorders>
                    <w:tl2br w:val="nil"/>
                    <w:tr2bl w:val="nil"/>
                  </w:tcBorders>
                  <w:noWrap w:val="0"/>
                  <w:vAlign w:val="center"/>
                </w:tcPr>
                <w:p w14:paraId="58E8BEE1">
                  <w:pPr>
                    <w:pStyle w:val="30"/>
                    <w:widowControl w:val="0"/>
                    <w:bidi w:val="0"/>
                    <w:rPr>
                      <w:rFonts w:hint="default" w:ascii="Times New Roman" w:hAnsi="Times New Roman" w:eastAsia="宋体" w:cs="Times New Roman"/>
                      <w:b/>
                      <w:bCs w:val="0"/>
                      <w:color w:val="000000" w:themeColor="text1"/>
                      <w:kern w:val="2"/>
                      <w:szCs w:val="21"/>
                      <w:highlight w:val="none"/>
                      <w:lang w:val="en-US" w:eastAsia="zh-CN"/>
                      <w14:textFill>
                        <w14:solidFill>
                          <w14:schemeClr w14:val="tx1"/>
                        </w14:solidFill>
                      </w14:textFill>
                    </w:rPr>
                  </w:pPr>
                  <w:r>
                    <w:rPr>
                      <w:rFonts w:hint="default" w:ascii="Times New Roman" w:hAnsi="Times New Roman" w:cs="Times New Roman"/>
                      <w:b/>
                      <w:bCs w:val="0"/>
                      <w:color w:val="000000" w:themeColor="text1"/>
                      <w:highlight w:val="none"/>
                      <w:lang w:val="en-US" w:eastAsia="zh-CN"/>
                      <w14:textFill>
                        <w14:solidFill>
                          <w14:schemeClr w14:val="tx1"/>
                        </w14:solidFill>
                      </w14:textFill>
                    </w:rPr>
                    <w:t>序号</w:t>
                  </w:r>
                </w:p>
              </w:tc>
              <w:tc>
                <w:tcPr>
                  <w:tcW w:w="860" w:type="pct"/>
                  <w:tcBorders>
                    <w:tl2br w:val="nil"/>
                    <w:tr2bl w:val="nil"/>
                  </w:tcBorders>
                  <w:noWrap w:val="0"/>
                  <w:vAlign w:val="center"/>
                </w:tcPr>
                <w:p w14:paraId="06B67E9A">
                  <w:pPr>
                    <w:pStyle w:val="30"/>
                    <w:widowControl w:val="0"/>
                    <w:bidi w:val="0"/>
                    <w:rPr>
                      <w:rFonts w:hint="default" w:ascii="Times New Roman" w:hAnsi="Times New Roman" w:eastAsia="宋体" w:cs="Times New Roman"/>
                      <w:b/>
                      <w:bCs w:val="0"/>
                      <w:color w:val="000000" w:themeColor="text1"/>
                      <w:kern w:val="2"/>
                      <w:szCs w:val="21"/>
                      <w:highlight w:val="none"/>
                      <w:lang w:val="en-US" w:eastAsia="zh-CN"/>
                      <w14:textFill>
                        <w14:solidFill>
                          <w14:schemeClr w14:val="tx1"/>
                        </w14:solidFill>
                      </w14:textFill>
                    </w:rPr>
                  </w:pPr>
                  <w:r>
                    <w:rPr>
                      <w:rFonts w:hint="default" w:ascii="Times New Roman" w:hAnsi="Times New Roman" w:cs="Times New Roman"/>
                      <w:b/>
                      <w:bCs w:val="0"/>
                      <w:color w:val="000000" w:themeColor="text1"/>
                      <w:highlight w:val="none"/>
                      <w:lang w:val="en-US" w:eastAsia="zh-CN"/>
                      <w14:textFill>
                        <w14:solidFill>
                          <w14:schemeClr w14:val="tx1"/>
                        </w14:solidFill>
                      </w14:textFill>
                    </w:rPr>
                    <w:t>监测因子</w:t>
                  </w:r>
                </w:p>
              </w:tc>
              <w:tc>
                <w:tcPr>
                  <w:tcW w:w="743" w:type="pct"/>
                  <w:tcBorders>
                    <w:tl2br w:val="nil"/>
                    <w:tr2bl w:val="nil"/>
                  </w:tcBorders>
                  <w:noWrap w:val="0"/>
                  <w:vAlign w:val="center"/>
                </w:tcPr>
                <w:p w14:paraId="31C85D33">
                  <w:pPr>
                    <w:pStyle w:val="30"/>
                    <w:widowControl w:val="0"/>
                    <w:bidi w:val="0"/>
                    <w:rPr>
                      <w:rFonts w:hint="default" w:ascii="Times New Roman" w:hAnsi="Times New Roman" w:eastAsia="宋体" w:cs="Times New Roman"/>
                      <w:b/>
                      <w:bCs w:val="0"/>
                      <w:color w:val="000000" w:themeColor="text1"/>
                      <w:kern w:val="2"/>
                      <w:szCs w:val="21"/>
                      <w:highlight w:val="none"/>
                      <w:lang w:val="en-US" w:eastAsia="zh-CN"/>
                      <w14:textFill>
                        <w14:solidFill>
                          <w14:schemeClr w14:val="tx1"/>
                        </w14:solidFill>
                      </w14:textFill>
                    </w:rPr>
                  </w:pPr>
                  <w:r>
                    <w:rPr>
                      <w:rFonts w:hint="default" w:ascii="Times New Roman" w:hAnsi="Times New Roman" w:cs="Times New Roman"/>
                      <w:b/>
                      <w:bCs w:val="0"/>
                      <w:color w:val="000000" w:themeColor="text1"/>
                      <w:highlight w:val="none"/>
                      <w:lang w:val="en-US" w:eastAsia="zh-CN"/>
                      <w14:textFill>
                        <w14:solidFill>
                          <w14:schemeClr w14:val="tx1"/>
                        </w14:solidFill>
                      </w14:textFill>
                    </w:rPr>
                    <w:t>标准值</w:t>
                  </w:r>
                </w:p>
              </w:tc>
              <w:tc>
                <w:tcPr>
                  <w:tcW w:w="3036" w:type="pct"/>
                  <w:tcBorders>
                    <w:tl2br w:val="nil"/>
                    <w:tr2bl w:val="nil"/>
                  </w:tcBorders>
                  <w:noWrap w:val="0"/>
                  <w:vAlign w:val="center"/>
                </w:tcPr>
                <w:p w14:paraId="515D9539">
                  <w:pPr>
                    <w:pStyle w:val="30"/>
                    <w:widowControl w:val="0"/>
                    <w:bidi w:val="0"/>
                    <w:rPr>
                      <w:rFonts w:hint="default" w:ascii="Times New Roman" w:hAnsi="Times New Roman" w:eastAsia="宋体" w:cs="Times New Roman"/>
                      <w:b/>
                      <w:bCs w:val="0"/>
                      <w:color w:val="000000" w:themeColor="text1"/>
                      <w:kern w:val="2"/>
                      <w:szCs w:val="21"/>
                      <w:highlight w:val="none"/>
                      <w:lang w:val="en-US" w:eastAsia="zh-CN"/>
                      <w14:textFill>
                        <w14:solidFill>
                          <w14:schemeClr w14:val="tx1"/>
                        </w14:solidFill>
                      </w14:textFill>
                    </w:rPr>
                  </w:pPr>
                  <w:r>
                    <w:rPr>
                      <w:rFonts w:hint="default" w:ascii="Times New Roman" w:hAnsi="Times New Roman" w:cs="Times New Roman"/>
                      <w:b/>
                      <w:bCs w:val="0"/>
                      <w:color w:val="000000" w:themeColor="text1"/>
                      <w:highlight w:val="none"/>
                      <w:lang w:val="en-US" w:eastAsia="zh-CN"/>
                      <w14:textFill>
                        <w14:solidFill>
                          <w14:schemeClr w14:val="tx1"/>
                        </w14:solidFill>
                      </w14:textFill>
                    </w:rPr>
                    <w:t>标准依据</w:t>
                  </w:r>
                </w:p>
              </w:tc>
            </w:tr>
            <w:tr w14:paraId="7A16F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0" w:type="pct"/>
                  <w:tcBorders>
                    <w:tl2br w:val="nil"/>
                    <w:tr2bl w:val="nil"/>
                  </w:tcBorders>
                  <w:noWrap w:val="0"/>
                  <w:vAlign w:val="center"/>
                </w:tcPr>
                <w:p w14:paraId="12A5DDD0">
                  <w:pPr>
                    <w:pStyle w:val="30"/>
                    <w:widowControl w:val="0"/>
                    <w:bidi w:val="0"/>
                    <w:rPr>
                      <w:rFonts w:hint="default" w:ascii="Times New Roman" w:hAnsi="Times New Roman" w:eastAsia="宋体" w:cs="Times New Roman"/>
                      <w:color w:val="000000" w:themeColor="text1"/>
                      <w:kern w:val="2"/>
                      <w:szCs w:val="2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w:t>
                  </w:r>
                </w:p>
              </w:tc>
              <w:tc>
                <w:tcPr>
                  <w:tcW w:w="860" w:type="pct"/>
                  <w:tcBorders>
                    <w:tl2br w:val="nil"/>
                    <w:tr2bl w:val="nil"/>
                  </w:tcBorders>
                  <w:noWrap w:val="0"/>
                  <w:vAlign w:val="center"/>
                </w:tcPr>
                <w:p w14:paraId="6E3E3C07">
                  <w:pPr>
                    <w:pStyle w:val="30"/>
                    <w:widowControl w:val="0"/>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臭气浓度</w:t>
                  </w:r>
                </w:p>
                <w:p w14:paraId="147A1382">
                  <w:pPr>
                    <w:pStyle w:val="30"/>
                    <w:widowControl w:val="0"/>
                    <w:bidi w:val="0"/>
                    <w:rPr>
                      <w:rFonts w:hint="default" w:ascii="Times New Roman" w:hAnsi="Times New Roman" w:eastAsia="宋体" w:cs="Times New Roman"/>
                      <w:color w:val="000000" w:themeColor="text1"/>
                      <w:kern w:val="2"/>
                      <w:szCs w:val="21"/>
                      <w:highlight w:val="none"/>
                      <w:lang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（无量纲）</w:t>
                  </w:r>
                </w:p>
              </w:tc>
              <w:tc>
                <w:tcPr>
                  <w:tcW w:w="743" w:type="pct"/>
                  <w:tcBorders>
                    <w:tl2br w:val="nil"/>
                    <w:tr2bl w:val="nil"/>
                  </w:tcBorders>
                  <w:noWrap w:val="0"/>
                  <w:vAlign w:val="center"/>
                </w:tcPr>
                <w:p w14:paraId="0E2C2B05">
                  <w:pPr>
                    <w:pStyle w:val="30"/>
                    <w:widowControl w:val="0"/>
                    <w:bidi w:val="0"/>
                    <w:rPr>
                      <w:rFonts w:hint="default" w:ascii="Times New Roman" w:hAnsi="Times New Roman" w:eastAsia="宋体" w:cs="Times New Roman"/>
                      <w:color w:val="000000" w:themeColor="text1"/>
                      <w:kern w:val="2"/>
                      <w:szCs w:val="2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20</w:t>
                  </w:r>
                </w:p>
              </w:tc>
              <w:tc>
                <w:tcPr>
                  <w:tcW w:w="3036" w:type="pct"/>
                  <w:tcBorders>
                    <w:tl2br w:val="nil"/>
                    <w:tr2bl w:val="nil"/>
                  </w:tcBorders>
                  <w:noWrap w:val="0"/>
                  <w:vAlign w:val="center"/>
                </w:tcPr>
                <w:p w14:paraId="0D441F80">
                  <w:pPr>
                    <w:pStyle w:val="30"/>
                    <w:widowControl w:val="0"/>
                    <w:bidi w:val="0"/>
                    <w:rPr>
                      <w:rFonts w:hint="default" w:ascii="Times New Roman" w:hAnsi="Times New Roman" w:eastAsia="宋体" w:cs="Times New Roman"/>
                      <w:color w:val="000000" w:themeColor="text1"/>
                      <w:kern w:val="2"/>
                      <w:szCs w:val="21"/>
                      <w:highlight w:val="none"/>
                      <w:lang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《恶臭污染物排放标准》（GB14554-93）中表1</w:t>
                  </w:r>
                </w:p>
              </w:tc>
            </w:tr>
          </w:tbl>
          <w:p w14:paraId="2673DCB1">
            <w:pPr>
              <w:pStyle w:val="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3.8、废水排放标准</w:t>
            </w:r>
          </w:p>
          <w:p w14:paraId="1798C7DB">
            <w:pPr>
              <w:pStyle w:val="31"/>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医疗</w:t>
            </w:r>
            <w:r>
              <w:rPr>
                <w:rFonts w:hint="default" w:ascii="Times New Roman" w:hAnsi="Times New Roman" w:cs="Times New Roman"/>
                <w:color w:val="000000" w:themeColor="text1"/>
                <w:highlight w:val="none"/>
                <w:lang w:eastAsia="zh-CN"/>
                <w14:textFill>
                  <w14:solidFill>
                    <w14:schemeClr w14:val="tx1"/>
                  </w14:solidFill>
                </w14:textFill>
              </w:rPr>
              <w:t>废水</w:t>
            </w:r>
            <w:r>
              <w:rPr>
                <w:rFonts w:hint="default" w:ascii="Times New Roman" w:hAnsi="Times New Roman" w:cs="Times New Roman"/>
                <w:color w:val="000000" w:themeColor="text1"/>
                <w:highlight w:val="none"/>
                <w:lang w:val="en-US" w:eastAsia="zh-CN"/>
                <w14:textFill>
                  <w14:solidFill>
                    <w14:schemeClr w14:val="tx1"/>
                  </w14:solidFill>
                </w14:textFill>
              </w:rPr>
              <w:t>处</w:t>
            </w:r>
            <w:r>
              <w:rPr>
                <w:rFonts w:hint="default" w:ascii="Times New Roman" w:hAnsi="Times New Roman" w:cs="Times New Roman"/>
                <w:color w:val="000000" w:themeColor="text1"/>
                <w:highlight w:val="none"/>
                <w:lang w:eastAsia="zh-CN"/>
                <w14:textFill>
                  <w14:solidFill>
                    <w14:schemeClr w14:val="tx1"/>
                  </w14:solidFill>
                </w14:textFill>
              </w:rPr>
              <w:t>理设施出水执行</w:t>
            </w:r>
            <w:bookmarkStart w:id="12" w:name="OLE_LINK11"/>
            <w:r>
              <w:rPr>
                <w:rFonts w:hint="eastAsia" w:cs="Times New Roman"/>
                <w:color w:val="000000" w:themeColor="text1"/>
                <w:highlight w:val="none"/>
                <w:lang w:eastAsia="zh-CN"/>
                <w14:textFill>
                  <w14:solidFill>
                    <w14:schemeClr w14:val="tx1"/>
                  </w14:solidFill>
                </w14:textFill>
              </w:rPr>
              <w:t>《医疗机构水污染物排放标准》</w:t>
            </w:r>
            <w:r>
              <w:rPr>
                <w:rFonts w:hint="eastAsia" w:cs="Times New Roman"/>
                <w:color w:val="000000" w:themeColor="text1"/>
                <w:lang w:eastAsia="zh-CN"/>
                <w14:textFill>
                  <w14:solidFill>
                    <w14:schemeClr w14:val="tx1"/>
                  </w14:solidFill>
                </w14:textFill>
              </w:rPr>
              <w:t>（GB 18466-2005，含2026年修改单）</w:t>
            </w:r>
            <w:r>
              <w:rPr>
                <w:rFonts w:hint="eastAsia" w:cs="Times New Roman"/>
                <w:color w:val="000000" w:themeColor="text1"/>
                <w:highlight w:val="none"/>
                <w:lang w:eastAsia="zh-CN"/>
                <w14:textFill>
                  <w14:solidFill>
                    <w14:schemeClr w14:val="tx1"/>
                  </w14:solidFill>
                </w14:textFill>
              </w:rPr>
              <w:t>表2中</w:t>
            </w:r>
            <w:r>
              <w:rPr>
                <w:rFonts w:hint="default" w:ascii="Times New Roman" w:hAnsi="Times New Roman" w:cs="Times New Roman"/>
                <w:color w:val="000000" w:themeColor="text1"/>
                <w:highlight w:val="none"/>
                <w:lang w:eastAsia="zh-CN"/>
                <w14:textFill>
                  <w14:solidFill>
                    <w14:schemeClr w14:val="tx1"/>
                  </w14:solidFill>
                </w14:textFill>
              </w:rPr>
              <w:t>的</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eastAsia="zh-CN"/>
                <w14:textFill>
                  <w14:solidFill>
                    <w14:schemeClr w14:val="tx1"/>
                  </w14:solidFill>
                </w14:textFill>
              </w:rPr>
              <w:t>预处理标准</w:t>
            </w:r>
            <w:bookmarkEnd w:id="12"/>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eastAsia="zh-CN"/>
                <w14:textFill>
                  <w14:solidFill>
                    <w14:schemeClr w14:val="tx1"/>
                  </w14:solidFill>
                </w14:textFill>
              </w:rPr>
              <w:t>相关标准限值，标准值见表3-</w:t>
            </w:r>
            <w:r>
              <w:rPr>
                <w:rFonts w:hint="default" w:ascii="Times New Roman" w:hAnsi="Times New Roman" w:cs="Times New Roman"/>
                <w:color w:val="000000" w:themeColor="text1"/>
                <w:highlight w:val="none"/>
                <w:lang w:val="en-US" w:eastAsia="zh-CN"/>
                <w14:textFill>
                  <w14:solidFill>
                    <w14:schemeClr w14:val="tx1"/>
                  </w14:solidFill>
                </w14:textFill>
              </w:rPr>
              <w:t>6</w:t>
            </w:r>
            <w:r>
              <w:rPr>
                <w:rFonts w:hint="default" w:ascii="Times New Roman" w:hAnsi="Times New Roman" w:cs="Times New Roman"/>
                <w:color w:val="000000" w:themeColor="text1"/>
                <w:highlight w:val="none"/>
                <w:lang w:eastAsia="zh-CN"/>
                <w14:textFill>
                  <w14:solidFill>
                    <w14:schemeClr w14:val="tx1"/>
                  </w14:solidFill>
                </w14:textFill>
              </w:rPr>
              <w:t>。</w:t>
            </w:r>
          </w:p>
          <w:p w14:paraId="5CEFE060">
            <w:pPr>
              <w:pStyle w:val="29"/>
              <w:bidi w:val="0"/>
              <w:ind w:left="0" w:leftChars="0" w:firstLine="0" w:firstLineChars="0"/>
              <w:jc w:val="both"/>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 xml:space="preserve">表3-6   </w:t>
            </w:r>
            <w:r>
              <w:rPr>
                <w:rFonts w:hint="default" w:ascii="Times New Roman" w:hAnsi="Times New Roman" w:cs="Times New Roman"/>
                <w:color w:val="000000" w:themeColor="text1"/>
                <w:highlight w:val="none"/>
                <w:lang w:eastAsia="zh-CN"/>
                <w14:textFill>
                  <w14:solidFill>
                    <w14:schemeClr w14:val="tx1"/>
                  </w14:solidFill>
                </w14:textFill>
              </w:rPr>
              <w:t>废水</w:t>
            </w:r>
            <w:r>
              <w:rPr>
                <w:rFonts w:hint="default" w:ascii="Times New Roman" w:hAnsi="Times New Roman" w:cs="Times New Roman"/>
                <w:color w:val="000000" w:themeColor="text1"/>
                <w:highlight w:val="none"/>
                <w:lang w:val="en-US" w:eastAsia="zh-CN"/>
                <w14:textFill>
                  <w14:solidFill>
                    <w14:schemeClr w14:val="tx1"/>
                  </w14:solidFill>
                </w14:textFill>
              </w:rPr>
              <w:t>综合医疗机构和其他医疗机构水污染物排放限值（日均值）</w:t>
            </w:r>
            <w:r>
              <w:rPr>
                <w:rFonts w:hint="default" w:ascii="Times New Roman" w:hAnsi="Times New Roman" w:cs="Times New Roman"/>
                <w:color w:val="000000" w:themeColor="text1"/>
                <w:highlight w:val="none"/>
                <w:lang w:eastAsia="zh-CN"/>
                <w14:textFill>
                  <w14:solidFill>
                    <w14:schemeClr w14:val="tx1"/>
                  </w14:solidFill>
                </w14:textFill>
              </w:rPr>
              <w:t>单位：mg/L</w:t>
            </w:r>
          </w:p>
          <w:tbl>
            <w:tblPr>
              <w:tblStyle w:val="18"/>
              <w:tblW w:w="4999" w:type="pct"/>
              <w:jc w:val="center"/>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fixed"/>
              <w:tblCellMar>
                <w:top w:w="0" w:type="dxa"/>
                <w:left w:w="108" w:type="dxa"/>
                <w:bottom w:w="0" w:type="dxa"/>
                <w:right w:w="108" w:type="dxa"/>
              </w:tblCellMar>
            </w:tblPr>
            <w:tblGrid>
              <w:gridCol w:w="3883"/>
              <w:gridCol w:w="4280"/>
            </w:tblGrid>
            <w:tr w14:paraId="71B6D61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374" w:hRule="atLeast"/>
                <w:jc w:val="center"/>
              </w:trPr>
              <w:tc>
                <w:tcPr>
                  <w:tcW w:w="2378" w:type="pct"/>
                  <w:tcBorders>
                    <w:bottom w:val="single" w:color="auto" w:sz="12" w:space="0"/>
                    <w:right w:val="single" w:color="auto" w:sz="2" w:space="0"/>
                  </w:tcBorders>
                  <w:noWrap w:val="0"/>
                  <w:vAlign w:val="center"/>
                </w:tcPr>
                <w:p w14:paraId="6A1FE8FC">
                  <w:pPr>
                    <w:pStyle w:val="29"/>
                    <w:ind w:firstLine="480"/>
                    <w:rPr>
                      <w:rFonts w:hint="default" w:ascii="Times New Roman" w:hAnsi="Times New Roman" w:eastAsia="宋体" w:cs="Times New Roman"/>
                      <w:bCs w:val="0"/>
                      <w:color w:val="000000" w:themeColor="text1"/>
                      <w:highlight w:val="none"/>
                      <w:lang w:val="en-US" w:eastAsia="zh-CN"/>
                      <w14:textFill>
                        <w14:solidFill>
                          <w14:schemeClr w14:val="tx1"/>
                        </w14:solidFill>
                      </w14:textFill>
                    </w:rPr>
                  </w:pPr>
                  <w:r>
                    <w:rPr>
                      <w:rFonts w:hint="default" w:ascii="Times New Roman" w:hAnsi="Times New Roman" w:cs="Times New Roman"/>
                      <w:bCs w:val="0"/>
                      <w:color w:val="000000" w:themeColor="text1"/>
                      <w:highlight w:val="none"/>
                      <w:lang w:val="en-US" w:eastAsia="zh-CN"/>
                      <w14:textFill>
                        <w14:solidFill>
                          <w14:schemeClr w14:val="tx1"/>
                        </w14:solidFill>
                      </w14:textFill>
                    </w:rPr>
                    <w:t>控制项目</w:t>
                  </w:r>
                </w:p>
              </w:tc>
              <w:tc>
                <w:tcPr>
                  <w:tcW w:w="2621" w:type="pct"/>
                  <w:tcBorders>
                    <w:left w:val="single" w:color="auto" w:sz="2" w:space="0"/>
                    <w:bottom w:val="single" w:color="auto" w:sz="12" w:space="0"/>
                  </w:tcBorders>
                  <w:noWrap w:val="0"/>
                  <w:vAlign w:val="center"/>
                </w:tcPr>
                <w:p w14:paraId="7C0AD530">
                  <w:pPr>
                    <w:pStyle w:val="29"/>
                    <w:ind w:firstLine="480"/>
                    <w:rPr>
                      <w:rFonts w:hint="default" w:ascii="Times New Roman" w:hAnsi="Times New Roman" w:eastAsia="宋体" w:cs="Times New Roman"/>
                      <w:bCs w:val="0"/>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GB18466-2005表</w:t>
                  </w:r>
                  <w:r>
                    <w:rPr>
                      <w:rFonts w:hint="default" w:ascii="Times New Roman" w:hAnsi="Times New Roman" w:cs="Times New Roman"/>
                      <w:color w:val="000000" w:themeColor="text1"/>
                      <w:highlight w:val="none"/>
                      <w:lang w:val="en-US" w:eastAsia="zh-CN"/>
                      <w14:textFill>
                        <w14:solidFill>
                          <w14:schemeClr w14:val="tx1"/>
                        </w14:solidFill>
                      </w14:textFill>
                    </w:rPr>
                    <w:t>2预处理标准</w:t>
                  </w:r>
                </w:p>
              </w:tc>
            </w:tr>
            <w:tr w14:paraId="60A6E82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349" w:hRule="atLeast"/>
                <w:jc w:val="center"/>
              </w:trPr>
              <w:tc>
                <w:tcPr>
                  <w:tcW w:w="2378" w:type="pct"/>
                  <w:tcBorders>
                    <w:top w:val="single" w:color="auto" w:sz="12" w:space="0"/>
                    <w:bottom w:val="single" w:color="auto" w:sz="2" w:space="0"/>
                    <w:right w:val="single" w:color="auto" w:sz="2" w:space="0"/>
                  </w:tcBorders>
                  <w:noWrap w:val="0"/>
                  <w:vAlign w:val="center"/>
                </w:tcPr>
                <w:p w14:paraId="1FE9C202">
                  <w:pPr>
                    <w:pStyle w:val="29"/>
                    <w:ind w:firstLine="480"/>
                    <w:rPr>
                      <w:rFonts w:hint="default" w:ascii="Times New Roman" w:hAnsi="Times New Roman" w:cs="Times New Roman"/>
                      <w:b w:val="0"/>
                      <w:bCs w:val="0"/>
                      <w:color w:val="000000" w:themeColor="text1"/>
                      <w:sz w:val="21"/>
                      <w:highlight w:val="none"/>
                      <w14:textFill>
                        <w14:solidFill>
                          <w14:schemeClr w14:val="tx1"/>
                        </w14:solidFill>
                      </w14:textFill>
                    </w:rPr>
                  </w:pPr>
                  <w:r>
                    <w:rPr>
                      <w:rFonts w:hint="default" w:ascii="Times New Roman" w:hAnsi="Times New Roman" w:cs="Times New Roman"/>
                      <w:b w:val="0"/>
                      <w:color w:val="000000" w:themeColor="text1"/>
                      <w:sz w:val="21"/>
                      <w:highlight w:val="none"/>
                      <w14:textFill>
                        <w14:solidFill>
                          <w14:schemeClr w14:val="tx1"/>
                        </w14:solidFill>
                      </w14:textFill>
                    </w:rPr>
                    <w:t>pH</w:t>
                  </w:r>
                </w:p>
              </w:tc>
              <w:tc>
                <w:tcPr>
                  <w:tcW w:w="2621" w:type="pct"/>
                  <w:tcBorders>
                    <w:top w:val="single" w:color="auto" w:sz="12" w:space="0"/>
                    <w:left w:val="single" w:color="auto" w:sz="2" w:space="0"/>
                    <w:bottom w:val="single" w:color="auto" w:sz="2" w:space="0"/>
                  </w:tcBorders>
                  <w:noWrap w:val="0"/>
                  <w:vAlign w:val="center"/>
                </w:tcPr>
                <w:p w14:paraId="4B5C6410">
                  <w:pPr>
                    <w:pStyle w:val="30"/>
                    <w:bidi w:val="0"/>
                    <w:rPr>
                      <w:rFonts w:hint="default" w:ascii="Times New Roman" w:hAnsi="Times New Roman" w:cs="Times New Roman"/>
                      <w:bCs/>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6-9</w:t>
                  </w:r>
                </w:p>
              </w:tc>
            </w:tr>
            <w:tr w14:paraId="02AB89F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349" w:hRule="atLeast"/>
                <w:jc w:val="center"/>
              </w:trPr>
              <w:tc>
                <w:tcPr>
                  <w:tcW w:w="2378" w:type="pct"/>
                  <w:tcBorders>
                    <w:top w:val="single" w:color="auto" w:sz="2" w:space="0"/>
                    <w:bottom w:val="single" w:color="auto" w:sz="2" w:space="0"/>
                    <w:right w:val="single" w:color="auto" w:sz="2" w:space="0"/>
                  </w:tcBorders>
                  <w:noWrap w:val="0"/>
                  <w:vAlign w:val="center"/>
                </w:tcPr>
                <w:p w14:paraId="4A1AE18E">
                  <w:pPr>
                    <w:pStyle w:val="29"/>
                    <w:ind w:firstLine="480"/>
                    <w:rPr>
                      <w:rFonts w:hint="default" w:ascii="Times New Roman" w:hAnsi="Times New Roman" w:cs="Times New Roman"/>
                      <w:b w:val="0"/>
                      <w:bCs w:val="0"/>
                      <w:color w:val="000000" w:themeColor="text1"/>
                      <w:sz w:val="21"/>
                      <w:highlight w:val="none"/>
                      <w14:textFill>
                        <w14:solidFill>
                          <w14:schemeClr w14:val="tx1"/>
                        </w14:solidFill>
                      </w14:textFill>
                    </w:rPr>
                  </w:pPr>
                  <w:r>
                    <w:rPr>
                      <w:rFonts w:hint="default" w:ascii="Times New Roman" w:hAnsi="Times New Roman" w:cs="Times New Roman"/>
                      <w:b w:val="0"/>
                      <w:color w:val="000000" w:themeColor="text1"/>
                      <w:sz w:val="21"/>
                      <w:highlight w:val="none"/>
                      <w14:textFill>
                        <w14:solidFill>
                          <w14:schemeClr w14:val="tx1"/>
                        </w14:solidFill>
                      </w14:textFill>
                    </w:rPr>
                    <w:t>COD</w:t>
                  </w:r>
                </w:p>
              </w:tc>
              <w:tc>
                <w:tcPr>
                  <w:tcW w:w="2621" w:type="pct"/>
                  <w:tcBorders>
                    <w:top w:val="single" w:color="auto" w:sz="2" w:space="0"/>
                    <w:left w:val="single" w:color="auto" w:sz="2" w:space="0"/>
                    <w:bottom w:val="single" w:color="auto" w:sz="2" w:space="0"/>
                  </w:tcBorders>
                  <w:noWrap w:val="0"/>
                  <w:vAlign w:val="center"/>
                </w:tcPr>
                <w:p w14:paraId="060598DE">
                  <w:pPr>
                    <w:pStyle w:val="30"/>
                    <w:bidi w:val="0"/>
                    <w:rPr>
                      <w:rFonts w:hint="default" w:ascii="Times New Roman" w:hAnsi="Times New Roman" w:eastAsia="宋体" w:cs="Times New Roman"/>
                      <w:bCs/>
                      <w:color w:val="000000" w:themeColor="text1"/>
                      <w:szCs w:val="2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250</w:t>
                  </w:r>
                </w:p>
              </w:tc>
            </w:tr>
            <w:tr w14:paraId="2CA0F12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349" w:hRule="atLeast"/>
                <w:jc w:val="center"/>
              </w:trPr>
              <w:tc>
                <w:tcPr>
                  <w:tcW w:w="2378" w:type="pct"/>
                  <w:tcBorders>
                    <w:top w:val="single" w:color="auto" w:sz="2" w:space="0"/>
                    <w:bottom w:val="single" w:color="auto" w:sz="2" w:space="0"/>
                    <w:right w:val="single" w:color="auto" w:sz="2" w:space="0"/>
                  </w:tcBorders>
                  <w:noWrap w:val="0"/>
                  <w:vAlign w:val="center"/>
                </w:tcPr>
                <w:p w14:paraId="6B595627">
                  <w:pPr>
                    <w:pStyle w:val="29"/>
                    <w:ind w:firstLine="480"/>
                    <w:rPr>
                      <w:rFonts w:hint="default" w:ascii="Times New Roman" w:hAnsi="Times New Roman" w:cs="Times New Roman"/>
                      <w:b w:val="0"/>
                      <w:bCs w:val="0"/>
                      <w:color w:val="000000" w:themeColor="text1"/>
                      <w:sz w:val="21"/>
                      <w:highlight w:val="none"/>
                      <w14:textFill>
                        <w14:solidFill>
                          <w14:schemeClr w14:val="tx1"/>
                        </w14:solidFill>
                      </w14:textFill>
                    </w:rPr>
                  </w:pPr>
                  <w:r>
                    <w:rPr>
                      <w:rFonts w:hint="default" w:ascii="Times New Roman" w:hAnsi="Times New Roman" w:cs="Times New Roman"/>
                      <w:b w:val="0"/>
                      <w:color w:val="000000" w:themeColor="text1"/>
                      <w:sz w:val="21"/>
                      <w:highlight w:val="none"/>
                      <w14:textFill>
                        <w14:solidFill>
                          <w14:schemeClr w14:val="tx1"/>
                        </w14:solidFill>
                      </w14:textFill>
                    </w:rPr>
                    <w:t>BOD</w:t>
                  </w:r>
                  <w:r>
                    <w:rPr>
                      <w:rFonts w:hint="default" w:ascii="Times New Roman" w:hAnsi="Times New Roman" w:cs="Times New Roman"/>
                      <w:b w:val="0"/>
                      <w:color w:val="000000" w:themeColor="text1"/>
                      <w:sz w:val="21"/>
                      <w:highlight w:val="none"/>
                      <w:vertAlign w:val="subscript"/>
                      <w14:textFill>
                        <w14:solidFill>
                          <w14:schemeClr w14:val="tx1"/>
                        </w14:solidFill>
                      </w14:textFill>
                    </w:rPr>
                    <w:t>5</w:t>
                  </w:r>
                </w:p>
              </w:tc>
              <w:tc>
                <w:tcPr>
                  <w:tcW w:w="2621" w:type="pct"/>
                  <w:tcBorders>
                    <w:top w:val="single" w:color="auto" w:sz="2" w:space="0"/>
                    <w:left w:val="single" w:color="auto" w:sz="2" w:space="0"/>
                    <w:bottom w:val="single" w:color="auto" w:sz="2" w:space="0"/>
                  </w:tcBorders>
                  <w:noWrap w:val="0"/>
                  <w:vAlign w:val="center"/>
                </w:tcPr>
                <w:p w14:paraId="6785F314">
                  <w:pPr>
                    <w:pStyle w:val="30"/>
                    <w:bidi w:val="0"/>
                    <w:rPr>
                      <w:rFonts w:hint="default" w:ascii="Times New Roman" w:hAnsi="Times New Roman" w:eastAsia="宋体" w:cs="Times New Roman"/>
                      <w:bCs/>
                      <w:color w:val="000000" w:themeColor="text1"/>
                      <w:szCs w:val="2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100</w:t>
                  </w:r>
                </w:p>
              </w:tc>
            </w:tr>
            <w:tr w14:paraId="199CB6F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349" w:hRule="atLeast"/>
                <w:jc w:val="center"/>
              </w:trPr>
              <w:tc>
                <w:tcPr>
                  <w:tcW w:w="2378" w:type="pct"/>
                  <w:tcBorders>
                    <w:top w:val="single" w:color="auto" w:sz="2" w:space="0"/>
                    <w:bottom w:val="single" w:color="auto" w:sz="2" w:space="0"/>
                    <w:right w:val="single" w:color="auto" w:sz="2" w:space="0"/>
                  </w:tcBorders>
                  <w:noWrap w:val="0"/>
                  <w:vAlign w:val="center"/>
                </w:tcPr>
                <w:p w14:paraId="1A3C5154">
                  <w:pPr>
                    <w:pStyle w:val="29"/>
                    <w:ind w:firstLine="480"/>
                    <w:rPr>
                      <w:rFonts w:hint="default" w:ascii="Times New Roman" w:hAnsi="Times New Roman" w:cs="Times New Roman"/>
                      <w:b w:val="0"/>
                      <w:bCs w:val="0"/>
                      <w:color w:val="000000" w:themeColor="text1"/>
                      <w:sz w:val="21"/>
                      <w:highlight w:val="none"/>
                      <w14:textFill>
                        <w14:solidFill>
                          <w14:schemeClr w14:val="tx1"/>
                        </w14:solidFill>
                      </w14:textFill>
                    </w:rPr>
                  </w:pPr>
                  <w:r>
                    <w:rPr>
                      <w:rFonts w:hint="default" w:ascii="Times New Roman" w:hAnsi="Times New Roman" w:cs="Times New Roman"/>
                      <w:b w:val="0"/>
                      <w:color w:val="000000" w:themeColor="text1"/>
                      <w:sz w:val="21"/>
                      <w:highlight w:val="none"/>
                      <w14:textFill>
                        <w14:solidFill>
                          <w14:schemeClr w14:val="tx1"/>
                        </w14:solidFill>
                      </w14:textFill>
                    </w:rPr>
                    <w:t>SS</w:t>
                  </w:r>
                </w:p>
              </w:tc>
              <w:tc>
                <w:tcPr>
                  <w:tcW w:w="2621" w:type="pct"/>
                  <w:tcBorders>
                    <w:top w:val="single" w:color="auto" w:sz="2" w:space="0"/>
                    <w:left w:val="single" w:color="auto" w:sz="2" w:space="0"/>
                    <w:bottom w:val="single" w:color="auto" w:sz="2" w:space="0"/>
                  </w:tcBorders>
                  <w:noWrap w:val="0"/>
                  <w:vAlign w:val="center"/>
                </w:tcPr>
                <w:p w14:paraId="02D576C8">
                  <w:pPr>
                    <w:pStyle w:val="30"/>
                    <w:bidi w:val="0"/>
                    <w:rPr>
                      <w:rFonts w:hint="default" w:ascii="Times New Roman" w:hAnsi="Times New Roman" w:eastAsia="宋体" w:cs="Times New Roman"/>
                      <w:bCs/>
                      <w:color w:val="000000" w:themeColor="text1"/>
                      <w:szCs w:val="2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60</w:t>
                  </w:r>
                </w:p>
              </w:tc>
            </w:tr>
            <w:tr w14:paraId="4F49B14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349" w:hRule="atLeast"/>
                <w:jc w:val="center"/>
              </w:trPr>
              <w:tc>
                <w:tcPr>
                  <w:tcW w:w="2378" w:type="pct"/>
                  <w:tcBorders>
                    <w:top w:val="single" w:color="auto" w:sz="2" w:space="0"/>
                    <w:bottom w:val="single" w:color="auto" w:sz="2" w:space="0"/>
                    <w:right w:val="single" w:color="auto" w:sz="2" w:space="0"/>
                  </w:tcBorders>
                  <w:noWrap w:val="0"/>
                  <w:vAlign w:val="center"/>
                </w:tcPr>
                <w:p w14:paraId="7CBCB738">
                  <w:pPr>
                    <w:pStyle w:val="29"/>
                    <w:ind w:firstLine="480"/>
                    <w:rPr>
                      <w:rFonts w:hint="default" w:ascii="Times New Roman" w:hAnsi="Times New Roman" w:cs="Times New Roman"/>
                      <w:b w:val="0"/>
                      <w:bCs w:val="0"/>
                      <w:color w:val="000000" w:themeColor="text1"/>
                      <w:sz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highlight w:val="none"/>
                      <w:lang w:val="en-US" w:eastAsia="zh-CN"/>
                      <w14:textFill>
                        <w14:solidFill>
                          <w14:schemeClr w14:val="tx1"/>
                        </w14:solidFill>
                      </w14:textFill>
                    </w:rPr>
                    <w:t>动植物油</w:t>
                  </w:r>
                </w:p>
              </w:tc>
              <w:tc>
                <w:tcPr>
                  <w:tcW w:w="2621" w:type="pct"/>
                  <w:tcBorders>
                    <w:top w:val="single" w:color="auto" w:sz="2" w:space="0"/>
                    <w:left w:val="single" w:color="auto" w:sz="2" w:space="0"/>
                    <w:bottom w:val="single" w:color="auto" w:sz="2" w:space="0"/>
                  </w:tcBorders>
                  <w:noWrap w:val="0"/>
                  <w:vAlign w:val="center"/>
                </w:tcPr>
                <w:p w14:paraId="6FFBB356">
                  <w:pPr>
                    <w:pStyle w:val="30"/>
                    <w:bidi w:val="0"/>
                    <w:rPr>
                      <w:rFonts w:hint="default" w:ascii="Times New Roman" w:hAnsi="Times New Roman" w:cs="Times New Roman"/>
                      <w:bCs/>
                      <w:color w:val="000000" w:themeColor="text1"/>
                      <w:szCs w:val="2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20</w:t>
                  </w:r>
                </w:p>
              </w:tc>
            </w:tr>
            <w:tr w14:paraId="0A1ABBE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349" w:hRule="atLeast"/>
                <w:jc w:val="center"/>
              </w:trPr>
              <w:tc>
                <w:tcPr>
                  <w:tcW w:w="2378" w:type="pct"/>
                  <w:tcBorders>
                    <w:top w:val="single" w:color="auto" w:sz="2" w:space="0"/>
                    <w:bottom w:val="single" w:color="auto" w:sz="2" w:space="0"/>
                    <w:right w:val="single" w:color="auto" w:sz="2" w:space="0"/>
                  </w:tcBorders>
                  <w:noWrap w:val="0"/>
                  <w:vAlign w:val="center"/>
                </w:tcPr>
                <w:p w14:paraId="5A322258">
                  <w:pPr>
                    <w:pStyle w:val="29"/>
                    <w:ind w:firstLine="480"/>
                    <w:rPr>
                      <w:rFonts w:hint="default" w:ascii="Times New Roman" w:hAnsi="Times New Roman" w:cs="Times New Roman"/>
                      <w:b w:val="0"/>
                      <w:bCs w:val="0"/>
                      <w:color w:val="000000" w:themeColor="text1"/>
                      <w:sz w:val="21"/>
                      <w:highlight w:val="none"/>
                      <w14:textFill>
                        <w14:solidFill>
                          <w14:schemeClr w14:val="tx1"/>
                        </w14:solidFill>
                      </w14:textFill>
                    </w:rPr>
                  </w:pPr>
                  <w:r>
                    <w:rPr>
                      <w:rFonts w:hint="default" w:ascii="Times New Roman" w:hAnsi="Times New Roman" w:cs="Times New Roman"/>
                      <w:b w:val="0"/>
                      <w:color w:val="000000" w:themeColor="text1"/>
                      <w:sz w:val="21"/>
                      <w:highlight w:val="none"/>
                      <w:lang w:eastAsia="zh-CN"/>
                      <w14:textFill>
                        <w14:solidFill>
                          <w14:schemeClr w14:val="tx1"/>
                        </w14:solidFill>
                      </w14:textFill>
                    </w:rPr>
                    <w:t>粪大肠菌群</w:t>
                  </w:r>
                  <w:r>
                    <w:rPr>
                      <w:rFonts w:hint="default" w:ascii="Times New Roman" w:hAnsi="Times New Roman" w:cs="Times New Roman"/>
                      <w:b w:val="0"/>
                      <w:color w:val="000000" w:themeColor="text1"/>
                      <w:sz w:val="21"/>
                      <w:highlight w:val="none"/>
                      <w14:textFill>
                        <w14:solidFill>
                          <w14:schemeClr w14:val="tx1"/>
                        </w14:solidFill>
                      </w14:textFill>
                    </w:rPr>
                    <w:t>数</w:t>
                  </w:r>
                  <w:r>
                    <w:rPr>
                      <w:rFonts w:hint="default" w:ascii="Times New Roman" w:hAnsi="Times New Roman" w:cs="Times New Roman"/>
                      <w:b w:val="0"/>
                      <w:color w:val="000000" w:themeColor="text1"/>
                      <w:sz w:val="21"/>
                      <w:highlight w:val="none"/>
                      <w:lang w:val="en-US" w:eastAsia="zh-CN"/>
                      <w14:textFill>
                        <w14:solidFill>
                          <w14:schemeClr w14:val="tx1"/>
                        </w14:solidFill>
                      </w14:textFill>
                    </w:rPr>
                    <w:t>/</w:t>
                  </w:r>
                  <w:r>
                    <w:rPr>
                      <w:rFonts w:hint="default" w:ascii="Times New Roman" w:hAnsi="Times New Roman" w:cs="Times New Roman"/>
                      <w:b w:val="0"/>
                      <w:color w:val="000000" w:themeColor="text1"/>
                      <w:sz w:val="21"/>
                      <w:highlight w:val="none"/>
                      <w14:textFill>
                        <w14:solidFill>
                          <w14:schemeClr w14:val="tx1"/>
                        </w14:solidFill>
                      </w14:textFill>
                    </w:rPr>
                    <w:t>（</w:t>
                  </w:r>
                  <w:bookmarkStart w:id="13" w:name="OLE_LINK40"/>
                  <w:r>
                    <w:rPr>
                      <w:rFonts w:hint="default" w:ascii="Times New Roman" w:hAnsi="Times New Roman" w:cs="Times New Roman"/>
                      <w:b w:val="0"/>
                      <w:color w:val="000000" w:themeColor="text1"/>
                      <w:sz w:val="21"/>
                      <w:highlight w:val="none"/>
                      <w14:textFill>
                        <w14:solidFill>
                          <w14:schemeClr w14:val="tx1"/>
                        </w14:solidFill>
                      </w14:textFill>
                    </w:rPr>
                    <w:t>MPN/L</w:t>
                  </w:r>
                  <w:bookmarkEnd w:id="13"/>
                  <w:r>
                    <w:rPr>
                      <w:rFonts w:hint="default" w:ascii="Times New Roman" w:hAnsi="Times New Roman" w:cs="Times New Roman"/>
                      <w:b w:val="0"/>
                      <w:color w:val="000000" w:themeColor="text1"/>
                      <w:sz w:val="21"/>
                      <w:highlight w:val="none"/>
                      <w14:textFill>
                        <w14:solidFill>
                          <w14:schemeClr w14:val="tx1"/>
                        </w14:solidFill>
                      </w14:textFill>
                    </w:rPr>
                    <w:t>）</w:t>
                  </w:r>
                </w:p>
              </w:tc>
              <w:tc>
                <w:tcPr>
                  <w:tcW w:w="2621" w:type="pct"/>
                  <w:tcBorders>
                    <w:top w:val="single" w:color="auto" w:sz="2" w:space="0"/>
                    <w:left w:val="single" w:color="auto" w:sz="2" w:space="0"/>
                    <w:bottom w:val="single" w:color="auto" w:sz="2" w:space="0"/>
                  </w:tcBorders>
                  <w:noWrap w:val="0"/>
                  <w:vAlign w:val="center"/>
                </w:tcPr>
                <w:p w14:paraId="3CA161DA">
                  <w:pPr>
                    <w:pStyle w:val="30"/>
                    <w:bidi w:val="0"/>
                    <w:rPr>
                      <w:rFonts w:hint="default" w:ascii="Times New Roman" w:hAnsi="Times New Roman" w:eastAsia="宋体" w:cs="Times New Roman"/>
                      <w:bCs/>
                      <w:color w:val="000000" w:themeColor="text1"/>
                      <w:szCs w:val="2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5000</w:t>
                  </w:r>
                </w:p>
              </w:tc>
            </w:tr>
            <w:tr w14:paraId="22F193E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349" w:hRule="atLeast"/>
                <w:jc w:val="center"/>
              </w:trPr>
              <w:tc>
                <w:tcPr>
                  <w:tcW w:w="2378" w:type="pct"/>
                  <w:tcBorders>
                    <w:top w:val="single" w:color="auto" w:sz="2" w:space="0"/>
                    <w:bottom w:val="single" w:color="auto" w:sz="2" w:space="0"/>
                    <w:right w:val="single" w:color="auto" w:sz="2" w:space="0"/>
                  </w:tcBorders>
                  <w:noWrap w:val="0"/>
                  <w:vAlign w:val="center"/>
                </w:tcPr>
                <w:p w14:paraId="1B4FD08D">
                  <w:pPr>
                    <w:pStyle w:val="29"/>
                    <w:ind w:firstLine="480"/>
                    <w:rPr>
                      <w:rFonts w:hint="default" w:ascii="Times New Roman" w:hAnsi="Times New Roman" w:cs="Times New Roman"/>
                      <w:b w:val="0"/>
                      <w:bCs w:val="0"/>
                      <w:color w:val="000000" w:themeColor="text1"/>
                      <w:sz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highlight w:val="none"/>
                      <w:lang w:val="en-US" w:eastAsia="zh-CN"/>
                      <w14:textFill>
                        <w14:solidFill>
                          <w14:schemeClr w14:val="tx1"/>
                        </w14:solidFill>
                      </w14:textFill>
                    </w:rPr>
                    <w:t>氨氮</w:t>
                  </w:r>
                </w:p>
              </w:tc>
              <w:tc>
                <w:tcPr>
                  <w:tcW w:w="2621" w:type="pct"/>
                  <w:tcBorders>
                    <w:top w:val="single" w:color="auto" w:sz="2" w:space="0"/>
                    <w:left w:val="single" w:color="auto" w:sz="2" w:space="0"/>
                    <w:bottom w:val="single" w:color="auto" w:sz="2" w:space="0"/>
                  </w:tcBorders>
                  <w:noWrap w:val="0"/>
                  <w:vAlign w:val="center"/>
                </w:tcPr>
                <w:p w14:paraId="68C4EDC5">
                  <w:pPr>
                    <w:pStyle w:val="30"/>
                    <w:bidi w:val="0"/>
                    <w:rPr>
                      <w:rFonts w:hint="default" w:ascii="Times New Roman" w:hAnsi="Times New Roman" w:eastAsia="宋体" w:cs="Times New Roman"/>
                      <w:bCs/>
                      <w:color w:val="000000" w:themeColor="text1"/>
                      <w:szCs w:val="2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45</w:t>
                  </w:r>
                </w:p>
              </w:tc>
            </w:tr>
            <w:tr w14:paraId="73F80A9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349" w:hRule="atLeast"/>
                <w:jc w:val="center"/>
              </w:trPr>
              <w:tc>
                <w:tcPr>
                  <w:tcW w:w="2378" w:type="pct"/>
                  <w:tcBorders>
                    <w:top w:val="single" w:color="auto" w:sz="2" w:space="0"/>
                    <w:right w:val="single" w:color="auto" w:sz="2" w:space="0"/>
                  </w:tcBorders>
                  <w:noWrap w:val="0"/>
                  <w:vAlign w:val="center"/>
                </w:tcPr>
                <w:p w14:paraId="3D3CA425">
                  <w:pPr>
                    <w:pStyle w:val="29"/>
                    <w:ind w:firstLine="480"/>
                    <w:rPr>
                      <w:rFonts w:hint="default" w:ascii="Times New Roman" w:hAnsi="Times New Roman" w:cs="Times New Roman"/>
                      <w:b w:val="0"/>
                      <w:bCs w:val="0"/>
                      <w:color w:val="000000" w:themeColor="text1"/>
                      <w:sz w:val="21"/>
                      <w:highlight w:val="none"/>
                      <w14:textFill>
                        <w14:solidFill>
                          <w14:schemeClr w14:val="tx1"/>
                        </w14:solidFill>
                      </w14:textFill>
                    </w:rPr>
                  </w:pPr>
                  <w:r>
                    <w:rPr>
                      <w:rFonts w:hint="default" w:ascii="Times New Roman" w:hAnsi="Times New Roman" w:cs="Times New Roman"/>
                      <w:b w:val="0"/>
                      <w:color w:val="000000" w:themeColor="text1"/>
                      <w:sz w:val="21"/>
                      <w:highlight w:val="none"/>
                      <w14:textFill>
                        <w14:solidFill>
                          <w14:schemeClr w14:val="tx1"/>
                        </w14:solidFill>
                      </w14:textFill>
                    </w:rPr>
                    <w:t>总余氯</w:t>
                  </w:r>
                </w:p>
              </w:tc>
              <w:tc>
                <w:tcPr>
                  <w:tcW w:w="2621" w:type="pct"/>
                  <w:tcBorders>
                    <w:top w:val="single" w:color="auto" w:sz="2" w:space="0"/>
                    <w:left w:val="single" w:color="auto" w:sz="2" w:space="0"/>
                  </w:tcBorders>
                  <w:noWrap w:val="0"/>
                  <w:vAlign w:val="center"/>
                </w:tcPr>
                <w:p w14:paraId="20EB08E0">
                  <w:pPr>
                    <w:pStyle w:val="30"/>
                    <w:bidi w:val="0"/>
                    <w:rPr>
                      <w:rFonts w:hint="default" w:ascii="Times New Roman" w:hAnsi="Times New Roman" w:eastAsia="宋体" w:cs="Times New Roman"/>
                      <w:bCs/>
                      <w:color w:val="000000" w:themeColor="text1"/>
                      <w:szCs w:val="2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2~8</w:t>
                  </w:r>
                  <w:r>
                    <w:rPr>
                      <w:rFonts w:hint="eastAsia" w:cs="Times New Roman"/>
                      <w:color w:val="000000" w:themeColor="text1"/>
                      <w:highlight w:val="none"/>
                      <w:lang w:val="en-US" w:eastAsia="zh-CN"/>
                      <w14:textFill>
                        <w14:solidFill>
                          <w14:schemeClr w14:val="tx1"/>
                        </w14:solidFill>
                      </w14:textFill>
                    </w:rPr>
                    <w:t>（接触时间≥1h）</w:t>
                  </w:r>
                </w:p>
              </w:tc>
            </w:tr>
          </w:tbl>
          <w:p w14:paraId="4D298C30">
            <w:pPr>
              <w:pStyle w:val="31"/>
              <w:bidi w:val="0"/>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注：（1）</w:t>
            </w:r>
            <w:r>
              <w:rPr>
                <w:rFonts w:hint="default" w:ascii="Times New Roman" w:hAnsi="Times New Roman" w:cs="Times New Roman"/>
                <w:color w:val="000000" w:themeColor="text1"/>
                <w:sz w:val="18"/>
                <w:szCs w:val="18"/>
                <w:highlight w:val="none"/>
                <w14:textFill>
                  <w14:solidFill>
                    <w14:schemeClr w14:val="tx1"/>
                  </w14:solidFill>
                </w14:textFill>
              </w:rPr>
              <w:t>氨氮</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和</w:t>
            </w:r>
            <w:r>
              <w:rPr>
                <w:rFonts w:hint="default" w:ascii="Times New Roman" w:hAnsi="Times New Roman" w:cs="Times New Roman"/>
                <w:color w:val="000000" w:themeColor="text1"/>
                <w:sz w:val="18"/>
                <w:szCs w:val="18"/>
                <w:highlight w:val="none"/>
                <w14:textFill>
                  <w14:solidFill>
                    <w14:schemeClr w14:val="tx1"/>
                  </w14:solidFill>
                </w14:textFill>
              </w:rPr>
              <w:t>总余氯排放参照《污水排入城镇下水道水质标准》（GB/T31962-2015）B级标准</w:t>
            </w:r>
            <w:r>
              <w:rPr>
                <w:rFonts w:hint="default" w:ascii="Times New Roman" w:hAnsi="Times New Roman" w:cs="Times New Roman"/>
                <w:color w:val="000000" w:themeColor="text1"/>
                <w:sz w:val="18"/>
                <w:szCs w:val="18"/>
                <w:highlight w:val="none"/>
                <w:lang w:eastAsia="zh-CN"/>
                <w14:textFill>
                  <w14:solidFill>
                    <w14:schemeClr w14:val="tx1"/>
                  </w14:solidFill>
                </w14:textFill>
              </w:rPr>
              <w:t>；</w:t>
            </w:r>
          </w:p>
          <w:p w14:paraId="66A03FC2">
            <w:pPr>
              <w:pStyle w:val="31"/>
              <w:bidi w:val="0"/>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2</w:t>
            </w:r>
            <w:r>
              <w:rPr>
                <w:rFonts w:hint="default" w:ascii="Times New Roman" w:hAnsi="Times New Roman" w:cs="Times New Roman"/>
                <w:color w:val="000000" w:themeColor="text1"/>
                <w:sz w:val="18"/>
                <w:szCs w:val="18"/>
                <w:highlight w:val="none"/>
                <w:lang w:eastAsia="zh-CN"/>
                <w14:textFill>
                  <w14:solidFill>
                    <w14:schemeClr w14:val="tx1"/>
                  </w14:solidFill>
                </w14:textFill>
              </w:rPr>
              <w:t>）采用含氯消毒剂消毒的工艺控制要求为：</w:t>
            </w:r>
          </w:p>
          <w:p w14:paraId="09CC0F46">
            <w:pPr>
              <w:pStyle w:val="31"/>
              <w:bidi w:val="0"/>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排放标准：消毒接触池接触时间≥1h，接触池出口总余氯3</w:t>
            </w:r>
            <w:r>
              <w:rPr>
                <w:rFonts w:hint="eastAsia" w:cs="Times New Roman"/>
                <w:color w:val="000000" w:themeColor="text1"/>
                <w:sz w:val="18"/>
                <w:szCs w:val="18"/>
                <w:highlight w:val="none"/>
                <w:lang w:eastAsia="zh-CN"/>
                <w14:textFill>
                  <w14:solidFill>
                    <w14:schemeClr w14:val="tx1"/>
                  </w14:solidFill>
                </w14:textFill>
              </w:rPr>
              <w:t>～</w:t>
            </w:r>
            <w:r>
              <w:rPr>
                <w:rFonts w:hint="default" w:ascii="Times New Roman" w:hAnsi="Times New Roman" w:cs="Times New Roman"/>
                <w:color w:val="000000" w:themeColor="text1"/>
                <w:sz w:val="18"/>
                <w:szCs w:val="18"/>
                <w:highlight w:val="none"/>
                <w:lang w:eastAsia="zh-CN"/>
                <w14:textFill>
                  <w14:solidFill>
                    <w14:schemeClr w14:val="tx1"/>
                  </w14:solidFill>
                </w14:textFill>
              </w:rPr>
              <w:t>10mg</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/L</w:t>
            </w:r>
            <w:r>
              <w:rPr>
                <w:rFonts w:hint="default" w:ascii="Times New Roman" w:hAnsi="Times New Roman" w:cs="Times New Roman"/>
                <w:color w:val="000000" w:themeColor="text1"/>
                <w:sz w:val="18"/>
                <w:szCs w:val="18"/>
                <w:highlight w:val="none"/>
                <w:lang w:eastAsia="zh-CN"/>
                <w14:textFill>
                  <w14:solidFill>
                    <w14:schemeClr w14:val="tx1"/>
                  </w14:solidFill>
                </w14:textFill>
              </w:rPr>
              <w:t>；</w:t>
            </w:r>
          </w:p>
          <w:p w14:paraId="5DB14837">
            <w:pPr>
              <w:pStyle w:val="31"/>
              <w:bidi w:val="0"/>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预处理标准：消毒接触池接触时间≥1h，接触池出口总余氯2</w:t>
            </w:r>
            <w:r>
              <w:rPr>
                <w:rFonts w:hint="eastAsia" w:cs="Times New Roman"/>
                <w:color w:val="000000" w:themeColor="text1"/>
                <w:sz w:val="18"/>
                <w:szCs w:val="18"/>
                <w:highlight w:val="none"/>
                <w:lang w:eastAsia="zh-CN"/>
                <w14:textFill>
                  <w14:solidFill>
                    <w14:schemeClr w14:val="tx1"/>
                  </w14:solidFill>
                </w14:textFill>
              </w:rPr>
              <w:t>～</w:t>
            </w:r>
            <w:r>
              <w:rPr>
                <w:rFonts w:hint="default" w:ascii="Times New Roman" w:hAnsi="Times New Roman" w:cs="Times New Roman"/>
                <w:color w:val="000000" w:themeColor="text1"/>
                <w:sz w:val="18"/>
                <w:szCs w:val="18"/>
                <w:highlight w:val="none"/>
                <w:lang w:eastAsia="zh-CN"/>
                <w14:textFill>
                  <w14:solidFill>
                    <w14:schemeClr w14:val="tx1"/>
                  </w14:solidFill>
                </w14:textFill>
              </w:rPr>
              <w:t>8mg</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/L；</w:t>
            </w:r>
            <w:r>
              <w:rPr>
                <w:rFonts w:hint="default" w:ascii="Times New Roman" w:hAnsi="Times New Roman" w:cs="Times New Roman"/>
                <w:color w:val="000000" w:themeColor="text1"/>
                <w:sz w:val="18"/>
                <w:szCs w:val="18"/>
                <w:highlight w:val="none"/>
                <w:lang w:eastAsia="zh-CN"/>
                <w14:textFill>
                  <w14:solidFill>
                    <w14:schemeClr w14:val="tx1"/>
                  </w14:solidFill>
                </w14:textFill>
              </w:rPr>
              <w:t>采用其他消毒剂对总余氯不作要求。</w:t>
            </w:r>
          </w:p>
          <w:p w14:paraId="769A8C87">
            <w:pPr>
              <w:pStyle w:val="31"/>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生活污水</w:t>
            </w:r>
            <w:r>
              <w:rPr>
                <w:rFonts w:hint="eastAsia"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洗浴</w:t>
            </w:r>
            <w:r>
              <w:rPr>
                <w:rFonts w:hint="default" w:ascii="Times New Roman" w:hAnsi="Times New Roman" w:cs="Times New Roman"/>
                <w:color w:val="000000" w:themeColor="text1"/>
                <w:highlight w:val="none"/>
                <w:lang w:val="en-US" w:eastAsia="en-US"/>
                <w14:textFill>
                  <w14:solidFill>
                    <w14:schemeClr w14:val="tx1"/>
                  </w14:solidFill>
                </w14:textFill>
              </w:rPr>
              <w:t>废水</w:t>
            </w:r>
            <w:r>
              <w:rPr>
                <w:rFonts w:hint="default" w:ascii="Times New Roman" w:hAnsi="Times New Roman" w:cs="Times New Roman"/>
                <w:color w:val="000000" w:themeColor="text1"/>
                <w:highlight w:val="none"/>
                <w:lang w:val="en-US" w:eastAsia="zh-CN"/>
                <w14:textFill>
                  <w14:solidFill>
                    <w14:schemeClr w14:val="tx1"/>
                  </w14:solidFill>
                </w14:textFill>
              </w:rPr>
              <w:t>执行《污水综合排放标准》（GB8978-1996）表4中三级标准，其中氨氮参照执行《污水排入城镇下水道水质标准》（GB/T31962-2015）中B等级标准</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标准值</w:t>
            </w:r>
            <w:r>
              <w:rPr>
                <w:rFonts w:hint="default" w:ascii="Times New Roman" w:hAnsi="Times New Roman" w:cs="Times New Roman"/>
                <w:color w:val="000000" w:themeColor="text1"/>
                <w:highlight w:val="none"/>
                <w14:textFill>
                  <w14:solidFill>
                    <w14:schemeClr w14:val="tx1"/>
                  </w14:solidFill>
                </w14:textFill>
              </w:rPr>
              <w:t>见表3-</w:t>
            </w:r>
            <w:r>
              <w:rPr>
                <w:rFonts w:hint="default" w:ascii="Times New Roman" w:hAnsi="Times New Roman" w:cs="Times New Roman"/>
                <w:color w:val="000000" w:themeColor="text1"/>
                <w:highlight w:val="none"/>
                <w:lang w:val="en-US" w:eastAsia="zh-CN"/>
                <w14:textFill>
                  <w14:solidFill>
                    <w14:schemeClr w14:val="tx1"/>
                  </w14:solidFill>
                </w14:textFill>
              </w:rPr>
              <w:t>7</w:t>
            </w:r>
            <w:r>
              <w:rPr>
                <w:rFonts w:hint="default" w:ascii="Times New Roman" w:hAnsi="Times New Roman" w:cs="Times New Roman"/>
                <w:color w:val="000000" w:themeColor="text1"/>
                <w:highlight w:val="none"/>
                <w14:textFill>
                  <w14:solidFill>
                    <w14:schemeClr w14:val="tx1"/>
                  </w14:solidFill>
                </w14:textFill>
              </w:rPr>
              <w:t>。</w:t>
            </w:r>
          </w:p>
          <w:p w14:paraId="259A6FC6">
            <w:pPr>
              <w:pStyle w:val="29"/>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表3-7   废水污染物排放标准一览表</w:t>
            </w:r>
          </w:p>
          <w:tbl>
            <w:tblPr>
              <w:tblStyle w:val="1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8"/>
              <w:gridCol w:w="3001"/>
              <w:gridCol w:w="2189"/>
              <w:gridCol w:w="2104"/>
            </w:tblGrid>
            <w:tr w14:paraId="348A9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2" w:type="pct"/>
                  <w:tcBorders>
                    <w:tl2br w:val="nil"/>
                    <w:tr2bl w:val="nil"/>
                  </w:tcBorders>
                  <w:noWrap w:val="0"/>
                  <w:vAlign w:val="center"/>
                </w:tcPr>
                <w:p w14:paraId="296D976F">
                  <w:pPr>
                    <w:pStyle w:val="30"/>
                    <w:widowControl w:val="0"/>
                    <w:bidi w:val="0"/>
                    <w:rPr>
                      <w:rFonts w:hint="default" w:ascii="Times New Roman" w:hAnsi="Times New Roman" w:cs="Times New Roman"/>
                      <w:b/>
                      <w:bCs w:val="0"/>
                      <w:color w:val="000000" w:themeColor="text1"/>
                      <w:highlight w:val="none"/>
                      <w:lang w:val="en-US" w:eastAsia="zh-CN"/>
                      <w14:textFill>
                        <w14:solidFill>
                          <w14:schemeClr w14:val="tx1"/>
                        </w14:solidFill>
                      </w14:textFill>
                    </w:rPr>
                  </w:pPr>
                  <w:r>
                    <w:rPr>
                      <w:rFonts w:hint="default" w:ascii="Times New Roman" w:hAnsi="Times New Roman" w:cs="Times New Roman"/>
                      <w:b/>
                      <w:bCs w:val="0"/>
                      <w:color w:val="000000" w:themeColor="text1"/>
                      <w:highlight w:val="none"/>
                      <w:lang w:val="en-US" w:eastAsia="zh-CN"/>
                      <w14:textFill>
                        <w14:solidFill>
                          <w14:schemeClr w14:val="tx1"/>
                        </w14:solidFill>
                      </w14:textFill>
                    </w:rPr>
                    <w:t>序号</w:t>
                  </w:r>
                </w:p>
              </w:tc>
              <w:tc>
                <w:tcPr>
                  <w:tcW w:w="1837" w:type="pct"/>
                  <w:tcBorders>
                    <w:tl2br w:val="nil"/>
                    <w:tr2bl w:val="nil"/>
                  </w:tcBorders>
                  <w:noWrap w:val="0"/>
                  <w:vAlign w:val="center"/>
                </w:tcPr>
                <w:p w14:paraId="208367BB">
                  <w:pPr>
                    <w:pStyle w:val="30"/>
                    <w:widowControl w:val="0"/>
                    <w:bidi w:val="0"/>
                    <w:rPr>
                      <w:rFonts w:hint="default" w:ascii="Times New Roman" w:hAnsi="Times New Roman" w:cs="Times New Roman"/>
                      <w:b/>
                      <w:bCs w:val="0"/>
                      <w:color w:val="000000" w:themeColor="text1"/>
                      <w:highlight w:val="none"/>
                      <w:lang w:val="en-US" w:eastAsia="zh-CN"/>
                      <w14:textFill>
                        <w14:solidFill>
                          <w14:schemeClr w14:val="tx1"/>
                        </w14:solidFill>
                      </w14:textFill>
                    </w:rPr>
                  </w:pPr>
                  <w:r>
                    <w:rPr>
                      <w:rFonts w:hint="default" w:ascii="Times New Roman" w:hAnsi="Times New Roman" w:cs="Times New Roman"/>
                      <w:b/>
                      <w:bCs w:val="0"/>
                      <w:color w:val="000000" w:themeColor="text1"/>
                      <w:highlight w:val="none"/>
                      <w:lang w:val="en-US" w:eastAsia="zh-CN"/>
                      <w14:textFill>
                        <w14:solidFill>
                          <w14:schemeClr w14:val="tx1"/>
                        </w14:solidFill>
                      </w14:textFill>
                    </w:rPr>
                    <w:t>污染物名称</w:t>
                  </w:r>
                </w:p>
              </w:tc>
              <w:tc>
                <w:tcPr>
                  <w:tcW w:w="1340" w:type="pct"/>
                  <w:tcBorders>
                    <w:tl2br w:val="nil"/>
                    <w:tr2bl w:val="nil"/>
                  </w:tcBorders>
                  <w:noWrap w:val="0"/>
                  <w:vAlign w:val="center"/>
                </w:tcPr>
                <w:p w14:paraId="38EA28FE">
                  <w:pPr>
                    <w:pStyle w:val="30"/>
                    <w:widowControl w:val="0"/>
                    <w:bidi w:val="0"/>
                    <w:rPr>
                      <w:rFonts w:hint="default" w:ascii="Times New Roman" w:hAnsi="Times New Roman" w:cs="Times New Roman"/>
                      <w:b/>
                      <w:bCs w:val="0"/>
                      <w:color w:val="000000" w:themeColor="text1"/>
                      <w:highlight w:val="none"/>
                      <w:lang w:val="en-US" w:eastAsia="zh-CN"/>
                      <w14:textFill>
                        <w14:solidFill>
                          <w14:schemeClr w14:val="tx1"/>
                        </w14:solidFill>
                      </w14:textFill>
                    </w:rPr>
                  </w:pPr>
                  <w:r>
                    <w:rPr>
                      <w:rFonts w:hint="default" w:ascii="Times New Roman" w:hAnsi="Times New Roman" w:cs="Times New Roman"/>
                      <w:b/>
                      <w:bCs w:val="0"/>
                      <w:color w:val="000000" w:themeColor="text1"/>
                      <w:highlight w:val="none"/>
                      <w:lang w:val="en-US" w:eastAsia="zh-CN"/>
                      <w14:textFill>
                        <w14:solidFill>
                          <w14:schemeClr w14:val="tx1"/>
                        </w14:solidFill>
                      </w14:textFill>
                    </w:rPr>
                    <w:t>排放浓度</w:t>
                  </w:r>
                </w:p>
              </w:tc>
              <w:tc>
                <w:tcPr>
                  <w:tcW w:w="1288" w:type="pct"/>
                  <w:tcBorders>
                    <w:tl2br w:val="nil"/>
                    <w:tr2bl w:val="nil"/>
                  </w:tcBorders>
                  <w:noWrap w:val="0"/>
                  <w:vAlign w:val="center"/>
                </w:tcPr>
                <w:p w14:paraId="001E9A73">
                  <w:pPr>
                    <w:pStyle w:val="30"/>
                    <w:widowControl w:val="0"/>
                    <w:bidi w:val="0"/>
                    <w:rPr>
                      <w:rFonts w:hint="default" w:ascii="Times New Roman" w:hAnsi="Times New Roman" w:cs="Times New Roman"/>
                      <w:b/>
                      <w:bCs w:val="0"/>
                      <w:color w:val="000000" w:themeColor="text1"/>
                      <w:highlight w:val="none"/>
                      <w:lang w:val="en-US" w:eastAsia="zh-CN"/>
                      <w14:textFill>
                        <w14:solidFill>
                          <w14:schemeClr w14:val="tx1"/>
                        </w14:solidFill>
                      </w14:textFill>
                    </w:rPr>
                  </w:pPr>
                  <w:r>
                    <w:rPr>
                      <w:rFonts w:hint="default" w:ascii="Times New Roman" w:hAnsi="Times New Roman" w:cs="Times New Roman"/>
                      <w:b/>
                      <w:bCs w:val="0"/>
                      <w:color w:val="000000" w:themeColor="text1"/>
                      <w:highlight w:val="none"/>
                      <w:lang w:val="en-US" w:eastAsia="zh-CN"/>
                      <w14:textFill>
                        <w14:solidFill>
                          <w14:schemeClr w14:val="tx1"/>
                        </w14:solidFill>
                      </w14:textFill>
                    </w:rPr>
                    <w:t>排放标准</w:t>
                  </w:r>
                </w:p>
              </w:tc>
            </w:tr>
            <w:tr w14:paraId="33CFE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2" w:type="pct"/>
                  <w:tcBorders>
                    <w:tl2br w:val="nil"/>
                    <w:tr2bl w:val="nil"/>
                  </w:tcBorders>
                  <w:noWrap w:val="0"/>
                  <w:vAlign w:val="center"/>
                </w:tcPr>
                <w:p w14:paraId="358C1C55">
                  <w:pPr>
                    <w:pStyle w:val="30"/>
                    <w:widowControl w:val="0"/>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w:t>
                  </w:r>
                </w:p>
              </w:tc>
              <w:tc>
                <w:tcPr>
                  <w:tcW w:w="1837" w:type="pct"/>
                  <w:tcBorders>
                    <w:tl2br w:val="nil"/>
                    <w:tr2bl w:val="nil"/>
                  </w:tcBorders>
                  <w:noWrap w:val="0"/>
                  <w:vAlign w:val="center"/>
                </w:tcPr>
                <w:p w14:paraId="0736DC0F">
                  <w:pPr>
                    <w:pStyle w:val="30"/>
                    <w:widowControl w:val="0"/>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pH</w:t>
                  </w:r>
                  <w:r>
                    <w:rPr>
                      <w:rFonts w:hint="default" w:ascii="Times New Roman" w:hAnsi="Times New Roman" w:cs="Times New Roman"/>
                      <w:color w:val="000000" w:themeColor="text1"/>
                      <w:highlight w:val="none"/>
                      <w14:textFill>
                        <w14:solidFill>
                          <w14:schemeClr w14:val="tx1"/>
                        </w14:solidFill>
                      </w14:textFill>
                    </w:rPr>
                    <w:t>（无量纲）</w:t>
                  </w:r>
                </w:p>
              </w:tc>
              <w:tc>
                <w:tcPr>
                  <w:tcW w:w="1340" w:type="pct"/>
                  <w:tcBorders>
                    <w:tl2br w:val="nil"/>
                    <w:tr2bl w:val="nil"/>
                  </w:tcBorders>
                  <w:noWrap w:val="0"/>
                  <w:vAlign w:val="center"/>
                </w:tcPr>
                <w:p w14:paraId="372FDBA9">
                  <w:pPr>
                    <w:pStyle w:val="30"/>
                    <w:widowControl w:val="0"/>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6-9</w:t>
                  </w:r>
                </w:p>
              </w:tc>
              <w:tc>
                <w:tcPr>
                  <w:tcW w:w="1288" w:type="pct"/>
                  <w:vMerge w:val="restart"/>
                  <w:tcBorders>
                    <w:tl2br w:val="nil"/>
                    <w:tr2bl w:val="nil"/>
                  </w:tcBorders>
                  <w:noWrap w:val="0"/>
                  <w:vAlign w:val="center"/>
                </w:tcPr>
                <w:p w14:paraId="2F9DC6C9">
                  <w:pPr>
                    <w:pStyle w:val="30"/>
                    <w:widowControl w:val="0"/>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氨氮执行《污水排入城镇下水道水质标准》（GB/T31962-2015）B等级标准，其他指标执行《污水综合排放标准》（GB8978-1996）三级标准</w:t>
                  </w:r>
                </w:p>
              </w:tc>
            </w:tr>
            <w:tr w14:paraId="7517C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2" w:type="pct"/>
                  <w:tcBorders>
                    <w:tl2br w:val="nil"/>
                    <w:tr2bl w:val="nil"/>
                  </w:tcBorders>
                  <w:noWrap w:val="0"/>
                  <w:vAlign w:val="center"/>
                </w:tcPr>
                <w:p w14:paraId="58EA059A">
                  <w:pPr>
                    <w:pStyle w:val="30"/>
                    <w:widowControl w:val="0"/>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w:t>
                  </w:r>
                </w:p>
              </w:tc>
              <w:tc>
                <w:tcPr>
                  <w:tcW w:w="1837" w:type="pct"/>
                  <w:tcBorders>
                    <w:tl2br w:val="nil"/>
                    <w:tr2bl w:val="nil"/>
                  </w:tcBorders>
                  <w:noWrap w:val="0"/>
                  <w:vAlign w:val="center"/>
                </w:tcPr>
                <w:p w14:paraId="00E5394A">
                  <w:pPr>
                    <w:pStyle w:val="30"/>
                    <w:widowControl w:val="0"/>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悬浮物</w:t>
                  </w:r>
                  <w:r>
                    <w:rPr>
                      <w:rFonts w:hint="default" w:ascii="Times New Roman" w:hAnsi="Times New Roman" w:cs="Times New Roman"/>
                      <w:color w:val="000000" w:themeColor="text1"/>
                      <w:highlight w:val="none"/>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mg/L</w:t>
                  </w:r>
                  <w:r>
                    <w:rPr>
                      <w:rFonts w:hint="default" w:ascii="Times New Roman" w:hAnsi="Times New Roman" w:cs="Times New Roman"/>
                      <w:color w:val="000000" w:themeColor="text1"/>
                      <w:highlight w:val="none"/>
                      <w14:textFill>
                        <w14:solidFill>
                          <w14:schemeClr w14:val="tx1"/>
                        </w14:solidFill>
                      </w14:textFill>
                    </w:rPr>
                    <w:t>）</w:t>
                  </w:r>
                </w:p>
              </w:tc>
              <w:tc>
                <w:tcPr>
                  <w:tcW w:w="1340" w:type="pct"/>
                  <w:tcBorders>
                    <w:tl2br w:val="nil"/>
                    <w:tr2bl w:val="nil"/>
                  </w:tcBorders>
                  <w:noWrap w:val="0"/>
                  <w:vAlign w:val="center"/>
                </w:tcPr>
                <w:p w14:paraId="755A7F8E">
                  <w:pPr>
                    <w:pStyle w:val="30"/>
                    <w:widowControl w:val="0"/>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400</w:t>
                  </w:r>
                </w:p>
              </w:tc>
              <w:tc>
                <w:tcPr>
                  <w:tcW w:w="1288" w:type="pct"/>
                  <w:vMerge w:val="continue"/>
                  <w:tcBorders>
                    <w:tl2br w:val="nil"/>
                    <w:tr2bl w:val="nil"/>
                  </w:tcBorders>
                  <w:noWrap w:val="0"/>
                  <w:vAlign w:val="center"/>
                </w:tcPr>
                <w:p w14:paraId="21AA997D">
                  <w:pPr>
                    <w:pStyle w:val="30"/>
                    <w:widowControl w:val="0"/>
                    <w:bidi w:val="0"/>
                    <w:rPr>
                      <w:rFonts w:hint="default" w:ascii="Times New Roman" w:hAnsi="Times New Roman" w:cs="Times New Roman"/>
                      <w:color w:val="000000" w:themeColor="text1"/>
                      <w:highlight w:val="none"/>
                      <w:lang w:val="en-US" w:eastAsia="zh-CN"/>
                      <w14:textFill>
                        <w14:solidFill>
                          <w14:schemeClr w14:val="tx1"/>
                        </w14:solidFill>
                      </w14:textFill>
                    </w:rPr>
                  </w:pPr>
                </w:p>
              </w:tc>
            </w:tr>
            <w:tr w14:paraId="698D6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2" w:type="pct"/>
                  <w:tcBorders>
                    <w:tl2br w:val="nil"/>
                    <w:tr2bl w:val="nil"/>
                  </w:tcBorders>
                  <w:noWrap w:val="0"/>
                  <w:vAlign w:val="center"/>
                </w:tcPr>
                <w:p w14:paraId="1B0DDC56">
                  <w:pPr>
                    <w:pStyle w:val="30"/>
                    <w:widowControl w:val="0"/>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3</w:t>
                  </w:r>
                </w:p>
              </w:tc>
              <w:tc>
                <w:tcPr>
                  <w:tcW w:w="1837" w:type="pct"/>
                  <w:tcBorders>
                    <w:tl2br w:val="nil"/>
                    <w:tr2bl w:val="nil"/>
                  </w:tcBorders>
                  <w:noWrap w:val="0"/>
                  <w:vAlign w:val="center"/>
                </w:tcPr>
                <w:p w14:paraId="2A191F80">
                  <w:pPr>
                    <w:pStyle w:val="30"/>
                    <w:widowControl w:val="0"/>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化学需氧量</w:t>
                  </w:r>
                  <w:r>
                    <w:rPr>
                      <w:rFonts w:hint="default" w:ascii="Times New Roman" w:hAnsi="Times New Roman" w:cs="Times New Roman"/>
                      <w:color w:val="000000" w:themeColor="text1"/>
                      <w:highlight w:val="none"/>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mg/L</w:t>
                  </w:r>
                  <w:r>
                    <w:rPr>
                      <w:rFonts w:hint="default" w:ascii="Times New Roman" w:hAnsi="Times New Roman" w:cs="Times New Roman"/>
                      <w:color w:val="000000" w:themeColor="text1"/>
                      <w:highlight w:val="none"/>
                      <w14:textFill>
                        <w14:solidFill>
                          <w14:schemeClr w14:val="tx1"/>
                        </w14:solidFill>
                      </w14:textFill>
                    </w:rPr>
                    <w:t>）</w:t>
                  </w:r>
                </w:p>
              </w:tc>
              <w:tc>
                <w:tcPr>
                  <w:tcW w:w="1340" w:type="pct"/>
                  <w:tcBorders>
                    <w:tl2br w:val="nil"/>
                    <w:tr2bl w:val="nil"/>
                  </w:tcBorders>
                  <w:noWrap w:val="0"/>
                  <w:vAlign w:val="center"/>
                </w:tcPr>
                <w:p w14:paraId="796E8CA7">
                  <w:pPr>
                    <w:pStyle w:val="30"/>
                    <w:widowControl w:val="0"/>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500</w:t>
                  </w:r>
                </w:p>
              </w:tc>
              <w:tc>
                <w:tcPr>
                  <w:tcW w:w="1288" w:type="pct"/>
                  <w:vMerge w:val="continue"/>
                  <w:tcBorders>
                    <w:tl2br w:val="nil"/>
                    <w:tr2bl w:val="nil"/>
                  </w:tcBorders>
                  <w:noWrap w:val="0"/>
                  <w:vAlign w:val="center"/>
                </w:tcPr>
                <w:p w14:paraId="28AA09AA">
                  <w:pPr>
                    <w:pStyle w:val="30"/>
                    <w:widowControl w:val="0"/>
                    <w:bidi w:val="0"/>
                    <w:rPr>
                      <w:rFonts w:hint="default" w:ascii="Times New Roman" w:hAnsi="Times New Roman" w:cs="Times New Roman"/>
                      <w:color w:val="000000" w:themeColor="text1"/>
                      <w:highlight w:val="none"/>
                      <w:lang w:val="en-US" w:eastAsia="zh-CN"/>
                      <w14:textFill>
                        <w14:solidFill>
                          <w14:schemeClr w14:val="tx1"/>
                        </w14:solidFill>
                      </w14:textFill>
                    </w:rPr>
                  </w:pPr>
                </w:p>
              </w:tc>
            </w:tr>
            <w:tr w14:paraId="153A4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2" w:type="pct"/>
                  <w:tcBorders>
                    <w:tl2br w:val="nil"/>
                    <w:tr2bl w:val="nil"/>
                  </w:tcBorders>
                  <w:noWrap w:val="0"/>
                  <w:vAlign w:val="center"/>
                </w:tcPr>
                <w:p w14:paraId="04A2F42D">
                  <w:pPr>
                    <w:pStyle w:val="30"/>
                    <w:widowControl w:val="0"/>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4</w:t>
                  </w:r>
                </w:p>
              </w:tc>
              <w:tc>
                <w:tcPr>
                  <w:tcW w:w="1837" w:type="pct"/>
                  <w:tcBorders>
                    <w:tl2br w:val="nil"/>
                    <w:tr2bl w:val="nil"/>
                  </w:tcBorders>
                  <w:noWrap w:val="0"/>
                  <w:vAlign w:val="center"/>
                </w:tcPr>
                <w:p w14:paraId="60C7DDA6">
                  <w:pPr>
                    <w:pStyle w:val="30"/>
                    <w:widowControl w:val="0"/>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氨氮</w:t>
                  </w:r>
                  <w:r>
                    <w:rPr>
                      <w:rFonts w:hint="default" w:ascii="Times New Roman" w:hAnsi="Times New Roman" w:cs="Times New Roman"/>
                      <w:color w:val="000000" w:themeColor="text1"/>
                      <w:highlight w:val="none"/>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mg/L</w:t>
                  </w:r>
                  <w:r>
                    <w:rPr>
                      <w:rFonts w:hint="default" w:ascii="Times New Roman" w:hAnsi="Times New Roman" w:cs="Times New Roman"/>
                      <w:color w:val="000000" w:themeColor="text1"/>
                      <w:highlight w:val="none"/>
                      <w14:textFill>
                        <w14:solidFill>
                          <w14:schemeClr w14:val="tx1"/>
                        </w14:solidFill>
                      </w14:textFill>
                    </w:rPr>
                    <w:t>）</w:t>
                  </w:r>
                </w:p>
              </w:tc>
              <w:tc>
                <w:tcPr>
                  <w:tcW w:w="1340" w:type="pct"/>
                  <w:tcBorders>
                    <w:tl2br w:val="nil"/>
                    <w:tr2bl w:val="nil"/>
                  </w:tcBorders>
                  <w:noWrap w:val="0"/>
                  <w:vAlign w:val="center"/>
                </w:tcPr>
                <w:p w14:paraId="62196D97">
                  <w:pPr>
                    <w:pStyle w:val="30"/>
                    <w:widowControl w:val="0"/>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45</w:t>
                  </w:r>
                </w:p>
              </w:tc>
              <w:tc>
                <w:tcPr>
                  <w:tcW w:w="1288" w:type="pct"/>
                  <w:vMerge w:val="continue"/>
                  <w:tcBorders>
                    <w:tl2br w:val="nil"/>
                    <w:tr2bl w:val="nil"/>
                  </w:tcBorders>
                  <w:noWrap w:val="0"/>
                  <w:vAlign w:val="center"/>
                </w:tcPr>
                <w:p w14:paraId="14AC3C1F">
                  <w:pPr>
                    <w:pStyle w:val="30"/>
                    <w:widowControl w:val="0"/>
                    <w:bidi w:val="0"/>
                    <w:rPr>
                      <w:rFonts w:hint="default" w:ascii="Times New Roman" w:hAnsi="Times New Roman" w:cs="Times New Roman"/>
                      <w:color w:val="000000" w:themeColor="text1"/>
                      <w:highlight w:val="none"/>
                      <w:lang w:val="en-US" w:eastAsia="zh-CN"/>
                      <w14:textFill>
                        <w14:solidFill>
                          <w14:schemeClr w14:val="tx1"/>
                        </w14:solidFill>
                      </w14:textFill>
                    </w:rPr>
                  </w:pPr>
                </w:p>
              </w:tc>
            </w:tr>
            <w:tr w14:paraId="0F37F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2" w:type="pct"/>
                  <w:tcBorders>
                    <w:tl2br w:val="nil"/>
                    <w:tr2bl w:val="nil"/>
                  </w:tcBorders>
                  <w:noWrap w:val="0"/>
                  <w:vAlign w:val="center"/>
                </w:tcPr>
                <w:p w14:paraId="234F2682">
                  <w:pPr>
                    <w:pStyle w:val="30"/>
                    <w:widowControl w:val="0"/>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5</w:t>
                  </w:r>
                </w:p>
              </w:tc>
              <w:tc>
                <w:tcPr>
                  <w:tcW w:w="1837" w:type="pct"/>
                  <w:tcBorders>
                    <w:tl2br w:val="nil"/>
                    <w:tr2bl w:val="nil"/>
                  </w:tcBorders>
                  <w:noWrap w:val="0"/>
                  <w:vAlign w:val="center"/>
                </w:tcPr>
                <w:p w14:paraId="731DDA77">
                  <w:pPr>
                    <w:pStyle w:val="30"/>
                    <w:widowControl w:val="0"/>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五日生化需氧量</w:t>
                  </w:r>
                  <w:r>
                    <w:rPr>
                      <w:rFonts w:hint="default" w:ascii="Times New Roman" w:hAnsi="Times New Roman" w:cs="Times New Roman"/>
                      <w:color w:val="000000" w:themeColor="text1"/>
                      <w:highlight w:val="none"/>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mg/L</w:t>
                  </w:r>
                  <w:r>
                    <w:rPr>
                      <w:rFonts w:hint="default" w:ascii="Times New Roman" w:hAnsi="Times New Roman" w:cs="Times New Roman"/>
                      <w:color w:val="000000" w:themeColor="text1"/>
                      <w:highlight w:val="none"/>
                      <w14:textFill>
                        <w14:solidFill>
                          <w14:schemeClr w14:val="tx1"/>
                        </w14:solidFill>
                      </w14:textFill>
                    </w:rPr>
                    <w:t>）</w:t>
                  </w:r>
                </w:p>
              </w:tc>
              <w:tc>
                <w:tcPr>
                  <w:tcW w:w="1340" w:type="pct"/>
                  <w:tcBorders>
                    <w:tl2br w:val="nil"/>
                    <w:tr2bl w:val="nil"/>
                  </w:tcBorders>
                  <w:noWrap w:val="0"/>
                  <w:vAlign w:val="center"/>
                </w:tcPr>
                <w:p w14:paraId="0B9DDA8D">
                  <w:pPr>
                    <w:pStyle w:val="30"/>
                    <w:widowControl w:val="0"/>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300</w:t>
                  </w:r>
                </w:p>
              </w:tc>
              <w:tc>
                <w:tcPr>
                  <w:tcW w:w="1288" w:type="pct"/>
                  <w:vMerge w:val="continue"/>
                  <w:tcBorders>
                    <w:tl2br w:val="nil"/>
                    <w:tr2bl w:val="nil"/>
                  </w:tcBorders>
                  <w:noWrap w:val="0"/>
                  <w:vAlign w:val="center"/>
                </w:tcPr>
                <w:p w14:paraId="595474BB">
                  <w:pPr>
                    <w:pStyle w:val="30"/>
                    <w:widowControl w:val="0"/>
                    <w:bidi w:val="0"/>
                    <w:rPr>
                      <w:rFonts w:hint="default" w:ascii="Times New Roman" w:hAnsi="Times New Roman" w:cs="Times New Roman"/>
                      <w:color w:val="000000" w:themeColor="text1"/>
                      <w:highlight w:val="none"/>
                      <w:lang w:val="en-US" w:eastAsia="zh-CN"/>
                      <w14:textFill>
                        <w14:solidFill>
                          <w14:schemeClr w14:val="tx1"/>
                        </w14:solidFill>
                      </w14:textFill>
                    </w:rPr>
                  </w:pPr>
                </w:p>
              </w:tc>
            </w:tr>
            <w:tr w14:paraId="0FF7D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2" w:type="pct"/>
                  <w:tcBorders>
                    <w:tl2br w:val="nil"/>
                    <w:tr2bl w:val="nil"/>
                  </w:tcBorders>
                  <w:noWrap w:val="0"/>
                  <w:vAlign w:val="center"/>
                </w:tcPr>
                <w:p w14:paraId="771EDFB8">
                  <w:pPr>
                    <w:pStyle w:val="30"/>
                    <w:widowControl w:val="0"/>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6</w:t>
                  </w:r>
                </w:p>
              </w:tc>
              <w:tc>
                <w:tcPr>
                  <w:tcW w:w="1837" w:type="pct"/>
                  <w:tcBorders>
                    <w:tl2br w:val="nil"/>
                    <w:tr2bl w:val="nil"/>
                  </w:tcBorders>
                  <w:noWrap w:val="0"/>
                  <w:vAlign w:val="center"/>
                </w:tcPr>
                <w:p w14:paraId="71E33B80">
                  <w:pPr>
                    <w:pStyle w:val="30"/>
                    <w:widowControl w:val="0"/>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动植物油类</w:t>
                  </w:r>
                  <w:r>
                    <w:rPr>
                      <w:rFonts w:hint="default" w:ascii="Times New Roman" w:hAnsi="Times New Roman" w:cs="Times New Roman"/>
                      <w:color w:val="000000" w:themeColor="text1"/>
                      <w:highlight w:val="none"/>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mg/L</w:t>
                  </w:r>
                  <w:r>
                    <w:rPr>
                      <w:rFonts w:hint="default" w:ascii="Times New Roman" w:hAnsi="Times New Roman" w:cs="Times New Roman"/>
                      <w:color w:val="000000" w:themeColor="text1"/>
                      <w:highlight w:val="none"/>
                      <w14:textFill>
                        <w14:solidFill>
                          <w14:schemeClr w14:val="tx1"/>
                        </w14:solidFill>
                      </w14:textFill>
                    </w:rPr>
                    <w:t>）</w:t>
                  </w:r>
                </w:p>
              </w:tc>
              <w:tc>
                <w:tcPr>
                  <w:tcW w:w="1340" w:type="pct"/>
                  <w:tcBorders>
                    <w:tl2br w:val="nil"/>
                    <w:tr2bl w:val="nil"/>
                  </w:tcBorders>
                  <w:noWrap w:val="0"/>
                  <w:vAlign w:val="center"/>
                </w:tcPr>
                <w:p w14:paraId="6BE334FA">
                  <w:pPr>
                    <w:pStyle w:val="30"/>
                    <w:widowControl w:val="0"/>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100</w:t>
                  </w:r>
                </w:p>
              </w:tc>
              <w:tc>
                <w:tcPr>
                  <w:tcW w:w="1288" w:type="pct"/>
                  <w:vMerge w:val="continue"/>
                  <w:tcBorders>
                    <w:tl2br w:val="nil"/>
                    <w:tr2bl w:val="nil"/>
                  </w:tcBorders>
                  <w:noWrap w:val="0"/>
                  <w:vAlign w:val="center"/>
                </w:tcPr>
                <w:p w14:paraId="4A5713BF">
                  <w:pPr>
                    <w:pStyle w:val="30"/>
                    <w:widowControl w:val="0"/>
                    <w:bidi w:val="0"/>
                    <w:rPr>
                      <w:rFonts w:hint="default" w:ascii="Times New Roman" w:hAnsi="Times New Roman" w:cs="Times New Roman"/>
                      <w:color w:val="000000" w:themeColor="text1"/>
                      <w:highlight w:val="none"/>
                      <w:lang w:val="en-US" w:eastAsia="zh-CN"/>
                      <w14:textFill>
                        <w14:solidFill>
                          <w14:schemeClr w14:val="tx1"/>
                        </w14:solidFill>
                      </w14:textFill>
                    </w:rPr>
                  </w:pPr>
                </w:p>
              </w:tc>
            </w:tr>
            <w:tr w14:paraId="48863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2" w:type="pct"/>
                  <w:tcBorders>
                    <w:tl2br w:val="nil"/>
                    <w:tr2bl w:val="nil"/>
                  </w:tcBorders>
                  <w:noWrap w:val="0"/>
                  <w:vAlign w:val="center"/>
                </w:tcPr>
                <w:p w14:paraId="0408E58E">
                  <w:pPr>
                    <w:pStyle w:val="30"/>
                    <w:widowControl w:val="0"/>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7</w:t>
                  </w:r>
                </w:p>
              </w:tc>
              <w:tc>
                <w:tcPr>
                  <w:tcW w:w="1837" w:type="pct"/>
                  <w:tcBorders>
                    <w:tl2br w:val="nil"/>
                    <w:tr2bl w:val="nil"/>
                  </w:tcBorders>
                  <w:noWrap w:val="0"/>
                  <w:vAlign w:val="center"/>
                </w:tcPr>
                <w:p w14:paraId="2A4C3076">
                  <w:pPr>
                    <w:pStyle w:val="30"/>
                    <w:widowControl w:val="0"/>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粪大肠菌群</w:t>
                  </w:r>
                  <w:r>
                    <w:rPr>
                      <w:rFonts w:hint="default" w:ascii="Times New Roman" w:hAnsi="Times New Roman" w:cs="Times New Roman"/>
                      <w:color w:val="000000" w:themeColor="text1"/>
                      <w:highlight w:val="none"/>
                      <w14:textFill>
                        <w14:solidFill>
                          <w14:schemeClr w14:val="tx1"/>
                        </w14:solidFill>
                      </w14:textFill>
                    </w:rPr>
                    <w:t>数（</w:t>
                  </w:r>
                  <w:r>
                    <w:rPr>
                      <w:rFonts w:hint="default" w:ascii="Times New Roman" w:hAnsi="Times New Roman" w:cs="Times New Roman"/>
                      <w:color w:val="000000" w:themeColor="text1"/>
                      <w:highlight w:val="none"/>
                      <w:lang w:val="en-US" w:eastAsia="zh-CN"/>
                      <w14:textFill>
                        <w14:solidFill>
                          <w14:schemeClr w14:val="tx1"/>
                        </w14:solidFill>
                      </w14:textFill>
                    </w:rPr>
                    <w:t>个</w:t>
                  </w:r>
                  <w:r>
                    <w:rPr>
                      <w:rFonts w:hint="default" w:ascii="Times New Roman" w:hAnsi="Times New Roman" w:cs="Times New Roman"/>
                      <w:color w:val="000000" w:themeColor="text1"/>
                      <w:highlight w:val="none"/>
                      <w14:textFill>
                        <w14:solidFill>
                          <w14:schemeClr w14:val="tx1"/>
                        </w14:solidFill>
                      </w14:textFill>
                    </w:rPr>
                    <w:t>/L）</w:t>
                  </w:r>
                </w:p>
              </w:tc>
              <w:tc>
                <w:tcPr>
                  <w:tcW w:w="1340" w:type="pct"/>
                  <w:tcBorders>
                    <w:tl2br w:val="nil"/>
                    <w:tr2bl w:val="nil"/>
                  </w:tcBorders>
                  <w:noWrap w:val="0"/>
                  <w:vAlign w:val="center"/>
                </w:tcPr>
                <w:p w14:paraId="296BD42B">
                  <w:pPr>
                    <w:pStyle w:val="30"/>
                    <w:widowControl w:val="0"/>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5000</w:t>
                  </w:r>
                </w:p>
              </w:tc>
              <w:tc>
                <w:tcPr>
                  <w:tcW w:w="1288" w:type="pct"/>
                  <w:vMerge w:val="continue"/>
                  <w:tcBorders>
                    <w:tl2br w:val="nil"/>
                    <w:tr2bl w:val="nil"/>
                  </w:tcBorders>
                  <w:noWrap w:val="0"/>
                  <w:vAlign w:val="center"/>
                </w:tcPr>
                <w:p w14:paraId="20FD5C73">
                  <w:pPr>
                    <w:pStyle w:val="30"/>
                    <w:widowControl w:val="0"/>
                    <w:bidi w:val="0"/>
                    <w:rPr>
                      <w:rFonts w:hint="default" w:ascii="Times New Roman" w:hAnsi="Times New Roman" w:cs="Times New Roman"/>
                      <w:color w:val="000000" w:themeColor="text1"/>
                      <w:highlight w:val="none"/>
                      <w:lang w:val="en-US" w:eastAsia="zh-CN"/>
                      <w14:textFill>
                        <w14:solidFill>
                          <w14:schemeClr w14:val="tx1"/>
                        </w14:solidFill>
                      </w14:textFill>
                    </w:rPr>
                  </w:pPr>
                </w:p>
              </w:tc>
            </w:tr>
            <w:tr w14:paraId="1C13C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2" w:type="pct"/>
                  <w:tcBorders>
                    <w:tl2br w:val="nil"/>
                    <w:tr2bl w:val="nil"/>
                  </w:tcBorders>
                  <w:noWrap w:val="0"/>
                  <w:vAlign w:val="center"/>
                </w:tcPr>
                <w:p w14:paraId="4D581B0A">
                  <w:pPr>
                    <w:pStyle w:val="30"/>
                    <w:widowControl w:val="0"/>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8</w:t>
                  </w:r>
                </w:p>
              </w:tc>
              <w:tc>
                <w:tcPr>
                  <w:tcW w:w="1837" w:type="pct"/>
                  <w:tcBorders>
                    <w:tl2br w:val="nil"/>
                    <w:tr2bl w:val="nil"/>
                  </w:tcBorders>
                  <w:noWrap w:val="0"/>
                  <w:vAlign w:val="center"/>
                </w:tcPr>
                <w:p w14:paraId="04890863">
                  <w:pPr>
                    <w:pStyle w:val="30"/>
                    <w:widowControl w:val="0"/>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总余氯</w:t>
                  </w:r>
                </w:p>
              </w:tc>
              <w:tc>
                <w:tcPr>
                  <w:tcW w:w="1340" w:type="pct"/>
                  <w:tcBorders>
                    <w:tl2br w:val="nil"/>
                    <w:tr2bl w:val="nil"/>
                  </w:tcBorders>
                  <w:noWrap w:val="0"/>
                  <w:vAlign w:val="center"/>
                </w:tcPr>
                <w:p w14:paraId="0A6004F6">
                  <w:pPr>
                    <w:pStyle w:val="30"/>
                    <w:widowControl w:val="0"/>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&gt;2</w:t>
                  </w:r>
                  <w:r>
                    <w:rPr>
                      <w:rFonts w:hint="eastAsia" w:cs="Times New Roman"/>
                      <w:color w:val="000000" w:themeColor="text1"/>
                      <w:highlight w:val="none"/>
                      <w:lang w:val="en-US" w:eastAsia="zh-CN"/>
                      <w14:textFill>
                        <w14:solidFill>
                          <w14:schemeClr w14:val="tx1"/>
                        </w14:solidFill>
                      </w14:textFill>
                    </w:rPr>
                    <w:t>（接触时间≥1h）</w:t>
                  </w:r>
                </w:p>
              </w:tc>
              <w:tc>
                <w:tcPr>
                  <w:tcW w:w="1288" w:type="pct"/>
                  <w:vMerge w:val="continue"/>
                  <w:tcBorders>
                    <w:tl2br w:val="nil"/>
                    <w:tr2bl w:val="nil"/>
                  </w:tcBorders>
                  <w:noWrap w:val="0"/>
                  <w:vAlign w:val="center"/>
                </w:tcPr>
                <w:p w14:paraId="68F082D5">
                  <w:pPr>
                    <w:pStyle w:val="30"/>
                    <w:widowControl w:val="0"/>
                    <w:bidi w:val="0"/>
                    <w:rPr>
                      <w:rFonts w:hint="default" w:ascii="Times New Roman" w:hAnsi="Times New Roman" w:cs="Times New Roman"/>
                      <w:color w:val="000000" w:themeColor="text1"/>
                      <w:highlight w:val="none"/>
                      <w:lang w:val="en-US" w:eastAsia="zh-CN"/>
                      <w14:textFill>
                        <w14:solidFill>
                          <w14:schemeClr w14:val="tx1"/>
                        </w14:solidFill>
                      </w14:textFill>
                    </w:rPr>
                  </w:pPr>
                </w:p>
              </w:tc>
            </w:tr>
          </w:tbl>
          <w:p w14:paraId="2ED2CE35">
            <w:pPr>
              <w:pStyle w:val="3"/>
              <w:bidi w:val="0"/>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3</w:t>
            </w:r>
            <w:r>
              <w:rPr>
                <w:rFonts w:hint="default" w:ascii="Times New Roman" w:hAnsi="Times New Roman" w:cs="Times New Roman"/>
                <w:color w:val="000000" w:themeColor="text1"/>
                <w:highlight w:val="none"/>
                <w:lang w:val="en-US" w:eastAsia="zh-CN"/>
                <w14:textFill>
                  <w14:solidFill>
                    <w14:schemeClr w14:val="tx1"/>
                  </w14:solidFill>
                </w14:textFill>
              </w:rPr>
              <w:t>.9、噪</w:t>
            </w:r>
            <w:r>
              <w:rPr>
                <w:rFonts w:hint="default" w:ascii="Times New Roman" w:hAnsi="Times New Roman" w:cs="Times New Roman"/>
                <w:color w:val="000000" w:themeColor="text1"/>
                <w:highlight w:val="none"/>
                <w:lang w:eastAsia="zh-CN"/>
                <w14:textFill>
                  <w14:solidFill>
                    <w14:schemeClr w14:val="tx1"/>
                  </w14:solidFill>
                </w14:textFill>
              </w:rPr>
              <w:t>声排放标准</w:t>
            </w:r>
          </w:p>
          <w:p w14:paraId="55822A9D">
            <w:pPr>
              <w:pStyle w:val="31"/>
              <w:bidi w:val="0"/>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项目运营期</w:t>
            </w:r>
            <w:r>
              <w:rPr>
                <w:rFonts w:hint="default" w:ascii="Times New Roman" w:hAnsi="Times New Roman" w:cs="Times New Roman"/>
                <w:color w:val="000000" w:themeColor="text1"/>
                <w:highlight w:val="none"/>
                <w:lang w:val="en-US" w:eastAsia="zh-CN"/>
                <w14:textFill>
                  <w14:solidFill>
                    <w14:schemeClr w14:val="tx1"/>
                  </w14:solidFill>
                </w14:textFill>
              </w:rPr>
              <w:t>厂界南侧</w:t>
            </w:r>
            <w:r>
              <w:rPr>
                <w:rFonts w:hint="eastAsia"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西侧与北侧</w:t>
            </w:r>
            <w:r>
              <w:rPr>
                <w:rFonts w:hint="default" w:ascii="Times New Roman" w:hAnsi="Times New Roman" w:cs="Times New Roman"/>
                <w:color w:val="000000" w:themeColor="text1"/>
                <w:highlight w:val="none"/>
                <w:lang w:eastAsia="zh-CN"/>
                <w14:textFill>
                  <w14:solidFill>
                    <w14:schemeClr w14:val="tx1"/>
                  </w14:solidFill>
                </w14:textFill>
              </w:rPr>
              <w:t>噪声执行</w:t>
            </w:r>
            <w:bookmarkStart w:id="14" w:name="OLE_LINK85"/>
            <w:r>
              <w:rPr>
                <w:rFonts w:hint="default" w:ascii="Times New Roman" w:hAnsi="Times New Roman" w:cs="Times New Roman"/>
                <w:color w:val="000000" w:themeColor="text1"/>
                <w:highlight w:val="none"/>
                <w:lang w:eastAsia="zh-CN"/>
                <w14:textFill>
                  <w14:solidFill>
                    <w14:schemeClr w14:val="tx1"/>
                  </w14:solidFill>
                </w14:textFill>
              </w:rPr>
              <w:t>《工业企业厂界环境噪声排放标准》</w:t>
            </w:r>
            <w:bookmarkEnd w:id="14"/>
            <w:r>
              <w:rPr>
                <w:rFonts w:hint="default" w:ascii="Times New Roman" w:hAnsi="Times New Roman" w:cs="Times New Roman"/>
                <w:color w:val="000000" w:themeColor="text1"/>
                <w:highlight w:val="none"/>
                <w:lang w:eastAsia="zh-CN"/>
                <w14:textFill>
                  <w14:solidFill>
                    <w14:schemeClr w14:val="tx1"/>
                  </w14:solidFill>
                </w14:textFill>
              </w:rPr>
              <w:t>（GB12348-2008）</w:t>
            </w:r>
            <w:r>
              <w:rPr>
                <w:rFonts w:hint="eastAsia" w:cs="Times New Roman"/>
                <w:color w:val="000000" w:themeColor="text1"/>
                <w:highlight w:val="none"/>
                <w:lang w:val="en-US" w:eastAsia="zh-CN"/>
                <w14:textFill>
                  <w14:solidFill>
                    <w14:schemeClr w14:val="tx1"/>
                  </w14:solidFill>
                </w14:textFill>
              </w:rPr>
              <w:t>4</w:t>
            </w:r>
            <w:r>
              <w:rPr>
                <w:rFonts w:hint="default" w:ascii="Times New Roman" w:hAnsi="Times New Roman" w:cs="Times New Roman"/>
                <w:color w:val="000000" w:themeColor="text1"/>
                <w:highlight w:val="none"/>
                <w:lang w:eastAsia="zh-CN"/>
                <w14:textFill>
                  <w14:solidFill>
                    <w14:schemeClr w14:val="tx1"/>
                  </w14:solidFill>
                </w14:textFill>
              </w:rPr>
              <w:t>类</w:t>
            </w:r>
            <w:r>
              <w:rPr>
                <w:rFonts w:hint="default" w:ascii="Times New Roman" w:hAnsi="Times New Roman" w:cs="Times New Roman"/>
                <w:color w:val="000000" w:themeColor="text1"/>
                <w:highlight w:val="none"/>
                <w:lang w:val="en-US" w:eastAsia="zh-CN"/>
                <w14:textFill>
                  <w14:solidFill>
                    <w14:schemeClr w14:val="tx1"/>
                  </w14:solidFill>
                </w14:textFill>
              </w:rPr>
              <w:t>功能</w:t>
            </w:r>
            <w:r>
              <w:rPr>
                <w:rFonts w:hint="default" w:ascii="Times New Roman" w:hAnsi="Times New Roman" w:cs="Times New Roman"/>
                <w:color w:val="000000" w:themeColor="text1"/>
                <w:highlight w:val="none"/>
                <w:lang w:eastAsia="zh-CN"/>
                <w14:textFill>
                  <w14:solidFill>
                    <w14:schemeClr w14:val="tx1"/>
                  </w14:solidFill>
                </w14:textFill>
              </w:rPr>
              <w:t>区限值，</w:t>
            </w:r>
            <w:r>
              <w:rPr>
                <w:rFonts w:hint="default" w:ascii="Times New Roman" w:hAnsi="Times New Roman" w:cs="Times New Roman"/>
                <w:color w:val="000000" w:themeColor="text1"/>
                <w:highlight w:val="none"/>
                <w:lang w:val="en-US" w:eastAsia="zh-CN"/>
                <w14:textFill>
                  <w14:solidFill>
                    <w14:schemeClr w14:val="tx1"/>
                  </w14:solidFill>
                </w14:textFill>
              </w:rPr>
              <w:t>厂界东侧</w:t>
            </w:r>
            <w:r>
              <w:rPr>
                <w:rFonts w:hint="default" w:ascii="Times New Roman" w:hAnsi="Times New Roman" w:cs="Times New Roman"/>
                <w:color w:val="000000" w:themeColor="text1"/>
                <w:highlight w:val="none"/>
                <w:lang w:eastAsia="zh-CN"/>
                <w14:textFill>
                  <w14:solidFill>
                    <w14:schemeClr w14:val="tx1"/>
                  </w14:solidFill>
                </w14:textFill>
              </w:rPr>
              <w:t>噪声执行《工业企业厂界环境噪声排放标准》（GB12348-2008）</w:t>
            </w:r>
            <w:r>
              <w:rPr>
                <w:rFonts w:hint="eastAsia" w:cs="Times New Roman"/>
                <w:color w:val="000000" w:themeColor="text1"/>
                <w:highlight w:val="none"/>
                <w:lang w:val="en-US" w:eastAsia="zh-CN"/>
                <w14:textFill>
                  <w14:solidFill>
                    <w14:schemeClr w14:val="tx1"/>
                  </w14:solidFill>
                </w14:textFill>
              </w:rPr>
              <w:t>2</w:t>
            </w:r>
            <w:r>
              <w:rPr>
                <w:rFonts w:hint="default" w:ascii="Times New Roman" w:hAnsi="Times New Roman" w:cs="Times New Roman"/>
                <w:color w:val="000000" w:themeColor="text1"/>
                <w:highlight w:val="none"/>
                <w:lang w:eastAsia="zh-CN"/>
                <w14:textFill>
                  <w14:solidFill>
                    <w14:schemeClr w14:val="tx1"/>
                  </w14:solidFill>
                </w14:textFill>
              </w:rPr>
              <w:t>类</w:t>
            </w:r>
            <w:r>
              <w:rPr>
                <w:rFonts w:hint="default" w:ascii="Times New Roman" w:hAnsi="Times New Roman" w:cs="Times New Roman"/>
                <w:color w:val="000000" w:themeColor="text1"/>
                <w:highlight w:val="none"/>
                <w:lang w:val="en-US" w:eastAsia="zh-CN"/>
                <w14:textFill>
                  <w14:solidFill>
                    <w14:schemeClr w14:val="tx1"/>
                  </w14:solidFill>
                </w14:textFill>
              </w:rPr>
              <w:t>功能</w:t>
            </w:r>
            <w:r>
              <w:rPr>
                <w:rFonts w:hint="default" w:ascii="Times New Roman" w:hAnsi="Times New Roman" w:cs="Times New Roman"/>
                <w:color w:val="000000" w:themeColor="text1"/>
                <w:highlight w:val="none"/>
                <w:lang w:eastAsia="zh-CN"/>
                <w14:textFill>
                  <w14:solidFill>
                    <w14:schemeClr w14:val="tx1"/>
                  </w14:solidFill>
                </w14:textFill>
              </w:rPr>
              <w:t>区限值。</w:t>
            </w:r>
          </w:p>
          <w:p w14:paraId="7CBB1896">
            <w:pPr>
              <w:pStyle w:val="29"/>
              <w:bidi w:val="0"/>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表3-</w:t>
            </w:r>
            <w:r>
              <w:rPr>
                <w:rFonts w:hint="default" w:ascii="Times New Roman" w:hAnsi="Times New Roman" w:cs="Times New Roman"/>
                <w:color w:val="000000" w:themeColor="text1"/>
                <w:highlight w:val="none"/>
                <w:lang w:val="en-US" w:eastAsia="zh-CN"/>
                <w14:textFill>
                  <w14:solidFill>
                    <w14:schemeClr w14:val="tx1"/>
                  </w14:solidFill>
                </w14:textFill>
              </w:rPr>
              <w:t xml:space="preserve">8   </w:t>
            </w:r>
            <w:r>
              <w:rPr>
                <w:rFonts w:hint="default" w:ascii="Times New Roman" w:hAnsi="Times New Roman" w:cs="Times New Roman"/>
                <w:color w:val="000000" w:themeColor="text1"/>
                <w:highlight w:val="none"/>
                <w:lang w:eastAsia="zh-CN"/>
                <w14:textFill>
                  <w14:solidFill>
                    <w14:schemeClr w14:val="tx1"/>
                  </w14:solidFill>
                </w14:textFill>
              </w:rPr>
              <w:t>噪声排放标准</w:t>
            </w:r>
          </w:p>
          <w:tbl>
            <w:tblPr>
              <w:tblStyle w:val="18"/>
              <w:tblW w:w="4998" w:type="pct"/>
              <w:jc w:val="center"/>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Layout w:type="fixed"/>
              <w:tblCellMar>
                <w:top w:w="0" w:type="dxa"/>
                <w:left w:w="0" w:type="dxa"/>
                <w:bottom w:w="0" w:type="dxa"/>
                <w:right w:w="0" w:type="dxa"/>
              </w:tblCellMar>
            </w:tblPr>
            <w:tblGrid>
              <w:gridCol w:w="1711"/>
              <w:gridCol w:w="988"/>
              <w:gridCol w:w="1195"/>
              <w:gridCol w:w="4268"/>
            </w:tblGrid>
            <w:tr w14:paraId="414BF08D">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048" w:type="pct"/>
                  <w:tcBorders>
                    <w:tl2br w:val="nil"/>
                    <w:tr2bl w:val="nil"/>
                  </w:tcBorders>
                  <w:noWrap w:val="0"/>
                  <w:vAlign w:val="center"/>
                </w:tcPr>
                <w:p w14:paraId="217EC45B">
                  <w:pPr>
                    <w:spacing w:line="240" w:lineRule="atLeast"/>
                    <w:ind w:firstLine="0" w:firstLineChars="0"/>
                    <w:jc w:val="cente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位置</w:t>
                  </w:r>
                </w:p>
              </w:tc>
              <w:tc>
                <w:tcPr>
                  <w:tcW w:w="605" w:type="pct"/>
                  <w:tcBorders>
                    <w:tl2br w:val="nil"/>
                    <w:tr2bl w:val="nil"/>
                  </w:tcBorders>
                  <w:noWrap w:val="0"/>
                  <w:vAlign w:val="center"/>
                </w:tcPr>
                <w:p w14:paraId="2FF4D166">
                  <w:pPr>
                    <w:spacing w:line="240" w:lineRule="atLeast"/>
                    <w:ind w:firstLine="0" w:firstLineChars="0"/>
                    <w:jc w:val="center"/>
                    <w:rPr>
                      <w:rFonts w:hint="default" w:ascii="Times New Roman" w:hAnsi="Times New Roman" w:cs="Times New Roman"/>
                      <w:b/>
                      <w:color w:val="000000" w:themeColor="text1"/>
                      <w:sz w:val="21"/>
                      <w:szCs w:val="21"/>
                      <w:highlight w:val="none"/>
                      <w:lang w:eastAsia="zh-CN"/>
                      <w14:textFill>
                        <w14:solidFill>
                          <w14:schemeClr w14:val="tx1"/>
                        </w14:solidFill>
                      </w14:textFill>
                    </w:rPr>
                  </w:pPr>
                  <w:r>
                    <w:rPr>
                      <w:rFonts w:hint="default" w:ascii="Times New Roman" w:hAnsi="Times New Roman" w:cs="Times New Roman"/>
                      <w:b/>
                      <w:color w:val="000000" w:themeColor="text1"/>
                      <w:sz w:val="21"/>
                      <w:szCs w:val="21"/>
                      <w:highlight w:val="none"/>
                      <w:lang w:eastAsia="zh-CN"/>
                      <w14:textFill>
                        <w14:solidFill>
                          <w14:schemeClr w14:val="tx1"/>
                        </w14:solidFill>
                      </w14:textFill>
                    </w:rPr>
                    <w:t>昼间</w:t>
                  </w:r>
                </w:p>
              </w:tc>
              <w:tc>
                <w:tcPr>
                  <w:tcW w:w="732" w:type="pct"/>
                  <w:tcBorders>
                    <w:tl2br w:val="nil"/>
                    <w:tr2bl w:val="nil"/>
                  </w:tcBorders>
                  <w:noWrap w:val="0"/>
                  <w:vAlign w:val="center"/>
                </w:tcPr>
                <w:p w14:paraId="34718F3B">
                  <w:pPr>
                    <w:spacing w:line="240" w:lineRule="atLeast"/>
                    <w:ind w:firstLine="0" w:firstLineChars="0"/>
                    <w:jc w:val="center"/>
                    <w:rPr>
                      <w:rFonts w:hint="default" w:ascii="Times New Roman" w:hAnsi="Times New Roman" w:cs="Times New Roman"/>
                      <w:b/>
                      <w:color w:val="000000" w:themeColor="text1"/>
                      <w:sz w:val="21"/>
                      <w:szCs w:val="21"/>
                      <w:highlight w:val="none"/>
                      <w:lang w:eastAsia="zh-CN"/>
                      <w14:textFill>
                        <w14:solidFill>
                          <w14:schemeClr w14:val="tx1"/>
                        </w14:solidFill>
                      </w14:textFill>
                    </w:rPr>
                  </w:pPr>
                  <w:r>
                    <w:rPr>
                      <w:rFonts w:hint="default" w:ascii="Times New Roman" w:hAnsi="Times New Roman" w:cs="Times New Roman"/>
                      <w:b/>
                      <w:color w:val="000000" w:themeColor="text1"/>
                      <w:sz w:val="21"/>
                      <w:szCs w:val="21"/>
                      <w:highlight w:val="none"/>
                      <w:lang w:eastAsia="zh-CN"/>
                      <w14:textFill>
                        <w14:solidFill>
                          <w14:schemeClr w14:val="tx1"/>
                        </w14:solidFill>
                      </w14:textFill>
                    </w:rPr>
                    <w:t>夜间</w:t>
                  </w:r>
                </w:p>
              </w:tc>
              <w:tc>
                <w:tcPr>
                  <w:tcW w:w="2613" w:type="pct"/>
                  <w:tcBorders>
                    <w:tl2br w:val="nil"/>
                    <w:tr2bl w:val="nil"/>
                  </w:tcBorders>
                  <w:noWrap w:val="0"/>
                  <w:vAlign w:val="center"/>
                </w:tcPr>
                <w:p w14:paraId="114D5E66">
                  <w:pPr>
                    <w:spacing w:line="240" w:lineRule="atLeast"/>
                    <w:ind w:firstLine="0" w:firstLineChars="0"/>
                    <w:jc w:val="center"/>
                    <w:rPr>
                      <w:rFonts w:hint="default" w:ascii="Times New Roman" w:hAnsi="Times New Roman" w:cs="Times New Roman"/>
                      <w:b/>
                      <w:color w:val="000000" w:themeColor="text1"/>
                      <w:sz w:val="21"/>
                      <w:szCs w:val="21"/>
                      <w:highlight w:val="none"/>
                      <w:lang w:eastAsia="zh-CN"/>
                      <w14:textFill>
                        <w14:solidFill>
                          <w14:schemeClr w14:val="tx1"/>
                        </w14:solidFill>
                      </w14:textFill>
                    </w:rPr>
                  </w:pPr>
                  <w:r>
                    <w:rPr>
                      <w:rFonts w:hint="default" w:ascii="Times New Roman" w:hAnsi="Times New Roman" w:cs="Times New Roman"/>
                      <w:b/>
                      <w:color w:val="000000" w:themeColor="text1"/>
                      <w:sz w:val="21"/>
                      <w:szCs w:val="21"/>
                      <w:highlight w:val="none"/>
                      <w:lang w:eastAsia="zh-CN"/>
                      <w14:textFill>
                        <w14:solidFill>
                          <w14:schemeClr w14:val="tx1"/>
                        </w14:solidFill>
                      </w14:textFill>
                    </w:rPr>
                    <w:t>采用标准</w:t>
                  </w:r>
                </w:p>
              </w:tc>
            </w:tr>
            <w:tr w14:paraId="2B54B795">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048" w:type="pct"/>
                  <w:tcBorders>
                    <w:tl2br w:val="nil"/>
                    <w:tr2bl w:val="nil"/>
                  </w:tcBorders>
                  <w:noWrap w:val="0"/>
                  <w:vAlign w:val="center"/>
                </w:tcPr>
                <w:p w14:paraId="17182B42">
                  <w:pPr>
                    <w:spacing w:line="240" w:lineRule="atLeast"/>
                    <w:ind w:firstLine="0" w:firstLineChars="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厂界东侧</w:t>
                  </w:r>
                </w:p>
              </w:tc>
              <w:tc>
                <w:tcPr>
                  <w:tcW w:w="605" w:type="pct"/>
                  <w:tcBorders>
                    <w:tl2br w:val="nil"/>
                    <w:tr2bl w:val="nil"/>
                  </w:tcBorders>
                  <w:noWrap w:val="0"/>
                  <w:vAlign w:val="center"/>
                </w:tcPr>
                <w:p w14:paraId="428F720E">
                  <w:pPr>
                    <w:spacing w:line="240" w:lineRule="atLeast"/>
                    <w:ind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60</w:t>
                  </w:r>
                </w:p>
              </w:tc>
              <w:tc>
                <w:tcPr>
                  <w:tcW w:w="732" w:type="pct"/>
                  <w:tcBorders>
                    <w:tl2br w:val="nil"/>
                    <w:tr2bl w:val="nil"/>
                  </w:tcBorders>
                  <w:noWrap w:val="0"/>
                  <w:vAlign w:val="center"/>
                </w:tcPr>
                <w:p w14:paraId="62886065">
                  <w:pPr>
                    <w:spacing w:line="240" w:lineRule="atLeast"/>
                    <w:ind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50</w:t>
                  </w:r>
                </w:p>
              </w:tc>
              <w:tc>
                <w:tcPr>
                  <w:tcW w:w="2613" w:type="pct"/>
                  <w:tcBorders>
                    <w:tl2br w:val="nil"/>
                    <w:tr2bl w:val="nil"/>
                  </w:tcBorders>
                  <w:noWrap w:val="0"/>
                  <w:vAlign w:val="center"/>
                </w:tcPr>
                <w:p w14:paraId="145FBC2C">
                  <w:pPr>
                    <w:spacing w:line="240" w:lineRule="atLeast"/>
                    <w:ind w:firstLine="0" w:firstLineChars="0"/>
                    <w:jc w:val="center"/>
                    <w:rPr>
                      <w:rFonts w:hint="default" w:ascii="Times New Roman" w:hAnsi="Times New Roman" w:cs="Times New Roman"/>
                      <w:color w:val="000000" w:themeColor="text1"/>
                      <w:sz w:val="21"/>
                      <w:szCs w:val="21"/>
                      <w:highlight w:val="none"/>
                      <w:lang w:eastAsia="zh-CN"/>
                      <w14:textFill>
                        <w14:solidFill>
                          <w14:schemeClr w14:val="tx1"/>
                        </w14:solidFill>
                      </w14:textFill>
                    </w:rPr>
                  </w:pPr>
                  <w:bookmarkStart w:id="15" w:name="OLE_LINK86"/>
                  <w:r>
                    <w:rPr>
                      <w:rFonts w:hint="default" w:ascii="Times New Roman" w:hAnsi="Times New Roman" w:cs="Times New Roman"/>
                      <w:color w:val="000000" w:themeColor="text1"/>
                      <w:sz w:val="21"/>
                      <w:szCs w:val="21"/>
                      <w:highlight w:val="none"/>
                      <w:lang w:eastAsia="zh-CN"/>
                      <w14:textFill>
                        <w14:solidFill>
                          <w14:schemeClr w14:val="tx1"/>
                        </w14:solidFill>
                      </w14:textFill>
                    </w:rPr>
                    <w:t>《工业企业厂界环境噪声排放标准》（</w:t>
                  </w:r>
                  <w:r>
                    <w:rPr>
                      <w:rFonts w:hint="default" w:ascii="Times New Roman" w:hAnsi="Times New Roman" w:eastAsia="Times New Roman" w:cs="Times New Roman"/>
                      <w:color w:val="000000" w:themeColor="text1"/>
                      <w:sz w:val="21"/>
                      <w:szCs w:val="21"/>
                      <w:highlight w:val="none"/>
                      <w:lang w:eastAsia="zh-CN"/>
                      <w14:textFill>
                        <w14:solidFill>
                          <w14:schemeClr w14:val="tx1"/>
                        </w14:solidFill>
                      </w14:textFill>
                    </w:rPr>
                    <w:t>GB</w:t>
                  </w:r>
                  <w:r>
                    <w:rPr>
                      <w:rFonts w:hint="eastAsia" w:eastAsia="Times New Roman" w:cs="Times New Roman"/>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Times New Roman" w:cs="Times New Roman"/>
                      <w:color w:val="000000" w:themeColor="text1"/>
                      <w:sz w:val="21"/>
                      <w:szCs w:val="21"/>
                      <w:highlight w:val="none"/>
                      <w:lang w:eastAsia="zh-CN"/>
                      <w14:textFill>
                        <w14:solidFill>
                          <w14:schemeClr w14:val="tx1"/>
                        </w14:solidFill>
                      </w14:textFill>
                    </w:rPr>
                    <w:t>12348-2008</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bookmarkEnd w:id="15"/>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2类功能区</w:t>
                  </w:r>
                </w:p>
              </w:tc>
            </w:tr>
            <w:tr w14:paraId="420D819D">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048" w:type="pct"/>
                  <w:tcBorders>
                    <w:tl2br w:val="nil"/>
                    <w:tr2bl w:val="nil"/>
                  </w:tcBorders>
                  <w:noWrap w:val="0"/>
                  <w:vAlign w:val="center"/>
                </w:tcPr>
                <w:p w14:paraId="26CAFAE7">
                  <w:pPr>
                    <w:spacing w:line="240" w:lineRule="atLeast"/>
                    <w:ind w:firstLine="0" w:firstLineChars="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厂界南侧、西侧与北侧</w:t>
                  </w:r>
                </w:p>
              </w:tc>
              <w:tc>
                <w:tcPr>
                  <w:tcW w:w="605" w:type="pct"/>
                  <w:tcBorders>
                    <w:tl2br w:val="nil"/>
                    <w:tr2bl w:val="nil"/>
                  </w:tcBorders>
                  <w:noWrap w:val="0"/>
                  <w:vAlign w:val="center"/>
                </w:tcPr>
                <w:p w14:paraId="69F4FF1E">
                  <w:pPr>
                    <w:spacing w:line="240" w:lineRule="atLeast"/>
                    <w:ind w:firstLine="0" w:firstLineChars="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70</w:t>
                  </w:r>
                </w:p>
              </w:tc>
              <w:tc>
                <w:tcPr>
                  <w:tcW w:w="732" w:type="pct"/>
                  <w:tcBorders>
                    <w:tl2br w:val="nil"/>
                    <w:tr2bl w:val="nil"/>
                  </w:tcBorders>
                  <w:noWrap w:val="0"/>
                  <w:vAlign w:val="center"/>
                </w:tcPr>
                <w:p w14:paraId="38CE1DAC">
                  <w:pPr>
                    <w:spacing w:line="240" w:lineRule="atLeast"/>
                    <w:ind w:firstLine="0" w:firstLineChars="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55</w:t>
                  </w:r>
                </w:p>
              </w:tc>
              <w:tc>
                <w:tcPr>
                  <w:tcW w:w="2613" w:type="pct"/>
                  <w:tcBorders>
                    <w:tl2br w:val="nil"/>
                    <w:tr2bl w:val="nil"/>
                  </w:tcBorders>
                  <w:noWrap w:val="0"/>
                  <w:vAlign w:val="center"/>
                </w:tcPr>
                <w:p w14:paraId="15D5DB35">
                  <w:pPr>
                    <w:spacing w:line="240" w:lineRule="atLeast"/>
                    <w:ind w:firstLine="0" w:firstLineChars="0"/>
                    <w:jc w:val="center"/>
                    <w:rPr>
                      <w:rFonts w:hint="default" w:ascii="Times New Roman" w:hAnsi="Times New Roman" w:cs="Times New Roman"/>
                      <w:color w:val="000000" w:themeColor="text1"/>
                      <w:sz w:val="21"/>
                      <w:szCs w:val="21"/>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lang w:eastAsia="zh-CN"/>
                      <w14:textFill>
                        <w14:solidFill>
                          <w14:schemeClr w14:val="tx1"/>
                        </w14:solidFill>
                      </w14:textFill>
                    </w:rPr>
                    <w:t>《工业企业厂界环境噪声排放标准》</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Times New Roman" w:cs="Times New Roman"/>
                      <w:color w:val="000000" w:themeColor="text1"/>
                      <w:sz w:val="21"/>
                      <w:szCs w:val="21"/>
                      <w:highlight w:val="none"/>
                      <w:lang w:eastAsia="zh-CN"/>
                      <w14:textFill>
                        <w14:solidFill>
                          <w14:schemeClr w14:val="tx1"/>
                        </w14:solidFill>
                      </w14:textFill>
                    </w:rPr>
                    <w:t>GB</w:t>
                  </w:r>
                  <w:r>
                    <w:rPr>
                      <w:rFonts w:hint="eastAsia" w:eastAsia="Times New Roman" w:cs="Times New Roman"/>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Times New Roman" w:cs="Times New Roman"/>
                      <w:color w:val="000000" w:themeColor="text1"/>
                      <w:sz w:val="21"/>
                      <w:szCs w:val="21"/>
                      <w:highlight w:val="none"/>
                      <w:lang w:eastAsia="zh-CN"/>
                      <w14:textFill>
                        <w14:solidFill>
                          <w14:schemeClr w14:val="tx1"/>
                        </w14:solidFill>
                      </w14:textFill>
                    </w:rPr>
                    <w:t>12348-2008</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4类功能区</w:t>
                  </w:r>
                </w:p>
              </w:tc>
            </w:tr>
          </w:tbl>
          <w:p w14:paraId="10524FD3">
            <w:pPr>
              <w:pStyle w:val="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3.10、固体废物</w:t>
            </w:r>
          </w:p>
          <w:p w14:paraId="380C921A">
            <w:pPr>
              <w:pStyle w:val="31"/>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本项目一般固体废物贮存过程采取暂存间形式，其贮存过程应满足防渗漏、防雨淋、防扬尘等环境保护要求</w:t>
            </w:r>
            <w:r>
              <w:rPr>
                <w:rFonts w:hint="default" w:ascii="Times New Roman" w:hAnsi="Times New Roman" w:cs="Times New Roman"/>
                <w:color w:val="000000" w:themeColor="text1"/>
                <w:highlight w:val="none"/>
                <w:lang w:eastAsia="zh-CN"/>
                <w14:textFill>
                  <w14:solidFill>
                    <w14:schemeClr w14:val="tx1"/>
                  </w14:solidFill>
                </w14:textFill>
              </w:rPr>
              <w:t>。</w:t>
            </w:r>
          </w:p>
          <w:p w14:paraId="52FA5C30">
            <w:pPr>
              <w:pStyle w:val="31"/>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医疗废物</w:t>
            </w:r>
            <w:r>
              <w:rPr>
                <w:rFonts w:hint="default" w:ascii="Times New Roman" w:hAnsi="Times New Roman" w:cs="Times New Roman"/>
                <w:color w:val="000000" w:themeColor="text1"/>
                <w:highlight w:val="none"/>
                <w14:textFill>
                  <w14:solidFill>
                    <w14:schemeClr w14:val="tx1"/>
                  </w14:solidFill>
                </w14:textFill>
              </w:rPr>
              <w:t>贮存过程执行《危险废物贮存污染控制标准》（GB18597-2023）相关要求；并应符合《医疗废物管理条例》和《医疗卫生机构医疗废物管理办法》的相关规定；转移过程执行《危险废物转移管理办法》。</w:t>
            </w:r>
          </w:p>
        </w:tc>
      </w:tr>
      <w:tr w14:paraId="7305E5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8" w:hRule="atLeast"/>
        </w:trPr>
        <w:tc>
          <w:tcPr>
            <w:tcW w:w="808" w:type="dxa"/>
            <w:tcBorders>
              <w:left w:val="single" w:color="000000" w:sz="6" w:space="0"/>
            </w:tcBorders>
            <w:vAlign w:val="center"/>
          </w:tcPr>
          <w:p w14:paraId="65662675">
            <w:pPr>
              <w:bidi w:val="0"/>
              <w:jc w:val="both"/>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总量控制指标</w:t>
            </w:r>
          </w:p>
        </w:tc>
        <w:tc>
          <w:tcPr>
            <w:tcW w:w="8186" w:type="dxa"/>
            <w:tcBorders>
              <w:right w:val="single" w:color="000000" w:sz="6" w:space="0"/>
            </w:tcBorders>
            <w:vAlign w:val="center"/>
          </w:tcPr>
          <w:p w14:paraId="55E5182D">
            <w:pPr>
              <w:pStyle w:val="31"/>
              <w:bidi w:val="0"/>
              <w:rPr>
                <w:rFonts w:hint="default" w:ascii="Times New Roman" w:hAnsi="Times New Roman" w:cs="Times New Roman"/>
                <w:color w:val="000000" w:themeColor="text1"/>
                <w:highlight w:val="none"/>
                <w:lang w:val="en-US" w:eastAsia="en-US"/>
                <w14:textFill>
                  <w14:solidFill>
                    <w14:schemeClr w14:val="tx1"/>
                  </w14:solidFill>
                </w14:textFill>
              </w:rPr>
            </w:pPr>
          </w:p>
          <w:p w14:paraId="262E75CD">
            <w:pPr>
              <w:pStyle w:val="31"/>
              <w:bidi w:val="0"/>
              <w:rPr>
                <w:rFonts w:hint="default" w:ascii="Times New Roman" w:hAnsi="Times New Roman" w:cs="Times New Roman"/>
                <w:color w:val="000000" w:themeColor="text1"/>
                <w:highlight w:val="none"/>
                <w:lang w:val="en-US" w:eastAsia="en-US"/>
                <w14:textFill>
                  <w14:solidFill>
                    <w14:schemeClr w14:val="tx1"/>
                  </w14:solidFill>
                </w14:textFill>
              </w:rPr>
            </w:pPr>
          </w:p>
          <w:p w14:paraId="51FB045C">
            <w:pPr>
              <w:pStyle w:val="31"/>
              <w:bidi w:val="0"/>
              <w:rPr>
                <w:rFonts w:hint="default" w:ascii="Times New Roman" w:hAnsi="Times New Roman" w:cs="Times New Roman"/>
                <w:color w:val="000000" w:themeColor="text1"/>
                <w:highlight w:val="none"/>
                <w:lang w:val="en-US" w:eastAsia="en-US"/>
                <w14:textFill>
                  <w14:solidFill>
                    <w14:schemeClr w14:val="tx1"/>
                  </w14:solidFill>
                </w14:textFill>
              </w:rPr>
            </w:pPr>
          </w:p>
          <w:p w14:paraId="575C6B1A">
            <w:pPr>
              <w:pStyle w:val="31"/>
              <w:bidi w:val="0"/>
              <w:rPr>
                <w:rFonts w:hint="default" w:ascii="Times New Roman" w:hAnsi="Times New Roman" w:cs="Times New Roman"/>
                <w:color w:val="000000" w:themeColor="text1"/>
                <w:highlight w:val="none"/>
                <w:lang w:val="en-US" w:eastAsia="en-US"/>
                <w14:textFill>
                  <w14:solidFill>
                    <w14:schemeClr w14:val="tx1"/>
                  </w14:solidFill>
                </w14:textFill>
              </w:rPr>
            </w:pPr>
          </w:p>
          <w:p w14:paraId="015DED66">
            <w:pPr>
              <w:pStyle w:val="31"/>
              <w:bidi w:val="0"/>
              <w:rPr>
                <w:rFonts w:hint="default" w:ascii="Times New Roman" w:hAnsi="Times New Roman" w:cs="Times New Roman"/>
                <w:color w:val="000000" w:themeColor="text1"/>
                <w:highlight w:val="none"/>
                <w:lang w:val="en-US" w:eastAsia="en-US"/>
                <w14:textFill>
                  <w14:solidFill>
                    <w14:schemeClr w14:val="tx1"/>
                  </w14:solidFill>
                </w14:textFill>
              </w:rPr>
            </w:pPr>
          </w:p>
          <w:p w14:paraId="13246D87">
            <w:pPr>
              <w:pStyle w:val="31"/>
              <w:bidi w:val="0"/>
              <w:rPr>
                <w:rFonts w:hint="default" w:ascii="Times New Roman" w:hAnsi="Times New Roman" w:cs="Times New Roman"/>
                <w:color w:val="000000" w:themeColor="text1"/>
                <w:highlight w:val="none"/>
                <w:lang w:val="en-US" w:eastAsia="en-US"/>
                <w14:textFill>
                  <w14:solidFill>
                    <w14:schemeClr w14:val="tx1"/>
                  </w14:solidFill>
                </w14:textFill>
              </w:rPr>
            </w:pPr>
          </w:p>
          <w:p w14:paraId="0994201F">
            <w:pPr>
              <w:pStyle w:val="31"/>
              <w:bidi w:val="0"/>
              <w:rPr>
                <w:rFonts w:hint="default" w:ascii="Times New Roman" w:hAnsi="Times New Roman" w:cs="Times New Roman"/>
                <w:color w:val="000000" w:themeColor="text1"/>
                <w:highlight w:val="none"/>
                <w:lang w:val="en-US" w:eastAsia="en-US"/>
                <w14:textFill>
                  <w14:solidFill>
                    <w14:schemeClr w14:val="tx1"/>
                  </w14:solidFill>
                </w14:textFill>
              </w:rPr>
            </w:pPr>
          </w:p>
          <w:p w14:paraId="019B3235">
            <w:pPr>
              <w:pStyle w:val="31"/>
              <w:bidi w:val="0"/>
              <w:rPr>
                <w:rFonts w:hint="default" w:ascii="Times New Roman" w:hAnsi="Times New Roman" w:cs="Times New Roman"/>
                <w:color w:val="000000" w:themeColor="text1"/>
                <w:highlight w:val="none"/>
                <w:lang w:val="en-US" w:eastAsia="en-US"/>
                <w14:textFill>
                  <w14:solidFill>
                    <w14:schemeClr w14:val="tx1"/>
                  </w14:solidFill>
                </w14:textFill>
              </w:rPr>
            </w:pPr>
          </w:p>
          <w:p w14:paraId="064E210A">
            <w:pPr>
              <w:pStyle w:val="31"/>
              <w:bidi w:val="0"/>
              <w:rPr>
                <w:rFonts w:hint="default" w:ascii="Times New Roman" w:hAnsi="Times New Roman" w:cs="Times New Roman"/>
                <w:color w:val="000000" w:themeColor="text1"/>
                <w:highlight w:val="none"/>
                <w:lang w:val="en-US" w:eastAsia="en-US"/>
                <w14:textFill>
                  <w14:solidFill>
                    <w14:schemeClr w14:val="tx1"/>
                  </w14:solidFill>
                </w14:textFill>
              </w:rPr>
            </w:pPr>
          </w:p>
          <w:p w14:paraId="5328059D">
            <w:pPr>
              <w:pStyle w:val="31"/>
              <w:keepNext w:val="0"/>
              <w:keepLines w:val="0"/>
              <w:pageBreakBefore w:val="0"/>
              <w:widowControl/>
              <w:kinsoku/>
              <w:wordWrap/>
              <w:overflowPunct/>
              <w:topLinePunct w:val="0"/>
              <w:autoSpaceDE w:val="0"/>
              <w:autoSpaceDN w:val="0"/>
              <w:bidi w:val="0"/>
              <w:adjustRightInd/>
              <w:snapToGrid/>
              <w:textAlignment w:val="baseline"/>
              <w:rPr>
                <w:rFonts w:hint="default" w:ascii="Times New Roman" w:hAnsi="Times New Roman" w:cs="Times New Roman"/>
                <w:color w:val="000000" w:themeColor="text1"/>
                <w:highlight w:val="none"/>
                <w:lang w:val="en-US" w:eastAsia="en-US"/>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项</w:t>
            </w:r>
            <w:r>
              <w:rPr>
                <w:rFonts w:hint="default" w:ascii="Times New Roman" w:hAnsi="Times New Roman" w:cs="Times New Roman"/>
                <w:color w:val="000000" w:themeColor="text1"/>
                <w:highlight w:val="none"/>
                <w:lang w:val="en-US" w:eastAsia="en-US"/>
                <w14:textFill>
                  <w14:solidFill>
                    <w14:schemeClr w14:val="tx1"/>
                  </w14:solidFill>
                </w14:textFill>
              </w:rPr>
              <w:t>目产生的废水主要为生活污水、</w:t>
            </w:r>
            <w:bookmarkStart w:id="16" w:name="OLE_LINK84"/>
            <w:r>
              <w:rPr>
                <w:rFonts w:hint="default" w:ascii="Times New Roman" w:hAnsi="Times New Roman" w:cs="Times New Roman"/>
                <w:color w:val="000000" w:themeColor="text1"/>
                <w:highlight w:val="none"/>
                <w:lang w:val="en-US" w:eastAsia="en-US"/>
                <w14:textFill>
                  <w14:solidFill>
                    <w14:schemeClr w14:val="tx1"/>
                  </w14:solidFill>
                </w14:textFill>
              </w:rPr>
              <w:t>宠物</w:t>
            </w:r>
            <w:r>
              <w:rPr>
                <w:rFonts w:hint="default" w:ascii="Times New Roman" w:hAnsi="Times New Roman" w:cs="Times New Roman"/>
                <w:color w:val="000000" w:themeColor="text1"/>
                <w:highlight w:val="none"/>
                <w:lang w:val="en-US" w:eastAsia="zh-CN"/>
                <w14:textFill>
                  <w14:solidFill>
                    <w14:schemeClr w14:val="tx1"/>
                  </w14:solidFill>
                </w14:textFill>
              </w:rPr>
              <w:t>洗浴</w:t>
            </w:r>
            <w:r>
              <w:rPr>
                <w:rFonts w:hint="default" w:ascii="Times New Roman" w:hAnsi="Times New Roman" w:cs="Times New Roman"/>
                <w:color w:val="000000" w:themeColor="text1"/>
                <w:highlight w:val="none"/>
                <w:lang w:val="en-US" w:eastAsia="en-US"/>
                <w14:textFill>
                  <w14:solidFill>
                    <w14:schemeClr w14:val="tx1"/>
                  </w14:solidFill>
                </w14:textFill>
              </w:rPr>
              <w:t>废水</w:t>
            </w:r>
            <w:bookmarkEnd w:id="16"/>
            <w:r>
              <w:rPr>
                <w:rFonts w:hint="eastAsia" w:cs="Times New Roman"/>
                <w:color w:val="000000" w:themeColor="text1"/>
                <w:highlight w:val="none"/>
                <w:lang w:val="en-US" w:eastAsia="zh-CN"/>
                <w14:textFill>
                  <w14:solidFill>
                    <w14:schemeClr w14:val="tx1"/>
                  </w14:solidFill>
                </w14:textFill>
              </w:rPr>
              <w:t>、清洗消毒废水</w:t>
            </w:r>
            <w:r>
              <w:rPr>
                <w:rFonts w:hint="default" w:ascii="Times New Roman" w:hAnsi="Times New Roman" w:cs="Times New Roman"/>
                <w:color w:val="000000" w:themeColor="text1"/>
                <w:highlight w:val="none"/>
                <w:lang w:val="en-US" w:eastAsia="en-US"/>
                <w14:textFill>
                  <w14:solidFill>
                    <w14:schemeClr w14:val="tx1"/>
                  </w14:solidFill>
                </w14:textFill>
              </w:rPr>
              <w:t>和医疗用水，</w:t>
            </w:r>
            <w:bookmarkStart w:id="17" w:name="OLE_LINK88"/>
            <w:r>
              <w:rPr>
                <w:rFonts w:hint="default" w:ascii="Times New Roman" w:hAnsi="Times New Roman" w:cs="Times New Roman"/>
                <w:color w:val="000000" w:themeColor="text1"/>
                <w:highlight w:val="none"/>
                <w:lang w:val="en-US" w:eastAsia="en-US"/>
                <w14:textFill>
                  <w14:solidFill>
                    <w14:schemeClr w14:val="tx1"/>
                  </w14:solidFill>
                </w14:textFill>
              </w:rPr>
              <w:t>本项目医疗废水</w:t>
            </w:r>
            <w:r>
              <w:rPr>
                <w:rFonts w:hint="eastAsia" w:cs="Times New Roman"/>
                <w:color w:val="000000" w:themeColor="text1"/>
                <w:highlight w:val="none"/>
                <w:lang w:val="en-US" w:eastAsia="zh-CN"/>
                <w14:textFill>
                  <w14:solidFill>
                    <w14:schemeClr w14:val="tx1"/>
                  </w14:solidFill>
                </w14:textFill>
              </w:rPr>
              <w:t>、清洗消毒废水</w:t>
            </w:r>
            <w:r>
              <w:rPr>
                <w:rFonts w:hint="default" w:ascii="Times New Roman" w:hAnsi="Times New Roman" w:cs="Times New Roman"/>
                <w:color w:val="000000" w:themeColor="text1"/>
                <w:highlight w:val="none"/>
                <w:lang w:val="en-US" w:eastAsia="en-US"/>
                <w14:textFill>
                  <w14:solidFill>
                    <w14:schemeClr w14:val="tx1"/>
                  </w14:solidFill>
                </w14:textFill>
              </w:rPr>
              <w:t>经</w:t>
            </w:r>
            <w:r>
              <w:rPr>
                <w:rFonts w:hint="default" w:ascii="Times New Roman" w:hAnsi="Times New Roman" w:cs="Times New Roman"/>
                <w:color w:val="000000" w:themeColor="text1"/>
                <w:highlight w:val="none"/>
                <w:lang w:val="en-US" w:eastAsia="zh-CN"/>
                <w14:textFill>
                  <w14:solidFill>
                    <w14:schemeClr w14:val="tx1"/>
                  </w14:solidFill>
                </w14:textFill>
              </w:rPr>
              <w:t>预</w:t>
            </w:r>
            <w:r>
              <w:rPr>
                <w:rFonts w:hint="default" w:ascii="Times New Roman" w:hAnsi="Times New Roman" w:cs="Times New Roman"/>
                <w:color w:val="000000" w:themeColor="text1"/>
                <w:highlight w:val="none"/>
                <w:lang w:val="en-US" w:eastAsia="en-US"/>
                <w14:textFill>
                  <w14:solidFill>
                    <w14:schemeClr w14:val="tx1"/>
                  </w14:solidFill>
                </w14:textFill>
              </w:rPr>
              <w:t>处理后与</w:t>
            </w:r>
            <w:r>
              <w:rPr>
                <w:rFonts w:hint="default" w:ascii="Times New Roman" w:hAnsi="Times New Roman" w:cs="Times New Roman"/>
                <w:color w:val="000000" w:themeColor="text1"/>
                <w:highlight w:val="none"/>
                <w:lang w:val="en-US" w:eastAsia="zh-CN"/>
                <w14:textFill>
                  <w14:solidFill>
                    <w14:schemeClr w14:val="tx1"/>
                  </w14:solidFill>
                </w14:textFill>
              </w:rPr>
              <w:t>生活污水</w:t>
            </w:r>
            <w:r>
              <w:rPr>
                <w:rFonts w:hint="eastAsia"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洗浴</w:t>
            </w:r>
            <w:r>
              <w:rPr>
                <w:rFonts w:hint="default" w:ascii="Times New Roman" w:hAnsi="Times New Roman" w:cs="Times New Roman"/>
                <w:color w:val="000000" w:themeColor="text1"/>
                <w:highlight w:val="none"/>
                <w:lang w:val="en-US" w:eastAsia="en-US"/>
                <w14:textFill>
                  <w14:solidFill>
                    <w14:schemeClr w14:val="tx1"/>
                  </w14:solidFill>
                </w14:textFill>
              </w:rPr>
              <w:t>废水一</w:t>
            </w:r>
            <w:r>
              <w:rPr>
                <w:rFonts w:hint="default" w:ascii="Times New Roman" w:hAnsi="Times New Roman" w:cs="Times New Roman"/>
                <w:color w:val="000000" w:themeColor="text1"/>
                <w:highlight w:val="none"/>
                <w:lang w:val="en-US" w:eastAsia="zh-CN"/>
                <w14:textFill>
                  <w14:solidFill>
                    <w14:schemeClr w14:val="tx1"/>
                  </w14:solidFill>
                </w14:textFill>
              </w:rPr>
              <w:t>同</w:t>
            </w:r>
            <w:r>
              <w:rPr>
                <w:rFonts w:hint="default" w:ascii="Times New Roman" w:hAnsi="Times New Roman" w:cs="Times New Roman"/>
                <w:color w:val="000000" w:themeColor="text1"/>
                <w:highlight w:val="none"/>
                <w:lang w:val="en-US" w:eastAsia="en-US"/>
                <w14:textFill>
                  <w14:solidFill>
                    <w14:schemeClr w14:val="tx1"/>
                  </w14:solidFill>
                </w14:textFill>
              </w:rPr>
              <w:t>排入市政污水</w:t>
            </w:r>
            <w:r>
              <w:rPr>
                <w:rFonts w:hint="default" w:ascii="Times New Roman" w:hAnsi="Times New Roman" w:cs="Times New Roman"/>
                <w:color w:val="000000" w:themeColor="text1"/>
                <w:highlight w:val="none"/>
                <w:lang w:val="en-US" w:eastAsia="zh-CN"/>
                <w14:textFill>
                  <w14:solidFill>
                    <w14:schemeClr w14:val="tx1"/>
                  </w14:solidFill>
                </w14:textFill>
              </w:rPr>
              <w:t>管</w:t>
            </w:r>
            <w:r>
              <w:rPr>
                <w:rFonts w:hint="default" w:ascii="Times New Roman" w:hAnsi="Times New Roman" w:cs="Times New Roman"/>
                <w:color w:val="000000" w:themeColor="text1"/>
                <w:highlight w:val="none"/>
                <w:lang w:val="en-US" w:eastAsia="en-US"/>
                <w14:textFill>
                  <w14:solidFill>
                    <w14:schemeClr w14:val="tx1"/>
                  </w14:solidFill>
                </w14:textFill>
              </w:rPr>
              <w:t>网，</w:t>
            </w:r>
            <w:bookmarkEnd w:id="17"/>
            <w:r>
              <w:rPr>
                <w:rFonts w:hint="default" w:ascii="Times New Roman" w:hAnsi="Times New Roman" w:cs="Times New Roman"/>
                <w:color w:val="000000" w:themeColor="text1"/>
                <w:highlight w:val="none"/>
                <w:lang w:val="en-US" w:eastAsia="en-US"/>
                <w14:textFill>
                  <w14:solidFill>
                    <w14:schemeClr w14:val="tx1"/>
                  </w14:solidFill>
                </w14:textFill>
              </w:rPr>
              <w:t>最终进入库尔勒市南市区污水处理厂（库尔勒龙润水处理有限公司）</w:t>
            </w:r>
            <w:r>
              <w:rPr>
                <w:rFonts w:hint="eastAsia"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lang w:val="en-US" w:eastAsia="en-US"/>
                <w14:textFill>
                  <w14:solidFill>
                    <w14:schemeClr w14:val="tx1"/>
                  </w14:solidFill>
                </w14:textFill>
              </w:rPr>
              <w:t>根据国家污染物总量控制指标，综合考虑本项目污染特征、所在区域环境质量现状等因素，本项目不</w:t>
            </w:r>
            <w:r>
              <w:rPr>
                <w:rFonts w:hint="eastAsia" w:cs="Times New Roman"/>
                <w:color w:val="000000" w:themeColor="text1"/>
                <w:highlight w:val="none"/>
                <w:lang w:val="en-US" w:eastAsia="zh-CN"/>
                <w14:textFill>
                  <w14:solidFill>
                    <w14:schemeClr w14:val="tx1"/>
                  </w14:solidFill>
                </w14:textFill>
              </w:rPr>
              <w:t>单独</w:t>
            </w:r>
            <w:r>
              <w:rPr>
                <w:rFonts w:hint="default" w:ascii="Times New Roman" w:hAnsi="Times New Roman" w:cs="Times New Roman"/>
                <w:color w:val="000000" w:themeColor="text1"/>
                <w:highlight w:val="none"/>
                <w:lang w:val="en-US" w:eastAsia="en-US"/>
                <w14:textFill>
                  <w14:solidFill>
                    <w14:schemeClr w14:val="tx1"/>
                  </w14:solidFill>
                </w14:textFill>
              </w:rPr>
              <w:t>申请总量指标</w:t>
            </w:r>
            <w:r>
              <w:rPr>
                <w:rFonts w:hint="eastAsia"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lang w:val="en-US" w:eastAsia="en-US"/>
                <w14:textFill>
                  <w14:solidFill>
                    <w14:schemeClr w14:val="tx1"/>
                  </w14:solidFill>
                </w14:textFill>
              </w:rPr>
              <w:t>纳入</w:t>
            </w:r>
            <w:r>
              <w:rPr>
                <w:rFonts w:hint="eastAsia" w:cs="Times New Roman"/>
                <w:color w:val="000000" w:themeColor="text1"/>
                <w:highlight w:val="none"/>
                <w:lang w:val="en-US" w:eastAsia="zh-CN"/>
                <w14:textFill>
                  <w14:solidFill>
                    <w14:schemeClr w14:val="tx1"/>
                  </w14:solidFill>
                </w14:textFill>
              </w:rPr>
              <w:t>库尔勒市南市区污水处理厂（库尔勒龙润水处理有限公司）统一管理</w:t>
            </w:r>
            <w:r>
              <w:rPr>
                <w:rFonts w:hint="default" w:ascii="Times New Roman" w:hAnsi="Times New Roman" w:cs="Times New Roman"/>
                <w:color w:val="000000" w:themeColor="text1"/>
                <w:highlight w:val="none"/>
                <w:lang w:val="en-US" w:eastAsia="en-US"/>
                <w14:textFill>
                  <w14:solidFill>
                    <w14:schemeClr w14:val="tx1"/>
                  </w14:solidFill>
                </w14:textFill>
              </w:rPr>
              <w:t>。</w:t>
            </w:r>
          </w:p>
          <w:p w14:paraId="3A3D46E6">
            <w:pPr>
              <w:pStyle w:val="31"/>
              <w:bidi w:val="0"/>
              <w:rPr>
                <w:rFonts w:hint="default" w:ascii="Times New Roman" w:hAnsi="Times New Roman" w:cs="Times New Roman"/>
                <w:color w:val="000000" w:themeColor="text1"/>
                <w:highlight w:val="none"/>
                <w:lang w:val="en-US" w:eastAsia="en-US"/>
                <w14:textFill>
                  <w14:solidFill>
                    <w14:schemeClr w14:val="tx1"/>
                  </w14:solidFill>
                </w14:textFill>
              </w:rPr>
            </w:pPr>
          </w:p>
          <w:p w14:paraId="3912F86B">
            <w:pPr>
              <w:pStyle w:val="31"/>
              <w:bidi w:val="0"/>
              <w:rPr>
                <w:rFonts w:hint="default" w:ascii="Times New Roman" w:hAnsi="Times New Roman" w:cs="Times New Roman"/>
                <w:color w:val="000000" w:themeColor="text1"/>
                <w:highlight w:val="none"/>
                <w:lang w:val="en-US" w:eastAsia="en-US"/>
                <w14:textFill>
                  <w14:solidFill>
                    <w14:schemeClr w14:val="tx1"/>
                  </w14:solidFill>
                </w14:textFill>
              </w:rPr>
            </w:pPr>
          </w:p>
          <w:p w14:paraId="31B0A3C3">
            <w:pPr>
              <w:pStyle w:val="31"/>
              <w:bidi w:val="0"/>
              <w:rPr>
                <w:rFonts w:hint="default" w:ascii="Times New Roman" w:hAnsi="Times New Roman" w:cs="Times New Roman"/>
                <w:color w:val="000000" w:themeColor="text1"/>
                <w:highlight w:val="none"/>
                <w:lang w:val="en-US" w:eastAsia="en-US"/>
                <w14:textFill>
                  <w14:solidFill>
                    <w14:schemeClr w14:val="tx1"/>
                  </w14:solidFill>
                </w14:textFill>
              </w:rPr>
            </w:pPr>
          </w:p>
          <w:p w14:paraId="61BE86DD">
            <w:pPr>
              <w:pStyle w:val="31"/>
              <w:bidi w:val="0"/>
              <w:rPr>
                <w:rFonts w:hint="default" w:ascii="Times New Roman" w:hAnsi="Times New Roman" w:cs="Times New Roman"/>
                <w:color w:val="000000" w:themeColor="text1"/>
                <w:highlight w:val="none"/>
                <w:lang w:val="en-US" w:eastAsia="en-US"/>
                <w14:textFill>
                  <w14:solidFill>
                    <w14:schemeClr w14:val="tx1"/>
                  </w14:solidFill>
                </w14:textFill>
              </w:rPr>
            </w:pPr>
          </w:p>
          <w:p w14:paraId="7449AAA5">
            <w:pPr>
              <w:pStyle w:val="31"/>
              <w:bidi w:val="0"/>
              <w:rPr>
                <w:rFonts w:hint="default" w:ascii="Times New Roman" w:hAnsi="Times New Roman" w:cs="Times New Roman"/>
                <w:color w:val="000000" w:themeColor="text1"/>
                <w:highlight w:val="none"/>
                <w:lang w:val="en-US" w:eastAsia="en-US"/>
                <w14:textFill>
                  <w14:solidFill>
                    <w14:schemeClr w14:val="tx1"/>
                  </w14:solidFill>
                </w14:textFill>
              </w:rPr>
            </w:pPr>
          </w:p>
          <w:p w14:paraId="447EFE75">
            <w:pPr>
              <w:pStyle w:val="31"/>
              <w:bidi w:val="0"/>
              <w:rPr>
                <w:rFonts w:hint="default" w:ascii="Times New Roman" w:hAnsi="Times New Roman" w:cs="Times New Roman"/>
                <w:color w:val="000000" w:themeColor="text1"/>
                <w:highlight w:val="none"/>
                <w:lang w:val="en-US" w:eastAsia="en-US"/>
                <w14:textFill>
                  <w14:solidFill>
                    <w14:schemeClr w14:val="tx1"/>
                  </w14:solidFill>
                </w14:textFill>
              </w:rPr>
            </w:pPr>
          </w:p>
          <w:p w14:paraId="202C07A9">
            <w:pPr>
              <w:pStyle w:val="31"/>
              <w:bidi w:val="0"/>
              <w:rPr>
                <w:rFonts w:hint="default" w:ascii="Times New Roman" w:hAnsi="Times New Roman" w:cs="Times New Roman"/>
                <w:color w:val="000000" w:themeColor="text1"/>
                <w:highlight w:val="none"/>
                <w:lang w:val="en-US" w:eastAsia="en-US"/>
                <w14:textFill>
                  <w14:solidFill>
                    <w14:schemeClr w14:val="tx1"/>
                  </w14:solidFill>
                </w14:textFill>
              </w:rPr>
            </w:pPr>
          </w:p>
          <w:p w14:paraId="1D300ACE">
            <w:pPr>
              <w:pStyle w:val="31"/>
              <w:bidi w:val="0"/>
              <w:rPr>
                <w:rFonts w:hint="default" w:ascii="Times New Roman" w:hAnsi="Times New Roman" w:cs="Times New Roman"/>
                <w:color w:val="000000" w:themeColor="text1"/>
                <w:highlight w:val="none"/>
                <w:lang w:val="en-US" w:eastAsia="en-US"/>
                <w14:textFill>
                  <w14:solidFill>
                    <w14:schemeClr w14:val="tx1"/>
                  </w14:solidFill>
                </w14:textFill>
              </w:rPr>
            </w:pPr>
          </w:p>
          <w:p w14:paraId="658A91AF">
            <w:pPr>
              <w:pStyle w:val="31"/>
              <w:bidi w:val="0"/>
              <w:rPr>
                <w:rFonts w:hint="default" w:ascii="Times New Roman" w:hAnsi="Times New Roman" w:cs="Times New Roman"/>
                <w:color w:val="000000" w:themeColor="text1"/>
                <w:highlight w:val="none"/>
                <w:lang w:val="en-US" w:eastAsia="en-US"/>
                <w14:textFill>
                  <w14:solidFill>
                    <w14:schemeClr w14:val="tx1"/>
                  </w14:solidFill>
                </w14:textFill>
              </w:rPr>
            </w:pPr>
          </w:p>
          <w:p w14:paraId="3D601460">
            <w:pPr>
              <w:pStyle w:val="31"/>
              <w:bidi w:val="0"/>
              <w:ind w:left="0" w:leftChars="0" w:firstLine="0" w:firstLineChars="0"/>
              <w:rPr>
                <w:rFonts w:hint="default" w:ascii="Times New Roman" w:hAnsi="Times New Roman" w:cs="Times New Roman"/>
                <w:color w:val="000000" w:themeColor="text1"/>
                <w:highlight w:val="none"/>
                <w:lang w:val="en-US" w:eastAsia="en-US"/>
                <w14:textFill>
                  <w14:solidFill>
                    <w14:schemeClr w14:val="tx1"/>
                  </w14:solidFill>
                </w14:textFill>
              </w:rPr>
            </w:pPr>
          </w:p>
        </w:tc>
      </w:tr>
    </w:tbl>
    <w:p w14:paraId="3D5CAF22">
      <w:pPr>
        <w:spacing w:line="249" w:lineRule="auto"/>
        <w:rPr>
          <w:rFonts w:hint="default" w:ascii="Times New Roman" w:hAnsi="Times New Roman" w:cs="Times New Roman"/>
          <w:color w:val="auto"/>
          <w:sz w:val="21"/>
          <w:highlight w:val="none"/>
        </w:rPr>
        <w:sectPr>
          <w:footerReference r:id="rId8" w:type="default"/>
          <w:pgSz w:w="11907" w:h="16840"/>
          <w:pgMar w:top="1431" w:right="1490" w:bottom="957" w:left="1489" w:header="0" w:footer="692" w:gutter="0"/>
          <w:pgBorders>
            <w:top w:val="none" w:sz="0" w:space="0"/>
            <w:left w:val="none" w:sz="0" w:space="0"/>
            <w:bottom w:val="none" w:sz="0" w:space="0"/>
            <w:right w:val="none" w:sz="0" w:space="0"/>
          </w:pgBorders>
          <w:pgNumType w:fmt="decimal"/>
          <w:cols w:space="720" w:num="1"/>
        </w:sectPr>
      </w:pPr>
    </w:p>
    <w:p w14:paraId="78B6798A">
      <w:pPr>
        <w:pStyle w:val="2"/>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四、主要环境影响和保护措施</w:t>
      </w:r>
    </w:p>
    <w:p w14:paraId="7988A33A">
      <w:pPr>
        <w:spacing w:line="240" w:lineRule="auto"/>
        <w:rPr>
          <w:rFonts w:hint="default" w:ascii="Times New Roman" w:hAnsi="Times New Roman" w:cs="Times New Roman"/>
          <w:color w:val="auto"/>
          <w:highlight w:val="none"/>
        </w:rPr>
      </w:pPr>
    </w:p>
    <w:p w14:paraId="0578ADC8">
      <w:pPr>
        <w:spacing w:line="16" w:lineRule="exact"/>
        <w:rPr>
          <w:rFonts w:hint="default" w:ascii="Times New Roman" w:hAnsi="Times New Roman" w:cs="Times New Roman"/>
          <w:color w:val="auto"/>
          <w:highlight w:val="none"/>
        </w:rPr>
      </w:pPr>
    </w:p>
    <w:tbl>
      <w:tblPr>
        <w:tblStyle w:val="28"/>
        <w:tblW w:w="8912"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671"/>
        <w:gridCol w:w="8241"/>
      </w:tblGrid>
      <w:tr w14:paraId="47E840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37" w:hRule="atLeast"/>
        </w:trPr>
        <w:tc>
          <w:tcPr>
            <w:tcW w:w="671" w:type="dxa"/>
            <w:tcBorders>
              <w:left w:val="single" w:color="000000" w:sz="6" w:space="0"/>
            </w:tcBorders>
            <w:vAlign w:val="center"/>
          </w:tcPr>
          <w:p w14:paraId="76A9AD98">
            <w:pPr>
              <w:bidi w:val="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施工期环境保护措施</w:t>
            </w:r>
          </w:p>
        </w:tc>
        <w:tc>
          <w:tcPr>
            <w:tcW w:w="8241" w:type="dxa"/>
            <w:tcBorders>
              <w:right w:val="single" w:color="000000" w:sz="6" w:space="0"/>
            </w:tcBorders>
            <w:vAlign w:val="center"/>
          </w:tcPr>
          <w:p w14:paraId="6FA96A05">
            <w:pPr>
              <w:pStyle w:val="31"/>
              <w:bidi w:val="0"/>
              <w:rPr>
                <w:rFonts w:hint="eastAsia" w:ascii="Times New Roman" w:hAnsi="Times New Roman" w:cs="Times New Roman"/>
                <w:color w:val="auto"/>
                <w:lang w:val="en-US" w:eastAsia="zh-CN"/>
              </w:rPr>
            </w:pPr>
            <w:r>
              <w:rPr>
                <w:rFonts w:hint="default" w:ascii="Times New Roman" w:hAnsi="Times New Roman" w:cs="Times New Roman"/>
                <w:color w:val="auto"/>
                <w:highlight w:val="none"/>
                <w:lang w:val="en-US" w:eastAsia="zh-CN"/>
              </w:rPr>
              <w:t>本项目无需新建建筑，施工内容主要为简单的装修和室内设备安装，工期较短，</w:t>
            </w:r>
            <w:r>
              <w:rPr>
                <w:rFonts w:hint="eastAsia" w:ascii="Times New Roman" w:hAnsi="Times New Roman" w:cs="Times New Roman"/>
                <w:color w:val="auto"/>
                <w:lang w:val="en-US" w:eastAsia="zh-CN"/>
              </w:rPr>
              <w:t>施工工序简单，并采取文明施工及时清理、加强管理等环保措施。</w:t>
            </w:r>
          </w:p>
          <w:p w14:paraId="05634490">
            <w:pPr>
              <w:keepNext/>
              <w:keepLines/>
              <w:kinsoku w:val="0"/>
              <w:autoSpaceDE w:val="0"/>
              <w:autoSpaceDN w:val="0"/>
              <w:bidi w:val="0"/>
              <w:adjustRightInd/>
              <w:snapToGrid/>
              <w:spacing w:beforeLines="0" w:beforeAutospacing="0" w:afterLines="0" w:afterAutospacing="0" w:line="360" w:lineRule="auto"/>
              <w:jc w:val="left"/>
              <w:textAlignment w:val="baseline"/>
              <w:outlineLvl w:val="1"/>
              <w:rPr>
                <w:rFonts w:hint="eastAsia" w:ascii="Times New Roman" w:hAnsi="Times New Roman" w:eastAsia="宋体" w:cs="Arial"/>
                <w:b/>
                <w:snapToGrid w:val="0"/>
                <w:color w:val="auto"/>
                <w:kern w:val="0"/>
                <w:sz w:val="28"/>
                <w:szCs w:val="21"/>
                <w:lang w:val="en-US" w:eastAsia="zh-CN"/>
              </w:rPr>
            </w:pPr>
            <w:r>
              <w:rPr>
                <w:rFonts w:hint="eastAsia" w:ascii="Times New Roman" w:hAnsi="Times New Roman" w:eastAsia="宋体" w:cs="Arial"/>
                <w:b/>
                <w:snapToGrid w:val="0"/>
                <w:color w:val="auto"/>
                <w:kern w:val="0"/>
                <w:sz w:val="28"/>
                <w:szCs w:val="21"/>
                <w:lang w:val="en-US" w:eastAsia="zh-CN"/>
              </w:rPr>
              <w:t>4.1施工扬尘防治措施</w:t>
            </w:r>
          </w:p>
          <w:p w14:paraId="183891BD">
            <w:pPr>
              <w:kinsoku w:val="0"/>
              <w:autoSpaceDE w:val="0"/>
              <w:autoSpaceDN w:val="0"/>
              <w:bidi w:val="0"/>
              <w:adjustRightInd/>
              <w:snapToGrid/>
              <w:spacing w:line="360" w:lineRule="auto"/>
              <w:ind w:firstLine="512" w:firstLineChars="200"/>
              <w:jc w:val="left"/>
              <w:textAlignment w:val="baseline"/>
              <w:rPr>
                <w:rFonts w:hint="eastAsia" w:ascii="Times New Roman" w:hAnsi="Times New Roman" w:eastAsia="宋体" w:cs="Times New Roman"/>
                <w:bCs/>
                <w:snapToGrid w:val="0"/>
                <w:color w:val="auto"/>
                <w:spacing w:val="8"/>
                <w:kern w:val="0"/>
                <w:sz w:val="24"/>
                <w:szCs w:val="72"/>
                <w:lang w:val="en-US" w:eastAsia="zh-CN"/>
              </w:rPr>
            </w:pPr>
            <w:r>
              <w:rPr>
                <w:rFonts w:hint="eastAsia" w:ascii="Times New Roman" w:hAnsi="Times New Roman" w:eastAsia="宋体" w:cs="Times New Roman"/>
                <w:bCs/>
                <w:snapToGrid w:val="0"/>
                <w:color w:val="auto"/>
                <w:spacing w:val="8"/>
                <w:kern w:val="0"/>
                <w:sz w:val="24"/>
                <w:szCs w:val="72"/>
                <w:lang w:val="en-US" w:eastAsia="zh-CN"/>
              </w:rPr>
              <w:t>本项目施工期主要为项目区楼房的室内装修改造，即施工作业均在室内进行。主要污染物为无组织排放的颗粒物，其产生强度与施工方式、施工条件有关。也会因涂料喷涂产生少量的挥发性有机废气等装修废气。因此，施工扬尘对区域环境产生的影响有限，对室内空气质量将产生一定的影响。针对本项目施工期的特点以及大气污染物产生情况，提出如下措施</w:t>
            </w:r>
          </w:p>
          <w:p w14:paraId="5D7ECBDD">
            <w:pPr>
              <w:numPr>
                <w:ilvl w:val="0"/>
                <w:numId w:val="0"/>
              </w:numPr>
              <w:kinsoku w:val="0"/>
              <w:autoSpaceDE w:val="0"/>
              <w:autoSpaceDN w:val="0"/>
              <w:bidi w:val="0"/>
              <w:adjustRightInd/>
              <w:snapToGrid/>
              <w:spacing w:line="360" w:lineRule="auto"/>
              <w:ind w:firstLine="512" w:firstLineChars="200"/>
              <w:jc w:val="left"/>
              <w:textAlignment w:val="baseline"/>
              <w:rPr>
                <w:rFonts w:hint="eastAsia" w:ascii="Times New Roman" w:hAnsi="Times New Roman" w:eastAsia="宋体" w:cs="Times New Roman"/>
                <w:bCs/>
                <w:snapToGrid w:val="0"/>
                <w:color w:val="auto"/>
                <w:spacing w:val="8"/>
                <w:kern w:val="0"/>
                <w:sz w:val="24"/>
                <w:szCs w:val="72"/>
                <w:lang w:val="en-US" w:eastAsia="zh-CN"/>
              </w:rPr>
            </w:pPr>
            <w:r>
              <w:rPr>
                <w:rFonts w:hint="eastAsia" w:ascii="Times New Roman" w:hAnsi="Times New Roman" w:eastAsia="宋体" w:cs="Times New Roman"/>
                <w:bCs/>
                <w:snapToGrid w:val="0"/>
                <w:color w:val="auto"/>
                <w:spacing w:val="8"/>
                <w:kern w:val="0"/>
                <w:sz w:val="24"/>
                <w:szCs w:val="72"/>
                <w:lang w:val="en-US" w:eastAsia="zh-CN"/>
              </w:rPr>
              <w:t>（1）针对施工任务和施工场地环境状况，制定合理的施工计划。</w:t>
            </w:r>
          </w:p>
          <w:p w14:paraId="7ED42427">
            <w:pPr>
              <w:numPr>
                <w:ilvl w:val="0"/>
                <w:numId w:val="0"/>
              </w:numPr>
              <w:kinsoku w:val="0"/>
              <w:autoSpaceDE w:val="0"/>
              <w:autoSpaceDN w:val="0"/>
              <w:bidi w:val="0"/>
              <w:adjustRightInd/>
              <w:snapToGrid/>
              <w:spacing w:line="360" w:lineRule="auto"/>
              <w:ind w:firstLine="512" w:firstLineChars="200"/>
              <w:jc w:val="left"/>
              <w:textAlignment w:val="baseline"/>
              <w:rPr>
                <w:rFonts w:hint="eastAsia" w:ascii="Times New Roman" w:hAnsi="Times New Roman" w:eastAsia="宋体" w:cs="Times New Roman"/>
                <w:bCs/>
                <w:snapToGrid w:val="0"/>
                <w:color w:val="auto"/>
                <w:spacing w:val="8"/>
                <w:kern w:val="0"/>
                <w:sz w:val="24"/>
                <w:szCs w:val="72"/>
                <w:lang w:val="en-US" w:eastAsia="zh-CN"/>
              </w:rPr>
            </w:pPr>
            <w:r>
              <w:rPr>
                <w:rFonts w:hint="eastAsia" w:ascii="Times New Roman" w:hAnsi="Times New Roman" w:eastAsia="宋体" w:cs="Times New Roman"/>
                <w:bCs/>
                <w:snapToGrid w:val="0"/>
                <w:color w:val="auto"/>
                <w:spacing w:val="8"/>
                <w:kern w:val="0"/>
                <w:sz w:val="24"/>
                <w:szCs w:val="72"/>
                <w:lang w:val="en-US" w:eastAsia="zh-CN"/>
              </w:rPr>
              <w:t>（2）在室内进行装修改造施工时，通过开窗开门的方式加强室内空气流通以降低室内扬尘的浓度。</w:t>
            </w:r>
          </w:p>
          <w:p w14:paraId="5664B7FA">
            <w:pPr>
              <w:numPr>
                <w:ilvl w:val="0"/>
                <w:numId w:val="0"/>
              </w:numPr>
              <w:kinsoku w:val="0"/>
              <w:autoSpaceDE w:val="0"/>
              <w:autoSpaceDN w:val="0"/>
              <w:bidi w:val="0"/>
              <w:adjustRightInd/>
              <w:snapToGrid/>
              <w:spacing w:line="360" w:lineRule="auto"/>
              <w:ind w:firstLine="512" w:firstLineChars="200"/>
              <w:jc w:val="left"/>
              <w:textAlignment w:val="baseline"/>
              <w:rPr>
                <w:rFonts w:hint="eastAsia" w:ascii="Times New Roman" w:hAnsi="Times New Roman" w:eastAsia="宋体" w:cs="Times New Roman"/>
                <w:bCs/>
                <w:snapToGrid w:val="0"/>
                <w:color w:val="auto"/>
                <w:spacing w:val="8"/>
                <w:kern w:val="0"/>
                <w:sz w:val="24"/>
                <w:szCs w:val="72"/>
                <w:lang w:val="en-US" w:eastAsia="zh-CN"/>
              </w:rPr>
            </w:pPr>
            <w:r>
              <w:rPr>
                <w:rFonts w:hint="eastAsia" w:ascii="Times New Roman" w:hAnsi="Times New Roman" w:eastAsia="宋体" w:cs="Times New Roman"/>
                <w:bCs/>
                <w:snapToGrid w:val="0"/>
                <w:color w:val="auto"/>
                <w:spacing w:val="8"/>
                <w:kern w:val="0"/>
                <w:sz w:val="24"/>
                <w:szCs w:val="72"/>
                <w:lang w:val="en-US" w:eastAsia="zh-CN"/>
              </w:rPr>
              <w:t>（3）对建筑垃圾及时处理、清运，以减少占地，防治扬尘污染并进行洒水降尘。采取措施后，施工扬尘对项目区和周边居民住宅楼影响较小，且此类影响会在施工期结束后消失。</w:t>
            </w:r>
          </w:p>
          <w:p w14:paraId="7C79D7B8">
            <w:pPr>
              <w:keepNext/>
              <w:keepLines/>
              <w:kinsoku w:val="0"/>
              <w:autoSpaceDE w:val="0"/>
              <w:autoSpaceDN w:val="0"/>
              <w:bidi w:val="0"/>
              <w:adjustRightInd/>
              <w:snapToGrid/>
              <w:spacing w:beforeLines="0" w:beforeAutospacing="0" w:afterLines="0" w:afterAutospacing="0" w:line="360" w:lineRule="auto"/>
              <w:jc w:val="left"/>
              <w:textAlignment w:val="baseline"/>
              <w:outlineLvl w:val="1"/>
              <w:rPr>
                <w:rFonts w:hint="eastAsia" w:ascii="Times New Roman" w:hAnsi="Times New Roman" w:eastAsia="宋体" w:cs="Arial"/>
                <w:b/>
                <w:snapToGrid w:val="0"/>
                <w:color w:val="auto"/>
                <w:kern w:val="0"/>
                <w:sz w:val="28"/>
                <w:szCs w:val="21"/>
                <w:lang w:val="en-US" w:eastAsia="zh-CN"/>
              </w:rPr>
            </w:pPr>
            <w:r>
              <w:rPr>
                <w:rFonts w:hint="eastAsia" w:ascii="Times New Roman" w:hAnsi="Times New Roman" w:eastAsia="宋体" w:cs="Arial"/>
                <w:b/>
                <w:snapToGrid w:val="0"/>
                <w:color w:val="auto"/>
                <w:kern w:val="0"/>
                <w:sz w:val="28"/>
                <w:szCs w:val="21"/>
                <w:lang w:val="en-US" w:eastAsia="zh-CN"/>
              </w:rPr>
              <w:t>4.2施工期废水防治措施</w:t>
            </w:r>
          </w:p>
          <w:p w14:paraId="51D0111D">
            <w:pPr>
              <w:kinsoku w:val="0"/>
              <w:autoSpaceDE w:val="0"/>
              <w:autoSpaceDN w:val="0"/>
              <w:bidi w:val="0"/>
              <w:adjustRightInd/>
              <w:snapToGrid/>
              <w:spacing w:line="360" w:lineRule="auto"/>
              <w:ind w:firstLine="512" w:firstLineChars="200"/>
              <w:jc w:val="left"/>
              <w:textAlignment w:val="baseline"/>
              <w:rPr>
                <w:rFonts w:hint="eastAsia" w:ascii="Times New Roman" w:hAnsi="Times New Roman" w:eastAsia="宋体" w:cs="Times New Roman"/>
                <w:bCs/>
                <w:snapToGrid w:val="0"/>
                <w:color w:val="auto"/>
                <w:spacing w:val="8"/>
                <w:kern w:val="0"/>
                <w:sz w:val="24"/>
                <w:szCs w:val="72"/>
                <w:lang w:val="en-US" w:eastAsia="zh-CN"/>
              </w:rPr>
            </w:pPr>
            <w:r>
              <w:rPr>
                <w:rFonts w:hint="eastAsia" w:ascii="Times New Roman" w:hAnsi="Times New Roman" w:eastAsia="宋体" w:cs="Times New Roman"/>
                <w:bCs/>
                <w:snapToGrid w:val="0"/>
                <w:color w:val="auto"/>
                <w:spacing w:val="8"/>
                <w:kern w:val="0"/>
                <w:sz w:val="24"/>
                <w:szCs w:val="72"/>
                <w:lang w:val="en-US" w:eastAsia="zh-CN"/>
              </w:rPr>
              <w:t>本项目无施工废水，仅施工人员产生少量生活污水，生活污水可依托项目区内卫生间进行处理。</w:t>
            </w:r>
          </w:p>
          <w:p w14:paraId="6E9DB78A">
            <w:pPr>
              <w:keepNext/>
              <w:keepLines/>
              <w:kinsoku w:val="0"/>
              <w:autoSpaceDE w:val="0"/>
              <w:autoSpaceDN w:val="0"/>
              <w:bidi w:val="0"/>
              <w:adjustRightInd/>
              <w:snapToGrid/>
              <w:spacing w:beforeLines="0" w:beforeAutospacing="0" w:afterLines="0" w:afterAutospacing="0" w:line="360" w:lineRule="auto"/>
              <w:jc w:val="left"/>
              <w:textAlignment w:val="baseline"/>
              <w:outlineLvl w:val="1"/>
              <w:rPr>
                <w:rFonts w:hint="eastAsia" w:ascii="Times New Roman" w:hAnsi="Times New Roman" w:eastAsia="宋体" w:cs="Arial"/>
                <w:b/>
                <w:snapToGrid w:val="0"/>
                <w:color w:val="auto"/>
                <w:kern w:val="0"/>
                <w:sz w:val="28"/>
                <w:szCs w:val="21"/>
                <w:lang w:val="en-US" w:eastAsia="zh-CN"/>
              </w:rPr>
            </w:pPr>
            <w:r>
              <w:rPr>
                <w:rFonts w:hint="eastAsia" w:ascii="Times New Roman" w:hAnsi="Times New Roman" w:eastAsia="宋体" w:cs="Arial"/>
                <w:b/>
                <w:snapToGrid w:val="0"/>
                <w:color w:val="auto"/>
                <w:kern w:val="0"/>
                <w:sz w:val="28"/>
                <w:szCs w:val="21"/>
                <w:lang w:val="en-US" w:eastAsia="zh-CN"/>
              </w:rPr>
              <w:t>4.3施工期噪声防治措施</w:t>
            </w:r>
          </w:p>
          <w:p w14:paraId="64A325A2">
            <w:pPr>
              <w:kinsoku w:val="0"/>
              <w:autoSpaceDE w:val="0"/>
              <w:autoSpaceDN w:val="0"/>
              <w:bidi w:val="0"/>
              <w:adjustRightInd/>
              <w:snapToGrid/>
              <w:spacing w:line="360" w:lineRule="auto"/>
              <w:ind w:firstLine="512" w:firstLineChars="200"/>
              <w:jc w:val="left"/>
              <w:textAlignment w:val="baseline"/>
              <w:rPr>
                <w:rFonts w:hint="eastAsia" w:ascii="Times New Roman" w:hAnsi="Times New Roman" w:eastAsia="宋体" w:cs="Times New Roman"/>
                <w:bCs/>
                <w:snapToGrid w:val="0"/>
                <w:color w:val="auto"/>
                <w:spacing w:val="8"/>
                <w:kern w:val="0"/>
                <w:sz w:val="24"/>
                <w:szCs w:val="72"/>
                <w:lang w:val="en-US" w:eastAsia="zh-CN"/>
              </w:rPr>
            </w:pPr>
            <w:r>
              <w:rPr>
                <w:rFonts w:hint="eastAsia" w:ascii="Times New Roman" w:hAnsi="Times New Roman" w:eastAsia="宋体" w:cs="Times New Roman"/>
                <w:bCs/>
                <w:snapToGrid w:val="0"/>
                <w:color w:val="auto"/>
                <w:spacing w:val="8"/>
                <w:kern w:val="0"/>
                <w:sz w:val="24"/>
                <w:szCs w:val="72"/>
                <w:lang w:val="en-US" w:eastAsia="zh-CN"/>
              </w:rPr>
              <w:t>本项目施工期噪声主要来自施工作业与设备安装时所产生的施工噪声具有临时性、阶段性、不稳定性等特点。根据《中华人民共和国</w:t>
            </w:r>
            <w:r>
              <w:rPr>
                <w:rFonts w:hint="eastAsia" w:cs="Times New Roman"/>
                <w:bCs/>
                <w:snapToGrid w:val="0"/>
                <w:color w:val="auto"/>
                <w:spacing w:val="8"/>
                <w:kern w:val="0"/>
                <w:sz w:val="24"/>
                <w:szCs w:val="72"/>
                <w:lang w:val="en-US" w:eastAsia="zh-CN"/>
              </w:rPr>
              <w:t>生态环境法典</w:t>
            </w:r>
            <w:r>
              <w:rPr>
                <w:rFonts w:hint="eastAsia" w:ascii="Times New Roman" w:hAnsi="Times New Roman" w:eastAsia="宋体" w:cs="Times New Roman"/>
                <w:bCs/>
                <w:snapToGrid w:val="0"/>
                <w:color w:val="auto"/>
                <w:spacing w:val="8"/>
                <w:kern w:val="0"/>
                <w:sz w:val="24"/>
                <w:szCs w:val="72"/>
                <w:lang w:val="en-US" w:eastAsia="zh-CN"/>
              </w:rPr>
              <w:t>》相关规定，结合本工程实际情况，对施工期声环境影响提出以下防治措施意见：</w:t>
            </w:r>
          </w:p>
          <w:p w14:paraId="2D6BF6CF">
            <w:pPr>
              <w:kinsoku w:val="0"/>
              <w:autoSpaceDE w:val="0"/>
              <w:autoSpaceDN w:val="0"/>
              <w:bidi w:val="0"/>
              <w:adjustRightInd/>
              <w:snapToGrid/>
              <w:spacing w:line="360" w:lineRule="auto"/>
              <w:ind w:firstLine="512" w:firstLineChars="200"/>
              <w:jc w:val="left"/>
              <w:textAlignment w:val="baseline"/>
              <w:rPr>
                <w:rFonts w:hint="eastAsia" w:ascii="Times New Roman" w:hAnsi="Times New Roman" w:eastAsia="宋体" w:cs="Times New Roman"/>
                <w:bCs/>
                <w:snapToGrid w:val="0"/>
                <w:color w:val="auto"/>
                <w:spacing w:val="8"/>
                <w:kern w:val="0"/>
                <w:sz w:val="24"/>
                <w:szCs w:val="72"/>
                <w:lang w:val="en-US" w:eastAsia="zh-CN"/>
              </w:rPr>
            </w:pPr>
            <w:r>
              <w:rPr>
                <w:rFonts w:hint="eastAsia" w:ascii="Times New Roman" w:hAnsi="Times New Roman" w:eastAsia="宋体" w:cs="Times New Roman"/>
                <w:bCs/>
                <w:snapToGrid w:val="0"/>
                <w:color w:val="auto"/>
                <w:spacing w:val="8"/>
                <w:kern w:val="0"/>
                <w:sz w:val="24"/>
                <w:szCs w:val="72"/>
                <w:lang w:val="en-US" w:eastAsia="zh-CN"/>
              </w:rPr>
              <w:t>（1）优先使用低噪设备，加强声源噪声控制，加强机械设备保养、严格按规范操作，使其处于良好的运行状态，</w:t>
            </w:r>
          </w:p>
          <w:p w14:paraId="3BE8A4F4">
            <w:pPr>
              <w:kinsoku w:val="0"/>
              <w:autoSpaceDE w:val="0"/>
              <w:autoSpaceDN w:val="0"/>
              <w:bidi w:val="0"/>
              <w:adjustRightInd/>
              <w:snapToGrid/>
              <w:spacing w:line="360" w:lineRule="auto"/>
              <w:ind w:firstLine="512" w:firstLineChars="200"/>
              <w:jc w:val="left"/>
              <w:textAlignment w:val="baseline"/>
              <w:rPr>
                <w:rFonts w:hint="eastAsia" w:ascii="Times New Roman" w:hAnsi="Times New Roman" w:eastAsia="宋体" w:cs="Times New Roman"/>
                <w:bCs/>
                <w:snapToGrid w:val="0"/>
                <w:color w:val="auto"/>
                <w:spacing w:val="8"/>
                <w:kern w:val="0"/>
                <w:sz w:val="24"/>
                <w:szCs w:val="72"/>
                <w:lang w:val="en-US" w:eastAsia="zh-CN"/>
              </w:rPr>
            </w:pPr>
            <w:r>
              <w:rPr>
                <w:rFonts w:hint="eastAsia" w:ascii="Times New Roman" w:hAnsi="Times New Roman" w:eastAsia="宋体" w:cs="Times New Roman"/>
                <w:bCs/>
                <w:snapToGrid w:val="0"/>
                <w:color w:val="auto"/>
                <w:spacing w:val="8"/>
                <w:kern w:val="0"/>
                <w:sz w:val="24"/>
                <w:szCs w:val="72"/>
                <w:lang w:val="en-US" w:eastAsia="zh-CN"/>
              </w:rPr>
              <w:t>（2）合理安排施工时间，制定施工计划时，应尽可能避免大量噪声设备同时使用。应尽量安排在白天施工，严禁夜间进行施工。本项目噪声随施工结束而消失，通过采取上述措施后，施工期噪声对周围声环境影响较小。</w:t>
            </w:r>
          </w:p>
          <w:p w14:paraId="67EBF497">
            <w:pPr>
              <w:kinsoku w:val="0"/>
              <w:autoSpaceDE w:val="0"/>
              <w:autoSpaceDN w:val="0"/>
              <w:bidi w:val="0"/>
              <w:adjustRightInd/>
              <w:snapToGrid/>
              <w:spacing w:line="360" w:lineRule="auto"/>
              <w:ind w:firstLine="512" w:firstLineChars="200"/>
              <w:jc w:val="left"/>
              <w:textAlignment w:val="baseline"/>
              <w:rPr>
                <w:rFonts w:hint="default" w:ascii="Times New Roman" w:hAnsi="Times New Roman" w:eastAsia="宋体" w:cs="Times New Roman"/>
                <w:bCs/>
                <w:snapToGrid w:val="0"/>
                <w:color w:val="auto"/>
                <w:spacing w:val="8"/>
                <w:kern w:val="0"/>
                <w:sz w:val="24"/>
                <w:szCs w:val="72"/>
                <w:lang w:val="en-US" w:eastAsia="zh-CN"/>
              </w:rPr>
            </w:pPr>
            <w:r>
              <w:rPr>
                <w:rFonts w:hint="eastAsia" w:ascii="Times New Roman" w:hAnsi="Times New Roman" w:eastAsia="宋体" w:cs="Times New Roman"/>
                <w:bCs/>
                <w:snapToGrid w:val="0"/>
                <w:color w:val="auto"/>
                <w:spacing w:val="8"/>
                <w:kern w:val="0"/>
                <w:sz w:val="24"/>
                <w:szCs w:val="72"/>
                <w:lang w:val="en-US" w:eastAsia="zh-CN"/>
              </w:rPr>
              <w:t>（3）施工期噪声通过上述措施后，可满足《建筑施工噪声排放标准》（GB12523-2025）相关限值标准。</w:t>
            </w:r>
          </w:p>
          <w:p w14:paraId="5B126EFA">
            <w:pPr>
              <w:keepNext/>
              <w:keepLines/>
              <w:kinsoku w:val="0"/>
              <w:autoSpaceDE w:val="0"/>
              <w:autoSpaceDN w:val="0"/>
              <w:bidi w:val="0"/>
              <w:adjustRightInd/>
              <w:snapToGrid/>
              <w:spacing w:beforeLines="0" w:beforeAutospacing="0" w:afterLines="0" w:afterAutospacing="0" w:line="360" w:lineRule="auto"/>
              <w:jc w:val="left"/>
              <w:textAlignment w:val="baseline"/>
              <w:outlineLvl w:val="1"/>
              <w:rPr>
                <w:rFonts w:hint="eastAsia" w:ascii="Times New Roman" w:hAnsi="Times New Roman" w:eastAsia="宋体" w:cs="Arial"/>
                <w:b/>
                <w:snapToGrid w:val="0"/>
                <w:color w:val="auto"/>
                <w:kern w:val="0"/>
                <w:sz w:val="28"/>
                <w:szCs w:val="21"/>
                <w:lang w:val="en-US" w:eastAsia="zh-CN"/>
              </w:rPr>
            </w:pPr>
            <w:r>
              <w:rPr>
                <w:rFonts w:hint="eastAsia" w:ascii="Times New Roman" w:hAnsi="Times New Roman" w:eastAsia="宋体" w:cs="Arial"/>
                <w:b/>
                <w:snapToGrid w:val="0"/>
                <w:color w:val="auto"/>
                <w:kern w:val="0"/>
                <w:sz w:val="28"/>
                <w:szCs w:val="21"/>
                <w:lang w:val="en-US" w:eastAsia="zh-CN"/>
              </w:rPr>
              <w:t>4.4施工期固体废物防治措施</w:t>
            </w:r>
          </w:p>
          <w:p w14:paraId="4EF32174">
            <w:pPr>
              <w:kinsoku w:val="0"/>
              <w:autoSpaceDE w:val="0"/>
              <w:autoSpaceDN w:val="0"/>
              <w:bidi w:val="0"/>
              <w:adjustRightInd/>
              <w:snapToGrid/>
              <w:spacing w:line="360" w:lineRule="auto"/>
              <w:ind w:firstLine="512" w:firstLineChars="200"/>
              <w:jc w:val="left"/>
              <w:textAlignment w:val="baseline"/>
              <w:rPr>
                <w:rFonts w:hint="eastAsia" w:ascii="Times New Roman" w:hAnsi="Times New Roman" w:eastAsia="宋体" w:cs="Times New Roman"/>
                <w:bCs/>
                <w:snapToGrid w:val="0"/>
                <w:color w:val="auto"/>
                <w:spacing w:val="8"/>
                <w:kern w:val="0"/>
                <w:sz w:val="24"/>
                <w:szCs w:val="72"/>
                <w:lang w:val="en-US" w:eastAsia="zh-CN"/>
              </w:rPr>
            </w:pPr>
            <w:r>
              <w:rPr>
                <w:rFonts w:hint="eastAsia" w:ascii="Times New Roman" w:hAnsi="Times New Roman" w:eastAsia="宋体" w:cs="Times New Roman"/>
                <w:bCs/>
                <w:snapToGrid w:val="0"/>
                <w:color w:val="auto"/>
                <w:spacing w:val="8"/>
                <w:kern w:val="0"/>
                <w:sz w:val="24"/>
                <w:szCs w:val="72"/>
                <w:lang w:val="en-US" w:eastAsia="zh-CN"/>
              </w:rPr>
              <w:t>本项目施工期固体废物主要为建筑垃圾与生活垃圾，</w:t>
            </w:r>
          </w:p>
          <w:p w14:paraId="6C01083F">
            <w:pPr>
              <w:kinsoku w:val="0"/>
              <w:autoSpaceDE w:val="0"/>
              <w:autoSpaceDN w:val="0"/>
              <w:bidi w:val="0"/>
              <w:adjustRightInd/>
              <w:snapToGrid/>
              <w:spacing w:line="360" w:lineRule="auto"/>
              <w:ind w:firstLine="512" w:firstLineChars="200"/>
              <w:jc w:val="left"/>
              <w:textAlignment w:val="baseline"/>
              <w:rPr>
                <w:rFonts w:hint="eastAsia" w:ascii="Times New Roman" w:hAnsi="Times New Roman" w:eastAsia="宋体" w:cs="Times New Roman"/>
                <w:bCs/>
                <w:snapToGrid w:val="0"/>
                <w:color w:val="auto"/>
                <w:spacing w:val="8"/>
                <w:kern w:val="0"/>
                <w:sz w:val="24"/>
                <w:szCs w:val="72"/>
                <w:lang w:val="en-US" w:eastAsia="zh-CN"/>
              </w:rPr>
            </w:pPr>
            <w:r>
              <w:rPr>
                <w:rFonts w:hint="eastAsia" w:ascii="Times New Roman" w:hAnsi="Times New Roman" w:eastAsia="宋体" w:cs="Times New Roman"/>
                <w:bCs/>
                <w:snapToGrid w:val="0"/>
                <w:color w:val="auto"/>
                <w:spacing w:val="8"/>
                <w:kern w:val="0"/>
                <w:sz w:val="24"/>
                <w:szCs w:val="72"/>
                <w:lang w:val="en-US" w:eastAsia="zh-CN"/>
              </w:rPr>
              <w:t>（1）建筑垃圾经分类收集后，尽量综合利用，无法综合利用的建筑垃圾交给符合规定的运输单位运输至政府部门指定的处置点，不得随意倾倒堆置。</w:t>
            </w:r>
          </w:p>
          <w:p w14:paraId="7C5107CA">
            <w:pPr>
              <w:pStyle w:val="31"/>
              <w:bidi w:val="0"/>
              <w:rPr>
                <w:rFonts w:hint="default" w:ascii="Times New Roman" w:hAnsi="Times New Roman" w:cs="Times New Roman"/>
                <w:color w:val="auto"/>
                <w:highlight w:val="none"/>
              </w:rPr>
            </w:pPr>
            <w:r>
              <w:rPr>
                <w:rFonts w:hint="eastAsia" w:ascii="Times New Roman" w:hAnsi="Times New Roman" w:eastAsia="宋体" w:cs="Times New Roman"/>
                <w:bCs/>
                <w:snapToGrid w:val="0"/>
                <w:color w:val="auto"/>
                <w:spacing w:val="8"/>
                <w:kern w:val="0"/>
                <w:sz w:val="24"/>
                <w:szCs w:val="72"/>
                <w:lang w:val="en-US" w:eastAsia="zh-CN"/>
              </w:rPr>
              <w:t>（2）生活垃圾收集后运送至项目区附近垃圾站，后由环卫部门处理</w:t>
            </w:r>
            <w:r>
              <w:rPr>
                <w:rFonts w:hint="default" w:ascii="Times New Roman" w:hAnsi="Times New Roman" w:cs="Times New Roman"/>
                <w:color w:val="auto"/>
                <w:highlight w:val="none"/>
                <w:lang w:val="en-US" w:eastAsia="zh-CN"/>
              </w:rPr>
              <w:t>。</w:t>
            </w:r>
          </w:p>
        </w:tc>
      </w:tr>
      <w:tr w14:paraId="1928DF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6" w:hRule="atLeast"/>
        </w:trPr>
        <w:tc>
          <w:tcPr>
            <w:tcW w:w="671" w:type="dxa"/>
            <w:tcBorders>
              <w:left w:val="single" w:color="000000" w:sz="6" w:space="0"/>
            </w:tcBorders>
            <w:vAlign w:val="center"/>
          </w:tcPr>
          <w:p w14:paraId="08DF44D4">
            <w:pPr>
              <w:bidi w:val="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运营期环境影响和保护措施</w:t>
            </w:r>
          </w:p>
        </w:tc>
        <w:tc>
          <w:tcPr>
            <w:tcW w:w="8241" w:type="dxa"/>
            <w:tcBorders>
              <w:right w:val="single" w:color="000000" w:sz="6" w:space="0"/>
            </w:tcBorders>
            <w:vAlign w:val="center"/>
          </w:tcPr>
          <w:p w14:paraId="0A015BD9">
            <w:pPr>
              <w:pStyle w:val="3"/>
              <w:bidi w:val="0"/>
              <w:rPr>
                <w:rFonts w:hint="eastAsia" w:ascii="Times New Roman" w:hAnsi="Times New Roman" w:eastAsia="宋体" w:cs="Times New Roman"/>
                <w:color w:val="auto"/>
                <w:highlight w:val="none"/>
                <w:lang w:eastAsia="zh-CN"/>
              </w:rPr>
            </w:pPr>
            <w:r>
              <w:rPr>
                <w:rFonts w:hint="default" w:ascii="Times New Roman" w:hAnsi="Times New Roman" w:cs="Times New Roman"/>
                <w:color w:val="auto"/>
                <w:highlight w:val="none"/>
                <w:lang w:val="en-US" w:eastAsia="zh-CN"/>
              </w:rPr>
              <w:t>4.</w:t>
            </w:r>
            <w:r>
              <w:rPr>
                <w:rFonts w:hint="eastAsia" w:cs="Times New Roman"/>
                <w:color w:val="auto"/>
                <w:highlight w:val="none"/>
                <w:lang w:val="en-US" w:eastAsia="zh-CN"/>
              </w:rPr>
              <w:t>5</w:t>
            </w:r>
            <w:r>
              <w:rPr>
                <w:rFonts w:hint="default" w:ascii="Times New Roman" w:hAnsi="Times New Roman" w:cs="Times New Roman"/>
                <w:color w:val="auto"/>
                <w:highlight w:val="none"/>
              </w:rPr>
              <w:t>、</w:t>
            </w:r>
            <w:r>
              <w:rPr>
                <w:rFonts w:hint="eastAsia" w:cs="Times New Roman"/>
                <w:color w:val="auto"/>
                <w:highlight w:val="none"/>
                <w:lang w:val="en-US" w:eastAsia="zh-CN"/>
              </w:rPr>
              <w:t>废气</w:t>
            </w:r>
          </w:p>
          <w:p w14:paraId="1F3B439A">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w:t>
            </w:r>
            <w:r>
              <w:rPr>
                <w:rFonts w:hint="eastAsia" w:cs="Times New Roman"/>
                <w:color w:val="auto"/>
                <w:highlight w:val="none"/>
                <w:lang w:val="en-US" w:eastAsia="zh-CN"/>
              </w:rPr>
              <w:t>5</w:t>
            </w:r>
            <w:r>
              <w:rPr>
                <w:rFonts w:hint="default" w:ascii="Times New Roman" w:hAnsi="Times New Roman" w:cs="Times New Roman"/>
                <w:color w:val="auto"/>
                <w:highlight w:val="none"/>
                <w:lang w:val="en-US" w:eastAsia="zh-CN"/>
              </w:rPr>
              <w:t>.1废气污染源分析</w:t>
            </w:r>
          </w:p>
          <w:p w14:paraId="777A0F63">
            <w:pPr>
              <w:pStyle w:val="31"/>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本项目不设厨房，无油烟废气产生，日常产生的废气主要为宠物本身散发或排泄物产生的异味，</w:t>
            </w:r>
            <w:r>
              <w:rPr>
                <w:rFonts w:hint="eastAsia" w:cs="Times New Roman"/>
                <w:color w:val="auto"/>
                <w:highlight w:val="none"/>
                <w:lang w:val="en-US" w:eastAsia="zh-CN"/>
              </w:rPr>
              <w:t>医疗废物贮存间异味，</w:t>
            </w:r>
            <w:r>
              <w:rPr>
                <w:rFonts w:hint="default" w:ascii="Times New Roman" w:hAnsi="Times New Roman" w:cs="Times New Roman"/>
                <w:color w:val="auto"/>
                <w:highlight w:val="none"/>
                <w:lang w:val="en-US" w:eastAsia="zh-CN"/>
              </w:rPr>
              <w:t>污水处理设施</w:t>
            </w:r>
            <w:r>
              <w:rPr>
                <w:rFonts w:hint="eastAsia" w:cs="Times New Roman"/>
                <w:color w:val="auto"/>
                <w:highlight w:val="none"/>
                <w:lang w:val="en-US" w:eastAsia="zh-CN"/>
              </w:rPr>
              <w:t>产生的异味，均</w:t>
            </w:r>
            <w:r>
              <w:rPr>
                <w:rFonts w:hint="default" w:ascii="Times New Roman" w:hAnsi="Times New Roman" w:cs="Times New Roman"/>
                <w:color w:val="auto"/>
                <w:highlight w:val="none"/>
                <w:lang w:val="en-US" w:eastAsia="zh-CN"/>
              </w:rPr>
              <w:t>以臭气浓度表征。</w:t>
            </w:r>
          </w:p>
          <w:p w14:paraId="19FCF8B3">
            <w:pPr>
              <w:pStyle w:val="31"/>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接诊的动物均为猫与狗，产生的粪便较少，动物粪便、尿液会产生少量异味，且安置在笼中，笼子下方为托盘，托盘中放有猫砂便于吸收粪尿，同时猫砂还具有吸附和抑制臭味气体散发的作用。动物粪尿被猫砂吸收包裹后及时由工作人员清除并装入专门的密封袋中密封保存。本项目在整个营业区域范围内设置</w:t>
            </w:r>
            <w:r>
              <w:rPr>
                <w:rFonts w:hint="eastAsia" w:cs="Times New Roman"/>
                <w:color w:val="auto"/>
                <w:highlight w:val="none"/>
                <w:lang w:val="en-US" w:eastAsia="zh-CN"/>
              </w:rPr>
              <w:t>紫外灯消毒、</w:t>
            </w:r>
            <w:r>
              <w:rPr>
                <w:rFonts w:hint="default" w:ascii="Times New Roman" w:hAnsi="Times New Roman" w:cs="Times New Roman"/>
                <w:color w:val="auto"/>
                <w:highlight w:val="none"/>
                <w:lang w:val="en-US" w:eastAsia="zh-CN"/>
              </w:rPr>
              <w:t>新风系统，该新风系统在各科室及公共区域等天花板上均设置有通风换气口，能够收集到整个院区的异味，包括诊疗室、美容区、住院室等各个区域产生的异味，同时，建设单位应通过加强管理，及时打扫、清运笼舍区域产生的固废</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粪便等</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，喷洒生物除臭剂，减少空气中的异味；故宠物散发的臭气量极小，不对宠物散发的少量臭气进行定量分析。</w:t>
            </w:r>
          </w:p>
          <w:p w14:paraId="17D222E7">
            <w:pPr>
              <w:pStyle w:val="31"/>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污水处理设施为密闭的一体化污水处理设备，产生的恶臭较少，同时医疗废水在污水处理设施内停留时间极短，产生的异味影响强度较小</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经加强通风和定期消毒处理后，对周边环境影响小。</w:t>
            </w:r>
          </w:p>
          <w:p w14:paraId="234BC6E3">
            <w:pPr>
              <w:pStyle w:val="31"/>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项目设置</w:t>
            </w:r>
            <w:r>
              <w:rPr>
                <w:rFonts w:hint="eastAsia" w:cs="Times New Roman"/>
                <w:color w:val="auto"/>
                <w:highlight w:val="none"/>
                <w:lang w:val="en-US" w:eastAsia="zh-CN"/>
              </w:rPr>
              <w:t>医疗废物贮存间</w:t>
            </w:r>
            <w:r>
              <w:rPr>
                <w:rFonts w:hint="default" w:ascii="Times New Roman" w:hAnsi="Times New Roman" w:cs="Times New Roman"/>
                <w:color w:val="auto"/>
                <w:highlight w:val="none"/>
              </w:rPr>
              <w:t>1间，位于</w:t>
            </w:r>
            <w:r>
              <w:rPr>
                <w:rFonts w:hint="eastAsia" w:cs="Times New Roman"/>
                <w:color w:val="auto"/>
                <w:highlight w:val="none"/>
                <w:lang w:val="en-US" w:eastAsia="zh-CN"/>
              </w:rPr>
              <w:t>负</w:t>
            </w:r>
            <w:r>
              <w:rPr>
                <w:rFonts w:hint="default" w:ascii="Times New Roman" w:hAnsi="Times New Roman" w:cs="Times New Roman"/>
                <w:color w:val="auto"/>
                <w:highlight w:val="none"/>
              </w:rPr>
              <w:t>一层，主要用于存放医疗废物，医疗废物储存过程中将产生少量异味。对医疗废物储存加盖密封，同时加强管理，做好消毒工作，及时清运，定期进行</w:t>
            </w:r>
            <w:r>
              <w:rPr>
                <w:rFonts w:hint="eastAsia" w:cs="Times New Roman"/>
                <w:color w:val="auto"/>
                <w:highlight w:val="none"/>
                <w:lang w:val="en-US" w:eastAsia="zh-CN"/>
              </w:rPr>
              <w:t>医疗废物贮存间</w:t>
            </w:r>
            <w:r>
              <w:rPr>
                <w:rFonts w:hint="default" w:ascii="Times New Roman" w:hAnsi="Times New Roman" w:cs="Times New Roman"/>
                <w:color w:val="auto"/>
                <w:highlight w:val="none"/>
              </w:rPr>
              <w:t>存储设施、设备的清洁和消毒工作，确保医疗废物的暂存时间最多不超过2天。</w:t>
            </w:r>
          </w:p>
          <w:p w14:paraId="03BF2ACB">
            <w:pPr>
              <w:pStyle w:val="31"/>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类比同类型项目</w:t>
            </w:r>
            <w:r>
              <w:rPr>
                <w:rFonts w:hint="eastAsia" w:ascii="宋体" w:hAnsi="宋体" w:eastAsia="宋体"/>
                <w:color w:val="auto"/>
                <w:sz w:val="24"/>
                <w:szCs w:val="24"/>
              </w:rPr>
              <w:t>裕华区博爱动物医院建设项目</w:t>
            </w:r>
            <w:r>
              <w:rPr>
                <w:rFonts w:hint="eastAsia" w:ascii="宋体" w:hAnsi="宋体" w:eastAsia="宋体"/>
                <w:color w:val="auto"/>
                <w:sz w:val="24"/>
                <w:szCs w:val="24"/>
                <w:lang w:eastAsia="zh-CN"/>
              </w:rPr>
              <w:t>，</w:t>
            </w:r>
            <w:r>
              <w:rPr>
                <w:rFonts w:hint="eastAsia" w:ascii="宋体" w:hAnsi="宋体" w:eastAsia="宋体"/>
                <w:color w:val="auto"/>
                <w:sz w:val="24"/>
                <w:szCs w:val="24"/>
                <w:lang w:val="en-US" w:eastAsia="zh-CN"/>
              </w:rPr>
              <w:t>根据</w:t>
            </w:r>
            <w:r>
              <w:rPr>
                <w:rFonts w:hint="default" w:ascii="Times New Roman" w:hAnsi="Times New Roman" w:cs="Times New Roman"/>
                <w:color w:val="auto"/>
                <w:highlight w:val="none"/>
              </w:rPr>
              <w:t>《裕华区博爱动物医院建设项目竣工环境保护验收监测报告》中的检测数据，该项目厂界无组织</w:t>
            </w:r>
            <w:r>
              <w:rPr>
                <w:rFonts w:hint="default" w:ascii="Times New Roman" w:hAnsi="Times New Roman" w:eastAsia="宋体" w:cs="Times New Roman"/>
                <w:color w:val="auto"/>
                <w:sz w:val="24"/>
                <w:szCs w:val="24"/>
              </w:rPr>
              <w:t>氨排放浓度均&lt;1.5mg/m</w:t>
            </w:r>
            <w:r>
              <w:rPr>
                <w:rFonts w:hint="default" w:ascii="Times New Roman" w:hAnsi="Times New Roman" w:eastAsia="宋体" w:cs="Times New Roman"/>
                <w:color w:val="auto"/>
                <w:sz w:val="24"/>
                <w:szCs w:val="24"/>
                <w:vertAlign w:val="superscript"/>
              </w:rPr>
              <w:t>3</w:t>
            </w:r>
            <w:r>
              <w:rPr>
                <w:rFonts w:hint="default" w:ascii="Times New Roman" w:hAnsi="Times New Roman" w:eastAsia="宋体" w:cs="Times New Roman"/>
                <w:color w:val="auto"/>
                <w:sz w:val="24"/>
                <w:szCs w:val="24"/>
              </w:rPr>
              <w:t>，硫化氢排放浓度均&lt;0.06mg/m</w:t>
            </w:r>
            <w:r>
              <w:rPr>
                <w:rFonts w:hint="default" w:ascii="Times New Roman" w:hAnsi="Times New Roman" w:eastAsia="宋体" w:cs="Times New Roman"/>
                <w:color w:val="auto"/>
                <w:sz w:val="24"/>
                <w:szCs w:val="24"/>
                <w:vertAlign w:val="superscript"/>
              </w:rPr>
              <w:t>3</w:t>
            </w:r>
            <w:r>
              <w:rPr>
                <w:rFonts w:hint="default" w:ascii="Times New Roman" w:hAnsi="Times New Roman" w:eastAsia="宋体" w:cs="Times New Roman"/>
                <w:color w:val="auto"/>
                <w:sz w:val="24"/>
                <w:szCs w:val="24"/>
              </w:rPr>
              <w:t>，臭气浓度监测结果均&lt;20（无量纲）；污水处理设施氨排放浓度均&lt;1.0mg/m</w:t>
            </w:r>
            <w:r>
              <w:rPr>
                <w:rFonts w:hint="default" w:ascii="Times New Roman" w:hAnsi="Times New Roman" w:eastAsia="宋体" w:cs="Times New Roman"/>
                <w:color w:val="auto"/>
                <w:sz w:val="24"/>
                <w:szCs w:val="24"/>
                <w:vertAlign w:val="superscript"/>
              </w:rPr>
              <w:t>3</w:t>
            </w:r>
            <w:r>
              <w:rPr>
                <w:rFonts w:hint="default" w:ascii="Times New Roman" w:hAnsi="Times New Roman" w:eastAsia="宋体" w:cs="Times New Roman"/>
                <w:color w:val="auto"/>
                <w:sz w:val="24"/>
                <w:szCs w:val="24"/>
              </w:rPr>
              <w:t>，硫化氢排放浓度均&lt;0.03mg/m</w:t>
            </w:r>
            <w:r>
              <w:rPr>
                <w:rFonts w:hint="default" w:ascii="Times New Roman" w:hAnsi="Times New Roman" w:eastAsia="宋体" w:cs="Times New Roman"/>
                <w:color w:val="auto"/>
                <w:sz w:val="24"/>
                <w:szCs w:val="24"/>
                <w:vertAlign w:val="superscript"/>
              </w:rPr>
              <w:t>3</w:t>
            </w:r>
            <w:r>
              <w:rPr>
                <w:rFonts w:hint="default" w:ascii="Times New Roman" w:hAnsi="Times New Roman" w:eastAsia="宋体" w:cs="Times New Roman"/>
                <w:color w:val="auto"/>
                <w:sz w:val="24"/>
                <w:szCs w:val="24"/>
              </w:rPr>
              <w:t>，臭气浓度监测结果均&lt;10（无量纲），甲烷（指处理站内最高体积百分数）＜1%</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rPr>
              <w:t>类比可行性分析见表4-1。</w:t>
            </w:r>
          </w:p>
          <w:p w14:paraId="24014C15">
            <w:pPr>
              <w:pStyle w:val="29"/>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eastAsia="zh-CN"/>
              </w:rPr>
              <w:t>表</w:t>
            </w:r>
            <w:r>
              <w:rPr>
                <w:rFonts w:hint="eastAsia" w:cs="Times New Roman"/>
                <w:color w:val="auto"/>
                <w:highlight w:val="none"/>
                <w:lang w:val="en-US" w:eastAsia="zh-CN"/>
              </w:rPr>
              <w:t>4-1</w:t>
            </w:r>
            <w:r>
              <w:rPr>
                <w:rFonts w:hint="default" w:ascii="Times New Roman" w:hAnsi="Times New Roman" w:cs="Times New Roman"/>
                <w:color w:val="auto"/>
                <w:highlight w:val="none"/>
                <w:lang w:val="en-US" w:eastAsia="zh-CN"/>
              </w:rPr>
              <w:t xml:space="preserve">   </w:t>
            </w:r>
            <w:r>
              <w:rPr>
                <w:rFonts w:hint="eastAsia" w:cs="Times New Roman"/>
                <w:color w:val="auto"/>
                <w:highlight w:val="none"/>
                <w:lang w:val="en-US" w:eastAsia="zh-CN"/>
              </w:rPr>
              <w:t>类比项目与本项目对比表</w:t>
            </w:r>
          </w:p>
          <w:tbl>
            <w:tblPr>
              <w:tblStyle w:val="18"/>
              <w:tblW w:w="4885" w:type="pct"/>
              <w:jc w:val="center"/>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Layout w:type="autofit"/>
              <w:tblCellMar>
                <w:top w:w="0" w:type="dxa"/>
                <w:left w:w="0" w:type="dxa"/>
                <w:bottom w:w="0" w:type="dxa"/>
                <w:right w:w="0" w:type="dxa"/>
              </w:tblCellMar>
            </w:tblPr>
            <w:tblGrid>
              <w:gridCol w:w="1677"/>
              <w:gridCol w:w="2966"/>
              <w:gridCol w:w="2550"/>
              <w:gridCol w:w="838"/>
            </w:tblGrid>
            <w:tr w14:paraId="515E4388">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044" w:type="pct"/>
                  <w:tcBorders>
                    <w:tl2br w:val="nil"/>
                    <w:tr2bl w:val="nil"/>
                  </w:tcBorders>
                  <w:noWrap w:val="0"/>
                  <w:vAlign w:val="center"/>
                </w:tcPr>
                <w:p w14:paraId="1F5A607C">
                  <w:pPr>
                    <w:spacing w:line="240" w:lineRule="atLeast"/>
                    <w:ind w:firstLine="0" w:firstLineChars="0"/>
                    <w:jc w:val="center"/>
                    <w:rPr>
                      <w:rFonts w:hint="default" w:ascii="Times New Roman" w:hAnsi="Times New Roman" w:cs="Times New Roman"/>
                      <w:b/>
                      <w:color w:val="auto"/>
                      <w:sz w:val="21"/>
                      <w:szCs w:val="21"/>
                      <w:highlight w:val="none"/>
                      <w:lang w:val="en-US" w:eastAsia="zh-CN"/>
                    </w:rPr>
                  </w:pPr>
                  <w:r>
                    <w:rPr>
                      <w:rFonts w:hint="eastAsia" w:cs="Times New Roman"/>
                      <w:b/>
                      <w:color w:val="auto"/>
                      <w:sz w:val="21"/>
                      <w:szCs w:val="21"/>
                      <w:highlight w:val="none"/>
                      <w:lang w:val="en-US" w:eastAsia="zh-CN"/>
                    </w:rPr>
                    <w:t>项目</w:t>
                  </w:r>
                </w:p>
              </w:tc>
              <w:tc>
                <w:tcPr>
                  <w:tcW w:w="1846" w:type="pct"/>
                  <w:tcBorders>
                    <w:tl2br w:val="nil"/>
                    <w:tr2bl w:val="nil"/>
                  </w:tcBorders>
                  <w:noWrap w:val="0"/>
                  <w:vAlign w:val="center"/>
                </w:tcPr>
                <w:p w14:paraId="2C9714DE">
                  <w:pPr>
                    <w:spacing w:line="240" w:lineRule="atLeast"/>
                    <w:ind w:firstLine="0" w:firstLineChars="0"/>
                    <w:jc w:val="center"/>
                    <w:rPr>
                      <w:rFonts w:hint="default" w:ascii="Times New Roman" w:hAnsi="Times New Roman" w:cs="Times New Roman"/>
                      <w:b/>
                      <w:color w:val="auto"/>
                      <w:sz w:val="21"/>
                      <w:szCs w:val="21"/>
                      <w:highlight w:val="none"/>
                      <w:lang w:eastAsia="zh-CN"/>
                    </w:rPr>
                  </w:pPr>
                  <w:r>
                    <w:rPr>
                      <w:rFonts w:hint="eastAsia" w:cs="Times New Roman"/>
                      <w:b/>
                      <w:color w:val="auto"/>
                      <w:sz w:val="21"/>
                      <w:szCs w:val="21"/>
                      <w:highlight w:val="none"/>
                      <w:lang w:val="en-US" w:eastAsia="zh-CN"/>
                    </w:rPr>
                    <w:t>类比项目</w:t>
                  </w:r>
                </w:p>
              </w:tc>
              <w:tc>
                <w:tcPr>
                  <w:tcW w:w="1587" w:type="pct"/>
                  <w:tcBorders>
                    <w:tl2br w:val="nil"/>
                    <w:tr2bl w:val="nil"/>
                  </w:tcBorders>
                  <w:noWrap w:val="0"/>
                  <w:vAlign w:val="center"/>
                </w:tcPr>
                <w:p w14:paraId="07246B7C">
                  <w:pPr>
                    <w:spacing w:line="240" w:lineRule="atLeast"/>
                    <w:ind w:firstLine="0" w:firstLineChars="0"/>
                    <w:jc w:val="center"/>
                    <w:rPr>
                      <w:rFonts w:hint="default" w:ascii="Times New Roman" w:hAnsi="Times New Roman" w:cs="Times New Roman"/>
                      <w:b/>
                      <w:color w:val="auto"/>
                      <w:sz w:val="21"/>
                      <w:szCs w:val="21"/>
                      <w:highlight w:val="none"/>
                      <w:lang w:val="en-US" w:eastAsia="zh-CN"/>
                    </w:rPr>
                  </w:pPr>
                  <w:r>
                    <w:rPr>
                      <w:rFonts w:hint="eastAsia" w:cs="Times New Roman"/>
                      <w:b/>
                      <w:color w:val="auto"/>
                      <w:sz w:val="21"/>
                      <w:szCs w:val="21"/>
                      <w:highlight w:val="none"/>
                      <w:lang w:val="en-US" w:eastAsia="zh-CN"/>
                    </w:rPr>
                    <w:t>本项目</w:t>
                  </w:r>
                </w:p>
              </w:tc>
              <w:tc>
                <w:tcPr>
                  <w:tcW w:w="521" w:type="pct"/>
                  <w:tcBorders>
                    <w:tl2br w:val="nil"/>
                    <w:tr2bl w:val="nil"/>
                  </w:tcBorders>
                  <w:noWrap w:val="0"/>
                  <w:vAlign w:val="center"/>
                </w:tcPr>
                <w:p w14:paraId="0B015814">
                  <w:pPr>
                    <w:spacing w:line="240" w:lineRule="atLeast"/>
                    <w:ind w:firstLine="0" w:firstLineChars="0"/>
                    <w:jc w:val="center"/>
                    <w:rPr>
                      <w:rFonts w:hint="default" w:ascii="Times New Roman" w:hAnsi="Times New Roman" w:cs="Times New Roman"/>
                      <w:b/>
                      <w:color w:val="auto"/>
                      <w:sz w:val="21"/>
                      <w:szCs w:val="21"/>
                      <w:highlight w:val="none"/>
                      <w:lang w:val="en-US" w:eastAsia="zh-CN"/>
                    </w:rPr>
                  </w:pPr>
                  <w:r>
                    <w:rPr>
                      <w:rFonts w:hint="eastAsia" w:cs="Times New Roman"/>
                      <w:b/>
                      <w:color w:val="auto"/>
                      <w:sz w:val="21"/>
                      <w:szCs w:val="21"/>
                      <w:highlight w:val="none"/>
                      <w:lang w:val="en-US" w:eastAsia="zh-CN"/>
                    </w:rPr>
                    <w:t>可比性</w:t>
                  </w:r>
                </w:p>
              </w:tc>
            </w:tr>
            <w:tr w14:paraId="37EE717D">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044" w:type="pct"/>
                  <w:tcBorders>
                    <w:tl2br w:val="nil"/>
                    <w:tr2bl w:val="nil"/>
                  </w:tcBorders>
                  <w:noWrap w:val="0"/>
                  <w:vAlign w:val="center"/>
                </w:tcPr>
                <w:p w14:paraId="197A283F">
                  <w:pPr>
                    <w:spacing w:line="240" w:lineRule="atLeast"/>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医院性质</w:t>
                  </w:r>
                </w:p>
              </w:tc>
              <w:tc>
                <w:tcPr>
                  <w:tcW w:w="1846" w:type="pct"/>
                  <w:tcBorders>
                    <w:tl2br w:val="nil"/>
                    <w:tr2bl w:val="nil"/>
                  </w:tcBorders>
                  <w:noWrap w:val="0"/>
                  <w:vAlign w:val="center"/>
                </w:tcPr>
                <w:p w14:paraId="616A8B5A">
                  <w:pPr>
                    <w:spacing w:line="240" w:lineRule="atLeast"/>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宋体" w:hAnsi="宋体" w:eastAsia="宋体"/>
                      <w:color w:val="auto"/>
                      <w:sz w:val="21"/>
                      <w:szCs w:val="24"/>
                      <w:highlight w:val="none"/>
                    </w:rPr>
                    <w:t>宠物</w:t>
                  </w:r>
                  <w:r>
                    <w:rPr>
                      <w:rFonts w:hint="eastAsia" w:ascii="宋体" w:hAnsi="宋体" w:eastAsia="宋体"/>
                      <w:color w:val="auto"/>
                      <w:sz w:val="21"/>
                      <w:szCs w:val="24"/>
                      <w:highlight w:val="none"/>
                      <w:lang w:val="en-US" w:eastAsia="zh-CN"/>
                    </w:rPr>
                    <w:t>医院</w:t>
                  </w:r>
                </w:p>
              </w:tc>
              <w:tc>
                <w:tcPr>
                  <w:tcW w:w="1587" w:type="pct"/>
                  <w:tcBorders>
                    <w:tl2br w:val="nil"/>
                    <w:tr2bl w:val="nil"/>
                  </w:tcBorders>
                  <w:noWrap w:val="0"/>
                  <w:vAlign w:val="center"/>
                </w:tcPr>
                <w:p w14:paraId="4F9EF0DC">
                  <w:pPr>
                    <w:spacing w:line="240" w:lineRule="atLeast"/>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宋体" w:hAnsi="宋体" w:eastAsia="宋体"/>
                      <w:color w:val="auto"/>
                      <w:sz w:val="21"/>
                      <w:szCs w:val="24"/>
                      <w:highlight w:val="none"/>
                    </w:rPr>
                    <w:t>宠物</w:t>
                  </w:r>
                  <w:r>
                    <w:rPr>
                      <w:rFonts w:hint="eastAsia" w:ascii="宋体" w:hAnsi="宋体" w:eastAsia="宋体"/>
                      <w:color w:val="auto"/>
                      <w:sz w:val="21"/>
                      <w:szCs w:val="24"/>
                      <w:highlight w:val="none"/>
                      <w:lang w:val="en-US" w:eastAsia="zh-CN"/>
                    </w:rPr>
                    <w:t>医院</w:t>
                  </w:r>
                </w:p>
              </w:tc>
              <w:tc>
                <w:tcPr>
                  <w:tcW w:w="521" w:type="pct"/>
                  <w:tcBorders>
                    <w:tl2br w:val="nil"/>
                    <w:tr2bl w:val="nil"/>
                  </w:tcBorders>
                  <w:noWrap w:val="0"/>
                  <w:vAlign w:val="center"/>
                </w:tcPr>
                <w:p w14:paraId="6D639928">
                  <w:pPr>
                    <w:spacing w:line="240" w:lineRule="atLeast"/>
                    <w:ind w:firstLine="0" w:firstLineChars="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相同</w:t>
                  </w:r>
                </w:p>
              </w:tc>
            </w:tr>
            <w:tr w14:paraId="6CDF87B5">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044" w:type="pct"/>
                  <w:tcBorders>
                    <w:tl2br w:val="nil"/>
                    <w:tr2bl w:val="nil"/>
                  </w:tcBorders>
                  <w:noWrap w:val="0"/>
                  <w:vAlign w:val="center"/>
                </w:tcPr>
                <w:p w14:paraId="51E8555F">
                  <w:pPr>
                    <w:spacing w:line="240" w:lineRule="atLeast"/>
                    <w:ind w:firstLine="0" w:firstLineChars="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经营范围</w:t>
                  </w:r>
                </w:p>
              </w:tc>
              <w:tc>
                <w:tcPr>
                  <w:tcW w:w="1846" w:type="pct"/>
                  <w:tcBorders>
                    <w:tl2br w:val="nil"/>
                    <w:tr2bl w:val="nil"/>
                  </w:tcBorders>
                  <w:noWrap w:val="0"/>
                  <w:vAlign w:val="center"/>
                </w:tcPr>
                <w:p w14:paraId="53AB2D81">
                  <w:pPr>
                    <w:spacing w:line="240" w:lineRule="atLeast"/>
                    <w:ind w:firstLine="0" w:firstLine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动物诊疗、手术及宠物美容等</w:t>
                  </w:r>
                </w:p>
              </w:tc>
              <w:tc>
                <w:tcPr>
                  <w:tcW w:w="1587" w:type="pct"/>
                  <w:tcBorders>
                    <w:tl2br w:val="nil"/>
                    <w:tr2bl w:val="nil"/>
                  </w:tcBorders>
                  <w:noWrap w:val="0"/>
                  <w:vAlign w:val="center"/>
                </w:tcPr>
                <w:p w14:paraId="2998DB37">
                  <w:pPr>
                    <w:spacing w:line="240" w:lineRule="atLeast"/>
                    <w:ind w:firstLine="0" w:firstLine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动物诊疗、手术</w:t>
                  </w:r>
                  <w:r>
                    <w:rPr>
                      <w:rFonts w:hint="eastAsia" w:cs="Times New Roman"/>
                      <w:color w:val="auto"/>
                      <w:sz w:val="21"/>
                      <w:szCs w:val="21"/>
                      <w:highlight w:val="none"/>
                      <w:lang w:val="en-US" w:eastAsia="zh-CN"/>
                    </w:rPr>
                    <w:t>及宠物美容</w:t>
                  </w:r>
                </w:p>
              </w:tc>
              <w:tc>
                <w:tcPr>
                  <w:tcW w:w="521" w:type="pct"/>
                  <w:tcBorders>
                    <w:tl2br w:val="nil"/>
                    <w:tr2bl w:val="nil"/>
                  </w:tcBorders>
                  <w:noWrap w:val="0"/>
                  <w:vAlign w:val="center"/>
                </w:tcPr>
                <w:p w14:paraId="6359C171">
                  <w:pPr>
                    <w:spacing w:line="240" w:lineRule="atLeast"/>
                    <w:ind w:firstLine="0" w:firstLineChars="0"/>
                    <w:jc w:val="center"/>
                    <w:rPr>
                      <w:rFonts w:hint="default" w:ascii="Times New Roman" w:hAnsi="Times New Roman" w:cs="Times New Roman"/>
                      <w:color w:val="auto"/>
                      <w:sz w:val="21"/>
                      <w:szCs w:val="21"/>
                      <w:highlight w:val="none"/>
                      <w:lang w:eastAsia="zh-CN"/>
                    </w:rPr>
                  </w:pPr>
                  <w:r>
                    <w:rPr>
                      <w:rFonts w:hint="eastAsia" w:cs="Times New Roman"/>
                      <w:color w:val="auto"/>
                      <w:sz w:val="21"/>
                      <w:szCs w:val="21"/>
                      <w:highlight w:val="none"/>
                      <w:lang w:val="en-US" w:eastAsia="zh-CN"/>
                    </w:rPr>
                    <w:t>相同</w:t>
                  </w:r>
                </w:p>
              </w:tc>
            </w:tr>
            <w:tr w14:paraId="2B0A6B78">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044" w:type="pct"/>
                  <w:tcBorders>
                    <w:tl2br w:val="nil"/>
                    <w:tr2bl w:val="nil"/>
                  </w:tcBorders>
                  <w:noWrap w:val="0"/>
                  <w:vAlign w:val="center"/>
                </w:tcPr>
                <w:p w14:paraId="1EC3A9BA">
                  <w:pPr>
                    <w:spacing w:line="240" w:lineRule="atLeast"/>
                    <w:ind w:firstLine="0" w:firstLineChars="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宠物接诊量</w:t>
                  </w:r>
                </w:p>
              </w:tc>
              <w:tc>
                <w:tcPr>
                  <w:tcW w:w="1846" w:type="pct"/>
                  <w:tcBorders>
                    <w:tl2br w:val="nil"/>
                    <w:tr2bl w:val="nil"/>
                  </w:tcBorders>
                  <w:noWrap w:val="0"/>
                  <w:vAlign w:val="center"/>
                </w:tcPr>
                <w:p w14:paraId="67D99C11">
                  <w:pPr>
                    <w:spacing w:line="240" w:lineRule="atLeast"/>
                    <w:ind w:firstLine="0" w:firstLine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10只/d</w:t>
                  </w:r>
                </w:p>
              </w:tc>
              <w:tc>
                <w:tcPr>
                  <w:tcW w:w="1587" w:type="pct"/>
                  <w:tcBorders>
                    <w:tl2br w:val="nil"/>
                    <w:tr2bl w:val="nil"/>
                  </w:tcBorders>
                  <w:noWrap w:val="0"/>
                  <w:vAlign w:val="center"/>
                </w:tcPr>
                <w:p w14:paraId="474A7412">
                  <w:pPr>
                    <w:spacing w:line="240" w:lineRule="atLeast"/>
                    <w:ind w:firstLine="0" w:firstLineChars="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10</w:t>
                  </w:r>
                  <w:r>
                    <w:rPr>
                      <w:rFonts w:hint="default" w:ascii="Times New Roman" w:hAnsi="Times New Roman" w:cs="Times New Roman"/>
                      <w:color w:val="auto"/>
                      <w:sz w:val="21"/>
                      <w:szCs w:val="21"/>
                      <w:highlight w:val="none"/>
                      <w:lang w:val="en-US" w:eastAsia="zh-CN"/>
                    </w:rPr>
                    <w:t>只/d</w:t>
                  </w:r>
                </w:p>
              </w:tc>
              <w:tc>
                <w:tcPr>
                  <w:tcW w:w="521" w:type="pct"/>
                  <w:tcBorders>
                    <w:tl2br w:val="nil"/>
                    <w:tr2bl w:val="nil"/>
                  </w:tcBorders>
                  <w:noWrap w:val="0"/>
                  <w:vAlign w:val="center"/>
                </w:tcPr>
                <w:p w14:paraId="5518FB5C">
                  <w:pPr>
                    <w:spacing w:line="240" w:lineRule="atLeast"/>
                    <w:ind w:firstLine="0" w:firstLineChars="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相同</w:t>
                  </w:r>
                </w:p>
              </w:tc>
            </w:tr>
            <w:tr w14:paraId="3793FEB3">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044" w:type="pct"/>
                  <w:tcBorders>
                    <w:tl2br w:val="nil"/>
                    <w:tr2bl w:val="nil"/>
                  </w:tcBorders>
                  <w:noWrap w:val="0"/>
                  <w:vAlign w:val="center"/>
                </w:tcPr>
                <w:p w14:paraId="3B9C7D24">
                  <w:pPr>
                    <w:spacing w:line="240" w:lineRule="atLeast"/>
                    <w:ind w:firstLine="0" w:firstLineChars="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废气治疗方式</w:t>
                  </w:r>
                </w:p>
              </w:tc>
              <w:tc>
                <w:tcPr>
                  <w:tcW w:w="1846" w:type="pct"/>
                  <w:tcBorders>
                    <w:tl2br w:val="nil"/>
                    <w:tr2bl w:val="nil"/>
                  </w:tcBorders>
                  <w:noWrap w:val="0"/>
                  <w:vAlign w:val="center"/>
                </w:tcPr>
                <w:p w14:paraId="2E74290D">
                  <w:pPr>
                    <w:spacing w:line="240" w:lineRule="atLeast"/>
                    <w:ind w:firstLine="0" w:firstLine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项目污水处理设施密闭，置于封闭场所，医废桶加盖、整体密闭，对室内、动物笼及时清理清洁，采取紫外线灯消毒、喷洒除臭剂、空气清新剂等净化措施，并注意加强通风。</w:t>
                  </w:r>
                </w:p>
              </w:tc>
              <w:tc>
                <w:tcPr>
                  <w:tcW w:w="1587" w:type="pct"/>
                  <w:tcBorders>
                    <w:tl2br w:val="nil"/>
                    <w:tr2bl w:val="nil"/>
                  </w:tcBorders>
                  <w:noWrap w:val="0"/>
                  <w:vAlign w:val="center"/>
                </w:tcPr>
                <w:p w14:paraId="602D4D18">
                  <w:pPr>
                    <w:spacing w:line="240" w:lineRule="atLeast"/>
                    <w:ind w:firstLine="0" w:firstLine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污水处理设施密闭，动物笼及时清理，紫外灯消毒；新风系统；喷洒生物除臭剂、空气清新剂等净化措施，贮存医疗废物设施加盖密闭</w:t>
                  </w:r>
                </w:p>
              </w:tc>
              <w:tc>
                <w:tcPr>
                  <w:tcW w:w="521" w:type="pct"/>
                  <w:tcBorders>
                    <w:tl2br w:val="nil"/>
                    <w:tr2bl w:val="nil"/>
                  </w:tcBorders>
                  <w:noWrap w:val="0"/>
                  <w:vAlign w:val="center"/>
                </w:tcPr>
                <w:p w14:paraId="1CCB6948">
                  <w:pPr>
                    <w:spacing w:line="240" w:lineRule="atLeast"/>
                    <w:ind w:firstLine="0" w:firstLineChars="0"/>
                    <w:jc w:val="center"/>
                    <w:rPr>
                      <w:rFonts w:hint="default" w:ascii="Times New Roman" w:hAnsi="Times New Roman" w:cs="Times New Roman"/>
                      <w:color w:val="auto"/>
                      <w:sz w:val="21"/>
                      <w:szCs w:val="21"/>
                      <w:highlight w:val="none"/>
                      <w:lang w:eastAsia="zh-CN"/>
                    </w:rPr>
                  </w:pPr>
                  <w:r>
                    <w:rPr>
                      <w:rFonts w:hint="eastAsia" w:cs="Times New Roman"/>
                      <w:color w:val="auto"/>
                      <w:sz w:val="21"/>
                      <w:szCs w:val="21"/>
                      <w:highlight w:val="none"/>
                      <w:lang w:val="en-US" w:eastAsia="zh-CN"/>
                    </w:rPr>
                    <w:t>相同</w:t>
                  </w:r>
                </w:p>
              </w:tc>
            </w:tr>
            <w:tr w14:paraId="0417D4E9">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044" w:type="pct"/>
                  <w:tcBorders>
                    <w:tl2br w:val="nil"/>
                    <w:tr2bl w:val="nil"/>
                  </w:tcBorders>
                  <w:noWrap w:val="0"/>
                  <w:vAlign w:val="center"/>
                </w:tcPr>
                <w:p w14:paraId="74C7D7A0">
                  <w:pPr>
                    <w:spacing w:line="240" w:lineRule="atLeast"/>
                    <w:ind w:firstLine="0" w:firstLineChars="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废气排放方式</w:t>
                  </w:r>
                </w:p>
              </w:tc>
              <w:tc>
                <w:tcPr>
                  <w:tcW w:w="1846" w:type="pct"/>
                  <w:tcBorders>
                    <w:tl2br w:val="nil"/>
                    <w:tr2bl w:val="nil"/>
                  </w:tcBorders>
                  <w:noWrap w:val="0"/>
                  <w:vAlign w:val="center"/>
                </w:tcPr>
                <w:p w14:paraId="784529CB">
                  <w:pPr>
                    <w:spacing w:line="240" w:lineRule="atLeast"/>
                    <w:ind w:firstLine="0" w:firstLineChars="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无组织排放</w:t>
                  </w:r>
                </w:p>
              </w:tc>
              <w:tc>
                <w:tcPr>
                  <w:tcW w:w="1587" w:type="pct"/>
                  <w:tcBorders>
                    <w:tl2br w:val="nil"/>
                    <w:tr2bl w:val="nil"/>
                  </w:tcBorders>
                  <w:noWrap w:val="0"/>
                  <w:vAlign w:val="center"/>
                </w:tcPr>
                <w:p w14:paraId="1BA78F71">
                  <w:pPr>
                    <w:spacing w:line="240" w:lineRule="atLeast"/>
                    <w:ind w:firstLine="0" w:firstLineChars="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无组织排放</w:t>
                  </w:r>
                </w:p>
              </w:tc>
              <w:tc>
                <w:tcPr>
                  <w:tcW w:w="521" w:type="pct"/>
                  <w:tcBorders>
                    <w:tl2br w:val="nil"/>
                    <w:tr2bl w:val="nil"/>
                  </w:tcBorders>
                  <w:noWrap w:val="0"/>
                  <w:vAlign w:val="center"/>
                </w:tcPr>
                <w:p w14:paraId="750FB0D1">
                  <w:pPr>
                    <w:spacing w:line="240" w:lineRule="atLeast"/>
                    <w:ind w:firstLine="0" w:firstLineChars="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相同</w:t>
                  </w:r>
                </w:p>
              </w:tc>
            </w:tr>
          </w:tbl>
          <w:p w14:paraId="4968D678">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w:t>
            </w:r>
            <w:r>
              <w:rPr>
                <w:rFonts w:hint="eastAsia" w:cs="Times New Roman"/>
                <w:color w:val="auto"/>
                <w:highlight w:val="none"/>
                <w:lang w:val="en-US" w:eastAsia="zh-CN"/>
              </w:rPr>
              <w:t>5</w:t>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废气治理</w:t>
            </w:r>
            <w:r>
              <w:rPr>
                <w:rFonts w:hint="default" w:ascii="Times New Roman" w:hAnsi="Times New Roman" w:cs="Times New Roman"/>
                <w:color w:val="auto"/>
                <w:highlight w:val="none"/>
                <w:lang w:val="en-US" w:eastAsia="zh-CN"/>
              </w:rPr>
              <w:t>措施可行性分析</w:t>
            </w:r>
          </w:p>
          <w:p w14:paraId="5016B8F8">
            <w:pPr>
              <w:pStyle w:val="31"/>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项目服务对象仅针对猫、狗，不接收人畜共患传染病的宠物，并且采用高压灭菌锅对诊疗过程中使用的器皿、手术器械进行灭菌；</w:t>
            </w:r>
            <w:r>
              <w:rPr>
                <w:rFonts w:hint="default" w:ascii="Times New Roman" w:hAnsi="Times New Roman" w:cs="Times New Roman"/>
                <w:color w:val="auto"/>
                <w:highlight w:val="none"/>
                <w:lang w:val="en-US" w:eastAsia="zh-CN"/>
              </w:rPr>
              <w:t>做好医疗废物的密封、清运和消毒工作；</w:t>
            </w:r>
            <w:r>
              <w:rPr>
                <w:rFonts w:hint="default" w:ascii="Times New Roman" w:hAnsi="Times New Roman" w:cs="Times New Roman"/>
                <w:color w:val="auto"/>
                <w:highlight w:val="none"/>
              </w:rPr>
              <w:t>院</w:t>
            </w:r>
            <w:r>
              <w:rPr>
                <w:rFonts w:hint="default" w:ascii="Times New Roman" w:hAnsi="Times New Roman" w:cs="Times New Roman"/>
                <w:color w:val="auto"/>
                <w:highlight w:val="none"/>
                <w:lang w:val="en-US" w:eastAsia="zh-CN"/>
              </w:rPr>
              <w:t>区</w:t>
            </w:r>
            <w:r>
              <w:rPr>
                <w:rFonts w:hint="default" w:ascii="Times New Roman" w:hAnsi="Times New Roman" w:cs="Times New Roman"/>
                <w:color w:val="auto"/>
                <w:highlight w:val="none"/>
              </w:rPr>
              <w:t>安装有紫外线灯对空气进行消毒，加强管理工作，</w:t>
            </w:r>
            <w:r>
              <w:rPr>
                <w:rFonts w:hint="default" w:ascii="Times New Roman" w:hAnsi="Times New Roman" w:cs="Times New Roman"/>
                <w:color w:val="auto"/>
                <w:highlight w:val="none"/>
                <w:lang w:val="en-US" w:eastAsia="zh-CN"/>
              </w:rPr>
              <w:t>安装新风系统，</w:t>
            </w:r>
            <w:r>
              <w:rPr>
                <w:rFonts w:hint="default" w:ascii="Times New Roman" w:hAnsi="Times New Roman" w:cs="Times New Roman"/>
                <w:color w:val="auto"/>
                <w:highlight w:val="none"/>
              </w:rPr>
              <w:t>并定期对</w:t>
            </w:r>
            <w:r>
              <w:rPr>
                <w:rFonts w:hint="default" w:ascii="Times New Roman" w:hAnsi="Times New Roman" w:cs="Times New Roman"/>
                <w:color w:val="auto"/>
                <w:highlight w:val="none"/>
                <w:lang w:eastAsia="zh-CN"/>
              </w:rPr>
              <w:t>医疗废物贮存间</w:t>
            </w:r>
            <w:r>
              <w:rPr>
                <w:rFonts w:hint="default" w:ascii="Times New Roman" w:hAnsi="Times New Roman" w:cs="Times New Roman"/>
                <w:color w:val="auto"/>
                <w:highlight w:val="none"/>
              </w:rPr>
              <w:t>、污水处理设施、宠物笼舍、其他各科室进行消毒处理并喷洒生物除臭剂。根据《排污许可证申请与核发技术规范 医疗机构》（HJ1105-2020），确定</w:t>
            </w:r>
            <w:r>
              <w:rPr>
                <w:rFonts w:hint="eastAsia" w:cs="Times New Roman"/>
                <w:color w:val="auto"/>
                <w:highlight w:val="none"/>
                <w:lang w:eastAsia="zh-CN"/>
              </w:rPr>
              <w:t>“</w:t>
            </w:r>
            <w:r>
              <w:rPr>
                <w:rFonts w:hint="default" w:ascii="Times New Roman" w:hAnsi="Times New Roman" w:cs="Times New Roman"/>
                <w:color w:val="auto"/>
                <w:highlight w:val="none"/>
              </w:rPr>
              <w:t>产生恶臭区域加罩或加盖，投放除臭剂</w:t>
            </w:r>
            <w:r>
              <w:rPr>
                <w:rFonts w:hint="eastAsia" w:cs="Times New Roman"/>
                <w:color w:val="auto"/>
                <w:highlight w:val="none"/>
                <w:lang w:eastAsia="zh-CN"/>
              </w:rPr>
              <w:t>”</w:t>
            </w:r>
            <w:r>
              <w:rPr>
                <w:rFonts w:hint="default" w:ascii="Times New Roman" w:hAnsi="Times New Roman" w:cs="Times New Roman"/>
                <w:color w:val="auto"/>
                <w:highlight w:val="none"/>
              </w:rPr>
              <w:t>为可行技术。</w:t>
            </w:r>
          </w:p>
          <w:p w14:paraId="2D636688">
            <w:pPr>
              <w:pStyle w:val="31"/>
              <w:bidi w:val="0"/>
              <w:ind w:left="0" w:leftChars="0" w:firstLine="0" w:firstLineChars="0"/>
              <w:rPr>
                <w:rFonts w:hint="eastAsia" w:cs="Times New Roman"/>
                <w:b/>
                <w:bCs w:val="0"/>
                <w:color w:val="auto"/>
                <w:highlight w:val="none"/>
                <w:lang w:val="en-US" w:eastAsia="zh-CN"/>
              </w:rPr>
            </w:pPr>
            <w:r>
              <w:rPr>
                <w:rFonts w:hint="eastAsia" w:cs="Times New Roman"/>
                <w:b/>
                <w:bCs w:val="0"/>
                <w:color w:val="auto"/>
                <w:highlight w:val="none"/>
                <w:lang w:val="en-US" w:eastAsia="zh-CN"/>
              </w:rPr>
              <w:t>4.5.3废气非正常工况分析</w:t>
            </w:r>
          </w:p>
          <w:p w14:paraId="392E6A64">
            <w:pPr>
              <w:pStyle w:val="31"/>
              <w:keepNext w:val="0"/>
              <w:keepLines w:val="0"/>
              <w:pageBreakBefore w:val="0"/>
              <w:widowControl/>
              <w:kinsoku w:val="0"/>
              <w:wordWrap/>
              <w:overflowPunct/>
              <w:topLinePunct w:val="0"/>
              <w:autoSpaceDE w:val="0"/>
              <w:autoSpaceDN w:val="0"/>
              <w:bidi w:val="0"/>
              <w:adjustRightInd/>
              <w:snapToGrid/>
              <w:ind w:left="0" w:leftChars="0" w:firstLine="512" w:firstLineChars="200"/>
              <w:textAlignment w:val="baseline"/>
              <w:rPr>
                <w:rFonts w:hint="eastAsia" w:cs="Times New Roman"/>
                <w:color w:val="auto"/>
                <w:highlight w:val="none"/>
                <w:lang w:val="en-US" w:eastAsia="zh-CN"/>
              </w:rPr>
            </w:pPr>
            <w:r>
              <w:rPr>
                <w:rFonts w:hint="eastAsia" w:cs="Times New Roman"/>
                <w:color w:val="auto"/>
                <w:highlight w:val="none"/>
                <w:lang w:val="en-US" w:eastAsia="zh-CN"/>
              </w:rPr>
              <w:t>项目非正常工况主要为污水处理设施故障导致污水处理设施废气浓度短时升高，可能对周边环境造成异味。项目采取定期维护密封结构，故障时立即检修并暂停进水措施。</w:t>
            </w:r>
          </w:p>
          <w:p w14:paraId="22CF5D98">
            <w:pPr>
              <w:pStyle w:val="31"/>
              <w:keepNext w:val="0"/>
              <w:keepLines w:val="0"/>
              <w:pageBreakBefore w:val="0"/>
              <w:widowControl/>
              <w:kinsoku w:val="0"/>
              <w:wordWrap/>
              <w:overflowPunct/>
              <w:topLinePunct w:val="0"/>
              <w:autoSpaceDE w:val="0"/>
              <w:autoSpaceDN w:val="0"/>
              <w:bidi w:val="0"/>
              <w:adjustRightInd/>
              <w:snapToGrid/>
              <w:ind w:left="0" w:leftChars="0" w:firstLine="512" w:firstLineChars="200"/>
              <w:textAlignment w:val="baseline"/>
              <w:rPr>
                <w:rFonts w:hint="eastAsia" w:cs="Times New Roman"/>
                <w:color w:val="auto"/>
                <w:highlight w:val="none"/>
                <w:lang w:val="en-US" w:eastAsia="zh-CN"/>
              </w:rPr>
            </w:pPr>
            <w:r>
              <w:rPr>
                <w:rFonts w:hint="eastAsia" w:cs="Times New Roman"/>
                <w:color w:val="auto"/>
                <w:highlight w:val="none"/>
                <w:lang w:val="en-US" w:eastAsia="zh-CN"/>
              </w:rPr>
              <w:t>对于动物房清洁不及时或通风故障导致臭气浓度累积，影响室内外空气质量。采取故障时启动应急排风扇，增加临时除臭剂喷洒频次措施。</w:t>
            </w:r>
          </w:p>
          <w:p w14:paraId="68D6E5DA">
            <w:pPr>
              <w:pStyle w:val="31"/>
              <w:keepNext w:val="0"/>
              <w:keepLines w:val="0"/>
              <w:pageBreakBefore w:val="0"/>
              <w:widowControl/>
              <w:kinsoku w:val="0"/>
              <w:wordWrap/>
              <w:overflowPunct/>
              <w:topLinePunct w:val="0"/>
              <w:autoSpaceDE w:val="0"/>
              <w:autoSpaceDN w:val="0"/>
              <w:bidi w:val="0"/>
              <w:adjustRightInd/>
              <w:snapToGrid/>
              <w:ind w:left="0" w:leftChars="0" w:firstLine="512" w:firstLineChars="200"/>
              <w:textAlignment w:val="baseline"/>
              <w:rPr>
                <w:rFonts w:hint="eastAsia" w:cs="Times New Roman"/>
                <w:color w:val="auto"/>
                <w:highlight w:val="none"/>
                <w:lang w:val="en-US" w:eastAsia="zh-CN"/>
              </w:rPr>
            </w:pPr>
            <w:r>
              <w:rPr>
                <w:rFonts w:hint="eastAsia" w:cs="Times New Roman"/>
                <w:color w:val="auto"/>
                <w:highlight w:val="none"/>
                <w:lang w:val="en-US" w:eastAsia="zh-CN"/>
              </w:rPr>
              <w:t>对于医废清运延迟医疗废物腐败导致臭气浓度升高，增加病原体风险采取与清运单位签订应急协议，确保超期时优先处理措施。</w:t>
            </w:r>
          </w:p>
          <w:p w14:paraId="3DA338A1">
            <w:pPr>
              <w:pStyle w:val="31"/>
              <w:keepNext w:val="0"/>
              <w:keepLines w:val="0"/>
              <w:pageBreakBefore w:val="0"/>
              <w:widowControl/>
              <w:kinsoku w:val="0"/>
              <w:wordWrap/>
              <w:overflowPunct/>
              <w:topLinePunct w:val="0"/>
              <w:autoSpaceDE w:val="0"/>
              <w:autoSpaceDN w:val="0"/>
              <w:bidi w:val="0"/>
              <w:adjustRightInd/>
              <w:snapToGrid/>
              <w:ind w:left="0" w:leftChars="0" w:firstLine="512" w:firstLineChars="200"/>
              <w:textAlignment w:val="baseline"/>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综上，项目采取的废气污染控制措施和环境减缓有效，对周围环境进行较小。</w:t>
            </w:r>
          </w:p>
          <w:p w14:paraId="2C8DC15B">
            <w:pPr>
              <w:pStyle w:val="4"/>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val="en-US" w:eastAsia="zh-CN"/>
              </w:rPr>
              <w:t>4.</w:t>
            </w:r>
            <w:r>
              <w:rPr>
                <w:rFonts w:hint="eastAsia" w:cs="Times New Roman"/>
                <w:color w:val="auto"/>
                <w:highlight w:val="none"/>
                <w:lang w:val="en-US" w:eastAsia="zh-CN"/>
              </w:rPr>
              <w:t>5</w:t>
            </w:r>
            <w:r>
              <w:rPr>
                <w:rFonts w:hint="default" w:ascii="Times New Roman" w:hAnsi="Times New Roman" w:cs="Times New Roman"/>
                <w:color w:val="auto"/>
                <w:highlight w:val="none"/>
                <w:lang w:val="en-US" w:eastAsia="zh-CN"/>
              </w:rPr>
              <w:t>.</w:t>
            </w:r>
            <w:r>
              <w:rPr>
                <w:rFonts w:hint="eastAsia" w:cs="Times New Roman"/>
                <w:color w:val="auto"/>
                <w:highlight w:val="none"/>
                <w:lang w:val="en-US" w:eastAsia="zh-CN"/>
              </w:rPr>
              <w:t>4</w:t>
            </w:r>
            <w:r>
              <w:rPr>
                <w:rFonts w:hint="default" w:ascii="Times New Roman" w:hAnsi="Times New Roman" w:cs="Times New Roman"/>
                <w:color w:val="auto"/>
                <w:highlight w:val="none"/>
                <w:lang w:eastAsia="zh-CN"/>
              </w:rPr>
              <w:t>监测</w:t>
            </w:r>
            <w:r>
              <w:rPr>
                <w:rFonts w:hint="eastAsia" w:cs="Times New Roman"/>
                <w:color w:val="auto"/>
                <w:highlight w:val="none"/>
                <w:lang w:val="en-US" w:eastAsia="zh-CN"/>
              </w:rPr>
              <w:t>计划</w:t>
            </w:r>
          </w:p>
          <w:p w14:paraId="0675FBFB">
            <w:pPr>
              <w:pStyle w:val="31"/>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根据《排污单位自行监测技术指南总则》（HJ819-2017），制定本项目运营期废气环境监测计划，见表4-</w:t>
            </w:r>
            <w:r>
              <w:rPr>
                <w:rFonts w:hint="eastAsia" w:cs="Times New Roman"/>
                <w:color w:val="auto"/>
                <w:highlight w:val="none"/>
                <w:lang w:val="en-US" w:eastAsia="zh-CN"/>
              </w:rPr>
              <w:t>2</w:t>
            </w:r>
            <w:r>
              <w:rPr>
                <w:rFonts w:hint="default" w:ascii="Times New Roman" w:hAnsi="Times New Roman" w:cs="Times New Roman"/>
                <w:color w:val="auto"/>
                <w:highlight w:val="none"/>
                <w:lang w:eastAsia="zh-CN"/>
              </w:rPr>
              <w:t>：</w:t>
            </w:r>
          </w:p>
          <w:p w14:paraId="19AF3FEB">
            <w:pPr>
              <w:pStyle w:val="29"/>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表4-</w:t>
            </w:r>
            <w:r>
              <w:rPr>
                <w:rFonts w:hint="eastAsia" w:cs="Times New Roman"/>
                <w:color w:val="auto"/>
                <w:highlight w:val="none"/>
                <w:lang w:val="en-US" w:eastAsia="zh-CN"/>
              </w:rPr>
              <w:t>2</w:t>
            </w:r>
            <w:r>
              <w:rPr>
                <w:rFonts w:hint="default" w:ascii="Times New Roman" w:hAnsi="Times New Roman" w:cs="Times New Roman"/>
                <w:color w:val="auto"/>
                <w:highlight w:val="none"/>
                <w:lang w:eastAsia="zh-CN"/>
              </w:rPr>
              <w:t xml:space="preserve">    大气污染物监测计划表</w:t>
            </w:r>
          </w:p>
          <w:tbl>
            <w:tblPr>
              <w:tblStyle w:val="1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6"/>
              <w:gridCol w:w="1601"/>
              <w:gridCol w:w="1425"/>
              <w:gridCol w:w="3545"/>
            </w:tblGrid>
            <w:tr w14:paraId="55F57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1001" w:type="pct"/>
                  <w:tcBorders>
                    <w:bottom w:val="single" w:color="auto" w:sz="12" w:space="0"/>
                  </w:tcBorders>
                  <w:noWrap w:val="0"/>
                  <w:vAlign w:val="center"/>
                </w:tcPr>
                <w:p w14:paraId="44E66BB4">
                  <w:pPr>
                    <w:pStyle w:val="30"/>
                    <w:bidi w:val="0"/>
                    <w:rPr>
                      <w:rFonts w:hint="default" w:ascii="Times New Roman" w:hAnsi="Times New Roman" w:cs="Times New Roman"/>
                      <w:b/>
                      <w:bCs w:val="0"/>
                      <w:color w:val="auto"/>
                      <w:highlight w:val="none"/>
                      <w:lang w:eastAsia="zh-CN"/>
                    </w:rPr>
                  </w:pPr>
                  <w:r>
                    <w:rPr>
                      <w:rFonts w:hint="default" w:ascii="Times New Roman" w:hAnsi="Times New Roman" w:cs="Times New Roman"/>
                      <w:b/>
                      <w:bCs w:val="0"/>
                      <w:color w:val="auto"/>
                      <w:highlight w:val="none"/>
                      <w:lang w:eastAsia="zh-CN"/>
                    </w:rPr>
                    <w:t>监测点位</w:t>
                  </w:r>
                </w:p>
              </w:tc>
              <w:tc>
                <w:tcPr>
                  <w:tcW w:w="974" w:type="pct"/>
                  <w:tcBorders>
                    <w:bottom w:val="single" w:color="auto" w:sz="12" w:space="0"/>
                    <w:right w:val="single" w:color="auto" w:sz="2" w:space="0"/>
                  </w:tcBorders>
                  <w:noWrap w:val="0"/>
                  <w:vAlign w:val="center"/>
                </w:tcPr>
                <w:p w14:paraId="6036DB04">
                  <w:pPr>
                    <w:pStyle w:val="30"/>
                    <w:bidi w:val="0"/>
                    <w:rPr>
                      <w:rFonts w:hint="default" w:ascii="Times New Roman" w:hAnsi="Times New Roman" w:cs="Times New Roman"/>
                      <w:b/>
                      <w:bCs w:val="0"/>
                      <w:color w:val="auto"/>
                      <w:highlight w:val="none"/>
                      <w:lang w:eastAsia="zh-CN"/>
                    </w:rPr>
                  </w:pPr>
                  <w:r>
                    <w:rPr>
                      <w:rFonts w:hint="default" w:ascii="Times New Roman" w:hAnsi="Times New Roman" w:cs="Times New Roman"/>
                      <w:b/>
                      <w:bCs w:val="0"/>
                      <w:color w:val="auto"/>
                      <w:highlight w:val="none"/>
                      <w:lang w:eastAsia="zh-CN"/>
                    </w:rPr>
                    <w:t>监测指标</w:t>
                  </w:r>
                </w:p>
              </w:tc>
              <w:tc>
                <w:tcPr>
                  <w:tcW w:w="867" w:type="pct"/>
                  <w:tcBorders>
                    <w:left w:val="single" w:color="auto" w:sz="2" w:space="0"/>
                    <w:bottom w:val="single" w:color="auto" w:sz="12" w:space="0"/>
                    <w:right w:val="single" w:color="auto" w:sz="2" w:space="0"/>
                  </w:tcBorders>
                  <w:noWrap w:val="0"/>
                  <w:vAlign w:val="center"/>
                </w:tcPr>
                <w:p w14:paraId="0F85F2C5">
                  <w:pPr>
                    <w:pStyle w:val="30"/>
                    <w:bidi w:val="0"/>
                    <w:rPr>
                      <w:rFonts w:hint="default" w:ascii="Times New Roman" w:hAnsi="Times New Roman" w:cs="Times New Roman"/>
                      <w:b/>
                      <w:bCs w:val="0"/>
                      <w:color w:val="auto"/>
                      <w:highlight w:val="none"/>
                      <w:lang w:eastAsia="zh-CN"/>
                    </w:rPr>
                  </w:pPr>
                  <w:r>
                    <w:rPr>
                      <w:rFonts w:hint="default" w:ascii="Times New Roman" w:hAnsi="Times New Roman" w:cs="Times New Roman"/>
                      <w:b/>
                      <w:bCs w:val="0"/>
                      <w:color w:val="auto"/>
                      <w:highlight w:val="none"/>
                      <w:lang w:eastAsia="zh-CN"/>
                    </w:rPr>
                    <w:t>监测频次</w:t>
                  </w:r>
                </w:p>
              </w:tc>
              <w:tc>
                <w:tcPr>
                  <w:tcW w:w="2156" w:type="pct"/>
                  <w:tcBorders>
                    <w:bottom w:val="single" w:color="auto" w:sz="12" w:space="0"/>
                  </w:tcBorders>
                  <w:noWrap w:val="0"/>
                  <w:vAlign w:val="center"/>
                </w:tcPr>
                <w:p w14:paraId="386F4553">
                  <w:pPr>
                    <w:pStyle w:val="30"/>
                    <w:bidi w:val="0"/>
                    <w:rPr>
                      <w:rFonts w:hint="default" w:ascii="Times New Roman" w:hAnsi="Times New Roman" w:cs="Times New Roman"/>
                      <w:b/>
                      <w:bCs w:val="0"/>
                      <w:color w:val="auto"/>
                      <w:highlight w:val="none"/>
                      <w:lang w:eastAsia="zh-CN"/>
                    </w:rPr>
                  </w:pPr>
                  <w:r>
                    <w:rPr>
                      <w:rFonts w:hint="default" w:ascii="Times New Roman" w:hAnsi="Times New Roman" w:cs="Times New Roman"/>
                      <w:b/>
                      <w:bCs w:val="0"/>
                      <w:color w:val="auto"/>
                      <w:highlight w:val="none"/>
                      <w:lang w:eastAsia="zh-CN"/>
                    </w:rPr>
                    <w:t>执行排放标准</w:t>
                  </w:r>
                </w:p>
              </w:tc>
            </w:tr>
            <w:tr w14:paraId="39234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1001" w:type="pct"/>
                  <w:noWrap w:val="0"/>
                  <w:vAlign w:val="center"/>
                </w:tcPr>
                <w:p w14:paraId="6DCE7BF6">
                  <w:pPr>
                    <w:pStyle w:val="30"/>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val="en-US" w:eastAsia="zh-CN"/>
                    </w:rPr>
                    <w:t>厂界</w:t>
                  </w:r>
                </w:p>
              </w:tc>
              <w:tc>
                <w:tcPr>
                  <w:tcW w:w="974" w:type="pct"/>
                  <w:noWrap w:val="0"/>
                  <w:vAlign w:val="center"/>
                </w:tcPr>
                <w:p w14:paraId="682E536D">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臭气浓度</w:t>
                  </w:r>
                </w:p>
                <w:p w14:paraId="56FA4BCE">
                  <w:pPr>
                    <w:pStyle w:val="3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20无量纲</w:t>
                  </w:r>
                  <w:r>
                    <w:rPr>
                      <w:rFonts w:hint="default" w:ascii="Times New Roman" w:hAnsi="Times New Roman" w:cs="Times New Roman"/>
                      <w:color w:val="auto"/>
                      <w:highlight w:val="none"/>
                      <w:lang w:eastAsia="zh-CN"/>
                    </w:rPr>
                    <w:t>）</w:t>
                  </w:r>
                </w:p>
              </w:tc>
              <w:tc>
                <w:tcPr>
                  <w:tcW w:w="867" w:type="pct"/>
                  <w:tcBorders>
                    <w:right w:val="single" w:color="auto" w:sz="2" w:space="0"/>
                  </w:tcBorders>
                  <w:noWrap w:val="0"/>
                  <w:vAlign w:val="center"/>
                </w:tcPr>
                <w:p w14:paraId="31DC7AE2">
                  <w:pPr>
                    <w:pStyle w:val="3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1次</w:t>
                  </w:r>
                  <w:r>
                    <w:rPr>
                      <w:rFonts w:hint="default" w:ascii="Times New Roman" w:hAnsi="Times New Roman" w:cs="Times New Roman"/>
                      <w:color w:val="auto"/>
                      <w:highlight w:val="none"/>
                      <w:lang w:val="en-US" w:eastAsia="zh-CN"/>
                    </w:rPr>
                    <w:t>/年</w:t>
                  </w:r>
                </w:p>
              </w:tc>
              <w:tc>
                <w:tcPr>
                  <w:tcW w:w="2156" w:type="pct"/>
                  <w:tcBorders>
                    <w:top w:val="single" w:color="auto" w:sz="4" w:space="0"/>
                    <w:left w:val="single" w:color="auto" w:sz="2" w:space="0"/>
                    <w:bottom w:val="single" w:color="auto" w:sz="4" w:space="0"/>
                  </w:tcBorders>
                  <w:noWrap w:val="0"/>
                  <w:vAlign w:val="center"/>
                </w:tcPr>
                <w:p w14:paraId="2E4B16E0">
                  <w:pPr>
                    <w:pStyle w:val="3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恶臭污染物排放标准</w:t>
                  </w:r>
                  <w:r>
                    <w:rPr>
                      <w:rFonts w:hint="default" w:ascii="Times New Roman" w:hAnsi="Times New Roman" w:cs="Times New Roman"/>
                      <w:color w:val="auto"/>
                      <w:highlight w:val="none"/>
                    </w:rPr>
                    <w:t>》（GB</w:t>
                  </w:r>
                  <w:r>
                    <w:rPr>
                      <w:rFonts w:hint="default" w:ascii="Times New Roman" w:hAnsi="Times New Roman" w:cs="Times New Roman"/>
                      <w:color w:val="auto"/>
                      <w:highlight w:val="none"/>
                      <w:lang w:val="en-US" w:eastAsia="zh-CN"/>
                    </w:rPr>
                    <w:t>14554-93</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中</w:t>
                  </w:r>
                  <w:r>
                    <w:rPr>
                      <w:rFonts w:hint="default" w:ascii="Times New Roman" w:hAnsi="Times New Roman" w:cs="Times New Roman"/>
                      <w:color w:val="auto"/>
                      <w:highlight w:val="none"/>
                    </w:rPr>
                    <w:t>表</w:t>
                  </w:r>
                  <w:r>
                    <w:rPr>
                      <w:rFonts w:hint="default" w:ascii="Times New Roman" w:hAnsi="Times New Roman" w:cs="Times New Roman"/>
                      <w:color w:val="auto"/>
                      <w:highlight w:val="none"/>
                      <w:lang w:val="en-US" w:eastAsia="zh-CN"/>
                    </w:rPr>
                    <w:t>1中相关标准限值</w:t>
                  </w:r>
                </w:p>
              </w:tc>
            </w:tr>
          </w:tbl>
          <w:p w14:paraId="0EE09F8B">
            <w:pPr>
              <w:pStyle w:val="3"/>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4.</w:t>
            </w:r>
            <w:r>
              <w:rPr>
                <w:rFonts w:hint="eastAsia" w:cs="Times New Roman"/>
                <w:color w:val="auto"/>
                <w:highlight w:val="none"/>
                <w:lang w:val="en-US" w:eastAsia="zh-CN"/>
              </w:rPr>
              <w:t>6</w:t>
            </w:r>
            <w:r>
              <w:rPr>
                <w:rFonts w:hint="default" w:ascii="Times New Roman" w:hAnsi="Times New Roman" w:cs="Times New Roman"/>
                <w:color w:val="auto"/>
                <w:highlight w:val="none"/>
              </w:rPr>
              <w:t>、废水</w:t>
            </w:r>
          </w:p>
          <w:p w14:paraId="2713E59D">
            <w:pPr>
              <w:pStyle w:val="4"/>
              <w:bidi w:val="0"/>
              <w:rPr>
                <w:rFonts w:hint="default" w:ascii="Times New Roman" w:hAnsi="Times New Roman" w:cs="Times New Roman"/>
                <w:color w:val="auto"/>
                <w:highlight w:val="none"/>
                <w:lang w:val="en-US"/>
              </w:rPr>
            </w:pPr>
            <w:r>
              <w:rPr>
                <w:rFonts w:hint="default" w:ascii="Times New Roman" w:hAnsi="Times New Roman" w:cs="Times New Roman"/>
                <w:color w:val="auto"/>
                <w:highlight w:val="none"/>
                <w:lang w:val="en-US" w:eastAsia="zh-CN"/>
              </w:rPr>
              <w:t>4.</w:t>
            </w:r>
            <w:r>
              <w:rPr>
                <w:rFonts w:hint="eastAsia" w:cs="Times New Roman"/>
                <w:color w:val="auto"/>
                <w:highlight w:val="none"/>
                <w:lang w:val="en-US" w:eastAsia="zh-CN"/>
              </w:rPr>
              <w:t>6</w:t>
            </w:r>
            <w:r>
              <w:rPr>
                <w:rFonts w:hint="default" w:ascii="Times New Roman" w:hAnsi="Times New Roman" w:cs="Times New Roman"/>
                <w:color w:val="auto"/>
                <w:highlight w:val="none"/>
                <w:lang w:val="en-US" w:eastAsia="zh-CN"/>
              </w:rPr>
              <w:t>.1废水污染物产排情况</w:t>
            </w:r>
          </w:p>
          <w:p w14:paraId="2D80A361">
            <w:pPr>
              <w:pStyle w:val="31"/>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本项目不设食堂，因此无食堂废水产生；影像室使用数字影像设备，不涉及显影液、定影液的使用，无洗印废水产生</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不涉及含汞废水的产生和排放。</w:t>
            </w:r>
            <w:r>
              <w:rPr>
                <w:rFonts w:hint="default" w:ascii="Times New Roman" w:hAnsi="Times New Roman" w:cs="Times New Roman"/>
                <w:color w:val="auto"/>
                <w:highlight w:val="none"/>
                <w:lang w:val="en-US" w:eastAsia="zh-CN"/>
              </w:rPr>
              <w:t>项目废水主要为生活污水、宠物洗浴废水</w:t>
            </w:r>
            <w:r>
              <w:rPr>
                <w:rFonts w:hint="eastAsia" w:cs="Times New Roman"/>
                <w:color w:val="auto"/>
                <w:highlight w:val="none"/>
                <w:lang w:val="en-US" w:eastAsia="zh-CN"/>
              </w:rPr>
              <w:t>、清洗消毒废水</w:t>
            </w:r>
            <w:r>
              <w:rPr>
                <w:rFonts w:hint="default" w:ascii="Times New Roman" w:hAnsi="Times New Roman" w:cs="Times New Roman"/>
                <w:color w:val="auto"/>
                <w:highlight w:val="none"/>
                <w:lang w:val="en-US" w:eastAsia="zh-CN"/>
              </w:rPr>
              <w:t>及医疗废水。</w:t>
            </w:r>
          </w:p>
          <w:p w14:paraId="7A7E8AC5">
            <w:pPr>
              <w:pStyle w:val="31"/>
              <w:bidi w:val="0"/>
              <w:rPr>
                <w:rFonts w:hint="default" w:ascii="Times New Roman" w:hAnsi="Times New Roman" w:cs="Times New Roman"/>
                <w:color w:val="auto"/>
                <w:highlight w:val="none"/>
                <w:lang w:val="en-US" w:eastAsia="zh-CN"/>
              </w:rPr>
            </w:pPr>
            <w:bookmarkStart w:id="18" w:name="OLE_LINK46"/>
            <w:r>
              <w:rPr>
                <w:rFonts w:hint="default" w:ascii="Times New Roman" w:hAnsi="Times New Roman" w:cs="Times New Roman"/>
                <w:color w:val="auto"/>
                <w:highlight w:val="none"/>
                <w:lang w:val="en-US" w:eastAsia="zh-CN"/>
              </w:rPr>
              <w:t>本项目</w:t>
            </w:r>
            <w:bookmarkStart w:id="19" w:name="OLE_LINK105"/>
            <w:r>
              <w:rPr>
                <w:rFonts w:hint="default" w:ascii="Times New Roman" w:hAnsi="Times New Roman" w:cs="Times New Roman"/>
                <w:color w:val="auto"/>
                <w:highlight w:val="none"/>
                <w:lang w:val="en-US" w:eastAsia="zh-CN"/>
              </w:rPr>
              <w:t>医疗废水</w:t>
            </w:r>
            <w:bookmarkEnd w:id="18"/>
            <w:r>
              <w:rPr>
                <w:rFonts w:hint="default" w:ascii="Times New Roman" w:hAnsi="Times New Roman" w:cs="Times New Roman"/>
                <w:color w:val="auto"/>
                <w:highlight w:val="none"/>
                <w:lang w:val="en-US" w:eastAsia="zh-CN"/>
              </w:rPr>
              <w:t>经</w:t>
            </w:r>
            <w:bookmarkStart w:id="20" w:name="OLE_LINK29"/>
            <w:bookmarkStart w:id="21" w:name="OLE_LINK59"/>
            <w:r>
              <w:rPr>
                <w:rFonts w:hint="default" w:ascii="Times New Roman" w:hAnsi="Times New Roman" w:cs="Times New Roman"/>
                <w:color w:val="auto"/>
                <w:highlight w:val="none"/>
                <w:lang w:val="en-US" w:eastAsia="zh-CN"/>
              </w:rPr>
              <w:t>一体化污水处理设施</w:t>
            </w:r>
            <w:bookmarkEnd w:id="20"/>
            <w:r>
              <w:rPr>
                <w:rFonts w:hint="default" w:ascii="Times New Roman" w:hAnsi="Times New Roman" w:cs="Times New Roman"/>
                <w:color w:val="auto"/>
                <w:highlight w:val="none"/>
                <w:lang w:val="en-US" w:eastAsia="zh-CN"/>
              </w:rPr>
              <w:t>（处理规模为</w:t>
            </w:r>
            <w:r>
              <w:rPr>
                <w:rFonts w:hint="eastAsia" w:cs="Times New Roman"/>
                <w:color w:val="auto"/>
                <w:highlight w:val="none"/>
                <w:lang w:val="en-US" w:eastAsia="zh-CN"/>
              </w:rPr>
              <w:t>0.2m</w:t>
            </w:r>
            <w:r>
              <w:rPr>
                <w:rFonts w:hint="eastAsia" w:cs="Times New Roman"/>
                <w:color w:val="auto"/>
                <w:highlight w:val="none"/>
                <w:vertAlign w:val="superscript"/>
                <w:lang w:val="en-US" w:eastAsia="zh-CN"/>
              </w:rPr>
              <w:t>3</w:t>
            </w:r>
            <w:r>
              <w:rPr>
                <w:rFonts w:hint="eastAsia" w:cs="Times New Roman"/>
                <w:color w:val="auto"/>
                <w:highlight w:val="none"/>
                <w:lang w:val="en-US" w:eastAsia="zh-CN"/>
              </w:rPr>
              <w:t>/d</w:t>
            </w:r>
            <w:r>
              <w:rPr>
                <w:rFonts w:hint="default" w:ascii="Times New Roman" w:hAnsi="Times New Roman" w:cs="Times New Roman"/>
                <w:color w:val="auto"/>
                <w:highlight w:val="none"/>
                <w:lang w:val="en-US" w:eastAsia="zh-CN"/>
              </w:rPr>
              <w:t>）过滤与消毒处理</w:t>
            </w:r>
            <w:bookmarkEnd w:id="21"/>
            <w:r>
              <w:rPr>
                <w:rFonts w:hint="default" w:ascii="Times New Roman" w:hAnsi="Times New Roman" w:cs="Times New Roman"/>
                <w:color w:val="auto"/>
                <w:highlight w:val="none"/>
                <w:lang w:val="en-US" w:eastAsia="zh-CN"/>
              </w:rPr>
              <w:t>达到《医疗机构水污染物排放标准》</w:t>
            </w:r>
            <w:r>
              <w:rPr>
                <w:rFonts w:hint="eastAsia" w:cs="Times New Roman"/>
                <w:color w:val="auto"/>
                <w:lang w:eastAsia="zh-CN"/>
              </w:rPr>
              <w:t>（GB 18466-2005，含2026年修改单）</w:t>
            </w:r>
            <w:r>
              <w:rPr>
                <w:rFonts w:hint="default" w:ascii="Times New Roman" w:hAnsi="Times New Roman" w:cs="Times New Roman"/>
                <w:color w:val="auto"/>
                <w:highlight w:val="none"/>
                <w:lang w:val="en-US" w:eastAsia="zh-CN"/>
              </w:rPr>
              <w:t>中表2预处理标准限值要求后与生活污水</w:t>
            </w:r>
            <w:bookmarkStart w:id="22" w:name="OLE_LINK90"/>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洗浴</w:t>
            </w:r>
            <w:r>
              <w:rPr>
                <w:rFonts w:hint="default" w:ascii="Times New Roman" w:hAnsi="Times New Roman" w:cs="Times New Roman"/>
                <w:color w:val="auto"/>
                <w:highlight w:val="none"/>
                <w:lang w:val="en-US" w:eastAsia="en-US"/>
              </w:rPr>
              <w:t>废水</w:t>
            </w:r>
            <w:r>
              <w:rPr>
                <w:rFonts w:hint="default" w:ascii="Times New Roman" w:hAnsi="Times New Roman" w:cs="Times New Roman"/>
                <w:color w:val="auto"/>
                <w:highlight w:val="none"/>
                <w:lang w:val="en-US" w:eastAsia="zh-CN"/>
              </w:rPr>
              <w:t>一同排入市政下水管网，最终排入</w:t>
            </w:r>
            <w:r>
              <w:rPr>
                <w:rFonts w:hint="eastAsia" w:cs="Times New Roman"/>
                <w:color w:val="auto"/>
                <w:highlight w:val="none"/>
                <w:lang w:val="en-US" w:eastAsia="zh-CN"/>
              </w:rPr>
              <w:t>库尔勒市南市区污水处理厂（库尔勒龙润水处理有限公司）</w:t>
            </w:r>
            <w:r>
              <w:rPr>
                <w:rFonts w:hint="default" w:ascii="Times New Roman" w:hAnsi="Times New Roman" w:cs="Times New Roman"/>
                <w:color w:val="auto"/>
                <w:highlight w:val="none"/>
                <w:lang w:val="en-US" w:eastAsia="zh-CN"/>
              </w:rPr>
              <w:t>处理。</w:t>
            </w:r>
            <w:bookmarkEnd w:id="19"/>
          </w:p>
          <w:bookmarkEnd w:id="22"/>
          <w:p w14:paraId="2C452250">
            <w:pPr>
              <w:pStyle w:val="31"/>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本项目医疗废水水质参照《医院污水处理工程技术规范》（HJ2029-2013）中经验数据进行分析。本次评价取值：COD：250mg/L；BOD</w:t>
            </w:r>
            <w:r>
              <w:rPr>
                <w:rFonts w:hint="default" w:ascii="Times New Roman" w:hAnsi="Times New Roman" w:cs="Times New Roman"/>
                <w:color w:val="auto"/>
                <w:highlight w:val="none"/>
                <w:vertAlign w:val="subscript"/>
                <w:lang w:val="en-US" w:eastAsia="zh-CN"/>
              </w:rPr>
              <w:t>5</w:t>
            </w:r>
            <w:r>
              <w:rPr>
                <w:rFonts w:hint="default" w:ascii="Times New Roman" w:hAnsi="Times New Roman" w:cs="Times New Roman"/>
                <w:color w:val="auto"/>
                <w:highlight w:val="none"/>
                <w:lang w:val="en-US" w:eastAsia="zh-CN"/>
              </w:rPr>
              <w:t>：100mg/L；SS：80mg/L；氨氮：</w:t>
            </w:r>
            <w:r>
              <w:rPr>
                <w:rFonts w:hint="eastAsia" w:cs="Times New Roman"/>
                <w:color w:val="auto"/>
                <w:highlight w:val="none"/>
                <w:lang w:val="en-US" w:eastAsia="zh-CN"/>
              </w:rPr>
              <w:t>2</w:t>
            </w:r>
            <w:r>
              <w:rPr>
                <w:rFonts w:hint="default" w:ascii="Times New Roman" w:hAnsi="Times New Roman" w:cs="Times New Roman"/>
                <w:color w:val="auto"/>
                <w:highlight w:val="none"/>
                <w:lang w:val="en-US" w:eastAsia="zh-CN"/>
              </w:rPr>
              <w:t>0mg/L；粪大肠菌群</w:t>
            </w:r>
            <w:bookmarkStart w:id="23" w:name="OLE_LINK98"/>
            <w:bookmarkStart w:id="24" w:name="OLE_LINK28"/>
            <w:r>
              <w:rPr>
                <w:rFonts w:hint="default" w:ascii="Times New Roman" w:hAnsi="Times New Roman" w:cs="Times New Roman"/>
                <w:color w:val="auto"/>
                <w:highlight w:val="none"/>
                <w:lang w:val="en-US" w:eastAsia="zh-CN"/>
              </w:rPr>
              <w:t>：1.6×10</w:t>
            </w:r>
            <w:r>
              <w:rPr>
                <w:rFonts w:hint="default" w:ascii="Times New Roman" w:hAnsi="Times New Roman" w:cs="Times New Roman"/>
                <w:color w:val="auto"/>
                <w:highlight w:val="none"/>
                <w:vertAlign w:val="superscript"/>
                <w:lang w:val="en-US" w:eastAsia="zh-CN"/>
              </w:rPr>
              <w:t>8</w:t>
            </w:r>
            <w:bookmarkEnd w:id="23"/>
            <w:r>
              <w:rPr>
                <w:rFonts w:hint="default" w:ascii="Times New Roman" w:hAnsi="Times New Roman" w:cs="Times New Roman"/>
                <w:color w:val="auto"/>
                <w:highlight w:val="none"/>
                <w:lang w:val="en-US" w:eastAsia="zh-CN"/>
              </w:rPr>
              <w:t>个/L</w:t>
            </w:r>
            <w:bookmarkEnd w:id="24"/>
            <w:r>
              <w:rPr>
                <w:rFonts w:hint="default" w:ascii="Times New Roman" w:hAnsi="Times New Roman" w:cs="Times New Roman"/>
                <w:color w:val="auto"/>
                <w:highlight w:val="none"/>
                <w:lang w:val="en-US" w:eastAsia="zh-CN"/>
              </w:rPr>
              <w:t>。</w:t>
            </w:r>
          </w:p>
          <w:p w14:paraId="38E7C885">
            <w:pPr>
              <w:pStyle w:val="31"/>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宠物洗浴废水的产生浓度参照《医院污水处理工程技术规范》</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HJ</w:t>
            </w:r>
            <w:r>
              <w:rPr>
                <w:rFonts w:hint="eastAsia" w:cs="Times New Roman"/>
                <w:color w:val="auto"/>
                <w:highlight w:val="none"/>
                <w:lang w:val="en-US" w:eastAsia="zh-CN"/>
              </w:rPr>
              <w:t xml:space="preserve"> </w:t>
            </w:r>
            <w:r>
              <w:rPr>
                <w:rFonts w:hint="default" w:ascii="Times New Roman" w:hAnsi="Times New Roman" w:cs="Times New Roman"/>
                <w:color w:val="auto"/>
                <w:highlight w:val="none"/>
                <w:lang w:val="en-US" w:eastAsia="zh-CN"/>
              </w:rPr>
              <w:t>2029-2013</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中经验数据同时参考同类其他动物医院宠物洗澡美容废水产生浓度，确定污染物浓度源强为COD≤307mg/L</w:t>
            </w:r>
            <w:bookmarkStart w:id="25" w:name="OLE_LINK41"/>
            <w:r>
              <w:rPr>
                <w:rFonts w:hint="default" w:ascii="Times New Roman" w:hAnsi="Times New Roman" w:cs="Times New Roman"/>
                <w:color w:val="auto"/>
                <w:highlight w:val="none"/>
                <w:lang w:val="en-US" w:eastAsia="zh-CN"/>
              </w:rPr>
              <w:t>、</w:t>
            </w:r>
            <w:bookmarkEnd w:id="25"/>
            <w:bookmarkStart w:id="26" w:name="OLE_LINK44"/>
            <w:r>
              <w:rPr>
                <w:rFonts w:hint="default" w:ascii="Times New Roman" w:hAnsi="Times New Roman" w:cs="Times New Roman"/>
                <w:color w:val="auto"/>
                <w:highlight w:val="none"/>
                <w:lang w:val="en-US" w:eastAsia="zh-CN"/>
              </w:rPr>
              <w:t>BOD</w:t>
            </w:r>
            <w:r>
              <w:rPr>
                <w:rFonts w:hint="default" w:ascii="Times New Roman" w:hAnsi="Times New Roman" w:cs="Times New Roman"/>
                <w:color w:val="auto"/>
                <w:highlight w:val="none"/>
                <w:vertAlign w:val="subscript"/>
                <w:lang w:val="en-US" w:eastAsia="zh-CN"/>
              </w:rPr>
              <w:t>5</w:t>
            </w:r>
            <w:bookmarkEnd w:id="26"/>
            <w:r>
              <w:rPr>
                <w:rFonts w:hint="default" w:ascii="Times New Roman" w:hAnsi="Times New Roman" w:cs="Times New Roman"/>
                <w:color w:val="auto"/>
                <w:highlight w:val="none"/>
                <w:lang w:val="en-US" w:eastAsia="zh-CN"/>
              </w:rPr>
              <w:t>≤197mg/L、SS≤205mg/L、氨氮≤</w:t>
            </w:r>
            <w:r>
              <w:rPr>
                <w:rFonts w:hint="eastAsia" w:cs="Times New Roman"/>
                <w:color w:val="auto"/>
                <w:highlight w:val="none"/>
                <w:lang w:val="en-US" w:eastAsia="zh-CN"/>
              </w:rPr>
              <w:t>16</w:t>
            </w:r>
            <w:r>
              <w:rPr>
                <w:rFonts w:hint="default" w:ascii="Times New Roman" w:hAnsi="Times New Roman" w:cs="Times New Roman"/>
                <w:color w:val="auto"/>
                <w:highlight w:val="none"/>
                <w:lang w:val="en-US" w:eastAsia="zh-CN"/>
              </w:rPr>
              <w:t>mg/L、粪大肠菌群≤4412个/L。</w:t>
            </w:r>
          </w:p>
          <w:p w14:paraId="1F529406">
            <w:pPr>
              <w:pStyle w:val="31"/>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清洗消毒</w:t>
            </w:r>
            <w:r>
              <w:rPr>
                <w:rFonts w:hint="default" w:ascii="Times New Roman" w:hAnsi="Times New Roman" w:cs="Times New Roman"/>
                <w:color w:val="auto"/>
                <w:highlight w:val="none"/>
                <w:lang w:val="en-US" w:eastAsia="zh-CN"/>
              </w:rPr>
              <w:t>废水的产生浓度参照《医院污水处理工程技术规范》</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HJ</w:t>
            </w:r>
            <w:r>
              <w:rPr>
                <w:rFonts w:hint="eastAsia" w:cs="Times New Roman"/>
                <w:color w:val="auto"/>
                <w:highlight w:val="none"/>
                <w:lang w:val="en-US" w:eastAsia="zh-CN"/>
              </w:rPr>
              <w:t xml:space="preserve"> </w:t>
            </w:r>
            <w:r>
              <w:rPr>
                <w:rFonts w:hint="default" w:ascii="Times New Roman" w:hAnsi="Times New Roman" w:cs="Times New Roman"/>
                <w:color w:val="auto"/>
                <w:highlight w:val="none"/>
                <w:lang w:val="en-US" w:eastAsia="zh-CN"/>
              </w:rPr>
              <w:t>2029-2013</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中经验数据同时参考同类其他动物医院</w:t>
            </w:r>
            <w:r>
              <w:rPr>
                <w:rFonts w:hint="eastAsia" w:cs="Times New Roman"/>
                <w:color w:val="auto"/>
                <w:highlight w:val="none"/>
                <w:lang w:val="en-US" w:eastAsia="zh-CN"/>
              </w:rPr>
              <w:t>清洗消毒</w:t>
            </w:r>
            <w:r>
              <w:rPr>
                <w:rFonts w:hint="default" w:ascii="Times New Roman" w:hAnsi="Times New Roman" w:cs="Times New Roman"/>
                <w:color w:val="auto"/>
                <w:highlight w:val="none"/>
                <w:lang w:val="en-US" w:eastAsia="zh-CN"/>
              </w:rPr>
              <w:t>废水产生浓度，确定污染物浓度源强为COD≤</w:t>
            </w:r>
            <w:r>
              <w:rPr>
                <w:rFonts w:hint="eastAsia" w:cs="Times New Roman"/>
                <w:color w:val="auto"/>
                <w:highlight w:val="none"/>
                <w:lang w:val="en-US" w:eastAsia="zh-CN"/>
              </w:rPr>
              <w:t>190</w:t>
            </w:r>
            <w:r>
              <w:rPr>
                <w:rFonts w:hint="default" w:ascii="Times New Roman" w:hAnsi="Times New Roman" w:cs="Times New Roman"/>
                <w:color w:val="auto"/>
                <w:highlight w:val="none"/>
                <w:lang w:val="en-US" w:eastAsia="zh-CN"/>
              </w:rPr>
              <w:t>mg/L、BOD</w:t>
            </w:r>
            <w:r>
              <w:rPr>
                <w:rFonts w:hint="default" w:ascii="Times New Roman" w:hAnsi="Times New Roman" w:cs="Times New Roman"/>
                <w:color w:val="auto"/>
                <w:highlight w:val="none"/>
                <w:vertAlign w:val="subscript"/>
                <w:lang w:val="en-US" w:eastAsia="zh-CN"/>
              </w:rPr>
              <w:t>5</w:t>
            </w:r>
            <w:r>
              <w:rPr>
                <w:rFonts w:hint="default" w:ascii="Times New Roman" w:hAnsi="Times New Roman" w:cs="Times New Roman"/>
                <w:color w:val="auto"/>
                <w:highlight w:val="none"/>
                <w:lang w:val="en-US" w:eastAsia="zh-CN"/>
              </w:rPr>
              <w:t>≤</w:t>
            </w:r>
            <w:r>
              <w:rPr>
                <w:rFonts w:hint="eastAsia" w:cs="Times New Roman"/>
                <w:color w:val="auto"/>
                <w:highlight w:val="none"/>
                <w:lang w:val="en-US" w:eastAsia="zh-CN"/>
              </w:rPr>
              <w:t>90</w:t>
            </w:r>
            <w:r>
              <w:rPr>
                <w:rFonts w:hint="default" w:ascii="Times New Roman" w:hAnsi="Times New Roman" w:cs="Times New Roman"/>
                <w:color w:val="auto"/>
                <w:highlight w:val="none"/>
                <w:lang w:val="en-US" w:eastAsia="zh-CN"/>
              </w:rPr>
              <w:t>mg/L、SS≤</w:t>
            </w:r>
            <w:r>
              <w:rPr>
                <w:rFonts w:hint="eastAsia" w:cs="Times New Roman"/>
                <w:color w:val="auto"/>
                <w:highlight w:val="none"/>
                <w:lang w:val="en-US" w:eastAsia="zh-CN"/>
              </w:rPr>
              <w:t>60</w:t>
            </w:r>
            <w:r>
              <w:rPr>
                <w:rFonts w:hint="default" w:ascii="Times New Roman" w:hAnsi="Times New Roman" w:cs="Times New Roman"/>
                <w:color w:val="auto"/>
                <w:highlight w:val="none"/>
                <w:lang w:val="en-US" w:eastAsia="zh-CN"/>
              </w:rPr>
              <w:t>mg/L、氨氮≤</w:t>
            </w:r>
            <w:r>
              <w:rPr>
                <w:rFonts w:hint="eastAsia" w:cs="Times New Roman"/>
                <w:color w:val="auto"/>
                <w:highlight w:val="none"/>
                <w:lang w:val="en-US" w:eastAsia="zh-CN"/>
              </w:rPr>
              <w:t>10</w:t>
            </w:r>
            <w:r>
              <w:rPr>
                <w:rFonts w:hint="default" w:ascii="Times New Roman" w:hAnsi="Times New Roman" w:cs="Times New Roman"/>
                <w:color w:val="auto"/>
                <w:highlight w:val="none"/>
                <w:lang w:val="en-US" w:eastAsia="zh-CN"/>
              </w:rPr>
              <w:t>mg/L、粪大肠菌群≤</w:t>
            </w:r>
            <w:r>
              <w:rPr>
                <w:rFonts w:hint="eastAsia" w:cs="Times New Roman"/>
                <w:color w:val="auto"/>
                <w:highlight w:val="none"/>
                <w:lang w:val="en-US" w:eastAsia="zh-CN"/>
              </w:rPr>
              <w:t>7600</w:t>
            </w:r>
            <w:r>
              <w:rPr>
                <w:rFonts w:hint="default" w:ascii="Times New Roman" w:hAnsi="Times New Roman" w:cs="Times New Roman"/>
                <w:color w:val="auto"/>
                <w:highlight w:val="none"/>
                <w:lang w:val="en-US" w:eastAsia="zh-CN"/>
              </w:rPr>
              <w:t>个/L。</w:t>
            </w:r>
          </w:p>
          <w:p w14:paraId="4A9AB589">
            <w:pPr>
              <w:pStyle w:val="31"/>
              <w:bidi w:val="0"/>
              <w:rPr>
                <w:rFonts w:hint="default" w:ascii="Times New Roman" w:hAnsi="Times New Roman" w:eastAsia="宋体" w:cs="Times New Roman"/>
                <w:color w:val="auto"/>
                <w:lang w:val="en-US" w:eastAsia="zh-CN"/>
              </w:rPr>
            </w:pPr>
            <w:r>
              <w:rPr>
                <w:rFonts w:hint="default" w:ascii="Times New Roman" w:hAnsi="Times New Roman" w:eastAsia="宋体" w:cs="Times New Roman"/>
                <w:bCs/>
                <w:color w:val="auto"/>
                <w:kern w:val="21"/>
                <w:sz w:val="24"/>
                <w:lang w:val="en-US" w:eastAsia="zh-CN"/>
              </w:rPr>
              <w:t>类比典型生活污水水质</w:t>
            </w:r>
            <w:r>
              <w:rPr>
                <w:rFonts w:hint="default"/>
                <w:color w:val="auto"/>
                <w:lang w:val="en-US" w:eastAsia="zh-CN"/>
              </w:rPr>
              <w:t>。</w:t>
            </w:r>
            <w:r>
              <w:rPr>
                <w:rFonts w:hint="eastAsia"/>
                <w:color w:val="auto"/>
                <w:lang w:val="en-US" w:eastAsia="zh-CN"/>
              </w:rPr>
              <w:t>本项目</w:t>
            </w:r>
            <w:r>
              <w:rPr>
                <w:rFonts w:hint="eastAsia" w:ascii="Times New Roman" w:hAnsi="Times New Roman" w:eastAsia="宋体" w:cs="Times New Roman"/>
                <w:color w:val="auto"/>
                <w:lang w:val="en-US" w:eastAsia="zh-CN"/>
              </w:rPr>
              <w:t>生活污水</w:t>
            </w:r>
            <w:r>
              <w:rPr>
                <w:rFonts w:hint="default" w:ascii="Times New Roman" w:hAnsi="Times New Roman" w:eastAsia="宋体" w:cs="Times New Roman"/>
                <w:color w:val="auto"/>
                <w:lang w:val="en-US" w:eastAsia="zh-CN"/>
              </w:rPr>
              <w:t>排放浓度取值</w:t>
            </w:r>
            <w:r>
              <w:rPr>
                <w:rFonts w:hint="eastAsia" w:ascii="Times New Roman" w:hAnsi="Times New Roman" w:eastAsia="宋体" w:cs="Times New Roman"/>
                <w:color w:val="auto"/>
                <w:lang w:val="en-US" w:eastAsia="zh-CN"/>
              </w:rPr>
              <w:t>：COD：</w:t>
            </w:r>
            <w:r>
              <w:rPr>
                <w:rFonts w:hint="default" w:ascii="Times New Roman" w:hAnsi="Times New Roman" w:eastAsia="宋体" w:cs="Times New Roman"/>
                <w:color w:val="auto"/>
                <w:lang w:val="en-US" w:eastAsia="zh-CN"/>
              </w:rPr>
              <w:t>4</w:t>
            </w:r>
            <w:r>
              <w:rPr>
                <w:rFonts w:hint="eastAsia" w:cs="Times New Roman"/>
                <w:color w:val="auto"/>
                <w:lang w:val="en-US" w:eastAsia="zh-CN"/>
              </w:rPr>
              <w:t>6</w:t>
            </w:r>
            <w:r>
              <w:rPr>
                <w:rFonts w:hint="default" w:ascii="Times New Roman" w:hAnsi="Times New Roman" w:eastAsia="宋体" w:cs="Times New Roman"/>
                <w:color w:val="auto"/>
                <w:lang w:val="en-US" w:eastAsia="zh-CN"/>
              </w:rPr>
              <w:t>0</w:t>
            </w:r>
            <w:r>
              <w:rPr>
                <w:rFonts w:hint="eastAsia" w:ascii="Times New Roman" w:hAnsi="Times New Roman" w:eastAsia="宋体" w:cs="Times New Roman"/>
                <w:color w:val="auto"/>
                <w:lang w:val="en-US" w:eastAsia="zh-CN"/>
              </w:rPr>
              <w:t>mg/L</w:t>
            </w:r>
            <w:r>
              <w:rPr>
                <w:rFonts w:hint="default" w:ascii="Times New Roman" w:hAnsi="Times New Roman" w:eastAsia="宋体" w:cs="Times New Roman"/>
                <w:color w:val="auto"/>
                <w:lang w:val="en-US" w:eastAsia="zh-CN"/>
              </w:rPr>
              <w:t>；</w:t>
            </w:r>
            <w:r>
              <w:rPr>
                <w:rFonts w:hint="eastAsia" w:ascii="Times New Roman" w:hAnsi="Times New Roman" w:eastAsia="宋体" w:cs="Times New Roman"/>
                <w:color w:val="auto"/>
                <w:lang w:val="en-US" w:eastAsia="zh-CN"/>
              </w:rPr>
              <w:t>BOD</w:t>
            </w:r>
            <w:r>
              <w:rPr>
                <w:rFonts w:hint="eastAsia" w:ascii="Times New Roman" w:hAnsi="Times New Roman" w:eastAsia="宋体" w:cs="Times New Roman"/>
                <w:color w:val="auto"/>
                <w:vertAlign w:val="subscript"/>
                <w:lang w:val="en-US" w:eastAsia="zh-CN"/>
              </w:rPr>
              <w:t>5</w:t>
            </w:r>
            <w:r>
              <w:rPr>
                <w:rFonts w:hint="eastAsia" w:ascii="Times New Roman" w:hAnsi="Times New Roman" w:eastAsia="宋体" w:cs="Times New Roman"/>
                <w:color w:val="auto"/>
                <w:lang w:val="en-US" w:eastAsia="zh-CN"/>
              </w:rPr>
              <w:t>：</w:t>
            </w:r>
            <w:r>
              <w:rPr>
                <w:rFonts w:hint="default" w:ascii="Times New Roman" w:hAnsi="Times New Roman" w:eastAsia="宋体" w:cs="Times New Roman"/>
                <w:color w:val="auto"/>
                <w:lang w:val="en-US" w:eastAsia="zh-CN"/>
              </w:rPr>
              <w:t>200</w:t>
            </w:r>
            <w:r>
              <w:rPr>
                <w:rFonts w:hint="eastAsia" w:ascii="Times New Roman" w:hAnsi="Times New Roman" w:eastAsia="宋体" w:cs="Times New Roman"/>
                <w:color w:val="auto"/>
                <w:lang w:val="en-US" w:eastAsia="zh-CN"/>
              </w:rPr>
              <w:t>mg/L</w:t>
            </w:r>
            <w:r>
              <w:rPr>
                <w:rFonts w:hint="default" w:ascii="Times New Roman" w:hAnsi="Times New Roman" w:eastAsia="宋体" w:cs="Times New Roman"/>
                <w:color w:val="auto"/>
                <w:lang w:val="en-US" w:eastAsia="zh-CN"/>
              </w:rPr>
              <w:t>；</w:t>
            </w:r>
            <w:r>
              <w:rPr>
                <w:rFonts w:hint="eastAsia" w:ascii="Times New Roman" w:hAnsi="Times New Roman" w:eastAsia="宋体" w:cs="Times New Roman"/>
                <w:color w:val="auto"/>
                <w:lang w:val="en-US" w:eastAsia="zh-CN"/>
              </w:rPr>
              <w:t>氨氮：3</w:t>
            </w:r>
            <w:r>
              <w:rPr>
                <w:rFonts w:hint="eastAsia" w:cs="Times New Roman"/>
                <w:color w:val="auto"/>
                <w:lang w:val="en-US" w:eastAsia="zh-CN"/>
              </w:rPr>
              <w:t>5</w:t>
            </w:r>
            <w:r>
              <w:rPr>
                <w:rFonts w:hint="eastAsia" w:ascii="Times New Roman" w:hAnsi="Times New Roman" w:eastAsia="宋体" w:cs="Times New Roman"/>
                <w:color w:val="auto"/>
                <w:lang w:val="en-US" w:eastAsia="zh-CN"/>
              </w:rPr>
              <w:t>mg/L</w:t>
            </w:r>
            <w:r>
              <w:rPr>
                <w:rFonts w:hint="default" w:ascii="Times New Roman" w:hAnsi="Times New Roman" w:eastAsia="宋体" w:cs="Times New Roman"/>
                <w:color w:val="auto"/>
                <w:lang w:val="en-US" w:eastAsia="zh-CN"/>
              </w:rPr>
              <w:t>；</w:t>
            </w:r>
            <w:r>
              <w:rPr>
                <w:rFonts w:hint="eastAsia" w:ascii="Times New Roman" w:hAnsi="Times New Roman" w:eastAsia="宋体" w:cs="Times New Roman"/>
                <w:color w:val="auto"/>
                <w:lang w:val="en-US" w:eastAsia="zh-CN"/>
              </w:rPr>
              <w:t>SS：</w:t>
            </w:r>
            <w:r>
              <w:rPr>
                <w:rFonts w:hint="default" w:ascii="Times New Roman" w:hAnsi="Times New Roman" w:eastAsia="宋体" w:cs="Times New Roman"/>
                <w:color w:val="auto"/>
                <w:lang w:val="en-US" w:eastAsia="zh-CN"/>
              </w:rPr>
              <w:t>2</w:t>
            </w:r>
            <w:r>
              <w:rPr>
                <w:rFonts w:hint="eastAsia" w:cs="Times New Roman"/>
                <w:color w:val="auto"/>
                <w:lang w:val="en-US" w:eastAsia="zh-CN"/>
              </w:rPr>
              <w:t>0</w:t>
            </w:r>
            <w:r>
              <w:rPr>
                <w:rFonts w:hint="default" w:ascii="Times New Roman" w:hAnsi="Times New Roman" w:eastAsia="宋体" w:cs="Times New Roman"/>
                <w:color w:val="auto"/>
                <w:lang w:val="en-US" w:eastAsia="zh-CN"/>
              </w:rPr>
              <w:t>0</w:t>
            </w:r>
            <w:r>
              <w:rPr>
                <w:rFonts w:hint="eastAsia" w:ascii="Times New Roman" w:hAnsi="Times New Roman" w:eastAsia="宋体" w:cs="Times New Roman"/>
                <w:color w:val="auto"/>
                <w:lang w:val="en-US" w:eastAsia="zh-CN"/>
              </w:rPr>
              <w:t>mg/L</w:t>
            </w:r>
            <w:r>
              <w:rPr>
                <w:rFonts w:hint="default" w:ascii="Times New Roman" w:hAnsi="Times New Roman" w:eastAsia="宋体" w:cs="Times New Roman"/>
                <w:color w:val="auto"/>
                <w:lang w:val="en-US" w:eastAsia="zh-CN"/>
              </w:rPr>
              <w:t>。</w:t>
            </w:r>
          </w:p>
          <w:p w14:paraId="5CF0A140">
            <w:pPr>
              <w:pStyle w:val="31"/>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本项目运营期各类废水水质及排放统计情况见下表。</w:t>
            </w:r>
          </w:p>
          <w:p w14:paraId="446CE1FE">
            <w:pPr>
              <w:pStyle w:val="29"/>
              <w:bidi w:val="0"/>
              <w:ind w:left="0" w:leftChars="0" w:firstLine="0" w:firstLineChars="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表4-</w:t>
            </w:r>
            <w:r>
              <w:rPr>
                <w:rFonts w:hint="eastAsia" w:cs="Times New Roman"/>
                <w:color w:val="auto"/>
                <w:highlight w:val="none"/>
                <w:lang w:val="en-US" w:eastAsia="zh-CN"/>
              </w:rPr>
              <w:t>3</w:t>
            </w:r>
            <w:r>
              <w:rPr>
                <w:rFonts w:hint="default" w:ascii="Times New Roman" w:hAnsi="Times New Roman" w:cs="Times New Roman"/>
                <w:color w:val="auto"/>
                <w:highlight w:val="none"/>
                <w:lang w:val="en-US" w:eastAsia="zh-CN"/>
              </w:rPr>
              <w:t xml:space="preserve">  项目水污染物产生及排放情况统计表</w:t>
            </w:r>
          </w:p>
          <w:tbl>
            <w:tblPr>
              <w:tblStyle w:val="1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2"/>
              <w:gridCol w:w="463"/>
              <w:gridCol w:w="785"/>
              <w:gridCol w:w="967"/>
              <w:gridCol w:w="1077"/>
              <w:gridCol w:w="1185"/>
              <w:gridCol w:w="1169"/>
              <w:gridCol w:w="1185"/>
              <w:gridCol w:w="944"/>
            </w:tblGrid>
            <w:tr w14:paraId="674C4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8" w:type="pct"/>
                  <w:gridSpan w:val="3"/>
                  <w:noWrap w:val="0"/>
                  <w:vAlign w:val="center"/>
                </w:tcPr>
                <w:p w14:paraId="19792495">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废水性质</w:t>
                  </w:r>
                </w:p>
              </w:tc>
              <w:tc>
                <w:tcPr>
                  <w:tcW w:w="588" w:type="pct"/>
                  <w:noWrap w:val="0"/>
                  <w:vAlign w:val="center"/>
                </w:tcPr>
                <w:p w14:paraId="02CC8D59">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排水量m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lang w:val="en-US" w:eastAsia="zh-CN"/>
                    </w:rPr>
                    <w:t>/a</w:t>
                  </w:r>
                </w:p>
              </w:tc>
              <w:tc>
                <w:tcPr>
                  <w:tcW w:w="655" w:type="pct"/>
                  <w:noWrap w:val="0"/>
                  <w:vAlign w:val="center"/>
                </w:tcPr>
                <w:p w14:paraId="41D1E003">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COD</w:t>
                  </w:r>
                </w:p>
              </w:tc>
              <w:tc>
                <w:tcPr>
                  <w:tcW w:w="721" w:type="pct"/>
                  <w:noWrap w:val="0"/>
                  <w:vAlign w:val="center"/>
                </w:tcPr>
                <w:p w14:paraId="3186C58C">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BOD</w:t>
                  </w:r>
                  <w:r>
                    <w:rPr>
                      <w:rFonts w:hint="default" w:ascii="Times New Roman" w:hAnsi="Times New Roman" w:cs="Times New Roman"/>
                      <w:color w:val="auto"/>
                      <w:highlight w:val="none"/>
                      <w:vertAlign w:val="subscript"/>
                      <w:lang w:val="en-US" w:eastAsia="zh-CN"/>
                    </w:rPr>
                    <w:t>5</w:t>
                  </w:r>
                </w:p>
              </w:tc>
              <w:tc>
                <w:tcPr>
                  <w:tcW w:w="711" w:type="pct"/>
                  <w:noWrap w:val="0"/>
                  <w:vAlign w:val="center"/>
                </w:tcPr>
                <w:p w14:paraId="56D7F908">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SS</w:t>
                  </w:r>
                </w:p>
              </w:tc>
              <w:tc>
                <w:tcPr>
                  <w:tcW w:w="721" w:type="pct"/>
                  <w:noWrap w:val="0"/>
                  <w:vAlign w:val="center"/>
                </w:tcPr>
                <w:p w14:paraId="0CBAC1C5">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氨氮</w:t>
                  </w:r>
                </w:p>
              </w:tc>
              <w:tc>
                <w:tcPr>
                  <w:tcW w:w="574" w:type="pct"/>
                  <w:noWrap w:val="0"/>
                  <w:vAlign w:val="center"/>
                </w:tcPr>
                <w:p w14:paraId="1F95E55B">
                  <w:pPr>
                    <w:pStyle w:val="30"/>
                    <w:widowControl w:val="0"/>
                    <w:bidi w:val="0"/>
                    <w:rPr>
                      <w:rFonts w:hint="default" w:ascii="Times New Roman" w:hAnsi="Times New Roman" w:cs="Times New Roman"/>
                      <w:color w:val="auto"/>
                      <w:highlight w:val="none"/>
                      <w:lang w:val="en-US" w:eastAsia="zh-CN"/>
                    </w:rPr>
                  </w:pPr>
                  <w:bookmarkStart w:id="27" w:name="OLE_LINK99"/>
                  <w:r>
                    <w:rPr>
                      <w:rFonts w:hint="default" w:ascii="Times New Roman" w:hAnsi="Times New Roman" w:cs="Times New Roman"/>
                      <w:color w:val="auto"/>
                      <w:highlight w:val="none"/>
                      <w:lang w:val="en-US" w:eastAsia="zh-CN"/>
                    </w:rPr>
                    <w:t>粪大肠菌群</w:t>
                  </w:r>
                  <w:bookmarkEnd w:id="27"/>
                  <w:r>
                    <w:rPr>
                      <w:rFonts w:hint="default" w:ascii="Times New Roman" w:hAnsi="Times New Roman" w:cs="Times New Roman"/>
                      <w:color w:val="auto"/>
                      <w:highlight w:val="none"/>
                      <w:lang w:val="en-US" w:eastAsia="zh-CN"/>
                    </w:rPr>
                    <w:t>（个/L）</w:t>
                  </w:r>
                </w:p>
              </w:tc>
            </w:tr>
            <w:tr w14:paraId="5E967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68" w:type="pct"/>
                  <w:vMerge w:val="restart"/>
                  <w:noWrap w:val="0"/>
                  <w:vAlign w:val="center"/>
                </w:tcPr>
                <w:p w14:paraId="7F5F4DC4">
                  <w:pPr>
                    <w:pStyle w:val="30"/>
                    <w:widowControl w:val="0"/>
                    <w:bidi w:val="0"/>
                    <w:rPr>
                      <w:rFonts w:hint="default" w:ascii="Times New Roman" w:hAnsi="Times New Roman" w:cs="Times New Roman"/>
                      <w:color w:val="auto"/>
                      <w:highlight w:val="none"/>
                      <w:lang w:val="en-US" w:eastAsia="zh-CN"/>
                    </w:rPr>
                  </w:pPr>
                  <w:bookmarkStart w:id="28" w:name="OLE_LINK22" w:colFirst="2" w:colLast="2"/>
                  <w:r>
                    <w:rPr>
                      <w:rFonts w:hint="default" w:ascii="Times New Roman" w:hAnsi="Times New Roman" w:cs="Times New Roman"/>
                      <w:color w:val="auto"/>
                      <w:highlight w:val="none"/>
                      <w:lang w:val="en-US" w:eastAsia="zh-CN"/>
                    </w:rPr>
                    <w:t>医疗废水</w:t>
                  </w:r>
                </w:p>
              </w:tc>
              <w:tc>
                <w:tcPr>
                  <w:tcW w:w="282" w:type="pct"/>
                  <w:vMerge w:val="restart"/>
                  <w:noWrap w:val="0"/>
                  <w:vAlign w:val="center"/>
                </w:tcPr>
                <w:p w14:paraId="0B40CD5F">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处理前</w:t>
                  </w:r>
                </w:p>
              </w:tc>
              <w:tc>
                <w:tcPr>
                  <w:tcW w:w="477" w:type="pct"/>
                  <w:noWrap w:val="0"/>
                  <w:vAlign w:val="center"/>
                </w:tcPr>
                <w:p w14:paraId="02598C32">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浓度mg/L</w:t>
                  </w:r>
                </w:p>
              </w:tc>
              <w:tc>
                <w:tcPr>
                  <w:tcW w:w="588" w:type="pct"/>
                  <w:vMerge w:val="restart"/>
                  <w:noWrap w:val="0"/>
                  <w:vAlign w:val="center"/>
                </w:tcPr>
                <w:p w14:paraId="7A09E8D1">
                  <w:pPr>
                    <w:pStyle w:val="30"/>
                    <w:widowControl w:val="0"/>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28.032</w:t>
                  </w:r>
                </w:p>
              </w:tc>
              <w:tc>
                <w:tcPr>
                  <w:tcW w:w="655" w:type="pct"/>
                  <w:noWrap w:val="0"/>
                  <w:vAlign w:val="center"/>
                </w:tcPr>
                <w:p w14:paraId="271B7824">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250</w:t>
                  </w:r>
                </w:p>
              </w:tc>
              <w:tc>
                <w:tcPr>
                  <w:tcW w:w="721" w:type="pct"/>
                  <w:noWrap w:val="0"/>
                  <w:vAlign w:val="center"/>
                </w:tcPr>
                <w:p w14:paraId="06AB12DA">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100</w:t>
                  </w:r>
                </w:p>
              </w:tc>
              <w:tc>
                <w:tcPr>
                  <w:tcW w:w="711" w:type="pct"/>
                  <w:noWrap w:val="0"/>
                  <w:vAlign w:val="center"/>
                </w:tcPr>
                <w:p w14:paraId="5C1C1B39">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80</w:t>
                  </w:r>
                </w:p>
              </w:tc>
              <w:tc>
                <w:tcPr>
                  <w:tcW w:w="721" w:type="pct"/>
                  <w:noWrap w:val="0"/>
                  <w:vAlign w:val="center"/>
                </w:tcPr>
                <w:p w14:paraId="0E53BE4C">
                  <w:pPr>
                    <w:pStyle w:val="30"/>
                    <w:widowControl w:val="0"/>
                    <w:bidi w:val="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2</w:t>
                  </w:r>
                  <w:r>
                    <w:rPr>
                      <w:rFonts w:hint="default" w:ascii="Times New Roman" w:hAnsi="Times New Roman" w:cs="Times New Roman"/>
                      <w:color w:val="auto"/>
                      <w:highlight w:val="none"/>
                      <w:lang w:val="en-US" w:eastAsia="zh-CN"/>
                    </w:rPr>
                    <w:t>0</w:t>
                  </w:r>
                </w:p>
              </w:tc>
              <w:tc>
                <w:tcPr>
                  <w:tcW w:w="574" w:type="pct"/>
                  <w:noWrap w:val="0"/>
                  <w:vAlign w:val="center"/>
                </w:tcPr>
                <w:p w14:paraId="49075BC7">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1.6×10</w:t>
                  </w:r>
                  <w:r>
                    <w:rPr>
                      <w:rFonts w:hint="default" w:ascii="Times New Roman" w:hAnsi="Times New Roman" w:cs="Times New Roman"/>
                      <w:color w:val="auto"/>
                      <w:highlight w:val="none"/>
                      <w:vertAlign w:val="superscript"/>
                      <w:lang w:val="en-US" w:eastAsia="zh-CN"/>
                    </w:rPr>
                    <w:t>8</w:t>
                  </w:r>
                </w:p>
              </w:tc>
            </w:tr>
            <w:tr w14:paraId="69786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68" w:type="pct"/>
                  <w:vMerge w:val="continue"/>
                  <w:noWrap w:val="0"/>
                  <w:vAlign w:val="center"/>
                </w:tcPr>
                <w:p w14:paraId="00B30B18">
                  <w:pPr>
                    <w:pStyle w:val="30"/>
                    <w:widowControl w:val="0"/>
                    <w:bidi w:val="0"/>
                    <w:rPr>
                      <w:rFonts w:hint="default" w:ascii="Times New Roman" w:hAnsi="Times New Roman" w:cs="Times New Roman"/>
                      <w:color w:val="auto"/>
                      <w:highlight w:val="none"/>
                      <w:lang w:val="en-US" w:eastAsia="zh-CN"/>
                    </w:rPr>
                  </w:pPr>
                  <w:bookmarkStart w:id="29" w:name="OLE_LINK32" w:colFirst="4" w:colLast="5"/>
                </w:p>
              </w:tc>
              <w:tc>
                <w:tcPr>
                  <w:tcW w:w="282" w:type="pct"/>
                  <w:vMerge w:val="continue"/>
                  <w:noWrap w:val="0"/>
                  <w:vAlign w:val="center"/>
                </w:tcPr>
                <w:p w14:paraId="518EA5CF">
                  <w:pPr>
                    <w:pStyle w:val="30"/>
                    <w:widowControl w:val="0"/>
                    <w:bidi w:val="0"/>
                    <w:rPr>
                      <w:rFonts w:hint="default" w:ascii="Times New Roman" w:hAnsi="Times New Roman" w:cs="Times New Roman"/>
                      <w:color w:val="auto"/>
                      <w:highlight w:val="none"/>
                      <w:lang w:val="en-US" w:eastAsia="zh-CN"/>
                    </w:rPr>
                  </w:pPr>
                </w:p>
              </w:tc>
              <w:tc>
                <w:tcPr>
                  <w:tcW w:w="477" w:type="pct"/>
                  <w:noWrap w:val="0"/>
                  <w:vAlign w:val="center"/>
                </w:tcPr>
                <w:p w14:paraId="0B022690">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产生量t/a</w:t>
                  </w:r>
                </w:p>
              </w:tc>
              <w:tc>
                <w:tcPr>
                  <w:tcW w:w="588" w:type="pct"/>
                  <w:vMerge w:val="continue"/>
                  <w:noWrap w:val="0"/>
                  <w:vAlign w:val="center"/>
                </w:tcPr>
                <w:p w14:paraId="542E459D">
                  <w:pPr>
                    <w:pStyle w:val="30"/>
                    <w:widowControl w:val="0"/>
                    <w:bidi w:val="0"/>
                    <w:rPr>
                      <w:rFonts w:hint="default" w:ascii="Times New Roman" w:hAnsi="Times New Roman" w:cs="Times New Roman"/>
                      <w:color w:val="auto"/>
                      <w:highlight w:val="none"/>
                      <w:lang w:val="en-US" w:eastAsia="zh-CN"/>
                    </w:rPr>
                  </w:pPr>
                </w:p>
              </w:tc>
              <w:tc>
                <w:tcPr>
                  <w:tcW w:w="655" w:type="pct"/>
                  <w:noWrap w:val="0"/>
                  <w:vAlign w:val="center"/>
                </w:tcPr>
                <w:p w14:paraId="6FF3ACEE">
                  <w:pPr>
                    <w:pStyle w:val="30"/>
                    <w:widowControl w:val="0"/>
                    <w:bidi w:val="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 xml:space="preserve">0.00701 </w:t>
                  </w:r>
                </w:p>
              </w:tc>
              <w:tc>
                <w:tcPr>
                  <w:tcW w:w="721" w:type="pct"/>
                  <w:noWrap w:val="0"/>
                  <w:vAlign w:val="center"/>
                </w:tcPr>
                <w:p w14:paraId="1F1360C8">
                  <w:pPr>
                    <w:pStyle w:val="30"/>
                    <w:widowControl w:val="0"/>
                    <w:bidi w:val="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 xml:space="preserve">0.00280 </w:t>
                  </w:r>
                </w:p>
              </w:tc>
              <w:tc>
                <w:tcPr>
                  <w:tcW w:w="711" w:type="pct"/>
                  <w:noWrap w:val="0"/>
                  <w:vAlign w:val="center"/>
                </w:tcPr>
                <w:p w14:paraId="12CAA47C">
                  <w:pPr>
                    <w:pStyle w:val="30"/>
                    <w:widowControl w:val="0"/>
                    <w:bidi w:val="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 xml:space="preserve">0.00224 </w:t>
                  </w:r>
                </w:p>
              </w:tc>
              <w:tc>
                <w:tcPr>
                  <w:tcW w:w="721" w:type="pct"/>
                  <w:noWrap w:val="0"/>
                  <w:vAlign w:val="center"/>
                </w:tcPr>
                <w:p w14:paraId="711E742C">
                  <w:pPr>
                    <w:pStyle w:val="30"/>
                    <w:widowControl w:val="0"/>
                    <w:bidi w:val="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 xml:space="preserve">0.00056 </w:t>
                  </w:r>
                </w:p>
              </w:tc>
              <w:tc>
                <w:tcPr>
                  <w:tcW w:w="574" w:type="pct"/>
                  <w:noWrap w:val="0"/>
                  <w:vAlign w:val="center"/>
                </w:tcPr>
                <w:p w14:paraId="4E444CCE">
                  <w:pPr>
                    <w:pStyle w:val="30"/>
                    <w:widowControl w:val="0"/>
                    <w:bidi w:val="0"/>
                    <w:rPr>
                      <w:rFonts w:hint="default" w:ascii="Times New Roman" w:hAnsi="Times New Roman" w:cs="Times New Roman"/>
                      <w:color w:val="auto"/>
                      <w:highlight w:val="none"/>
                      <w:lang w:val="en-US" w:eastAsia="zh-CN"/>
                    </w:rPr>
                  </w:pPr>
                  <w:bookmarkStart w:id="30" w:name="OLE_LINK34"/>
                  <w:r>
                    <w:rPr>
                      <w:rFonts w:hint="default" w:ascii="Times New Roman" w:hAnsi="Times New Roman" w:cs="Times New Roman"/>
                      <w:color w:val="auto"/>
                      <w:highlight w:val="none"/>
                      <w:lang w:val="en-US" w:eastAsia="zh-CN"/>
                    </w:rPr>
                    <w:t>/</w:t>
                  </w:r>
                  <w:bookmarkEnd w:id="30"/>
                </w:p>
              </w:tc>
            </w:tr>
            <w:bookmarkEnd w:id="28"/>
            <w:bookmarkEnd w:id="29"/>
            <w:tr w14:paraId="36C25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68" w:type="pct"/>
                  <w:vMerge w:val="restart"/>
                  <w:noWrap w:val="0"/>
                  <w:vAlign w:val="center"/>
                </w:tcPr>
                <w:p w14:paraId="21A28A68">
                  <w:pPr>
                    <w:pStyle w:val="30"/>
                    <w:widowControl w:val="0"/>
                    <w:bidi w:val="0"/>
                    <w:rPr>
                      <w:rFonts w:hint="default" w:ascii="Times New Roman" w:hAnsi="Times New Roman" w:cs="Times New Roman"/>
                      <w:color w:val="auto"/>
                      <w:highlight w:val="none"/>
                      <w:lang w:val="en-US" w:eastAsia="zh-CN"/>
                    </w:rPr>
                  </w:pPr>
                  <w:bookmarkStart w:id="31" w:name="OLE_LINK23" w:colFirst="2" w:colLast="2"/>
                  <w:bookmarkStart w:id="32" w:name="OLE_LINK24"/>
                  <w:bookmarkStart w:id="33" w:name="OLE_LINK27" w:colFirst="4" w:colLast="7"/>
                  <w:r>
                    <w:rPr>
                      <w:rFonts w:hint="eastAsia" w:cs="Times New Roman"/>
                      <w:color w:val="auto"/>
                      <w:highlight w:val="none"/>
                      <w:lang w:val="en-US" w:eastAsia="zh-CN"/>
                    </w:rPr>
                    <w:t>清洗消毒废水</w:t>
                  </w:r>
                </w:p>
              </w:tc>
              <w:tc>
                <w:tcPr>
                  <w:tcW w:w="282" w:type="pct"/>
                  <w:vMerge w:val="restart"/>
                  <w:noWrap w:val="0"/>
                  <w:vAlign w:val="center"/>
                </w:tcPr>
                <w:p w14:paraId="7133B4B5">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处理前</w:t>
                  </w:r>
                </w:p>
              </w:tc>
              <w:tc>
                <w:tcPr>
                  <w:tcW w:w="477" w:type="pct"/>
                  <w:noWrap w:val="0"/>
                  <w:vAlign w:val="center"/>
                </w:tcPr>
                <w:p w14:paraId="07AFAB1E">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浓度mg/L</w:t>
                  </w:r>
                </w:p>
              </w:tc>
              <w:tc>
                <w:tcPr>
                  <w:tcW w:w="588" w:type="pct"/>
                  <w:vMerge w:val="restart"/>
                  <w:noWrap w:val="0"/>
                  <w:vAlign w:val="center"/>
                </w:tcPr>
                <w:p w14:paraId="3C8EAF6A">
                  <w:pPr>
                    <w:pStyle w:val="30"/>
                    <w:widowControl w:val="0"/>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14.6</w:t>
                  </w:r>
                </w:p>
              </w:tc>
              <w:tc>
                <w:tcPr>
                  <w:tcW w:w="655" w:type="pct"/>
                  <w:noWrap w:val="0"/>
                  <w:vAlign w:val="center"/>
                </w:tcPr>
                <w:p w14:paraId="5C4A3DB9">
                  <w:pPr>
                    <w:pStyle w:val="30"/>
                    <w:widowControl w:val="0"/>
                    <w:bidi w:val="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190</w:t>
                  </w:r>
                </w:p>
              </w:tc>
              <w:tc>
                <w:tcPr>
                  <w:tcW w:w="721" w:type="pct"/>
                  <w:noWrap w:val="0"/>
                  <w:vAlign w:val="center"/>
                </w:tcPr>
                <w:p w14:paraId="7A13EF98">
                  <w:pPr>
                    <w:pStyle w:val="30"/>
                    <w:widowControl w:val="0"/>
                    <w:bidi w:val="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90</w:t>
                  </w:r>
                </w:p>
              </w:tc>
              <w:tc>
                <w:tcPr>
                  <w:tcW w:w="711" w:type="pct"/>
                  <w:noWrap w:val="0"/>
                  <w:vAlign w:val="center"/>
                </w:tcPr>
                <w:p w14:paraId="45266DFB">
                  <w:pPr>
                    <w:pStyle w:val="30"/>
                    <w:widowControl w:val="0"/>
                    <w:bidi w:val="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60</w:t>
                  </w:r>
                </w:p>
              </w:tc>
              <w:tc>
                <w:tcPr>
                  <w:tcW w:w="721" w:type="pct"/>
                  <w:noWrap w:val="0"/>
                  <w:vAlign w:val="center"/>
                </w:tcPr>
                <w:p w14:paraId="01538092">
                  <w:pPr>
                    <w:pStyle w:val="30"/>
                    <w:widowControl w:val="0"/>
                    <w:bidi w:val="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10</w:t>
                  </w:r>
                </w:p>
              </w:tc>
              <w:tc>
                <w:tcPr>
                  <w:tcW w:w="574" w:type="pct"/>
                  <w:noWrap w:val="0"/>
                  <w:vAlign w:val="center"/>
                </w:tcPr>
                <w:p w14:paraId="3687A566">
                  <w:pPr>
                    <w:pStyle w:val="30"/>
                    <w:widowControl w:val="0"/>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7600</w:t>
                  </w:r>
                </w:p>
              </w:tc>
            </w:tr>
            <w:tr w14:paraId="6A7A7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68" w:type="pct"/>
                  <w:vMerge w:val="continue"/>
                  <w:noWrap w:val="0"/>
                  <w:vAlign w:val="center"/>
                </w:tcPr>
                <w:p w14:paraId="3E7D984D">
                  <w:pPr>
                    <w:pStyle w:val="30"/>
                    <w:widowControl w:val="0"/>
                    <w:bidi w:val="0"/>
                    <w:rPr>
                      <w:rFonts w:hint="default" w:ascii="Times New Roman" w:hAnsi="Times New Roman" w:cs="Times New Roman"/>
                      <w:color w:val="auto"/>
                      <w:highlight w:val="none"/>
                      <w:lang w:val="en-US" w:eastAsia="zh-CN"/>
                    </w:rPr>
                  </w:pPr>
                </w:p>
              </w:tc>
              <w:tc>
                <w:tcPr>
                  <w:tcW w:w="282" w:type="pct"/>
                  <w:vMerge w:val="continue"/>
                  <w:noWrap w:val="0"/>
                  <w:vAlign w:val="center"/>
                </w:tcPr>
                <w:p w14:paraId="63490ACC">
                  <w:pPr>
                    <w:pStyle w:val="30"/>
                    <w:widowControl w:val="0"/>
                    <w:bidi w:val="0"/>
                    <w:rPr>
                      <w:rFonts w:hint="default" w:ascii="Times New Roman" w:hAnsi="Times New Roman" w:cs="Times New Roman"/>
                      <w:color w:val="auto"/>
                      <w:highlight w:val="none"/>
                      <w:lang w:val="en-US" w:eastAsia="zh-CN"/>
                    </w:rPr>
                  </w:pPr>
                </w:p>
              </w:tc>
              <w:tc>
                <w:tcPr>
                  <w:tcW w:w="477" w:type="pct"/>
                  <w:noWrap w:val="0"/>
                  <w:vAlign w:val="center"/>
                </w:tcPr>
                <w:p w14:paraId="280AC7F4">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产生量t/a</w:t>
                  </w:r>
                </w:p>
              </w:tc>
              <w:tc>
                <w:tcPr>
                  <w:tcW w:w="588" w:type="pct"/>
                  <w:vMerge w:val="continue"/>
                  <w:noWrap w:val="0"/>
                  <w:vAlign w:val="center"/>
                </w:tcPr>
                <w:p w14:paraId="4C6CB96C">
                  <w:pPr>
                    <w:pStyle w:val="30"/>
                    <w:widowControl w:val="0"/>
                    <w:bidi w:val="0"/>
                    <w:rPr>
                      <w:rFonts w:hint="default" w:ascii="Times New Roman" w:hAnsi="Times New Roman" w:cs="Times New Roman"/>
                      <w:color w:val="auto"/>
                      <w:highlight w:val="none"/>
                      <w:lang w:val="en-US" w:eastAsia="zh-CN"/>
                    </w:rPr>
                  </w:pPr>
                </w:p>
              </w:tc>
              <w:tc>
                <w:tcPr>
                  <w:tcW w:w="655" w:type="pct"/>
                  <w:noWrap w:val="0"/>
                  <w:vAlign w:val="center"/>
                </w:tcPr>
                <w:p w14:paraId="21AF5E74">
                  <w:pPr>
                    <w:pStyle w:val="30"/>
                    <w:widowControl w:val="0"/>
                    <w:bidi w:val="0"/>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 xml:space="preserve">0.00277 </w:t>
                  </w:r>
                </w:p>
              </w:tc>
              <w:tc>
                <w:tcPr>
                  <w:tcW w:w="721" w:type="pct"/>
                  <w:noWrap w:val="0"/>
                  <w:vAlign w:val="center"/>
                </w:tcPr>
                <w:p w14:paraId="784DBAAB">
                  <w:pPr>
                    <w:pStyle w:val="30"/>
                    <w:widowControl w:val="0"/>
                    <w:bidi w:val="0"/>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 xml:space="preserve">0.00131 </w:t>
                  </w:r>
                </w:p>
              </w:tc>
              <w:tc>
                <w:tcPr>
                  <w:tcW w:w="711" w:type="pct"/>
                  <w:noWrap w:val="0"/>
                  <w:vAlign w:val="center"/>
                </w:tcPr>
                <w:p w14:paraId="11EC3290">
                  <w:pPr>
                    <w:pStyle w:val="30"/>
                    <w:widowControl w:val="0"/>
                    <w:bidi w:val="0"/>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 xml:space="preserve">0.00088 </w:t>
                  </w:r>
                </w:p>
              </w:tc>
              <w:tc>
                <w:tcPr>
                  <w:tcW w:w="721" w:type="pct"/>
                  <w:noWrap w:val="0"/>
                  <w:vAlign w:val="center"/>
                </w:tcPr>
                <w:p w14:paraId="4C2ED250">
                  <w:pPr>
                    <w:pStyle w:val="30"/>
                    <w:widowControl w:val="0"/>
                    <w:bidi w:val="0"/>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 xml:space="preserve">0.00015 </w:t>
                  </w:r>
                </w:p>
              </w:tc>
              <w:tc>
                <w:tcPr>
                  <w:tcW w:w="574" w:type="pct"/>
                  <w:noWrap w:val="0"/>
                  <w:vAlign w:val="center"/>
                </w:tcPr>
                <w:p w14:paraId="7844C7D5">
                  <w:pPr>
                    <w:pStyle w:val="30"/>
                    <w:widowControl w:val="0"/>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w:t>
                  </w:r>
                </w:p>
              </w:tc>
            </w:tr>
            <w:tr w14:paraId="2951F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68" w:type="pct"/>
                  <w:vMerge w:val="restart"/>
                  <w:noWrap w:val="0"/>
                  <w:vAlign w:val="center"/>
                </w:tcPr>
                <w:p w14:paraId="3D68C365">
                  <w:pPr>
                    <w:pStyle w:val="30"/>
                    <w:widowControl w:val="0"/>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综合排放</w:t>
                  </w:r>
                </w:p>
              </w:tc>
              <w:tc>
                <w:tcPr>
                  <w:tcW w:w="759" w:type="pct"/>
                  <w:gridSpan w:val="2"/>
                  <w:noWrap w:val="0"/>
                  <w:vAlign w:val="center"/>
                </w:tcPr>
                <w:p w14:paraId="63F66CD6">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处理效率%</w:t>
                  </w:r>
                </w:p>
              </w:tc>
              <w:tc>
                <w:tcPr>
                  <w:tcW w:w="588" w:type="pct"/>
                  <w:vMerge w:val="restart"/>
                  <w:noWrap w:val="0"/>
                  <w:vAlign w:val="center"/>
                </w:tcPr>
                <w:p w14:paraId="06615E4E">
                  <w:pPr>
                    <w:pStyle w:val="30"/>
                    <w:widowControl w:val="0"/>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42.632</w:t>
                  </w:r>
                </w:p>
              </w:tc>
              <w:tc>
                <w:tcPr>
                  <w:tcW w:w="655" w:type="pct"/>
                  <w:noWrap w:val="0"/>
                  <w:vAlign w:val="center"/>
                </w:tcPr>
                <w:p w14:paraId="2CFFB1A5">
                  <w:pPr>
                    <w:pStyle w:val="30"/>
                    <w:widowControl w:val="0"/>
                    <w:bidi w:val="0"/>
                    <w:rPr>
                      <w:rFonts w:hint="eastAsia"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w:t>
                  </w:r>
                </w:p>
              </w:tc>
              <w:tc>
                <w:tcPr>
                  <w:tcW w:w="721" w:type="pct"/>
                  <w:noWrap w:val="0"/>
                  <w:vAlign w:val="center"/>
                </w:tcPr>
                <w:p w14:paraId="76CE095A">
                  <w:pPr>
                    <w:pStyle w:val="30"/>
                    <w:widowControl w:val="0"/>
                    <w:bidi w:val="0"/>
                    <w:rPr>
                      <w:rFonts w:hint="eastAsia"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w:t>
                  </w:r>
                </w:p>
              </w:tc>
              <w:tc>
                <w:tcPr>
                  <w:tcW w:w="711" w:type="pct"/>
                  <w:noWrap w:val="0"/>
                  <w:vAlign w:val="center"/>
                </w:tcPr>
                <w:p w14:paraId="419471EB">
                  <w:pPr>
                    <w:pStyle w:val="30"/>
                    <w:widowControl w:val="0"/>
                    <w:bidi w:val="0"/>
                    <w:rPr>
                      <w:rFonts w:hint="eastAsia"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25</w:t>
                  </w:r>
                </w:p>
              </w:tc>
              <w:tc>
                <w:tcPr>
                  <w:tcW w:w="721" w:type="pct"/>
                  <w:noWrap w:val="0"/>
                  <w:vAlign w:val="center"/>
                </w:tcPr>
                <w:p w14:paraId="2DEFB2C7">
                  <w:pPr>
                    <w:pStyle w:val="30"/>
                    <w:widowControl w:val="0"/>
                    <w:bidi w:val="0"/>
                    <w:rPr>
                      <w:rFonts w:hint="eastAsia"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w:t>
                  </w:r>
                </w:p>
              </w:tc>
              <w:tc>
                <w:tcPr>
                  <w:tcW w:w="574" w:type="pct"/>
                  <w:noWrap w:val="0"/>
                  <w:vAlign w:val="center"/>
                </w:tcPr>
                <w:p w14:paraId="60F36968">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&gt;99.99</w:t>
                  </w:r>
                </w:p>
              </w:tc>
            </w:tr>
            <w:tr w14:paraId="1F312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68" w:type="pct"/>
                  <w:vMerge w:val="continue"/>
                  <w:noWrap w:val="0"/>
                  <w:vAlign w:val="center"/>
                </w:tcPr>
                <w:p w14:paraId="55EC2561">
                  <w:pPr>
                    <w:pStyle w:val="30"/>
                    <w:widowControl w:val="0"/>
                    <w:bidi w:val="0"/>
                    <w:rPr>
                      <w:rFonts w:hint="default" w:ascii="Times New Roman" w:hAnsi="Times New Roman" w:cs="Times New Roman"/>
                      <w:color w:val="auto"/>
                      <w:highlight w:val="none"/>
                      <w:lang w:val="en-US" w:eastAsia="zh-CN"/>
                    </w:rPr>
                  </w:pPr>
                </w:p>
              </w:tc>
              <w:tc>
                <w:tcPr>
                  <w:tcW w:w="282" w:type="pct"/>
                  <w:vMerge w:val="restart"/>
                  <w:noWrap w:val="0"/>
                  <w:vAlign w:val="center"/>
                </w:tcPr>
                <w:p w14:paraId="4782775A">
                  <w:pPr>
                    <w:pStyle w:val="30"/>
                    <w:widowControl w:val="0"/>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处理后</w:t>
                  </w:r>
                </w:p>
              </w:tc>
              <w:tc>
                <w:tcPr>
                  <w:tcW w:w="477" w:type="pct"/>
                  <w:noWrap w:val="0"/>
                  <w:vAlign w:val="center"/>
                </w:tcPr>
                <w:p w14:paraId="6D2E9D1B">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浓度mg/L</w:t>
                  </w:r>
                </w:p>
              </w:tc>
              <w:tc>
                <w:tcPr>
                  <w:tcW w:w="588" w:type="pct"/>
                  <w:vMerge w:val="continue"/>
                  <w:noWrap w:val="0"/>
                  <w:vAlign w:val="center"/>
                </w:tcPr>
                <w:p w14:paraId="76D7DA4E">
                  <w:pPr>
                    <w:pStyle w:val="30"/>
                    <w:widowControl w:val="0"/>
                    <w:bidi w:val="0"/>
                    <w:rPr>
                      <w:rFonts w:hint="default" w:ascii="Times New Roman" w:hAnsi="Times New Roman" w:cs="Times New Roman"/>
                      <w:color w:val="auto"/>
                      <w:highlight w:val="none"/>
                      <w:lang w:val="en-US" w:eastAsia="zh-CN"/>
                    </w:rPr>
                  </w:pPr>
                </w:p>
              </w:tc>
              <w:tc>
                <w:tcPr>
                  <w:tcW w:w="655" w:type="pct"/>
                  <w:noWrap w:val="0"/>
                  <w:vAlign w:val="center"/>
                </w:tcPr>
                <w:p w14:paraId="4F4512B0">
                  <w:pPr>
                    <w:pStyle w:val="30"/>
                    <w:widowControl w:val="0"/>
                    <w:bidi w:val="0"/>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229.5</w:t>
                  </w:r>
                </w:p>
              </w:tc>
              <w:tc>
                <w:tcPr>
                  <w:tcW w:w="721" w:type="pct"/>
                  <w:noWrap w:val="0"/>
                  <w:vAlign w:val="center"/>
                </w:tcPr>
                <w:p w14:paraId="2120DE15">
                  <w:pPr>
                    <w:pStyle w:val="30"/>
                    <w:widowControl w:val="0"/>
                    <w:bidi w:val="0"/>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96.6</w:t>
                  </w:r>
                </w:p>
              </w:tc>
              <w:tc>
                <w:tcPr>
                  <w:tcW w:w="711" w:type="pct"/>
                  <w:noWrap w:val="0"/>
                  <w:vAlign w:val="center"/>
                </w:tcPr>
                <w:p w14:paraId="0F41235C">
                  <w:pPr>
                    <w:pStyle w:val="30"/>
                    <w:widowControl w:val="0"/>
                    <w:bidi w:val="0"/>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54.9</w:t>
                  </w:r>
                </w:p>
              </w:tc>
              <w:tc>
                <w:tcPr>
                  <w:tcW w:w="721" w:type="pct"/>
                  <w:noWrap w:val="0"/>
                  <w:vAlign w:val="center"/>
                </w:tcPr>
                <w:p w14:paraId="22F8F55B">
                  <w:pPr>
                    <w:pStyle w:val="30"/>
                    <w:widowControl w:val="0"/>
                    <w:bidi w:val="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16.6</w:t>
                  </w:r>
                </w:p>
              </w:tc>
              <w:tc>
                <w:tcPr>
                  <w:tcW w:w="574" w:type="pct"/>
                  <w:noWrap w:val="0"/>
                  <w:vAlign w:val="center"/>
                </w:tcPr>
                <w:p w14:paraId="29C02775">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&lt;5000</w:t>
                  </w:r>
                </w:p>
              </w:tc>
            </w:tr>
            <w:tr w14:paraId="03AE6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68" w:type="pct"/>
                  <w:vMerge w:val="continue"/>
                  <w:noWrap w:val="0"/>
                  <w:vAlign w:val="center"/>
                </w:tcPr>
                <w:p w14:paraId="6DE9A21C">
                  <w:pPr>
                    <w:pStyle w:val="30"/>
                    <w:widowControl w:val="0"/>
                    <w:bidi w:val="0"/>
                    <w:rPr>
                      <w:rFonts w:hint="default" w:ascii="Times New Roman" w:hAnsi="Times New Roman" w:cs="Times New Roman"/>
                      <w:color w:val="auto"/>
                      <w:highlight w:val="none"/>
                      <w:lang w:val="en-US" w:eastAsia="zh-CN"/>
                    </w:rPr>
                  </w:pPr>
                </w:p>
              </w:tc>
              <w:tc>
                <w:tcPr>
                  <w:tcW w:w="282" w:type="pct"/>
                  <w:vMerge w:val="continue"/>
                  <w:noWrap w:val="0"/>
                  <w:vAlign w:val="center"/>
                </w:tcPr>
                <w:p w14:paraId="66F8116A">
                  <w:pPr>
                    <w:pStyle w:val="30"/>
                    <w:widowControl w:val="0"/>
                    <w:bidi w:val="0"/>
                    <w:rPr>
                      <w:rFonts w:hint="default" w:ascii="Times New Roman" w:hAnsi="Times New Roman" w:cs="Times New Roman"/>
                      <w:color w:val="auto"/>
                      <w:highlight w:val="none"/>
                      <w:lang w:val="en-US" w:eastAsia="zh-CN"/>
                    </w:rPr>
                  </w:pPr>
                </w:p>
              </w:tc>
              <w:tc>
                <w:tcPr>
                  <w:tcW w:w="477" w:type="pct"/>
                  <w:noWrap w:val="0"/>
                  <w:vAlign w:val="center"/>
                </w:tcPr>
                <w:p w14:paraId="7179BB6B">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排放量t/a</w:t>
                  </w:r>
                </w:p>
              </w:tc>
              <w:tc>
                <w:tcPr>
                  <w:tcW w:w="588" w:type="pct"/>
                  <w:vMerge w:val="continue"/>
                  <w:noWrap w:val="0"/>
                  <w:vAlign w:val="center"/>
                </w:tcPr>
                <w:p w14:paraId="67F17920">
                  <w:pPr>
                    <w:pStyle w:val="30"/>
                    <w:widowControl w:val="0"/>
                    <w:bidi w:val="0"/>
                    <w:rPr>
                      <w:rFonts w:hint="default" w:ascii="Times New Roman" w:hAnsi="Times New Roman" w:cs="Times New Roman"/>
                      <w:color w:val="auto"/>
                      <w:highlight w:val="none"/>
                      <w:lang w:val="en-US" w:eastAsia="zh-CN"/>
                    </w:rPr>
                  </w:pPr>
                </w:p>
              </w:tc>
              <w:tc>
                <w:tcPr>
                  <w:tcW w:w="655" w:type="pct"/>
                  <w:noWrap w:val="0"/>
                  <w:vAlign w:val="center"/>
                </w:tcPr>
                <w:p w14:paraId="4980992A">
                  <w:pPr>
                    <w:pStyle w:val="30"/>
                    <w:widowControl w:val="0"/>
                    <w:bidi w:val="0"/>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 xml:space="preserve">0.00978 </w:t>
                  </w:r>
                </w:p>
              </w:tc>
              <w:tc>
                <w:tcPr>
                  <w:tcW w:w="721" w:type="pct"/>
                  <w:noWrap w:val="0"/>
                  <w:vAlign w:val="center"/>
                </w:tcPr>
                <w:p w14:paraId="543949FE">
                  <w:pPr>
                    <w:pStyle w:val="30"/>
                    <w:widowControl w:val="0"/>
                    <w:bidi w:val="0"/>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 xml:space="preserve">0.00412 </w:t>
                  </w:r>
                </w:p>
              </w:tc>
              <w:tc>
                <w:tcPr>
                  <w:tcW w:w="711" w:type="pct"/>
                  <w:noWrap w:val="0"/>
                  <w:vAlign w:val="center"/>
                </w:tcPr>
                <w:p w14:paraId="3079231C">
                  <w:pPr>
                    <w:pStyle w:val="30"/>
                    <w:widowControl w:val="0"/>
                    <w:bidi w:val="0"/>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 xml:space="preserve">0.00234 </w:t>
                  </w:r>
                </w:p>
              </w:tc>
              <w:tc>
                <w:tcPr>
                  <w:tcW w:w="721" w:type="pct"/>
                  <w:noWrap w:val="0"/>
                  <w:vAlign w:val="center"/>
                </w:tcPr>
                <w:p w14:paraId="50B6B0A1">
                  <w:pPr>
                    <w:pStyle w:val="30"/>
                    <w:widowControl w:val="0"/>
                    <w:bidi w:val="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 xml:space="preserve">0.00071 </w:t>
                  </w:r>
                </w:p>
              </w:tc>
              <w:tc>
                <w:tcPr>
                  <w:tcW w:w="574" w:type="pct"/>
                  <w:noWrap w:val="0"/>
                  <w:vAlign w:val="center"/>
                </w:tcPr>
                <w:p w14:paraId="4704AC18">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r>
            <w:bookmarkEnd w:id="31"/>
            <w:tr w14:paraId="7900A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16" w:type="pct"/>
                  <w:gridSpan w:val="4"/>
                  <w:noWrap w:val="0"/>
                  <w:vAlign w:val="center"/>
                </w:tcPr>
                <w:p w14:paraId="1B02DE8A">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《医疗机构水污染物排放标准》</w:t>
                  </w:r>
                  <w:r>
                    <w:rPr>
                      <w:rFonts w:hint="eastAsia" w:cs="Times New Roman"/>
                      <w:color w:val="auto"/>
                      <w:lang w:eastAsia="zh-CN"/>
                    </w:rPr>
                    <w:t>（GB 18466-2005，含2026年修改单）</w:t>
                  </w:r>
                  <w:r>
                    <w:rPr>
                      <w:rFonts w:hint="default" w:ascii="Times New Roman" w:hAnsi="Times New Roman" w:cs="Times New Roman"/>
                      <w:color w:val="auto"/>
                      <w:highlight w:val="none"/>
                      <w:lang w:val="en-US" w:eastAsia="zh-CN"/>
                    </w:rPr>
                    <w:t>（mg/L）</w:t>
                  </w:r>
                  <w:bookmarkEnd w:id="32"/>
                </w:p>
              </w:tc>
              <w:tc>
                <w:tcPr>
                  <w:tcW w:w="655" w:type="pct"/>
                  <w:noWrap w:val="0"/>
                  <w:vAlign w:val="center"/>
                </w:tcPr>
                <w:p w14:paraId="6E4958D4">
                  <w:pPr>
                    <w:pStyle w:val="30"/>
                    <w:widowControl w:val="0"/>
                    <w:bidi w:val="0"/>
                    <w:rPr>
                      <w:rFonts w:hint="eastAsia"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250</w:t>
                  </w:r>
                </w:p>
              </w:tc>
              <w:tc>
                <w:tcPr>
                  <w:tcW w:w="721" w:type="pct"/>
                  <w:noWrap w:val="0"/>
                  <w:vAlign w:val="center"/>
                </w:tcPr>
                <w:p w14:paraId="6EE0796E">
                  <w:pPr>
                    <w:pStyle w:val="30"/>
                    <w:widowControl w:val="0"/>
                    <w:bidi w:val="0"/>
                    <w:rPr>
                      <w:rFonts w:hint="eastAsia"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100</w:t>
                  </w:r>
                </w:p>
              </w:tc>
              <w:tc>
                <w:tcPr>
                  <w:tcW w:w="711" w:type="pct"/>
                  <w:noWrap w:val="0"/>
                  <w:vAlign w:val="center"/>
                </w:tcPr>
                <w:p w14:paraId="23A5AB3C">
                  <w:pPr>
                    <w:pStyle w:val="30"/>
                    <w:widowControl w:val="0"/>
                    <w:bidi w:val="0"/>
                    <w:rPr>
                      <w:rFonts w:hint="eastAsia"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60</w:t>
                  </w:r>
                </w:p>
              </w:tc>
              <w:tc>
                <w:tcPr>
                  <w:tcW w:w="721" w:type="pct"/>
                  <w:noWrap w:val="0"/>
                  <w:vAlign w:val="center"/>
                </w:tcPr>
                <w:p w14:paraId="125B24EB">
                  <w:pPr>
                    <w:pStyle w:val="30"/>
                    <w:widowControl w:val="0"/>
                    <w:bidi w:val="0"/>
                    <w:rPr>
                      <w:rFonts w:hint="eastAsia"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45</w:t>
                  </w:r>
                </w:p>
              </w:tc>
              <w:tc>
                <w:tcPr>
                  <w:tcW w:w="574" w:type="pct"/>
                  <w:noWrap w:val="0"/>
                  <w:vAlign w:val="center"/>
                </w:tcPr>
                <w:p w14:paraId="6ECCDF9C">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5000</w:t>
                  </w:r>
                </w:p>
              </w:tc>
            </w:tr>
            <w:tr w14:paraId="2B16B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68" w:type="pct"/>
                  <w:vMerge w:val="restart"/>
                  <w:noWrap w:val="0"/>
                  <w:vAlign w:val="center"/>
                </w:tcPr>
                <w:p w14:paraId="0AB0E992">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洗浴废水</w:t>
                  </w:r>
                </w:p>
              </w:tc>
              <w:tc>
                <w:tcPr>
                  <w:tcW w:w="282" w:type="pct"/>
                  <w:vMerge w:val="restart"/>
                  <w:noWrap w:val="0"/>
                  <w:vAlign w:val="center"/>
                </w:tcPr>
                <w:p w14:paraId="76086E23">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处理前</w:t>
                  </w:r>
                </w:p>
              </w:tc>
              <w:tc>
                <w:tcPr>
                  <w:tcW w:w="477" w:type="pct"/>
                  <w:noWrap w:val="0"/>
                  <w:vAlign w:val="center"/>
                </w:tcPr>
                <w:p w14:paraId="479D0BEA">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浓度mg/L</w:t>
                  </w:r>
                </w:p>
              </w:tc>
              <w:tc>
                <w:tcPr>
                  <w:tcW w:w="588" w:type="pct"/>
                  <w:vMerge w:val="restart"/>
                  <w:noWrap w:val="0"/>
                  <w:vAlign w:val="center"/>
                </w:tcPr>
                <w:p w14:paraId="5D8974C6">
                  <w:pPr>
                    <w:pStyle w:val="30"/>
                    <w:widowControl w:val="0"/>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29.2</w:t>
                  </w:r>
                </w:p>
              </w:tc>
              <w:tc>
                <w:tcPr>
                  <w:tcW w:w="655" w:type="pct"/>
                  <w:noWrap w:val="0"/>
                  <w:vAlign w:val="center"/>
                </w:tcPr>
                <w:p w14:paraId="0F63B195">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307</w:t>
                  </w:r>
                </w:p>
              </w:tc>
              <w:tc>
                <w:tcPr>
                  <w:tcW w:w="721" w:type="pct"/>
                  <w:noWrap w:val="0"/>
                  <w:vAlign w:val="center"/>
                </w:tcPr>
                <w:p w14:paraId="2042DE8A">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197</w:t>
                  </w:r>
                </w:p>
              </w:tc>
              <w:tc>
                <w:tcPr>
                  <w:tcW w:w="711" w:type="pct"/>
                  <w:noWrap w:val="0"/>
                  <w:vAlign w:val="center"/>
                </w:tcPr>
                <w:p w14:paraId="513BA16F">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205</w:t>
                  </w:r>
                </w:p>
              </w:tc>
              <w:tc>
                <w:tcPr>
                  <w:tcW w:w="721" w:type="pct"/>
                  <w:noWrap w:val="0"/>
                  <w:vAlign w:val="center"/>
                </w:tcPr>
                <w:p w14:paraId="014F165E">
                  <w:pPr>
                    <w:pStyle w:val="30"/>
                    <w:widowControl w:val="0"/>
                    <w:bidi w:val="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w:t>
                  </w:r>
                  <w:r>
                    <w:rPr>
                      <w:rFonts w:hint="default" w:ascii="Times New Roman" w:hAnsi="Times New Roman" w:cs="Times New Roman"/>
                      <w:color w:val="auto"/>
                      <w:highlight w:val="none"/>
                      <w:lang w:val="en-US" w:eastAsia="zh-CN"/>
                    </w:rPr>
                    <w:t>6</w:t>
                  </w:r>
                </w:p>
              </w:tc>
              <w:tc>
                <w:tcPr>
                  <w:tcW w:w="574" w:type="pct"/>
                  <w:noWrap w:val="0"/>
                  <w:vAlign w:val="center"/>
                </w:tcPr>
                <w:p w14:paraId="79B6BBC1">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4412</w:t>
                  </w:r>
                </w:p>
              </w:tc>
            </w:tr>
            <w:tr w14:paraId="4D3CB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68" w:type="pct"/>
                  <w:vMerge w:val="continue"/>
                  <w:noWrap w:val="0"/>
                  <w:vAlign w:val="center"/>
                </w:tcPr>
                <w:p w14:paraId="0D91409A">
                  <w:pPr>
                    <w:pStyle w:val="30"/>
                    <w:widowControl w:val="0"/>
                    <w:bidi w:val="0"/>
                    <w:rPr>
                      <w:rFonts w:hint="default" w:ascii="Times New Roman" w:hAnsi="Times New Roman" w:cs="Times New Roman"/>
                      <w:color w:val="auto"/>
                      <w:highlight w:val="none"/>
                      <w:lang w:val="en-US" w:eastAsia="zh-CN"/>
                    </w:rPr>
                  </w:pPr>
                </w:p>
              </w:tc>
              <w:tc>
                <w:tcPr>
                  <w:tcW w:w="282" w:type="pct"/>
                  <w:vMerge w:val="continue"/>
                  <w:noWrap w:val="0"/>
                  <w:vAlign w:val="center"/>
                </w:tcPr>
                <w:p w14:paraId="414A4BD0">
                  <w:pPr>
                    <w:pStyle w:val="30"/>
                    <w:widowControl w:val="0"/>
                    <w:bidi w:val="0"/>
                    <w:rPr>
                      <w:rFonts w:hint="default" w:ascii="Times New Roman" w:hAnsi="Times New Roman" w:cs="Times New Roman"/>
                      <w:color w:val="auto"/>
                      <w:highlight w:val="none"/>
                      <w:lang w:val="en-US" w:eastAsia="zh-CN"/>
                    </w:rPr>
                  </w:pPr>
                </w:p>
              </w:tc>
              <w:tc>
                <w:tcPr>
                  <w:tcW w:w="477" w:type="pct"/>
                  <w:noWrap w:val="0"/>
                  <w:vAlign w:val="center"/>
                </w:tcPr>
                <w:p w14:paraId="5FE8DE3E">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产生量t/a</w:t>
                  </w:r>
                </w:p>
              </w:tc>
              <w:tc>
                <w:tcPr>
                  <w:tcW w:w="588" w:type="pct"/>
                  <w:vMerge w:val="continue"/>
                  <w:noWrap w:val="0"/>
                  <w:vAlign w:val="center"/>
                </w:tcPr>
                <w:p w14:paraId="327AB831">
                  <w:pPr>
                    <w:pStyle w:val="30"/>
                    <w:widowControl w:val="0"/>
                    <w:bidi w:val="0"/>
                    <w:rPr>
                      <w:rFonts w:hint="default" w:ascii="Times New Roman" w:hAnsi="Times New Roman" w:cs="Times New Roman"/>
                      <w:color w:val="auto"/>
                      <w:highlight w:val="none"/>
                      <w:lang w:val="en-US" w:eastAsia="zh-CN"/>
                    </w:rPr>
                  </w:pPr>
                </w:p>
              </w:tc>
              <w:tc>
                <w:tcPr>
                  <w:tcW w:w="655" w:type="pct"/>
                  <w:noWrap w:val="0"/>
                  <w:vAlign w:val="center"/>
                </w:tcPr>
                <w:p w14:paraId="578400B1">
                  <w:pPr>
                    <w:pStyle w:val="30"/>
                    <w:widowControl w:val="0"/>
                    <w:bidi w:val="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 xml:space="preserve">0.00896 </w:t>
                  </w:r>
                </w:p>
              </w:tc>
              <w:tc>
                <w:tcPr>
                  <w:tcW w:w="721" w:type="pct"/>
                  <w:noWrap w:val="0"/>
                  <w:vAlign w:val="center"/>
                </w:tcPr>
                <w:p w14:paraId="0927E389">
                  <w:pPr>
                    <w:pStyle w:val="30"/>
                    <w:widowControl w:val="0"/>
                    <w:bidi w:val="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 xml:space="preserve">0.00575 </w:t>
                  </w:r>
                </w:p>
              </w:tc>
              <w:tc>
                <w:tcPr>
                  <w:tcW w:w="711" w:type="pct"/>
                  <w:noWrap w:val="0"/>
                  <w:vAlign w:val="center"/>
                </w:tcPr>
                <w:p w14:paraId="6F724033">
                  <w:pPr>
                    <w:pStyle w:val="30"/>
                    <w:widowControl w:val="0"/>
                    <w:bidi w:val="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 xml:space="preserve">0.00599 </w:t>
                  </w:r>
                </w:p>
              </w:tc>
              <w:tc>
                <w:tcPr>
                  <w:tcW w:w="721" w:type="pct"/>
                  <w:noWrap w:val="0"/>
                  <w:vAlign w:val="center"/>
                </w:tcPr>
                <w:p w14:paraId="3C93FC2A">
                  <w:pPr>
                    <w:pStyle w:val="30"/>
                    <w:widowControl w:val="0"/>
                    <w:bidi w:val="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 xml:space="preserve">0.00047 </w:t>
                  </w:r>
                </w:p>
              </w:tc>
              <w:tc>
                <w:tcPr>
                  <w:tcW w:w="574" w:type="pct"/>
                  <w:noWrap w:val="0"/>
                  <w:vAlign w:val="center"/>
                </w:tcPr>
                <w:p w14:paraId="7A2FA5A8">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r>
            <w:tr w14:paraId="2F416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68" w:type="pct"/>
                  <w:vMerge w:val="restart"/>
                  <w:noWrap w:val="0"/>
                  <w:vAlign w:val="center"/>
                </w:tcPr>
                <w:p w14:paraId="79F3D49A">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生活</w:t>
                  </w:r>
                  <w:r>
                    <w:rPr>
                      <w:rFonts w:hint="eastAsia" w:cs="Times New Roman"/>
                      <w:color w:val="auto"/>
                      <w:highlight w:val="none"/>
                      <w:lang w:val="en-US" w:eastAsia="zh-CN"/>
                    </w:rPr>
                    <w:t>污</w:t>
                  </w:r>
                  <w:r>
                    <w:rPr>
                      <w:rFonts w:hint="default" w:ascii="Times New Roman" w:hAnsi="Times New Roman" w:cs="Times New Roman"/>
                      <w:color w:val="auto"/>
                      <w:highlight w:val="none"/>
                      <w:lang w:val="en-US" w:eastAsia="zh-CN"/>
                    </w:rPr>
                    <w:t>水</w:t>
                  </w:r>
                </w:p>
              </w:tc>
              <w:tc>
                <w:tcPr>
                  <w:tcW w:w="282" w:type="pct"/>
                  <w:vMerge w:val="restart"/>
                  <w:noWrap w:val="0"/>
                  <w:vAlign w:val="center"/>
                </w:tcPr>
                <w:p w14:paraId="3715398E">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处理前</w:t>
                  </w:r>
                </w:p>
              </w:tc>
              <w:tc>
                <w:tcPr>
                  <w:tcW w:w="477" w:type="pct"/>
                  <w:noWrap w:val="0"/>
                  <w:vAlign w:val="center"/>
                </w:tcPr>
                <w:p w14:paraId="590A9E7A">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浓度mg/L</w:t>
                  </w:r>
                </w:p>
              </w:tc>
              <w:tc>
                <w:tcPr>
                  <w:tcW w:w="588" w:type="pct"/>
                  <w:vMerge w:val="restart"/>
                  <w:noWrap w:val="0"/>
                  <w:vAlign w:val="center"/>
                </w:tcPr>
                <w:p w14:paraId="452302FC">
                  <w:pPr>
                    <w:pStyle w:val="30"/>
                    <w:widowControl w:val="0"/>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233.6</w:t>
                  </w:r>
                </w:p>
              </w:tc>
              <w:tc>
                <w:tcPr>
                  <w:tcW w:w="655" w:type="pct"/>
                  <w:noWrap w:val="0"/>
                  <w:vAlign w:val="center"/>
                </w:tcPr>
                <w:p w14:paraId="321EABBA">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460</w:t>
                  </w:r>
                </w:p>
              </w:tc>
              <w:tc>
                <w:tcPr>
                  <w:tcW w:w="721" w:type="pct"/>
                  <w:noWrap w:val="0"/>
                  <w:vAlign w:val="center"/>
                </w:tcPr>
                <w:p w14:paraId="0DE6D630">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200</w:t>
                  </w:r>
                </w:p>
              </w:tc>
              <w:tc>
                <w:tcPr>
                  <w:tcW w:w="711" w:type="pct"/>
                  <w:noWrap w:val="0"/>
                  <w:vAlign w:val="center"/>
                </w:tcPr>
                <w:p w14:paraId="11215F79">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200</w:t>
                  </w:r>
                </w:p>
              </w:tc>
              <w:tc>
                <w:tcPr>
                  <w:tcW w:w="721" w:type="pct"/>
                  <w:noWrap w:val="0"/>
                  <w:vAlign w:val="center"/>
                </w:tcPr>
                <w:p w14:paraId="7FB4CA9B">
                  <w:pPr>
                    <w:pStyle w:val="30"/>
                    <w:widowControl w:val="0"/>
                    <w:bidi w:val="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35</w:t>
                  </w:r>
                </w:p>
              </w:tc>
              <w:tc>
                <w:tcPr>
                  <w:tcW w:w="574" w:type="pct"/>
                  <w:noWrap w:val="0"/>
                  <w:vAlign w:val="center"/>
                </w:tcPr>
                <w:p w14:paraId="3E1161AB">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r>
            <w:bookmarkEnd w:id="33"/>
            <w:tr w14:paraId="359CD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68" w:type="pct"/>
                  <w:vMerge w:val="continue"/>
                  <w:noWrap w:val="0"/>
                  <w:vAlign w:val="center"/>
                </w:tcPr>
                <w:p w14:paraId="28ED91DA">
                  <w:pPr>
                    <w:pStyle w:val="30"/>
                    <w:widowControl w:val="0"/>
                    <w:bidi w:val="0"/>
                    <w:rPr>
                      <w:rFonts w:hint="default" w:ascii="Times New Roman" w:hAnsi="Times New Roman" w:cs="Times New Roman"/>
                      <w:color w:val="auto"/>
                      <w:highlight w:val="none"/>
                      <w:lang w:val="en-US" w:eastAsia="zh-CN"/>
                    </w:rPr>
                  </w:pPr>
                  <w:bookmarkStart w:id="34" w:name="OLE_LINK36" w:colFirst="4" w:colLast="7"/>
                </w:p>
              </w:tc>
              <w:tc>
                <w:tcPr>
                  <w:tcW w:w="282" w:type="pct"/>
                  <w:vMerge w:val="continue"/>
                  <w:noWrap w:val="0"/>
                  <w:vAlign w:val="center"/>
                </w:tcPr>
                <w:p w14:paraId="68C3CB4D">
                  <w:pPr>
                    <w:pStyle w:val="30"/>
                    <w:widowControl w:val="0"/>
                    <w:bidi w:val="0"/>
                    <w:rPr>
                      <w:rFonts w:hint="default" w:ascii="Times New Roman" w:hAnsi="Times New Roman" w:cs="Times New Roman"/>
                      <w:color w:val="auto"/>
                      <w:highlight w:val="none"/>
                      <w:lang w:val="en-US" w:eastAsia="zh-CN"/>
                    </w:rPr>
                  </w:pPr>
                </w:p>
              </w:tc>
              <w:tc>
                <w:tcPr>
                  <w:tcW w:w="477" w:type="pct"/>
                  <w:noWrap w:val="0"/>
                  <w:vAlign w:val="center"/>
                </w:tcPr>
                <w:p w14:paraId="4662068D">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产生量t/a</w:t>
                  </w:r>
                </w:p>
              </w:tc>
              <w:tc>
                <w:tcPr>
                  <w:tcW w:w="588" w:type="pct"/>
                  <w:vMerge w:val="continue"/>
                  <w:noWrap w:val="0"/>
                  <w:vAlign w:val="center"/>
                </w:tcPr>
                <w:p w14:paraId="32E64D91">
                  <w:pPr>
                    <w:pStyle w:val="30"/>
                    <w:widowControl w:val="0"/>
                    <w:bidi w:val="0"/>
                    <w:rPr>
                      <w:rFonts w:hint="default" w:ascii="Times New Roman" w:hAnsi="Times New Roman" w:cs="Times New Roman"/>
                      <w:color w:val="auto"/>
                      <w:highlight w:val="none"/>
                      <w:lang w:val="en-US" w:eastAsia="zh-CN"/>
                    </w:rPr>
                  </w:pPr>
                </w:p>
              </w:tc>
              <w:tc>
                <w:tcPr>
                  <w:tcW w:w="655" w:type="pct"/>
                  <w:noWrap w:val="0"/>
                  <w:vAlign w:val="center"/>
                </w:tcPr>
                <w:p w14:paraId="1E0973E1">
                  <w:pPr>
                    <w:pStyle w:val="30"/>
                    <w:widowControl w:val="0"/>
                    <w:bidi w:val="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 xml:space="preserve">0.10746 </w:t>
                  </w:r>
                </w:p>
              </w:tc>
              <w:tc>
                <w:tcPr>
                  <w:tcW w:w="721" w:type="pct"/>
                  <w:noWrap w:val="0"/>
                  <w:vAlign w:val="center"/>
                </w:tcPr>
                <w:p w14:paraId="228DE1C8">
                  <w:pPr>
                    <w:pStyle w:val="30"/>
                    <w:widowControl w:val="0"/>
                    <w:bidi w:val="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 xml:space="preserve">0.04672 </w:t>
                  </w:r>
                </w:p>
              </w:tc>
              <w:tc>
                <w:tcPr>
                  <w:tcW w:w="711" w:type="pct"/>
                  <w:noWrap w:val="0"/>
                  <w:vAlign w:val="center"/>
                </w:tcPr>
                <w:p w14:paraId="6FBFC057">
                  <w:pPr>
                    <w:pStyle w:val="30"/>
                    <w:widowControl w:val="0"/>
                    <w:bidi w:val="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 xml:space="preserve">0.04672 </w:t>
                  </w:r>
                </w:p>
              </w:tc>
              <w:tc>
                <w:tcPr>
                  <w:tcW w:w="721" w:type="pct"/>
                  <w:noWrap w:val="0"/>
                  <w:vAlign w:val="center"/>
                </w:tcPr>
                <w:p w14:paraId="2A9D46EF">
                  <w:pPr>
                    <w:pStyle w:val="30"/>
                    <w:widowControl w:val="0"/>
                    <w:bidi w:val="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 xml:space="preserve">0.00818 </w:t>
                  </w:r>
                </w:p>
              </w:tc>
              <w:tc>
                <w:tcPr>
                  <w:tcW w:w="574" w:type="pct"/>
                  <w:noWrap w:val="0"/>
                  <w:vAlign w:val="center"/>
                </w:tcPr>
                <w:p w14:paraId="1ACA60E0">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r>
            <w:bookmarkEnd w:id="34"/>
            <w:tr w14:paraId="085DE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68" w:type="pct"/>
                  <w:vMerge w:val="restart"/>
                  <w:noWrap w:val="0"/>
                  <w:vAlign w:val="center"/>
                </w:tcPr>
                <w:p w14:paraId="66A0736D">
                  <w:pPr>
                    <w:pStyle w:val="30"/>
                    <w:widowControl w:val="0"/>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全厂</w:t>
                  </w:r>
                  <w:r>
                    <w:rPr>
                      <w:rFonts w:hint="default" w:ascii="Times New Roman" w:hAnsi="Times New Roman" w:cs="Times New Roman"/>
                      <w:color w:val="auto"/>
                      <w:highlight w:val="none"/>
                      <w:lang w:val="en-US" w:eastAsia="zh-CN"/>
                    </w:rPr>
                    <w:t>综合排放</w:t>
                  </w:r>
                </w:p>
              </w:tc>
              <w:tc>
                <w:tcPr>
                  <w:tcW w:w="282" w:type="pct"/>
                  <w:vMerge w:val="restart"/>
                  <w:noWrap w:val="0"/>
                  <w:vAlign w:val="center"/>
                </w:tcPr>
                <w:p w14:paraId="3AEE80BB">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处理后</w:t>
                  </w:r>
                </w:p>
              </w:tc>
              <w:tc>
                <w:tcPr>
                  <w:tcW w:w="477" w:type="pct"/>
                  <w:noWrap w:val="0"/>
                  <w:vAlign w:val="center"/>
                </w:tcPr>
                <w:p w14:paraId="4183B1D4">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浓度mg/L</w:t>
                  </w:r>
                </w:p>
              </w:tc>
              <w:tc>
                <w:tcPr>
                  <w:tcW w:w="588" w:type="pct"/>
                  <w:vMerge w:val="restart"/>
                  <w:noWrap w:val="0"/>
                  <w:vAlign w:val="center"/>
                </w:tcPr>
                <w:p w14:paraId="0C6B94C9">
                  <w:pPr>
                    <w:pStyle w:val="30"/>
                    <w:widowControl w:val="0"/>
                    <w:bidi w:val="0"/>
                    <w:rPr>
                      <w:rFonts w:hint="default" w:ascii="Times New Roman" w:hAnsi="Times New Roman" w:cs="Times New Roman"/>
                      <w:color w:val="auto"/>
                      <w:highlight w:val="none"/>
                      <w:lang w:val="en-US" w:eastAsia="zh-CN"/>
                    </w:rPr>
                  </w:pPr>
                  <w:r>
                    <w:rPr>
                      <w:rFonts w:hint="eastAsia"/>
                      <w:color w:val="auto"/>
                      <w:highlight w:val="none"/>
                      <w:lang w:val="en-US" w:eastAsia="zh-CN"/>
                    </w:rPr>
                    <w:t>305.432</w:t>
                  </w:r>
                </w:p>
              </w:tc>
              <w:tc>
                <w:tcPr>
                  <w:tcW w:w="655" w:type="pct"/>
                  <w:noWrap w:val="0"/>
                  <w:vAlign w:val="center"/>
                </w:tcPr>
                <w:p w14:paraId="0A6EF357">
                  <w:pPr>
                    <w:pStyle w:val="30"/>
                    <w:widowControl w:val="0"/>
                    <w:bidi w:val="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413.2</w:t>
                  </w:r>
                </w:p>
              </w:tc>
              <w:tc>
                <w:tcPr>
                  <w:tcW w:w="721" w:type="pct"/>
                  <w:noWrap w:val="0"/>
                  <w:vAlign w:val="center"/>
                </w:tcPr>
                <w:p w14:paraId="79BB82CF">
                  <w:pPr>
                    <w:pStyle w:val="30"/>
                    <w:widowControl w:val="0"/>
                    <w:bidi w:val="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185.3</w:t>
                  </w:r>
                </w:p>
              </w:tc>
              <w:tc>
                <w:tcPr>
                  <w:tcW w:w="711" w:type="pct"/>
                  <w:noWrap w:val="0"/>
                  <w:vAlign w:val="center"/>
                </w:tcPr>
                <w:p w14:paraId="433268DE">
                  <w:pPr>
                    <w:pStyle w:val="30"/>
                    <w:widowControl w:val="0"/>
                    <w:bidi w:val="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180.2</w:t>
                  </w:r>
                </w:p>
              </w:tc>
              <w:tc>
                <w:tcPr>
                  <w:tcW w:w="721" w:type="pct"/>
                  <w:noWrap w:val="0"/>
                  <w:vAlign w:val="center"/>
                </w:tcPr>
                <w:p w14:paraId="7D3A3B54">
                  <w:pPr>
                    <w:pStyle w:val="30"/>
                    <w:widowControl w:val="0"/>
                    <w:bidi w:val="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30.6</w:t>
                  </w:r>
                </w:p>
              </w:tc>
              <w:tc>
                <w:tcPr>
                  <w:tcW w:w="574" w:type="pct"/>
                  <w:noWrap w:val="0"/>
                  <w:vAlign w:val="center"/>
                </w:tcPr>
                <w:p w14:paraId="0D51ED29">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&lt;5000</w:t>
                  </w:r>
                </w:p>
              </w:tc>
            </w:tr>
            <w:tr w14:paraId="37D88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68" w:type="pct"/>
                  <w:vMerge w:val="continue"/>
                  <w:noWrap w:val="0"/>
                  <w:vAlign w:val="center"/>
                </w:tcPr>
                <w:p w14:paraId="5E9D687B">
                  <w:pPr>
                    <w:pStyle w:val="30"/>
                    <w:widowControl w:val="0"/>
                    <w:bidi w:val="0"/>
                    <w:rPr>
                      <w:rFonts w:hint="default" w:ascii="Times New Roman" w:hAnsi="Times New Roman" w:cs="Times New Roman"/>
                      <w:color w:val="auto"/>
                      <w:highlight w:val="none"/>
                      <w:lang w:val="en-US" w:eastAsia="zh-CN"/>
                    </w:rPr>
                  </w:pPr>
                </w:p>
              </w:tc>
              <w:tc>
                <w:tcPr>
                  <w:tcW w:w="282" w:type="pct"/>
                  <w:vMerge w:val="continue"/>
                  <w:noWrap w:val="0"/>
                  <w:vAlign w:val="center"/>
                </w:tcPr>
                <w:p w14:paraId="07C620D0">
                  <w:pPr>
                    <w:pStyle w:val="30"/>
                    <w:widowControl w:val="0"/>
                    <w:bidi w:val="0"/>
                    <w:rPr>
                      <w:rFonts w:hint="default" w:ascii="Times New Roman" w:hAnsi="Times New Roman" w:cs="Times New Roman"/>
                      <w:color w:val="auto"/>
                      <w:highlight w:val="none"/>
                      <w:lang w:val="en-US" w:eastAsia="zh-CN"/>
                    </w:rPr>
                  </w:pPr>
                </w:p>
              </w:tc>
              <w:tc>
                <w:tcPr>
                  <w:tcW w:w="477" w:type="pct"/>
                  <w:noWrap w:val="0"/>
                  <w:vAlign w:val="center"/>
                </w:tcPr>
                <w:p w14:paraId="4029CE67">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排放量t/a</w:t>
                  </w:r>
                </w:p>
              </w:tc>
              <w:tc>
                <w:tcPr>
                  <w:tcW w:w="588" w:type="pct"/>
                  <w:vMerge w:val="continue"/>
                  <w:noWrap w:val="0"/>
                  <w:vAlign w:val="center"/>
                </w:tcPr>
                <w:p w14:paraId="3E6CAC12">
                  <w:pPr>
                    <w:pStyle w:val="30"/>
                    <w:widowControl w:val="0"/>
                    <w:bidi w:val="0"/>
                    <w:rPr>
                      <w:rFonts w:hint="default" w:ascii="Times New Roman" w:hAnsi="Times New Roman" w:cs="Times New Roman"/>
                      <w:color w:val="auto"/>
                      <w:highlight w:val="none"/>
                      <w:lang w:val="en-US" w:eastAsia="zh-CN"/>
                    </w:rPr>
                  </w:pPr>
                </w:p>
              </w:tc>
              <w:tc>
                <w:tcPr>
                  <w:tcW w:w="655" w:type="pct"/>
                  <w:noWrap w:val="0"/>
                  <w:vAlign w:val="center"/>
                </w:tcPr>
                <w:p w14:paraId="60BA8E30">
                  <w:pPr>
                    <w:pStyle w:val="30"/>
                    <w:widowControl w:val="0"/>
                    <w:bidi w:val="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 xml:space="preserve">0.12620 </w:t>
                  </w:r>
                </w:p>
              </w:tc>
              <w:tc>
                <w:tcPr>
                  <w:tcW w:w="721" w:type="pct"/>
                  <w:noWrap w:val="0"/>
                  <w:vAlign w:val="center"/>
                </w:tcPr>
                <w:p w14:paraId="27DDDB59">
                  <w:pPr>
                    <w:pStyle w:val="30"/>
                    <w:widowControl w:val="0"/>
                    <w:bidi w:val="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 xml:space="preserve">0.05659 </w:t>
                  </w:r>
                </w:p>
              </w:tc>
              <w:tc>
                <w:tcPr>
                  <w:tcW w:w="711" w:type="pct"/>
                  <w:noWrap w:val="0"/>
                  <w:vAlign w:val="center"/>
                </w:tcPr>
                <w:p w14:paraId="395CB7CB">
                  <w:pPr>
                    <w:pStyle w:val="30"/>
                    <w:widowControl w:val="0"/>
                    <w:bidi w:val="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 xml:space="preserve">0.05504 </w:t>
                  </w:r>
                </w:p>
              </w:tc>
              <w:tc>
                <w:tcPr>
                  <w:tcW w:w="721" w:type="pct"/>
                  <w:noWrap w:val="0"/>
                  <w:vAlign w:val="center"/>
                </w:tcPr>
                <w:p w14:paraId="148D8804">
                  <w:pPr>
                    <w:pStyle w:val="30"/>
                    <w:widowControl w:val="0"/>
                    <w:bidi w:val="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 xml:space="preserve">0.00935 </w:t>
                  </w:r>
                </w:p>
              </w:tc>
              <w:tc>
                <w:tcPr>
                  <w:tcW w:w="574" w:type="pct"/>
                  <w:noWrap w:val="0"/>
                  <w:vAlign w:val="center"/>
                </w:tcPr>
                <w:p w14:paraId="2079D9A7">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r>
            <w:tr w14:paraId="2E501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16" w:type="pct"/>
                  <w:gridSpan w:val="4"/>
                  <w:noWrap w:val="0"/>
                  <w:vAlign w:val="center"/>
                </w:tcPr>
                <w:p w14:paraId="2711850A">
                  <w:pPr>
                    <w:pStyle w:val="30"/>
                    <w:widowControl w:val="0"/>
                    <w:bidi w:val="0"/>
                    <w:rPr>
                      <w:rFonts w:hint="default" w:ascii="Times New Roman" w:hAnsi="Times New Roman" w:cs="Times New Roman"/>
                      <w:color w:val="auto"/>
                      <w:highlight w:val="none"/>
                      <w:lang w:val="en-US" w:eastAsia="zh-CN"/>
                    </w:rPr>
                  </w:pPr>
                  <w:bookmarkStart w:id="35" w:name="OLE_LINK31" w:colFirst="1" w:colLast="5"/>
                  <w:r>
                    <w:rPr>
                      <w:rFonts w:hint="default" w:ascii="Times New Roman" w:hAnsi="Times New Roman" w:cs="Times New Roman"/>
                      <w:color w:val="auto"/>
                      <w:highlight w:val="none"/>
                      <w:lang w:val="en-US" w:eastAsia="zh-CN"/>
                    </w:rPr>
                    <w:t>《污水综合排放标准》（GB8978-1996）（mg/L）</w:t>
                  </w:r>
                </w:p>
              </w:tc>
              <w:tc>
                <w:tcPr>
                  <w:tcW w:w="655" w:type="pct"/>
                  <w:noWrap w:val="0"/>
                  <w:vAlign w:val="center"/>
                </w:tcPr>
                <w:p w14:paraId="7A3CFCA4">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500</w:t>
                  </w:r>
                </w:p>
              </w:tc>
              <w:tc>
                <w:tcPr>
                  <w:tcW w:w="721" w:type="pct"/>
                  <w:noWrap w:val="0"/>
                  <w:vAlign w:val="center"/>
                </w:tcPr>
                <w:p w14:paraId="10D56071">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300</w:t>
                  </w:r>
                </w:p>
              </w:tc>
              <w:tc>
                <w:tcPr>
                  <w:tcW w:w="711" w:type="pct"/>
                  <w:noWrap w:val="0"/>
                  <w:vAlign w:val="center"/>
                </w:tcPr>
                <w:p w14:paraId="2AD62222">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400</w:t>
                  </w:r>
                </w:p>
              </w:tc>
              <w:tc>
                <w:tcPr>
                  <w:tcW w:w="721" w:type="pct"/>
                  <w:noWrap w:val="0"/>
                  <w:vAlign w:val="center"/>
                </w:tcPr>
                <w:p w14:paraId="0569D24A">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45</w:t>
                  </w:r>
                </w:p>
              </w:tc>
              <w:tc>
                <w:tcPr>
                  <w:tcW w:w="574" w:type="pct"/>
                  <w:noWrap w:val="0"/>
                  <w:vAlign w:val="center"/>
                </w:tcPr>
                <w:p w14:paraId="1DB2F78A">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5000</w:t>
                  </w:r>
                </w:p>
              </w:tc>
            </w:tr>
            <w:bookmarkEnd w:id="35"/>
          </w:tbl>
          <w:p w14:paraId="605BD2F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jc w:val="both"/>
              <w:textAlignment w:val="auto"/>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color w:val="auto"/>
                <w:sz w:val="24"/>
                <w:szCs w:val="24"/>
                <w:highlight w:val="none"/>
              </w:rPr>
              <w:t>从</w:t>
            </w:r>
            <w:r>
              <w:rPr>
                <w:rFonts w:hint="default" w:ascii="Times New Roman" w:hAnsi="Times New Roman" w:cs="Times New Roman"/>
                <w:color w:val="auto"/>
                <w:sz w:val="24"/>
                <w:szCs w:val="24"/>
                <w:highlight w:val="none"/>
                <w:lang w:val="en-US" w:eastAsia="zh-CN"/>
              </w:rPr>
              <w:t>上表</w:t>
            </w:r>
            <w:r>
              <w:rPr>
                <w:rFonts w:hint="default" w:ascii="Times New Roman" w:hAnsi="Times New Roman" w:eastAsia="宋体" w:cs="Times New Roman"/>
                <w:color w:val="auto"/>
                <w:sz w:val="24"/>
                <w:szCs w:val="24"/>
                <w:highlight w:val="none"/>
              </w:rPr>
              <w:t>可以看出，本项目</w:t>
            </w:r>
            <w:r>
              <w:rPr>
                <w:rFonts w:hint="default" w:ascii="Times New Roman" w:hAnsi="Times New Roman" w:eastAsia="宋体" w:cs="Times New Roman"/>
                <w:snapToGrid w:val="0"/>
                <w:color w:val="auto"/>
                <w:kern w:val="0"/>
                <w:sz w:val="24"/>
                <w:szCs w:val="24"/>
                <w:highlight w:val="none"/>
              </w:rPr>
              <w:t>，本项目</w:t>
            </w:r>
            <w:r>
              <w:rPr>
                <w:rFonts w:hint="eastAsia" w:ascii="Times New Roman" w:hAnsi="Times New Roman" w:eastAsia="宋体" w:cs="Times New Roman"/>
                <w:snapToGrid w:val="0"/>
                <w:color w:val="auto"/>
                <w:kern w:val="0"/>
                <w:sz w:val="24"/>
                <w:szCs w:val="24"/>
                <w:highlight w:val="none"/>
                <w:lang w:val="en-US" w:eastAsia="zh-CN"/>
              </w:rPr>
              <w:t>医疗废水及清洗消毒</w:t>
            </w:r>
            <w:r>
              <w:rPr>
                <w:rFonts w:hint="default" w:ascii="Times New Roman" w:hAnsi="Times New Roman" w:eastAsia="宋体" w:cs="Times New Roman"/>
                <w:snapToGrid w:val="0"/>
                <w:color w:val="auto"/>
                <w:kern w:val="0"/>
                <w:sz w:val="24"/>
                <w:szCs w:val="24"/>
                <w:highlight w:val="none"/>
                <w:lang w:val="en-US" w:eastAsia="zh-CN"/>
              </w:rPr>
              <w:t>废水</w:t>
            </w:r>
            <w:r>
              <w:rPr>
                <w:rFonts w:hint="eastAsia" w:ascii="Times New Roman" w:hAnsi="Times New Roman" w:eastAsia="宋体" w:cs="Times New Roman"/>
                <w:snapToGrid w:val="0"/>
                <w:color w:val="auto"/>
                <w:kern w:val="0"/>
                <w:sz w:val="24"/>
                <w:szCs w:val="24"/>
                <w:highlight w:val="none"/>
                <w:lang w:val="en-US" w:eastAsia="zh-CN"/>
              </w:rPr>
              <w:t>可满足</w:t>
            </w:r>
            <w:r>
              <w:rPr>
                <w:rFonts w:hint="eastAsia" w:ascii="Times New Roman" w:hAnsi="Times New Roman" w:eastAsia="宋体" w:cs="Times New Roman"/>
                <w:snapToGrid w:val="0"/>
                <w:color w:val="auto"/>
                <w:kern w:val="0"/>
                <w:sz w:val="24"/>
                <w:szCs w:val="24"/>
                <w:highlight w:val="none"/>
                <w:lang w:eastAsia="zh-CN"/>
              </w:rPr>
              <w:t>《医疗机构水污染物排放标准》（GB 18466-2005，含2026年修改单）</w:t>
            </w:r>
            <w:r>
              <w:rPr>
                <w:rFonts w:hint="default" w:ascii="Times New Roman" w:hAnsi="Times New Roman" w:eastAsia="宋体" w:cs="Times New Roman"/>
                <w:snapToGrid w:val="0"/>
                <w:color w:val="auto"/>
                <w:kern w:val="0"/>
                <w:sz w:val="24"/>
                <w:szCs w:val="24"/>
                <w:highlight w:val="none"/>
                <w:lang w:val="en-US" w:eastAsia="zh-CN"/>
              </w:rPr>
              <w:t>中表</w:t>
            </w:r>
            <w:r>
              <w:rPr>
                <w:rFonts w:hint="eastAsia" w:ascii="Times New Roman" w:hAnsi="Times New Roman" w:eastAsia="宋体" w:cs="Times New Roman"/>
                <w:snapToGrid w:val="0"/>
                <w:color w:val="auto"/>
                <w:kern w:val="0"/>
                <w:sz w:val="24"/>
                <w:szCs w:val="24"/>
                <w:highlight w:val="none"/>
                <w:lang w:val="en-US" w:eastAsia="zh-CN"/>
              </w:rPr>
              <w:t>2</w:t>
            </w:r>
            <w:r>
              <w:rPr>
                <w:rFonts w:hint="default" w:ascii="Times New Roman" w:hAnsi="Times New Roman" w:eastAsia="宋体" w:cs="Times New Roman"/>
                <w:snapToGrid w:val="0"/>
                <w:color w:val="auto"/>
                <w:kern w:val="0"/>
                <w:sz w:val="24"/>
                <w:szCs w:val="24"/>
                <w:highlight w:val="none"/>
                <w:lang w:val="en-US" w:eastAsia="zh-CN"/>
              </w:rPr>
              <w:t>标准</w:t>
            </w:r>
            <w:r>
              <w:rPr>
                <w:rFonts w:hint="eastAsia" w:ascii="Times New Roman" w:hAnsi="Times New Roman" w:eastAsia="宋体" w:cs="Times New Roman"/>
                <w:snapToGrid w:val="0"/>
                <w:color w:val="auto"/>
                <w:kern w:val="0"/>
                <w:sz w:val="24"/>
                <w:szCs w:val="24"/>
                <w:highlight w:val="none"/>
                <w:lang w:val="en-US" w:eastAsia="zh-CN"/>
              </w:rPr>
              <w:t>限值；</w:t>
            </w:r>
            <w:r>
              <w:rPr>
                <w:rFonts w:hint="default" w:ascii="Times New Roman" w:hAnsi="Times New Roman" w:eastAsia="宋体" w:cs="Times New Roman"/>
                <w:color w:val="auto"/>
                <w:sz w:val="24"/>
                <w:szCs w:val="24"/>
                <w:highlight w:val="none"/>
              </w:rPr>
              <w:t>外排废水能够满足</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vertAlign w:val="baseline"/>
                <w:lang w:val="en-US" w:eastAsia="zh-CN" w:bidi="ar-SA"/>
              </w:rPr>
              <w:t>污水综合排放标准》（GB8978-1996）三级标准，其中氨氮执行《污水排入城镇下水道水质标准》（GB/T31962-2015）B等级标准。</w:t>
            </w:r>
          </w:p>
          <w:p w14:paraId="2D87BDDF">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w:t>
            </w:r>
            <w:r>
              <w:rPr>
                <w:rFonts w:hint="eastAsia" w:cs="Times New Roman"/>
                <w:color w:val="auto"/>
                <w:highlight w:val="none"/>
                <w:lang w:val="en-US" w:eastAsia="zh-CN"/>
              </w:rPr>
              <w:t>6</w:t>
            </w:r>
            <w:r>
              <w:rPr>
                <w:rFonts w:hint="default" w:ascii="Times New Roman" w:hAnsi="Times New Roman" w:cs="Times New Roman"/>
                <w:color w:val="auto"/>
                <w:highlight w:val="none"/>
                <w:lang w:val="en-US" w:eastAsia="zh-CN"/>
              </w:rPr>
              <w:t>.2废水治理措施、排放方式、排放口基本信息</w:t>
            </w:r>
          </w:p>
          <w:p w14:paraId="69300E15">
            <w:pPr>
              <w:pStyle w:val="31"/>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（1）废水治理措施</w:t>
            </w:r>
          </w:p>
          <w:p w14:paraId="3BD7A599">
            <w:pPr>
              <w:pStyle w:val="31"/>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w:t>
            </w:r>
            <w:r>
              <w:rPr>
                <w:rFonts w:hint="eastAsia" w:cs="Times New Roman"/>
                <w:color w:val="auto"/>
                <w:highlight w:val="none"/>
                <w:lang w:val="en-US" w:eastAsia="zh-CN"/>
              </w:rPr>
              <w:t>一</w:t>
            </w:r>
            <w:r>
              <w:rPr>
                <w:rFonts w:hint="default" w:ascii="Times New Roman" w:hAnsi="Times New Roman" w:cs="Times New Roman"/>
                <w:color w:val="auto"/>
                <w:highlight w:val="none"/>
                <w:lang w:val="en-US" w:eastAsia="zh-CN"/>
              </w:rPr>
              <w:t>台一体化污水处理设备不间断运行，采用</w:t>
            </w:r>
            <w:bookmarkStart w:id="36" w:name="OLE_LINK18"/>
            <w:r>
              <w:rPr>
                <w:rFonts w:hint="default" w:ascii="Times New Roman" w:hAnsi="Times New Roman" w:cs="Times New Roman"/>
                <w:color w:val="auto"/>
                <w:highlight w:val="none"/>
                <w:lang w:val="en-US" w:eastAsia="zh-CN"/>
              </w:rPr>
              <w:t>滤筛+氯片</w:t>
            </w:r>
            <w:bookmarkEnd w:id="36"/>
            <w:r>
              <w:rPr>
                <w:rFonts w:hint="default" w:ascii="Times New Roman" w:hAnsi="Times New Roman" w:cs="Times New Roman"/>
                <w:color w:val="auto"/>
                <w:highlight w:val="none"/>
                <w:lang w:val="en-US" w:eastAsia="zh-CN"/>
              </w:rPr>
              <w:t>消毒工艺，各处理单元均采用全密闭设计，本项目废水主要为COD、BOD</w:t>
            </w:r>
            <w:r>
              <w:rPr>
                <w:rFonts w:hint="default" w:ascii="Times New Roman" w:hAnsi="Times New Roman" w:cs="Times New Roman"/>
                <w:color w:val="auto"/>
                <w:highlight w:val="none"/>
                <w:vertAlign w:val="subscript"/>
                <w:lang w:val="en-US" w:eastAsia="zh-CN"/>
              </w:rPr>
              <w:t>5</w:t>
            </w:r>
            <w:r>
              <w:rPr>
                <w:rFonts w:hint="default" w:ascii="Times New Roman" w:hAnsi="Times New Roman" w:cs="Times New Roman"/>
                <w:color w:val="auto"/>
                <w:highlight w:val="none"/>
                <w:lang w:val="en-US" w:eastAsia="zh-CN"/>
              </w:rPr>
              <w:t>、SS、NH</w:t>
            </w:r>
            <w:r>
              <w:rPr>
                <w:rFonts w:hint="default" w:ascii="Times New Roman" w:hAnsi="Times New Roman" w:cs="Times New Roman"/>
                <w:color w:val="auto"/>
                <w:highlight w:val="none"/>
                <w:vertAlign w:val="subscript"/>
                <w:lang w:val="en-US" w:eastAsia="zh-CN"/>
              </w:rPr>
              <w:t>3</w:t>
            </w:r>
            <w:r>
              <w:rPr>
                <w:rFonts w:hint="default" w:ascii="Times New Roman" w:hAnsi="Times New Roman" w:cs="Times New Roman"/>
                <w:color w:val="auto"/>
                <w:highlight w:val="none"/>
                <w:lang w:val="en-US" w:eastAsia="zh-CN"/>
              </w:rPr>
              <w:t>-N、粪大肠菌群等。本项目采取的污水处理工艺（滤筛+氯片消毒）已广泛应用于各小型医院和卫生院，运行情况良好；根据《医疗机构水污染物排放标准》</w:t>
            </w:r>
            <w:r>
              <w:rPr>
                <w:rFonts w:hint="eastAsia" w:cs="Times New Roman"/>
                <w:color w:val="auto"/>
                <w:lang w:eastAsia="zh-CN"/>
              </w:rPr>
              <w:t>（GB 18466-2005，含2026年修改单）</w:t>
            </w:r>
            <w:r>
              <w:rPr>
                <w:rFonts w:hint="default" w:ascii="Times New Roman" w:hAnsi="Times New Roman" w:cs="Times New Roman"/>
                <w:color w:val="auto"/>
                <w:highlight w:val="none"/>
                <w:lang w:val="en-US" w:eastAsia="zh-CN"/>
              </w:rPr>
              <w:t>4.1.3</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县级以下或20张床位以下的综合医疗机构和其他所有医疗机构污水经消毒处理后方可排放</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，本项目医疗废水</w:t>
            </w:r>
            <w:r>
              <w:rPr>
                <w:rFonts w:hint="eastAsia" w:cs="Times New Roman"/>
                <w:color w:val="auto"/>
                <w:highlight w:val="none"/>
                <w:lang w:val="en-US" w:eastAsia="zh-CN"/>
              </w:rPr>
              <w:t>、清洗消毒废水</w:t>
            </w:r>
            <w:r>
              <w:rPr>
                <w:rFonts w:hint="default" w:ascii="Times New Roman" w:hAnsi="Times New Roman" w:cs="Times New Roman"/>
                <w:color w:val="auto"/>
                <w:highlight w:val="none"/>
                <w:lang w:val="en-US" w:eastAsia="zh-CN"/>
              </w:rPr>
              <w:t>经一体化污水处理设施处理后，与生活污水</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洗浴废水汇集一起排入市政下水管网，最终进入</w:t>
            </w:r>
            <w:r>
              <w:rPr>
                <w:rFonts w:hint="eastAsia" w:cs="Times New Roman"/>
                <w:color w:val="auto"/>
                <w:highlight w:val="none"/>
                <w:lang w:val="en-US" w:eastAsia="zh-CN"/>
              </w:rPr>
              <w:t>库尔勒市南市区污水处理厂（库尔勒龙润水处理有限公司）</w:t>
            </w:r>
            <w:r>
              <w:rPr>
                <w:rFonts w:hint="default" w:ascii="Times New Roman" w:hAnsi="Times New Roman" w:cs="Times New Roman"/>
                <w:color w:val="auto"/>
                <w:highlight w:val="none"/>
                <w:lang w:val="en-US" w:eastAsia="zh-CN"/>
              </w:rPr>
              <w:t>处理方法可行。</w:t>
            </w:r>
          </w:p>
          <w:p w14:paraId="2D476CB9">
            <w:pPr>
              <w:pStyle w:val="31"/>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投药方式：本项目所使用一体化污水处理设备加药方式为人工投药，项目医疗废水为间断产生，对应消毒方式为间歇消毒方式，评价要求建设单位应在废水产生前向一体化污水处理设备中加入足够的缓释氯片。根据《医院污水处理工程技术规范》（HJ2029-2013）：一级强化处理工艺出水的参考加氯量（以有效氯计）一般为30~50mg/L，按日均废水量计算，每立方米投加4</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6g三氯异氰尿酸片</w:t>
            </w:r>
            <w:r>
              <w:rPr>
                <w:rFonts w:hint="eastAsia" w:cs="Times New Roman"/>
                <w:color w:val="auto"/>
                <w:highlight w:val="none"/>
                <w:lang w:val="en-US" w:eastAsia="zh-CN"/>
              </w:rPr>
              <w:t>（主要成分为二氧化氯），可</w:t>
            </w:r>
            <w:r>
              <w:rPr>
                <w:rFonts w:hint="default" w:ascii="Times New Roman" w:hAnsi="Times New Roman" w:cs="Times New Roman"/>
                <w:color w:val="auto"/>
                <w:highlight w:val="none"/>
                <w:lang w:val="en-US" w:eastAsia="zh-CN"/>
              </w:rPr>
              <w:t>保证消毒效果（99.99%）。</w:t>
            </w:r>
          </w:p>
          <w:p w14:paraId="6A031E3A">
            <w:pPr>
              <w:pStyle w:val="31"/>
              <w:bidi w:val="0"/>
              <w:rPr>
                <w:rFonts w:hint="default" w:ascii="Times New Roman" w:hAnsi="Times New Roman" w:cs="Times New Roman"/>
                <w:b/>
                <w:bCs w:val="0"/>
                <w:color w:val="auto"/>
                <w:highlight w:val="none"/>
                <w:lang w:val="en-US" w:eastAsia="zh-CN"/>
              </w:rPr>
            </w:pPr>
            <w:r>
              <w:rPr>
                <w:rFonts w:hint="default" w:ascii="Times New Roman" w:hAnsi="Times New Roman" w:cs="Times New Roman"/>
                <w:b/>
                <w:bCs w:val="0"/>
                <w:color w:val="auto"/>
                <w:highlight w:val="none"/>
                <w:lang w:val="en-US" w:eastAsia="zh-CN"/>
              </w:rPr>
              <w:t>对一体化污水处理设施的要求：</w:t>
            </w:r>
          </w:p>
          <w:p w14:paraId="1F03ACB9">
            <w:pPr>
              <w:pStyle w:val="31"/>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①消毒处理时确保药品与废水充分混合接触，反应足够时间，以杀灭出水中可能残存的病毒和细菌，确保出水满足有关指标要求。平时要加强消毒剂氯片的管理，将其暂存于阴凉通风、避光、防潮处，并密封保存。</w:t>
            </w:r>
          </w:p>
          <w:p w14:paraId="63D013CB">
            <w:pPr>
              <w:pStyle w:val="31"/>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②禁止建设单位漏排、偷排医疗废水。应定期对医疗废水处理设施进行维护，以免影响处理效果。</w:t>
            </w:r>
          </w:p>
          <w:p w14:paraId="694F39FA">
            <w:pPr>
              <w:pStyle w:val="31"/>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③严格做好医疗废水等收集工作，确保收集容器完好，收集过程不漏洒，时常检查维护废水收集管道的承插连接情况以防漏水；严格做好医疗废水处理设施所在区域防渗工作，</w:t>
            </w:r>
            <w:r>
              <w:rPr>
                <w:rFonts w:hint="eastAsia" w:cs="Times New Roman"/>
                <w:color w:val="auto"/>
                <w:highlight w:val="none"/>
                <w:lang w:val="en-US" w:eastAsia="zh-CN"/>
              </w:rPr>
              <w:t>做好</w:t>
            </w:r>
            <w:r>
              <w:rPr>
                <w:rFonts w:hint="default" w:ascii="Times New Roman" w:hAnsi="Times New Roman" w:cs="Times New Roman"/>
                <w:color w:val="auto"/>
                <w:highlight w:val="none"/>
                <w:lang w:val="en-US" w:eastAsia="zh-CN"/>
              </w:rPr>
              <w:t>重点防渗处理。</w:t>
            </w:r>
          </w:p>
          <w:p w14:paraId="54F1003B">
            <w:pPr>
              <w:pStyle w:val="31"/>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④制定并更新完善相关的工作制度及相应的操作流程，加强员工培训，培养员工环保意识。</w:t>
            </w:r>
          </w:p>
          <w:p w14:paraId="228C15A2">
            <w:pPr>
              <w:pStyle w:val="31"/>
              <w:bidi w:val="0"/>
              <w:rPr>
                <w:rFonts w:hint="default" w:ascii="Times New Roman" w:hAnsi="Times New Roman" w:cs="Times New Roman"/>
                <w:color w:val="auto"/>
                <w:highlight w:val="none"/>
                <w:lang w:val="en-US" w:eastAsia="zh-CN"/>
              </w:rPr>
            </w:pPr>
            <w:r>
              <w:rPr>
                <w:rFonts w:hint="default" w:ascii="Times New Roman" w:hAnsi="Times New Roman" w:cs="Times New Roman"/>
                <w:b/>
                <w:bCs w:val="0"/>
                <w:color w:val="auto"/>
                <w:highlight w:val="none"/>
                <w:lang w:val="en-US" w:eastAsia="zh-CN"/>
              </w:rPr>
              <w:t>处理规模：</w:t>
            </w:r>
            <w:r>
              <w:rPr>
                <w:rFonts w:hint="default" w:ascii="Times New Roman" w:hAnsi="Times New Roman" w:cs="Times New Roman"/>
                <w:color w:val="auto"/>
                <w:highlight w:val="none"/>
                <w:lang w:val="en-US" w:eastAsia="zh-CN"/>
              </w:rPr>
              <w:t>本项目</w:t>
            </w:r>
            <w:r>
              <w:rPr>
                <w:rFonts w:hint="eastAsia" w:cs="Times New Roman"/>
                <w:color w:val="auto"/>
                <w:highlight w:val="none"/>
                <w:lang w:val="en-US" w:eastAsia="zh-CN"/>
              </w:rPr>
              <w:t>一</w:t>
            </w:r>
            <w:r>
              <w:rPr>
                <w:rFonts w:hint="default" w:ascii="Times New Roman" w:hAnsi="Times New Roman" w:cs="Times New Roman"/>
                <w:color w:val="auto"/>
                <w:highlight w:val="none"/>
                <w:lang w:val="en-US" w:eastAsia="zh-CN"/>
              </w:rPr>
              <w:t>台一体化污水处理设施（处理规模为</w:t>
            </w:r>
            <w:r>
              <w:rPr>
                <w:rFonts w:hint="eastAsia" w:cs="Times New Roman"/>
                <w:color w:val="auto"/>
                <w:highlight w:val="none"/>
                <w:lang w:val="en-US" w:eastAsia="zh-CN"/>
              </w:rPr>
              <w:t>0.2m</w:t>
            </w:r>
            <w:r>
              <w:rPr>
                <w:rFonts w:hint="eastAsia" w:cs="Times New Roman"/>
                <w:color w:val="auto"/>
                <w:highlight w:val="none"/>
                <w:vertAlign w:val="superscript"/>
                <w:lang w:val="en-US" w:eastAsia="zh-CN"/>
              </w:rPr>
              <w:t>3</w:t>
            </w:r>
            <w:r>
              <w:rPr>
                <w:rFonts w:hint="eastAsia" w:cs="Times New Roman"/>
                <w:color w:val="auto"/>
                <w:highlight w:val="none"/>
                <w:lang w:val="en-US" w:eastAsia="zh-CN"/>
              </w:rPr>
              <w:t>/d</w:t>
            </w:r>
            <w:r>
              <w:rPr>
                <w:rFonts w:hint="default" w:ascii="Times New Roman" w:hAnsi="Times New Roman" w:cs="Times New Roman"/>
                <w:color w:val="auto"/>
                <w:highlight w:val="none"/>
                <w:lang w:val="en-US" w:eastAsia="zh-CN"/>
              </w:rPr>
              <w:t>）由液位感应系统、储药箱、混合器等组成，采用手工投加缓释氯片消毒片的消毒方式。医疗废水从清洗槽流入位于清洗槽下方的一体化污水处理设备的进水口，经过滤后再进入设备的混合器，人工投加缓释氯片消毒片后与污水接触时间大于</w:t>
            </w:r>
            <w:r>
              <w:rPr>
                <w:rFonts w:hint="eastAsia" w:cs="Times New Roman"/>
                <w:color w:val="auto"/>
                <w:highlight w:val="none"/>
                <w:lang w:val="en-US" w:eastAsia="zh-CN"/>
              </w:rPr>
              <w:t>1小时</w:t>
            </w:r>
            <w:r>
              <w:rPr>
                <w:rFonts w:hint="default" w:ascii="Times New Roman" w:hAnsi="Times New Roman" w:cs="Times New Roman"/>
                <w:color w:val="auto"/>
                <w:highlight w:val="none"/>
                <w:lang w:val="en-US" w:eastAsia="zh-CN"/>
              </w:rPr>
              <w:t>后排放。本项目医疗废水</w:t>
            </w:r>
            <w:r>
              <w:rPr>
                <w:rFonts w:hint="eastAsia" w:cs="Times New Roman"/>
                <w:color w:val="auto"/>
                <w:highlight w:val="none"/>
                <w:lang w:val="en-US" w:eastAsia="zh-CN"/>
              </w:rPr>
              <w:t>及</w:t>
            </w:r>
            <w:r>
              <w:rPr>
                <w:rFonts w:hint="eastAsia"/>
                <w:lang w:val="en-US" w:eastAsia="zh-CN"/>
              </w:rPr>
              <w:t>清洗消毒废水</w:t>
            </w:r>
            <w:r>
              <w:rPr>
                <w:rFonts w:hint="default" w:ascii="Times New Roman" w:hAnsi="Times New Roman" w:cs="Times New Roman"/>
                <w:color w:val="auto"/>
                <w:highlight w:val="none"/>
                <w:lang w:val="en-US" w:eastAsia="zh-CN"/>
              </w:rPr>
              <w:t>产生量约为</w:t>
            </w:r>
            <w:bookmarkStart w:id="37" w:name="OLE_LINK12"/>
            <w:r>
              <w:rPr>
                <w:rFonts w:hint="eastAsia" w:cs="Times New Roman"/>
                <w:color w:val="auto"/>
                <w:highlight w:val="none"/>
                <w:lang w:val="en-US" w:eastAsia="zh-CN"/>
              </w:rPr>
              <w:t>0.1168</w:t>
            </w:r>
            <w:r>
              <w:rPr>
                <w:rFonts w:hint="default" w:ascii="Times New Roman" w:hAnsi="Times New Roman" w:cs="Times New Roman"/>
                <w:color w:val="auto"/>
                <w:highlight w:val="none"/>
                <w:lang w:val="en-US" w:eastAsia="zh-CN"/>
              </w:rPr>
              <w:t>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lang w:val="en-US" w:eastAsia="zh-CN"/>
              </w:rPr>
              <w:t>/d</w:t>
            </w:r>
            <w:bookmarkEnd w:id="37"/>
            <w:r>
              <w:rPr>
                <w:rFonts w:hint="default" w:ascii="Times New Roman" w:hAnsi="Times New Roman" w:cs="Times New Roman"/>
                <w:color w:val="auto"/>
                <w:highlight w:val="none"/>
                <w:lang w:val="en-US" w:eastAsia="zh-CN"/>
              </w:rPr>
              <w:t>，医疗废水处理设施设计处理量为</w:t>
            </w:r>
            <w:r>
              <w:rPr>
                <w:rFonts w:hint="eastAsia" w:cs="Times New Roman"/>
                <w:color w:val="auto"/>
                <w:highlight w:val="none"/>
                <w:lang w:val="en-US" w:eastAsia="zh-CN"/>
              </w:rPr>
              <w:t>0.2m</w:t>
            </w:r>
            <w:r>
              <w:rPr>
                <w:rFonts w:hint="eastAsia" w:cs="Times New Roman"/>
                <w:color w:val="auto"/>
                <w:highlight w:val="none"/>
                <w:vertAlign w:val="superscript"/>
                <w:lang w:val="en-US" w:eastAsia="zh-CN"/>
              </w:rPr>
              <w:t>3</w:t>
            </w:r>
            <w:r>
              <w:rPr>
                <w:rFonts w:hint="eastAsia" w:cs="Times New Roman"/>
                <w:color w:val="auto"/>
                <w:highlight w:val="none"/>
                <w:lang w:val="en-US" w:eastAsia="zh-CN"/>
              </w:rPr>
              <w:t>/d</w:t>
            </w:r>
            <w:r>
              <w:rPr>
                <w:rFonts w:hint="default" w:ascii="Times New Roman" w:hAnsi="Times New Roman" w:cs="Times New Roman"/>
                <w:color w:val="auto"/>
                <w:highlight w:val="none"/>
                <w:lang w:val="en-US" w:eastAsia="zh-CN"/>
              </w:rPr>
              <w:t>，故一体化废水处理设施处理规模可满足本项目需求。</w:t>
            </w:r>
          </w:p>
          <w:p w14:paraId="504A032A">
            <w:pPr>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drawing>
                <wp:inline distT="0" distB="0" distL="114300" distR="114300">
                  <wp:extent cx="4599305" cy="3010535"/>
                  <wp:effectExtent l="0" t="0" r="10795" b="12065"/>
                  <wp:docPr id="12" name="图片 1" descr="1717067112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descr="1717067112774"/>
                          <pic:cNvPicPr>
                            <a:picLocks noChangeAspect="1"/>
                          </pic:cNvPicPr>
                        </pic:nvPicPr>
                        <pic:blipFill>
                          <a:blip r:embed="rId22"/>
                          <a:srcRect l="4559"/>
                          <a:stretch>
                            <a:fillRect/>
                          </a:stretch>
                        </pic:blipFill>
                        <pic:spPr>
                          <a:xfrm>
                            <a:off x="0" y="0"/>
                            <a:ext cx="4599305" cy="3010535"/>
                          </a:xfrm>
                          <a:prstGeom prst="rect">
                            <a:avLst/>
                          </a:prstGeom>
                          <a:noFill/>
                          <a:ln>
                            <a:noFill/>
                          </a:ln>
                        </pic:spPr>
                      </pic:pic>
                    </a:graphicData>
                  </a:graphic>
                </wp:inline>
              </w:drawing>
            </w:r>
          </w:p>
          <w:p w14:paraId="4EC63C6D">
            <w:pPr>
              <w:spacing w:line="360" w:lineRule="auto"/>
              <w:jc w:val="center"/>
              <w:rPr>
                <w:rFonts w:hint="default" w:ascii="Times New Roman" w:hAnsi="Times New Roman" w:cs="Times New Roman"/>
                <w:color w:val="auto"/>
                <w:highlight w:val="none"/>
                <w:lang w:val="en-US" w:eastAsia="zh-CN"/>
              </w:rPr>
            </w:pPr>
            <w:r>
              <w:rPr>
                <w:rFonts w:hint="default" w:ascii="Times New Roman" w:hAnsi="Times New Roman" w:eastAsia="宋体" w:cs="Times New Roman"/>
                <w:b/>
                <w:bCs/>
                <w:color w:val="auto"/>
                <w:kern w:val="0"/>
                <w:sz w:val="21"/>
                <w:szCs w:val="21"/>
                <w:highlight w:val="none"/>
                <w:lang w:val="en-US" w:eastAsia="zh-CN" w:bidi="ar"/>
              </w:rPr>
              <w:t>图4-1  一体化废水处理设施工艺图</w:t>
            </w:r>
          </w:p>
          <w:p w14:paraId="24DE1314">
            <w:pPr>
              <w:pStyle w:val="31"/>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（2）建设项目污染物排放信息表</w:t>
            </w:r>
            <w:r>
              <w:rPr>
                <w:rFonts w:hint="default" w:ascii="Times New Roman" w:hAnsi="Times New Roman" w:cs="Times New Roman"/>
                <w:color w:val="auto"/>
                <w:highlight w:val="none"/>
              </w:rPr>
              <w:t xml:space="preserve"> </w:t>
            </w:r>
          </w:p>
          <w:p w14:paraId="2FD7BCC0">
            <w:pPr>
              <w:pStyle w:val="31"/>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废水类别、污染物及污染治理设施信息见下表。</w:t>
            </w:r>
          </w:p>
          <w:p w14:paraId="009EC851">
            <w:pPr>
              <w:pStyle w:val="29"/>
              <w:tabs>
                <w:tab w:val="left" w:pos="1700"/>
                <w:tab w:val="center" w:pos="4175"/>
              </w:tabs>
              <w:bidi w:val="0"/>
              <w:ind w:left="0" w:leftChars="0" w:firstLine="0" w:firstLineChars="0"/>
              <w:jc w:val="left"/>
              <w:rPr>
                <w:rFonts w:hint="default" w:ascii="Times New Roman" w:hAnsi="Times New Roman" w:cs="Times New Roman"/>
                <w:color w:val="auto"/>
                <w:highlight w:val="none"/>
                <w:lang w:val="en-US" w:eastAsia="zh-CN"/>
              </w:rPr>
            </w:pPr>
            <w:r>
              <w:rPr>
                <w:rFonts w:hint="eastAsia" w:cs="Times New Roman"/>
                <w:color w:val="auto"/>
                <w:highlight w:val="none"/>
                <w:lang w:eastAsia="zh-CN"/>
              </w:rPr>
              <w:tab/>
            </w:r>
            <w:r>
              <w:rPr>
                <w:rFonts w:hint="default" w:ascii="Times New Roman" w:hAnsi="Times New Roman" w:cs="Times New Roman"/>
                <w:color w:val="auto"/>
                <w:highlight w:val="none"/>
                <w:lang w:eastAsia="zh-CN"/>
              </w:rPr>
              <w:t>表4-</w:t>
            </w:r>
            <w:r>
              <w:rPr>
                <w:rFonts w:hint="eastAsia" w:cs="Times New Roman"/>
                <w:color w:val="auto"/>
                <w:highlight w:val="none"/>
                <w:lang w:val="en-US" w:eastAsia="zh-CN"/>
              </w:rPr>
              <w:t>4</w:t>
            </w:r>
            <w:r>
              <w:rPr>
                <w:rFonts w:hint="default" w:ascii="Times New Roman" w:hAnsi="Times New Roman" w:cs="Times New Roman"/>
                <w:color w:val="auto"/>
                <w:highlight w:val="none"/>
                <w:lang w:val="en-US" w:eastAsia="zh-CN"/>
              </w:rPr>
              <w:t xml:space="preserve">   废水类别、污染物及污染治理设施信息</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8"/>
              <w:gridCol w:w="1072"/>
              <w:gridCol w:w="554"/>
              <w:gridCol w:w="1081"/>
              <w:gridCol w:w="898"/>
              <w:gridCol w:w="522"/>
              <w:gridCol w:w="531"/>
              <w:gridCol w:w="951"/>
              <w:gridCol w:w="775"/>
              <w:gridCol w:w="1158"/>
            </w:tblGrid>
            <w:tr w14:paraId="5EA21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8" w:type="dxa"/>
                  <w:vMerge w:val="restart"/>
                  <w:noWrap w:val="0"/>
                  <w:vAlign w:val="center"/>
                </w:tcPr>
                <w:p w14:paraId="7B240087">
                  <w:pPr>
                    <w:pStyle w:val="30"/>
                    <w:widowControl w:val="0"/>
                    <w:bidi w:val="0"/>
                    <w:rPr>
                      <w:rFonts w:hint="default" w:ascii="Times New Roman" w:hAnsi="Times New Roman" w:cs="Times New Roman"/>
                      <w:b/>
                      <w:bCs w:val="0"/>
                      <w:color w:val="auto"/>
                      <w:highlight w:val="none"/>
                      <w:lang w:val="en-US" w:eastAsia="zh-CN"/>
                    </w:rPr>
                  </w:pPr>
                  <w:r>
                    <w:rPr>
                      <w:rFonts w:hint="default" w:ascii="Times New Roman" w:hAnsi="Times New Roman" w:cs="Times New Roman"/>
                      <w:b/>
                      <w:bCs w:val="0"/>
                      <w:color w:val="auto"/>
                      <w:highlight w:val="none"/>
                      <w:lang w:val="en-US" w:eastAsia="zh-CN"/>
                    </w:rPr>
                    <w:t>废水类别</w:t>
                  </w:r>
                </w:p>
              </w:tc>
              <w:tc>
                <w:tcPr>
                  <w:tcW w:w="1072" w:type="dxa"/>
                  <w:vMerge w:val="restart"/>
                  <w:noWrap w:val="0"/>
                  <w:vAlign w:val="center"/>
                </w:tcPr>
                <w:p w14:paraId="12FAC0C4">
                  <w:pPr>
                    <w:pStyle w:val="30"/>
                    <w:widowControl w:val="0"/>
                    <w:bidi w:val="0"/>
                    <w:rPr>
                      <w:rFonts w:hint="default" w:ascii="Times New Roman" w:hAnsi="Times New Roman" w:cs="Times New Roman"/>
                      <w:b/>
                      <w:bCs w:val="0"/>
                      <w:color w:val="auto"/>
                      <w:highlight w:val="none"/>
                      <w:lang w:val="en-US" w:eastAsia="zh-CN"/>
                    </w:rPr>
                  </w:pPr>
                  <w:r>
                    <w:rPr>
                      <w:rFonts w:hint="default" w:ascii="Times New Roman" w:hAnsi="Times New Roman" w:cs="Times New Roman"/>
                      <w:b/>
                      <w:bCs w:val="0"/>
                      <w:color w:val="auto"/>
                      <w:highlight w:val="none"/>
                      <w:lang w:val="en-US" w:eastAsia="zh-CN"/>
                    </w:rPr>
                    <w:t>污染物</w:t>
                  </w:r>
                </w:p>
              </w:tc>
              <w:tc>
                <w:tcPr>
                  <w:tcW w:w="554" w:type="dxa"/>
                  <w:vMerge w:val="restart"/>
                  <w:noWrap w:val="0"/>
                  <w:vAlign w:val="center"/>
                </w:tcPr>
                <w:p w14:paraId="37FEEF37">
                  <w:pPr>
                    <w:pStyle w:val="30"/>
                    <w:widowControl w:val="0"/>
                    <w:bidi w:val="0"/>
                    <w:rPr>
                      <w:rFonts w:hint="default" w:ascii="Times New Roman" w:hAnsi="Times New Roman" w:cs="Times New Roman"/>
                      <w:b/>
                      <w:bCs w:val="0"/>
                      <w:color w:val="auto"/>
                      <w:highlight w:val="none"/>
                      <w:lang w:val="en-US" w:eastAsia="zh-CN"/>
                    </w:rPr>
                  </w:pPr>
                  <w:r>
                    <w:rPr>
                      <w:rFonts w:hint="default" w:ascii="Times New Roman" w:hAnsi="Times New Roman" w:cs="Times New Roman"/>
                      <w:b/>
                      <w:bCs w:val="0"/>
                      <w:color w:val="auto"/>
                      <w:highlight w:val="none"/>
                      <w:lang w:val="en-US" w:eastAsia="zh-CN"/>
                    </w:rPr>
                    <w:t>排放去向</w:t>
                  </w:r>
                </w:p>
              </w:tc>
              <w:tc>
                <w:tcPr>
                  <w:tcW w:w="1081" w:type="dxa"/>
                  <w:vMerge w:val="restart"/>
                  <w:noWrap w:val="0"/>
                  <w:vAlign w:val="center"/>
                </w:tcPr>
                <w:p w14:paraId="0C84ECFD">
                  <w:pPr>
                    <w:pStyle w:val="30"/>
                    <w:widowControl w:val="0"/>
                    <w:bidi w:val="0"/>
                    <w:rPr>
                      <w:rFonts w:hint="default" w:ascii="Times New Roman" w:hAnsi="Times New Roman" w:cs="Times New Roman"/>
                      <w:b/>
                      <w:bCs w:val="0"/>
                      <w:color w:val="auto"/>
                      <w:highlight w:val="none"/>
                      <w:lang w:val="en-US" w:eastAsia="zh-CN"/>
                    </w:rPr>
                  </w:pPr>
                  <w:r>
                    <w:rPr>
                      <w:rFonts w:hint="default" w:ascii="Times New Roman" w:hAnsi="Times New Roman" w:cs="Times New Roman"/>
                      <w:b/>
                      <w:bCs w:val="0"/>
                      <w:color w:val="auto"/>
                      <w:highlight w:val="none"/>
                      <w:lang w:val="en-US" w:eastAsia="zh-CN"/>
                    </w:rPr>
                    <w:t>排放规律</w:t>
                  </w:r>
                </w:p>
              </w:tc>
              <w:tc>
                <w:tcPr>
                  <w:tcW w:w="1951" w:type="dxa"/>
                  <w:gridSpan w:val="3"/>
                  <w:noWrap w:val="0"/>
                  <w:vAlign w:val="top"/>
                </w:tcPr>
                <w:p w14:paraId="2B08894F">
                  <w:pPr>
                    <w:pStyle w:val="30"/>
                    <w:widowControl w:val="0"/>
                    <w:bidi w:val="0"/>
                    <w:rPr>
                      <w:rFonts w:hint="default" w:ascii="Times New Roman" w:hAnsi="Times New Roman" w:cs="Times New Roman"/>
                      <w:b/>
                      <w:bCs w:val="0"/>
                      <w:color w:val="auto"/>
                      <w:highlight w:val="none"/>
                      <w:lang w:val="en-US" w:eastAsia="zh-CN"/>
                    </w:rPr>
                  </w:pPr>
                  <w:r>
                    <w:rPr>
                      <w:rFonts w:hint="default" w:ascii="Times New Roman" w:hAnsi="Times New Roman" w:cs="Times New Roman"/>
                      <w:b/>
                      <w:bCs w:val="0"/>
                      <w:color w:val="auto"/>
                      <w:highlight w:val="none"/>
                      <w:lang w:val="en-US" w:eastAsia="zh-CN"/>
                    </w:rPr>
                    <w:t>污染治理设施</w:t>
                  </w:r>
                </w:p>
              </w:tc>
              <w:tc>
                <w:tcPr>
                  <w:tcW w:w="951" w:type="dxa"/>
                  <w:vMerge w:val="restart"/>
                  <w:noWrap w:val="0"/>
                  <w:vAlign w:val="center"/>
                </w:tcPr>
                <w:p w14:paraId="7E7A4D13">
                  <w:pPr>
                    <w:pStyle w:val="30"/>
                    <w:widowControl w:val="0"/>
                    <w:bidi w:val="0"/>
                    <w:rPr>
                      <w:rFonts w:hint="default" w:ascii="Times New Roman" w:hAnsi="Times New Roman" w:cs="Times New Roman"/>
                      <w:b/>
                      <w:bCs w:val="0"/>
                      <w:color w:val="auto"/>
                      <w:highlight w:val="none"/>
                      <w:lang w:val="en-US" w:eastAsia="zh-CN"/>
                    </w:rPr>
                  </w:pPr>
                  <w:r>
                    <w:rPr>
                      <w:rFonts w:hint="default" w:ascii="Times New Roman" w:hAnsi="Times New Roman" w:cs="Times New Roman"/>
                      <w:b/>
                      <w:bCs w:val="0"/>
                      <w:color w:val="auto"/>
                      <w:highlight w:val="none"/>
                      <w:lang w:val="en-US" w:eastAsia="zh-CN"/>
                    </w:rPr>
                    <w:t>排放口编号</w:t>
                  </w:r>
                </w:p>
              </w:tc>
              <w:tc>
                <w:tcPr>
                  <w:tcW w:w="775" w:type="dxa"/>
                  <w:vMerge w:val="restart"/>
                  <w:noWrap w:val="0"/>
                  <w:vAlign w:val="center"/>
                </w:tcPr>
                <w:p w14:paraId="042F5847">
                  <w:pPr>
                    <w:pStyle w:val="30"/>
                    <w:widowControl w:val="0"/>
                    <w:bidi w:val="0"/>
                    <w:rPr>
                      <w:rFonts w:hint="default" w:ascii="Times New Roman" w:hAnsi="Times New Roman" w:cs="Times New Roman"/>
                      <w:b/>
                      <w:bCs w:val="0"/>
                      <w:color w:val="auto"/>
                      <w:highlight w:val="none"/>
                      <w:lang w:val="en-US" w:eastAsia="zh-CN"/>
                    </w:rPr>
                  </w:pPr>
                  <w:r>
                    <w:rPr>
                      <w:rFonts w:hint="default" w:ascii="Times New Roman" w:hAnsi="Times New Roman" w:cs="Times New Roman"/>
                      <w:b/>
                      <w:bCs w:val="0"/>
                      <w:color w:val="auto"/>
                      <w:highlight w:val="none"/>
                      <w:lang w:val="en-US" w:eastAsia="zh-CN"/>
                    </w:rPr>
                    <w:t>排放口设置是否符合要求</w:t>
                  </w:r>
                </w:p>
              </w:tc>
              <w:tc>
                <w:tcPr>
                  <w:tcW w:w="1158" w:type="dxa"/>
                  <w:vMerge w:val="restart"/>
                  <w:noWrap w:val="0"/>
                  <w:vAlign w:val="center"/>
                </w:tcPr>
                <w:p w14:paraId="7141819F">
                  <w:pPr>
                    <w:pStyle w:val="30"/>
                    <w:widowControl w:val="0"/>
                    <w:bidi w:val="0"/>
                    <w:rPr>
                      <w:rFonts w:hint="default" w:ascii="Times New Roman" w:hAnsi="Times New Roman" w:cs="Times New Roman"/>
                      <w:b/>
                      <w:bCs w:val="0"/>
                      <w:color w:val="auto"/>
                      <w:highlight w:val="none"/>
                      <w:lang w:val="en-US" w:eastAsia="zh-CN"/>
                    </w:rPr>
                  </w:pPr>
                  <w:r>
                    <w:rPr>
                      <w:rFonts w:hint="default" w:ascii="Times New Roman" w:hAnsi="Times New Roman" w:cs="Times New Roman"/>
                      <w:b/>
                      <w:bCs w:val="0"/>
                      <w:color w:val="auto"/>
                      <w:highlight w:val="none"/>
                      <w:lang w:val="en-US" w:eastAsia="zh-CN"/>
                    </w:rPr>
                    <w:t>排放口类型</w:t>
                  </w:r>
                </w:p>
              </w:tc>
            </w:tr>
            <w:tr w14:paraId="2EA39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8" w:type="dxa"/>
                  <w:vMerge w:val="continue"/>
                  <w:noWrap w:val="0"/>
                  <w:vAlign w:val="top"/>
                </w:tcPr>
                <w:p w14:paraId="18041CFF">
                  <w:pPr>
                    <w:pStyle w:val="30"/>
                    <w:widowControl w:val="0"/>
                    <w:bidi w:val="0"/>
                    <w:rPr>
                      <w:rFonts w:hint="default" w:ascii="Times New Roman" w:hAnsi="Times New Roman" w:cs="Times New Roman"/>
                      <w:color w:val="auto"/>
                      <w:highlight w:val="none"/>
                      <w:lang w:val="en-US" w:eastAsia="zh-CN"/>
                    </w:rPr>
                  </w:pPr>
                </w:p>
              </w:tc>
              <w:tc>
                <w:tcPr>
                  <w:tcW w:w="1072" w:type="dxa"/>
                  <w:vMerge w:val="continue"/>
                  <w:noWrap w:val="0"/>
                  <w:vAlign w:val="top"/>
                </w:tcPr>
                <w:p w14:paraId="20E7D992">
                  <w:pPr>
                    <w:pStyle w:val="30"/>
                    <w:widowControl w:val="0"/>
                    <w:bidi w:val="0"/>
                    <w:rPr>
                      <w:rFonts w:hint="default" w:ascii="Times New Roman" w:hAnsi="Times New Roman" w:cs="Times New Roman"/>
                      <w:color w:val="auto"/>
                      <w:highlight w:val="none"/>
                      <w:lang w:val="en-US" w:eastAsia="zh-CN"/>
                    </w:rPr>
                  </w:pPr>
                </w:p>
              </w:tc>
              <w:tc>
                <w:tcPr>
                  <w:tcW w:w="554" w:type="dxa"/>
                  <w:vMerge w:val="continue"/>
                  <w:noWrap w:val="0"/>
                  <w:vAlign w:val="top"/>
                </w:tcPr>
                <w:p w14:paraId="7EA78C9C">
                  <w:pPr>
                    <w:pStyle w:val="30"/>
                    <w:widowControl w:val="0"/>
                    <w:bidi w:val="0"/>
                    <w:rPr>
                      <w:rFonts w:hint="default" w:ascii="Times New Roman" w:hAnsi="Times New Roman" w:cs="Times New Roman"/>
                      <w:color w:val="auto"/>
                      <w:highlight w:val="none"/>
                      <w:lang w:val="en-US" w:eastAsia="zh-CN"/>
                    </w:rPr>
                  </w:pPr>
                </w:p>
              </w:tc>
              <w:tc>
                <w:tcPr>
                  <w:tcW w:w="1081" w:type="dxa"/>
                  <w:vMerge w:val="continue"/>
                  <w:noWrap w:val="0"/>
                  <w:vAlign w:val="top"/>
                </w:tcPr>
                <w:p w14:paraId="6BD51F36">
                  <w:pPr>
                    <w:pStyle w:val="30"/>
                    <w:widowControl w:val="0"/>
                    <w:bidi w:val="0"/>
                    <w:rPr>
                      <w:rFonts w:hint="default" w:ascii="Times New Roman" w:hAnsi="Times New Roman" w:cs="Times New Roman"/>
                      <w:color w:val="auto"/>
                      <w:highlight w:val="none"/>
                      <w:lang w:val="en-US" w:eastAsia="zh-CN"/>
                    </w:rPr>
                  </w:pPr>
                </w:p>
              </w:tc>
              <w:tc>
                <w:tcPr>
                  <w:tcW w:w="898" w:type="dxa"/>
                  <w:noWrap w:val="0"/>
                  <w:vAlign w:val="center"/>
                </w:tcPr>
                <w:p w14:paraId="745A625A">
                  <w:pPr>
                    <w:pStyle w:val="30"/>
                    <w:widowControl w:val="0"/>
                    <w:bidi w:val="0"/>
                    <w:jc w:val="center"/>
                    <w:rPr>
                      <w:rFonts w:hint="default" w:ascii="Times New Roman" w:hAnsi="Times New Roman" w:cs="Times New Roman"/>
                      <w:b/>
                      <w:bCs w:val="0"/>
                      <w:color w:val="auto"/>
                      <w:highlight w:val="none"/>
                      <w:lang w:val="en-US" w:eastAsia="zh-CN"/>
                    </w:rPr>
                  </w:pPr>
                  <w:r>
                    <w:rPr>
                      <w:rFonts w:hint="default" w:ascii="Times New Roman" w:hAnsi="Times New Roman" w:cs="Times New Roman"/>
                      <w:b/>
                      <w:bCs w:val="0"/>
                      <w:color w:val="auto"/>
                      <w:highlight w:val="none"/>
                      <w:lang w:val="en-US" w:eastAsia="zh-CN"/>
                    </w:rPr>
                    <w:t>编号</w:t>
                  </w:r>
                </w:p>
              </w:tc>
              <w:tc>
                <w:tcPr>
                  <w:tcW w:w="522" w:type="dxa"/>
                  <w:noWrap w:val="0"/>
                  <w:vAlign w:val="center"/>
                </w:tcPr>
                <w:p w14:paraId="574869DD">
                  <w:pPr>
                    <w:pStyle w:val="30"/>
                    <w:widowControl w:val="0"/>
                    <w:bidi w:val="0"/>
                    <w:jc w:val="center"/>
                    <w:rPr>
                      <w:rFonts w:hint="default" w:ascii="Times New Roman" w:hAnsi="Times New Roman" w:cs="Times New Roman"/>
                      <w:b/>
                      <w:bCs w:val="0"/>
                      <w:color w:val="auto"/>
                      <w:highlight w:val="none"/>
                      <w:lang w:val="en-US" w:eastAsia="zh-CN"/>
                    </w:rPr>
                  </w:pPr>
                  <w:r>
                    <w:rPr>
                      <w:rFonts w:hint="default" w:ascii="Times New Roman" w:hAnsi="Times New Roman" w:cs="Times New Roman"/>
                      <w:b/>
                      <w:bCs w:val="0"/>
                      <w:color w:val="auto"/>
                      <w:highlight w:val="none"/>
                      <w:lang w:val="en-US" w:eastAsia="zh-CN"/>
                    </w:rPr>
                    <w:t>名称</w:t>
                  </w:r>
                </w:p>
              </w:tc>
              <w:tc>
                <w:tcPr>
                  <w:tcW w:w="531" w:type="dxa"/>
                  <w:noWrap w:val="0"/>
                  <w:vAlign w:val="center"/>
                </w:tcPr>
                <w:p w14:paraId="0E0E32AB">
                  <w:pPr>
                    <w:pStyle w:val="30"/>
                    <w:widowControl w:val="0"/>
                    <w:bidi w:val="0"/>
                    <w:jc w:val="center"/>
                    <w:rPr>
                      <w:rFonts w:hint="default" w:ascii="Times New Roman" w:hAnsi="Times New Roman" w:cs="Times New Roman"/>
                      <w:b/>
                      <w:bCs w:val="0"/>
                      <w:color w:val="auto"/>
                      <w:highlight w:val="none"/>
                      <w:lang w:val="en-US" w:eastAsia="zh-CN"/>
                    </w:rPr>
                  </w:pPr>
                  <w:r>
                    <w:rPr>
                      <w:rFonts w:hint="default" w:ascii="Times New Roman" w:hAnsi="Times New Roman" w:cs="Times New Roman"/>
                      <w:b/>
                      <w:bCs w:val="0"/>
                      <w:color w:val="auto"/>
                      <w:highlight w:val="none"/>
                      <w:lang w:val="en-US" w:eastAsia="zh-CN"/>
                    </w:rPr>
                    <w:t>工艺</w:t>
                  </w:r>
                </w:p>
              </w:tc>
              <w:tc>
                <w:tcPr>
                  <w:tcW w:w="951" w:type="dxa"/>
                  <w:vMerge w:val="continue"/>
                  <w:noWrap w:val="0"/>
                  <w:vAlign w:val="top"/>
                </w:tcPr>
                <w:p w14:paraId="783B62F7">
                  <w:pPr>
                    <w:pStyle w:val="30"/>
                    <w:widowControl w:val="0"/>
                    <w:bidi w:val="0"/>
                    <w:rPr>
                      <w:rFonts w:hint="default" w:ascii="Times New Roman" w:hAnsi="Times New Roman" w:cs="Times New Roman"/>
                      <w:color w:val="auto"/>
                      <w:highlight w:val="none"/>
                      <w:lang w:val="en-US" w:eastAsia="zh-CN"/>
                    </w:rPr>
                  </w:pPr>
                </w:p>
              </w:tc>
              <w:tc>
                <w:tcPr>
                  <w:tcW w:w="775" w:type="dxa"/>
                  <w:vMerge w:val="continue"/>
                  <w:noWrap w:val="0"/>
                  <w:vAlign w:val="top"/>
                </w:tcPr>
                <w:p w14:paraId="1737F42B">
                  <w:pPr>
                    <w:pStyle w:val="30"/>
                    <w:widowControl w:val="0"/>
                    <w:bidi w:val="0"/>
                    <w:rPr>
                      <w:rFonts w:hint="default" w:ascii="Times New Roman" w:hAnsi="Times New Roman" w:cs="Times New Roman"/>
                      <w:color w:val="auto"/>
                      <w:highlight w:val="none"/>
                      <w:lang w:val="en-US" w:eastAsia="zh-CN"/>
                    </w:rPr>
                  </w:pPr>
                </w:p>
              </w:tc>
              <w:tc>
                <w:tcPr>
                  <w:tcW w:w="1158" w:type="dxa"/>
                  <w:vMerge w:val="continue"/>
                  <w:noWrap w:val="0"/>
                  <w:vAlign w:val="top"/>
                </w:tcPr>
                <w:p w14:paraId="265E7DB0">
                  <w:pPr>
                    <w:pStyle w:val="30"/>
                    <w:widowControl w:val="0"/>
                    <w:bidi w:val="0"/>
                    <w:rPr>
                      <w:rFonts w:hint="default" w:ascii="Times New Roman" w:hAnsi="Times New Roman" w:cs="Times New Roman"/>
                      <w:color w:val="auto"/>
                      <w:highlight w:val="none"/>
                      <w:lang w:val="en-US" w:eastAsia="zh-CN"/>
                    </w:rPr>
                  </w:pPr>
                </w:p>
              </w:tc>
            </w:tr>
            <w:tr w14:paraId="413BE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9" w:hRule="atLeast"/>
              </w:trPr>
              <w:tc>
                <w:tcPr>
                  <w:tcW w:w="678" w:type="dxa"/>
                  <w:noWrap w:val="0"/>
                  <w:vAlign w:val="center"/>
                </w:tcPr>
                <w:p w14:paraId="14F47371">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医疗废水</w:t>
                  </w:r>
                </w:p>
              </w:tc>
              <w:tc>
                <w:tcPr>
                  <w:tcW w:w="1072" w:type="dxa"/>
                  <w:vMerge w:val="restart"/>
                  <w:noWrap w:val="0"/>
                  <w:vAlign w:val="center"/>
                </w:tcPr>
                <w:p w14:paraId="3C627673">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COD、BOD</w:t>
                  </w:r>
                  <w:r>
                    <w:rPr>
                      <w:rFonts w:hint="default" w:ascii="Times New Roman" w:hAnsi="Times New Roman" w:cs="Times New Roman"/>
                      <w:color w:val="auto"/>
                      <w:highlight w:val="none"/>
                      <w:vertAlign w:val="subscript"/>
                      <w:lang w:val="en-US" w:eastAsia="zh-CN"/>
                    </w:rPr>
                    <w:t>5</w:t>
                  </w:r>
                  <w:r>
                    <w:rPr>
                      <w:rFonts w:hint="default" w:ascii="Times New Roman" w:hAnsi="Times New Roman" w:cs="Times New Roman"/>
                      <w:color w:val="auto"/>
                      <w:highlight w:val="none"/>
                      <w:lang w:val="en-US" w:eastAsia="zh-CN"/>
                    </w:rPr>
                    <w:t>、SS、氨氮、粪大肠菌群</w:t>
                  </w:r>
                </w:p>
              </w:tc>
              <w:tc>
                <w:tcPr>
                  <w:tcW w:w="554" w:type="dxa"/>
                  <w:vMerge w:val="restart"/>
                  <w:noWrap w:val="0"/>
                  <w:vAlign w:val="center"/>
                </w:tcPr>
                <w:p w14:paraId="51D47387">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进入城市污水管网</w:t>
                  </w:r>
                </w:p>
              </w:tc>
              <w:tc>
                <w:tcPr>
                  <w:tcW w:w="1081" w:type="dxa"/>
                  <w:vMerge w:val="restart"/>
                  <w:noWrap w:val="0"/>
                  <w:vAlign w:val="center"/>
                </w:tcPr>
                <w:p w14:paraId="67D27E67">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间断排放，排放期间流量不稳定且无规律，但不属于冲击型排放</w:t>
                  </w:r>
                </w:p>
              </w:tc>
              <w:tc>
                <w:tcPr>
                  <w:tcW w:w="898" w:type="dxa"/>
                  <w:vMerge w:val="restart"/>
                  <w:noWrap w:val="0"/>
                  <w:vAlign w:val="center"/>
                </w:tcPr>
                <w:p w14:paraId="64AB35B7">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TW001</w:t>
                  </w:r>
                </w:p>
              </w:tc>
              <w:tc>
                <w:tcPr>
                  <w:tcW w:w="522" w:type="dxa"/>
                  <w:vMerge w:val="restart"/>
                  <w:noWrap w:val="0"/>
                  <w:vAlign w:val="center"/>
                </w:tcPr>
                <w:p w14:paraId="225B248D">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污水处理设施</w:t>
                  </w:r>
                </w:p>
              </w:tc>
              <w:tc>
                <w:tcPr>
                  <w:tcW w:w="531" w:type="dxa"/>
                  <w:vMerge w:val="restart"/>
                  <w:noWrap w:val="0"/>
                  <w:vAlign w:val="center"/>
                </w:tcPr>
                <w:p w14:paraId="2532FD91">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滤筛+氯片消毒</w:t>
                  </w:r>
                </w:p>
              </w:tc>
              <w:tc>
                <w:tcPr>
                  <w:tcW w:w="951" w:type="dxa"/>
                  <w:vMerge w:val="restart"/>
                  <w:noWrap w:val="0"/>
                  <w:vAlign w:val="center"/>
                </w:tcPr>
                <w:p w14:paraId="716B7F11">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DW001</w:t>
                  </w:r>
                </w:p>
              </w:tc>
              <w:tc>
                <w:tcPr>
                  <w:tcW w:w="775" w:type="dxa"/>
                  <w:vMerge w:val="restart"/>
                  <w:noWrap w:val="0"/>
                  <w:vAlign w:val="center"/>
                </w:tcPr>
                <w:p w14:paraId="0B680B0A">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sym w:font="Wingdings 2" w:char="0052"/>
                  </w:r>
                  <w:r>
                    <w:rPr>
                      <w:rFonts w:hint="default" w:ascii="Times New Roman" w:hAnsi="Times New Roman" w:cs="Times New Roman"/>
                      <w:color w:val="auto"/>
                      <w:highlight w:val="none"/>
                      <w:lang w:val="en-US" w:eastAsia="zh-CN"/>
                    </w:rPr>
                    <w:t>是</w:t>
                  </w:r>
                </w:p>
                <w:p w14:paraId="54D05223">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sym w:font="Wingdings 2" w:char="00A3"/>
                  </w:r>
                  <w:r>
                    <w:rPr>
                      <w:rFonts w:hint="default" w:ascii="Times New Roman" w:hAnsi="Times New Roman" w:cs="Times New Roman"/>
                      <w:color w:val="auto"/>
                      <w:highlight w:val="none"/>
                      <w:lang w:val="en-US" w:eastAsia="zh-CN"/>
                    </w:rPr>
                    <w:t>否</w:t>
                  </w:r>
                </w:p>
              </w:tc>
              <w:tc>
                <w:tcPr>
                  <w:tcW w:w="1158" w:type="dxa"/>
                  <w:vMerge w:val="restart"/>
                  <w:noWrap w:val="0"/>
                  <w:vAlign w:val="center"/>
                </w:tcPr>
                <w:p w14:paraId="3162A599">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sym w:font="Wingdings 2" w:char="0052"/>
                  </w:r>
                  <w:r>
                    <w:rPr>
                      <w:rFonts w:hint="default" w:ascii="Times New Roman" w:hAnsi="Times New Roman" w:cs="Times New Roman"/>
                      <w:color w:val="auto"/>
                      <w:highlight w:val="none"/>
                      <w:lang w:val="en-US" w:eastAsia="zh-CN"/>
                    </w:rPr>
                    <w:t>企业总排</w:t>
                  </w:r>
                  <w:r>
                    <w:rPr>
                      <w:rFonts w:hint="default" w:ascii="Times New Roman" w:hAnsi="Times New Roman" w:cs="Times New Roman"/>
                      <w:color w:val="auto"/>
                      <w:highlight w:val="none"/>
                      <w:lang w:val="en-US" w:eastAsia="zh-CN"/>
                    </w:rPr>
                    <w:sym w:font="Wingdings 2" w:char="00A3"/>
                  </w:r>
                  <w:r>
                    <w:rPr>
                      <w:rFonts w:hint="default" w:ascii="Times New Roman" w:hAnsi="Times New Roman" w:cs="Times New Roman"/>
                      <w:color w:val="auto"/>
                      <w:highlight w:val="none"/>
                      <w:lang w:val="en-US" w:eastAsia="zh-CN"/>
                    </w:rPr>
                    <w:t>雨水排放</w:t>
                  </w:r>
                  <w:r>
                    <w:rPr>
                      <w:rFonts w:hint="default" w:ascii="Times New Roman" w:hAnsi="Times New Roman" w:cs="Times New Roman"/>
                      <w:color w:val="auto"/>
                      <w:highlight w:val="none"/>
                      <w:lang w:val="en-US" w:eastAsia="zh-CN"/>
                    </w:rPr>
                    <w:sym w:font="Wingdings 2" w:char="00A3"/>
                  </w:r>
                  <w:r>
                    <w:rPr>
                      <w:rFonts w:hint="default" w:ascii="Times New Roman" w:hAnsi="Times New Roman" w:cs="Times New Roman"/>
                      <w:color w:val="auto"/>
                      <w:highlight w:val="none"/>
                      <w:lang w:val="en-US" w:eastAsia="zh-CN"/>
                    </w:rPr>
                    <w:t>清净下水排放</w:t>
                  </w:r>
                  <w:r>
                    <w:rPr>
                      <w:rFonts w:hint="default" w:ascii="Times New Roman" w:hAnsi="Times New Roman" w:cs="Times New Roman"/>
                      <w:color w:val="auto"/>
                      <w:highlight w:val="none"/>
                      <w:lang w:val="en-US" w:eastAsia="zh-CN"/>
                    </w:rPr>
                    <w:sym w:font="Wingdings 2" w:char="00A3"/>
                  </w:r>
                  <w:r>
                    <w:rPr>
                      <w:rFonts w:hint="default" w:ascii="Times New Roman" w:hAnsi="Times New Roman" w:cs="Times New Roman"/>
                      <w:color w:val="auto"/>
                      <w:highlight w:val="none"/>
                      <w:lang w:val="en-US" w:eastAsia="zh-CN"/>
                    </w:rPr>
                    <w:t>温排水排放</w:t>
                  </w:r>
                  <w:r>
                    <w:rPr>
                      <w:rFonts w:hint="default" w:ascii="Times New Roman" w:hAnsi="Times New Roman" w:cs="Times New Roman"/>
                      <w:color w:val="auto"/>
                      <w:highlight w:val="none"/>
                      <w:lang w:val="en-US" w:eastAsia="zh-CN"/>
                    </w:rPr>
                    <w:sym w:font="Wingdings 2" w:char="00A3"/>
                  </w:r>
                  <w:r>
                    <w:rPr>
                      <w:rFonts w:hint="default" w:ascii="Times New Roman" w:hAnsi="Times New Roman" w:cs="Times New Roman"/>
                      <w:color w:val="auto"/>
                      <w:highlight w:val="none"/>
                      <w:lang w:val="en-US" w:eastAsia="zh-CN"/>
                    </w:rPr>
                    <w:t>车间或车间处理设施排放口</w:t>
                  </w:r>
                </w:p>
              </w:tc>
            </w:tr>
            <w:tr w14:paraId="59A4E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5" w:hRule="atLeast"/>
              </w:trPr>
              <w:tc>
                <w:tcPr>
                  <w:tcW w:w="678" w:type="dxa"/>
                  <w:noWrap w:val="0"/>
                  <w:vAlign w:val="center"/>
                </w:tcPr>
                <w:p w14:paraId="6E191717">
                  <w:pPr>
                    <w:pStyle w:val="30"/>
                    <w:widowControl w:val="0"/>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清洗消毒废水</w:t>
                  </w:r>
                </w:p>
              </w:tc>
              <w:tc>
                <w:tcPr>
                  <w:tcW w:w="1072" w:type="dxa"/>
                  <w:vMerge w:val="continue"/>
                  <w:noWrap w:val="0"/>
                  <w:vAlign w:val="center"/>
                </w:tcPr>
                <w:p w14:paraId="0538AD0F">
                  <w:pPr>
                    <w:pStyle w:val="30"/>
                    <w:widowControl w:val="0"/>
                    <w:bidi w:val="0"/>
                    <w:rPr>
                      <w:rFonts w:hint="default" w:ascii="Times New Roman" w:hAnsi="Times New Roman" w:cs="Times New Roman"/>
                      <w:color w:val="auto"/>
                      <w:highlight w:val="none"/>
                      <w:lang w:val="en-US" w:eastAsia="zh-CN"/>
                    </w:rPr>
                  </w:pPr>
                </w:p>
              </w:tc>
              <w:tc>
                <w:tcPr>
                  <w:tcW w:w="554" w:type="dxa"/>
                  <w:vMerge w:val="continue"/>
                  <w:noWrap w:val="0"/>
                  <w:vAlign w:val="center"/>
                </w:tcPr>
                <w:p w14:paraId="7C88896A">
                  <w:pPr>
                    <w:pStyle w:val="30"/>
                    <w:widowControl w:val="0"/>
                    <w:bidi w:val="0"/>
                    <w:rPr>
                      <w:rFonts w:hint="default" w:ascii="Times New Roman" w:hAnsi="Times New Roman" w:cs="Times New Roman"/>
                      <w:color w:val="auto"/>
                      <w:highlight w:val="none"/>
                      <w:lang w:val="en-US" w:eastAsia="zh-CN"/>
                    </w:rPr>
                  </w:pPr>
                </w:p>
              </w:tc>
              <w:tc>
                <w:tcPr>
                  <w:tcW w:w="1081" w:type="dxa"/>
                  <w:vMerge w:val="continue"/>
                  <w:noWrap w:val="0"/>
                  <w:vAlign w:val="center"/>
                </w:tcPr>
                <w:p w14:paraId="752CE644">
                  <w:pPr>
                    <w:pStyle w:val="30"/>
                    <w:widowControl w:val="0"/>
                    <w:bidi w:val="0"/>
                    <w:rPr>
                      <w:rFonts w:hint="default" w:ascii="Times New Roman" w:hAnsi="Times New Roman" w:cs="Times New Roman"/>
                      <w:color w:val="auto"/>
                      <w:highlight w:val="none"/>
                      <w:lang w:val="en-US" w:eastAsia="zh-CN"/>
                    </w:rPr>
                  </w:pPr>
                </w:p>
              </w:tc>
              <w:tc>
                <w:tcPr>
                  <w:tcW w:w="898" w:type="dxa"/>
                  <w:vMerge w:val="continue"/>
                  <w:noWrap w:val="0"/>
                  <w:vAlign w:val="center"/>
                </w:tcPr>
                <w:p w14:paraId="2871EDCE">
                  <w:pPr>
                    <w:pStyle w:val="30"/>
                    <w:widowControl w:val="0"/>
                    <w:bidi w:val="0"/>
                    <w:rPr>
                      <w:rFonts w:hint="default" w:ascii="Times New Roman" w:hAnsi="Times New Roman" w:cs="Times New Roman"/>
                      <w:color w:val="auto"/>
                      <w:highlight w:val="none"/>
                      <w:lang w:val="en-US" w:eastAsia="zh-CN"/>
                    </w:rPr>
                  </w:pPr>
                </w:p>
              </w:tc>
              <w:tc>
                <w:tcPr>
                  <w:tcW w:w="522" w:type="dxa"/>
                  <w:vMerge w:val="continue"/>
                  <w:noWrap w:val="0"/>
                  <w:vAlign w:val="center"/>
                </w:tcPr>
                <w:p w14:paraId="0993BFF6">
                  <w:pPr>
                    <w:pStyle w:val="30"/>
                    <w:widowControl w:val="0"/>
                    <w:bidi w:val="0"/>
                    <w:rPr>
                      <w:rFonts w:hint="default" w:ascii="Times New Roman" w:hAnsi="Times New Roman" w:cs="Times New Roman"/>
                      <w:color w:val="auto"/>
                      <w:highlight w:val="none"/>
                      <w:lang w:val="en-US" w:eastAsia="zh-CN"/>
                    </w:rPr>
                  </w:pPr>
                </w:p>
              </w:tc>
              <w:tc>
                <w:tcPr>
                  <w:tcW w:w="531" w:type="dxa"/>
                  <w:vMerge w:val="continue"/>
                  <w:noWrap w:val="0"/>
                  <w:vAlign w:val="center"/>
                </w:tcPr>
                <w:p w14:paraId="002B931E">
                  <w:pPr>
                    <w:pStyle w:val="30"/>
                    <w:widowControl w:val="0"/>
                    <w:bidi w:val="0"/>
                    <w:rPr>
                      <w:rFonts w:hint="default" w:ascii="Times New Roman" w:hAnsi="Times New Roman" w:cs="Times New Roman"/>
                      <w:color w:val="auto"/>
                      <w:highlight w:val="none"/>
                      <w:lang w:val="en-US" w:eastAsia="zh-CN"/>
                    </w:rPr>
                  </w:pPr>
                </w:p>
              </w:tc>
              <w:tc>
                <w:tcPr>
                  <w:tcW w:w="951" w:type="dxa"/>
                  <w:vMerge w:val="continue"/>
                  <w:noWrap w:val="0"/>
                  <w:vAlign w:val="center"/>
                </w:tcPr>
                <w:p w14:paraId="41F6C708">
                  <w:pPr>
                    <w:pStyle w:val="30"/>
                    <w:widowControl w:val="0"/>
                    <w:bidi w:val="0"/>
                    <w:rPr>
                      <w:rFonts w:hint="default" w:ascii="Times New Roman" w:hAnsi="Times New Roman" w:cs="Times New Roman"/>
                      <w:color w:val="auto"/>
                      <w:highlight w:val="none"/>
                      <w:lang w:val="en-US" w:eastAsia="zh-CN"/>
                    </w:rPr>
                  </w:pPr>
                </w:p>
              </w:tc>
              <w:tc>
                <w:tcPr>
                  <w:tcW w:w="775" w:type="dxa"/>
                  <w:vMerge w:val="continue"/>
                  <w:noWrap w:val="0"/>
                  <w:vAlign w:val="center"/>
                </w:tcPr>
                <w:p w14:paraId="3B0D0A04">
                  <w:pPr>
                    <w:pStyle w:val="30"/>
                    <w:widowControl w:val="0"/>
                    <w:bidi w:val="0"/>
                    <w:rPr>
                      <w:rFonts w:hint="default" w:ascii="Times New Roman" w:hAnsi="Times New Roman" w:cs="Times New Roman"/>
                      <w:color w:val="auto"/>
                      <w:highlight w:val="none"/>
                      <w:lang w:val="en-US" w:eastAsia="zh-CN"/>
                    </w:rPr>
                  </w:pPr>
                </w:p>
              </w:tc>
              <w:tc>
                <w:tcPr>
                  <w:tcW w:w="1158" w:type="dxa"/>
                  <w:vMerge w:val="continue"/>
                  <w:noWrap w:val="0"/>
                  <w:vAlign w:val="center"/>
                </w:tcPr>
                <w:p w14:paraId="1477A3E1">
                  <w:pPr>
                    <w:pStyle w:val="30"/>
                    <w:widowControl w:val="0"/>
                    <w:bidi w:val="0"/>
                    <w:rPr>
                      <w:rFonts w:hint="default" w:ascii="Times New Roman" w:hAnsi="Times New Roman" w:cs="Times New Roman"/>
                      <w:color w:val="auto"/>
                      <w:highlight w:val="none"/>
                      <w:lang w:val="en-US" w:eastAsia="zh-CN"/>
                    </w:rPr>
                  </w:pPr>
                </w:p>
              </w:tc>
            </w:tr>
            <w:tr w14:paraId="353FB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 w:hRule="atLeast"/>
              </w:trPr>
              <w:tc>
                <w:tcPr>
                  <w:tcW w:w="678" w:type="dxa"/>
                  <w:noWrap w:val="0"/>
                  <w:vAlign w:val="center"/>
                </w:tcPr>
                <w:p w14:paraId="3F5490B7">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生活污水</w:t>
                  </w:r>
                </w:p>
              </w:tc>
              <w:tc>
                <w:tcPr>
                  <w:tcW w:w="1072" w:type="dxa"/>
                  <w:vMerge w:val="restart"/>
                  <w:noWrap w:val="0"/>
                  <w:vAlign w:val="center"/>
                </w:tcPr>
                <w:p w14:paraId="28265A7C">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COD、BOD</w:t>
                  </w:r>
                  <w:r>
                    <w:rPr>
                      <w:rFonts w:hint="default" w:ascii="Times New Roman" w:hAnsi="Times New Roman" w:cs="Times New Roman"/>
                      <w:color w:val="auto"/>
                      <w:highlight w:val="none"/>
                      <w:vertAlign w:val="subscript"/>
                      <w:lang w:val="en-US" w:eastAsia="zh-CN"/>
                    </w:rPr>
                    <w:t>5</w:t>
                  </w:r>
                  <w:r>
                    <w:rPr>
                      <w:rFonts w:hint="default" w:ascii="Times New Roman" w:hAnsi="Times New Roman" w:cs="Times New Roman"/>
                      <w:color w:val="auto"/>
                      <w:highlight w:val="none"/>
                      <w:lang w:val="en-US" w:eastAsia="zh-CN"/>
                    </w:rPr>
                    <w:t>、SS、氨氮</w:t>
                  </w:r>
                </w:p>
              </w:tc>
              <w:tc>
                <w:tcPr>
                  <w:tcW w:w="554" w:type="dxa"/>
                  <w:vMerge w:val="continue"/>
                  <w:noWrap w:val="0"/>
                  <w:vAlign w:val="center"/>
                </w:tcPr>
                <w:p w14:paraId="63A65371">
                  <w:pPr>
                    <w:pStyle w:val="30"/>
                    <w:widowControl w:val="0"/>
                    <w:bidi w:val="0"/>
                    <w:rPr>
                      <w:rFonts w:hint="default" w:ascii="Times New Roman" w:hAnsi="Times New Roman" w:cs="Times New Roman"/>
                      <w:color w:val="auto"/>
                      <w:highlight w:val="none"/>
                      <w:lang w:val="en-US" w:eastAsia="zh-CN"/>
                    </w:rPr>
                  </w:pPr>
                </w:p>
              </w:tc>
              <w:tc>
                <w:tcPr>
                  <w:tcW w:w="1081" w:type="dxa"/>
                  <w:vMerge w:val="continue"/>
                  <w:noWrap w:val="0"/>
                  <w:vAlign w:val="center"/>
                </w:tcPr>
                <w:p w14:paraId="07BFC525">
                  <w:pPr>
                    <w:pStyle w:val="30"/>
                    <w:widowControl w:val="0"/>
                    <w:bidi w:val="0"/>
                    <w:rPr>
                      <w:rFonts w:hint="default" w:ascii="Times New Roman" w:hAnsi="Times New Roman" w:cs="Times New Roman"/>
                      <w:color w:val="auto"/>
                      <w:highlight w:val="none"/>
                      <w:lang w:val="en-US" w:eastAsia="zh-CN"/>
                    </w:rPr>
                  </w:pPr>
                </w:p>
              </w:tc>
              <w:tc>
                <w:tcPr>
                  <w:tcW w:w="898" w:type="dxa"/>
                  <w:vMerge w:val="restart"/>
                  <w:noWrap w:val="0"/>
                  <w:vAlign w:val="center"/>
                </w:tcPr>
                <w:p w14:paraId="5B8CB886">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522" w:type="dxa"/>
                  <w:vMerge w:val="restart"/>
                  <w:noWrap w:val="0"/>
                  <w:vAlign w:val="center"/>
                </w:tcPr>
                <w:p w14:paraId="3C34CF9F">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531" w:type="dxa"/>
                  <w:vMerge w:val="restart"/>
                  <w:noWrap w:val="0"/>
                  <w:vAlign w:val="center"/>
                </w:tcPr>
                <w:p w14:paraId="2F5B67C5">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951" w:type="dxa"/>
                  <w:vMerge w:val="continue"/>
                  <w:noWrap w:val="0"/>
                  <w:vAlign w:val="top"/>
                </w:tcPr>
                <w:p w14:paraId="2B59648C">
                  <w:pPr>
                    <w:pStyle w:val="30"/>
                    <w:widowControl w:val="0"/>
                    <w:bidi w:val="0"/>
                    <w:rPr>
                      <w:rFonts w:hint="default" w:ascii="Times New Roman" w:hAnsi="Times New Roman" w:cs="Times New Roman"/>
                      <w:color w:val="auto"/>
                      <w:highlight w:val="none"/>
                      <w:lang w:val="en-US" w:eastAsia="zh-CN"/>
                    </w:rPr>
                  </w:pPr>
                </w:p>
              </w:tc>
              <w:tc>
                <w:tcPr>
                  <w:tcW w:w="775" w:type="dxa"/>
                  <w:vMerge w:val="continue"/>
                  <w:noWrap w:val="0"/>
                  <w:vAlign w:val="top"/>
                </w:tcPr>
                <w:p w14:paraId="70E09A51">
                  <w:pPr>
                    <w:pStyle w:val="30"/>
                    <w:widowControl w:val="0"/>
                    <w:bidi w:val="0"/>
                    <w:rPr>
                      <w:rFonts w:hint="default" w:ascii="Times New Roman" w:hAnsi="Times New Roman" w:cs="Times New Roman"/>
                      <w:color w:val="auto"/>
                      <w:highlight w:val="none"/>
                      <w:lang w:val="en-US" w:eastAsia="zh-CN"/>
                    </w:rPr>
                  </w:pPr>
                </w:p>
              </w:tc>
              <w:tc>
                <w:tcPr>
                  <w:tcW w:w="1158" w:type="dxa"/>
                  <w:vMerge w:val="continue"/>
                  <w:noWrap w:val="0"/>
                  <w:vAlign w:val="top"/>
                </w:tcPr>
                <w:p w14:paraId="5D7AA36D">
                  <w:pPr>
                    <w:pStyle w:val="30"/>
                    <w:widowControl w:val="0"/>
                    <w:bidi w:val="0"/>
                    <w:rPr>
                      <w:rFonts w:hint="default" w:ascii="Times New Roman" w:hAnsi="Times New Roman" w:cs="Times New Roman"/>
                      <w:color w:val="auto"/>
                      <w:highlight w:val="none"/>
                      <w:lang w:val="en-US" w:eastAsia="zh-CN"/>
                    </w:rPr>
                  </w:pPr>
                </w:p>
              </w:tc>
            </w:tr>
            <w:tr w14:paraId="71309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 w:hRule="atLeast"/>
              </w:trPr>
              <w:tc>
                <w:tcPr>
                  <w:tcW w:w="678" w:type="dxa"/>
                  <w:noWrap w:val="0"/>
                  <w:vAlign w:val="center"/>
                </w:tcPr>
                <w:p w14:paraId="2120149F">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洗浴废水</w:t>
                  </w:r>
                </w:p>
              </w:tc>
              <w:tc>
                <w:tcPr>
                  <w:tcW w:w="1072" w:type="dxa"/>
                  <w:vMerge w:val="continue"/>
                  <w:noWrap w:val="0"/>
                  <w:vAlign w:val="center"/>
                </w:tcPr>
                <w:p w14:paraId="13485B83">
                  <w:pPr>
                    <w:pStyle w:val="30"/>
                    <w:widowControl w:val="0"/>
                    <w:bidi w:val="0"/>
                    <w:rPr>
                      <w:rFonts w:hint="default" w:ascii="Times New Roman" w:hAnsi="Times New Roman" w:cs="Times New Roman"/>
                      <w:color w:val="auto"/>
                      <w:highlight w:val="yellow"/>
                      <w:lang w:val="en-US" w:eastAsia="zh-CN"/>
                    </w:rPr>
                  </w:pPr>
                </w:p>
              </w:tc>
              <w:tc>
                <w:tcPr>
                  <w:tcW w:w="554" w:type="dxa"/>
                  <w:vMerge w:val="continue"/>
                  <w:noWrap w:val="0"/>
                  <w:vAlign w:val="center"/>
                </w:tcPr>
                <w:p w14:paraId="1B006662">
                  <w:pPr>
                    <w:pStyle w:val="30"/>
                    <w:widowControl w:val="0"/>
                    <w:bidi w:val="0"/>
                    <w:rPr>
                      <w:rFonts w:hint="default" w:ascii="Times New Roman" w:hAnsi="Times New Roman" w:cs="Times New Roman"/>
                      <w:color w:val="auto"/>
                      <w:highlight w:val="yellow"/>
                      <w:lang w:val="en-US" w:eastAsia="zh-CN"/>
                    </w:rPr>
                  </w:pPr>
                </w:p>
              </w:tc>
              <w:tc>
                <w:tcPr>
                  <w:tcW w:w="1081" w:type="dxa"/>
                  <w:vMerge w:val="continue"/>
                  <w:noWrap w:val="0"/>
                  <w:vAlign w:val="center"/>
                </w:tcPr>
                <w:p w14:paraId="188B1790">
                  <w:pPr>
                    <w:pStyle w:val="30"/>
                    <w:widowControl w:val="0"/>
                    <w:bidi w:val="0"/>
                    <w:rPr>
                      <w:rFonts w:hint="default" w:ascii="Times New Roman" w:hAnsi="Times New Roman" w:cs="Times New Roman"/>
                      <w:color w:val="auto"/>
                      <w:highlight w:val="yellow"/>
                      <w:lang w:val="en-US" w:eastAsia="zh-CN"/>
                    </w:rPr>
                  </w:pPr>
                </w:p>
              </w:tc>
              <w:tc>
                <w:tcPr>
                  <w:tcW w:w="898" w:type="dxa"/>
                  <w:vMerge w:val="continue"/>
                  <w:noWrap w:val="0"/>
                  <w:vAlign w:val="center"/>
                </w:tcPr>
                <w:p w14:paraId="3779FE37">
                  <w:pPr>
                    <w:pStyle w:val="30"/>
                    <w:widowControl w:val="0"/>
                    <w:bidi w:val="0"/>
                    <w:rPr>
                      <w:rFonts w:hint="default" w:ascii="Times New Roman" w:hAnsi="Times New Roman" w:cs="Times New Roman"/>
                      <w:color w:val="auto"/>
                      <w:highlight w:val="yellow"/>
                      <w:lang w:val="en-US" w:eastAsia="zh-CN"/>
                    </w:rPr>
                  </w:pPr>
                </w:p>
              </w:tc>
              <w:tc>
                <w:tcPr>
                  <w:tcW w:w="522" w:type="dxa"/>
                  <w:vMerge w:val="continue"/>
                  <w:noWrap w:val="0"/>
                  <w:vAlign w:val="center"/>
                </w:tcPr>
                <w:p w14:paraId="5AA683F0">
                  <w:pPr>
                    <w:pStyle w:val="30"/>
                    <w:widowControl w:val="0"/>
                    <w:bidi w:val="0"/>
                    <w:rPr>
                      <w:rFonts w:hint="default" w:ascii="Times New Roman" w:hAnsi="Times New Roman" w:cs="Times New Roman"/>
                      <w:color w:val="auto"/>
                      <w:highlight w:val="yellow"/>
                      <w:lang w:val="en-US" w:eastAsia="zh-CN"/>
                    </w:rPr>
                  </w:pPr>
                </w:p>
              </w:tc>
              <w:tc>
                <w:tcPr>
                  <w:tcW w:w="531" w:type="dxa"/>
                  <w:vMerge w:val="continue"/>
                  <w:noWrap w:val="0"/>
                  <w:vAlign w:val="center"/>
                </w:tcPr>
                <w:p w14:paraId="3FBAD2D2">
                  <w:pPr>
                    <w:pStyle w:val="30"/>
                    <w:widowControl w:val="0"/>
                    <w:bidi w:val="0"/>
                    <w:rPr>
                      <w:rFonts w:hint="default" w:ascii="Times New Roman" w:hAnsi="Times New Roman" w:cs="Times New Roman"/>
                      <w:color w:val="auto"/>
                      <w:highlight w:val="yellow"/>
                      <w:lang w:val="en-US" w:eastAsia="zh-CN"/>
                    </w:rPr>
                  </w:pPr>
                </w:p>
              </w:tc>
              <w:tc>
                <w:tcPr>
                  <w:tcW w:w="951" w:type="dxa"/>
                  <w:vMerge w:val="continue"/>
                  <w:noWrap w:val="0"/>
                  <w:vAlign w:val="top"/>
                </w:tcPr>
                <w:p w14:paraId="0E0F05CF">
                  <w:pPr>
                    <w:pStyle w:val="30"/>
                    <w:widowControl w:val="0"/>
                    <w:bidi w:val="0"/>
                    <w:rPr>
                      <w:rFonts w:hint="default" w:ascii="Times New Roman" w:hAnsi="Times New Roman" w:cs="Times New Roman"/>
                      <w:color w:val="auto"/>
                      <w:highlight w:val="yellow"/>
                      <w:lang w:val="en-US" w:eastAsia="zh-CN"/>
                    </w:rPr>
                  </w:pPr>
                </w:p>
              </w:tc>
              <w:tc>
                <w:tcPr>
                  <w:tcW w:w="775" w:type="dxa"/>
                  <w:vMerge w:val="continue"/>
                  <w:noWrap w:val="0"/>
                  <w:vAlign w:val="top"/>
                </w:tcPr>
                <w:p w14:paraId="6E3ACBCC">
                  <w:pPr>
                    <w:pStyle w:val="30"/>
                    <w:widowControl w:val="0"/>
                    <w:bidi w:val="0"/>
                    <w:rPr>
                      <w:rFonts w:hint="default" w:ascii="Times New Roman" w:hAnsi="Times New Roman" w:cs="Times New Roman"/>
                      <w:color w:val="auto"/>
                      <w:highlight w:val="yellow"/>
                      <w:lang w:val="en-US" w:eastAsia="zh-CN"/>
                    </w:rPr>
                  </w:pPr>
                </w:p>
              </w:tc>
              <w:tc>
                <w:tcPr>
                  <w:tcW w:w="1158" w:type="dxa"/>
                  <w:vMerge w:val="continue"/>
                  <w:noWrap w:val="0"/>
                  <w:vAlign w:val="top"/>
                </w:tcPr>
                <w:p w14:paraId="27E9183F">
                  <w:pPr>
                    <w:pStyle w:val="30"/>
                    <w:widowControl w:val="0"/>
                    <w:bidi w:val="0"/>
                    <w:rPr>
                      <w:rFonts w:hint="default" w:ascii="Times New Roman" w:hAnsi="Times New Roman" w:cs="Times New Roman"/>
                      <w:color w:val="auto"/>
                      <w:highlight w:val="yellow"/>
                      <w:lang w:val="en-US" w:eastAsia="zh-CN"/>
                    </w:rPr>
                  </w:pPr>
                </w:p>
              </w:tc>
            </w:tr>
          </w:tbl>
          <w:p w14:paraId="010F4C54">
            <w:pPr>
              <w:pStyle w:val="31"/>
              <w:bidi w:val="0"/>
              <w:rPr>
                <w:rFonts w:hint="default" w:ascii="Times New Roman" w:hAnsi="Times New Roman" w:cs="Times New Roman"/>
                <w:color w:val="auto"/>
                <w:highlight w:val="none"/>
              </w:rPr>
            </w:pPr>
          </w:p>
          <w:p w14:paraId="2053AFEC">
            <w:pPr>
              <w:pStyle w:val="31"/>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t>项目废水</w:t>
            </w:r>
            <w:r>
              <w:rPr>
                <w:rFonts w:hint="default" w:ascii="Times New Roman" w:hAnsi="Times New Roman" w:cs="Times New Roman"/>
                <w:color w:val="auto"/>
                <w:highlight w:val="none"/>
                <w:lang w:val="en-US" w:eastAsia="zh-CN"/>
              </w:rPr>
              <w:t>间接排放口基本情况见</w:t>
            </w:r>
            <w:r>
              <w:rPr>
                <w:rFonts w:hint="default" w:ascii="Times New Roman" w:hAnsi="Times New Roman" w:cs="Times New Roman"/>
                <w:color w:val="auto"/>
                <w:highlight w:val="none"/>
              </w:rPr>
              <w:t>下表：</w:t>
            </w:r>
          </w:p>
          <w:p w14:paraId="49DDA729">
            <w:pPr>
              <w:pStyle w:val="29"/>
              <w:bidi w:val="0"/>
              <w:ind w:left="0" w:leftChars="0" w:firstLine="0" w:firstLineChars="0"/>
              <w:jc w:val="center"/>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表4-</w:t>
            </w:r>
            <w:r>
              <w:rPr>
                <w:rFonts w:hint="eastAsia" w:cs="Times New Roman"/>
                <w:color w:val="auto"/>
                <w:highlight w:val="none"/>
                <w:lang w:val="en-US" w:eastAsia="zh-CN"/>
              </w:rPr>
              <w:t>5</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lang w:eastAsia="zh-CN"/>
              </w:rPr>
              <w:t>本项目废水间接排放口基本情况</w:t>
            </w:r>
          </w:p>
          <w:tbl>
            <w:tblPr>
              <w:tblStyle w:val="1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15"/>
              <w:gridCol w:w="626"/>
              <w:gridCol w:w="583"/>
              <w:gridCol w:w="861"/>
              <w:gridCol w:w="795"/>
              <w:gridCol w:w="1410"/>
              <w:gridCol w:w="732"/>
              <w:gridCol w:w="1143"/>
              <w:gridCol w:w="1352"/>
            </w:tblGrid>
            <w:tr w14:paraId="5074A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33" w:type="pct"/>
                  <w:vMerge w:val="restart"/>
                  <w:tcBorders>
                    <w:tl2br w:val="nil"/>
                    <w:tr2bl w:val="nil"/>
                  </w:tcBorders>
                  <w:noWrap w:val="0"/>
                  <w:vAlign w:val="center"/>
                </w:tcPr>
                <w:p w14:paraId="124A19A5">
                  <w:pPr>
                    <w:pStyle w:val="30"/>
                    <w:widowControl w:val="0"/>
                    <w:bidi w:val="0"/>
                    <w:rPr>
                      <w:rFonts w:hint="default" w:ascii="Times New Roman" w:hAnsi="Times New Roman" w:cs="Times New Roman"/>
                      <w:b/>
                      <w:bCs w:val="0"/>
                      <w:color w:val="auto"/>
                      <w:highlight w:val="none"/>
                      <w:lang w:val="en-US" w:eastAsia="zh-CN"/>
                    </w:rPr>
                  </w:pPr>
                  <w:r>
                    <w:rPr>
                      <w:rFonts w:hint="default" w:ascii="Times New Roman" w:hAnsi="Times New Roman" w:cs="Times New Roman"/>
                      <w:b/>
                      <w:bCs w:val="0"/>
                      <w:color w:val="auto"/>
                      <w:highlight w:val="none"/>
                      <w:lang w:val="en-US" w:eastAsia="zh-CN"/>
                    </w:rPr>
                    <w:t>排放口编号</w:t>
                  </w:r>
                </w:p>
              </w:tc>
              <w:tc>
                <w:tcPr>
                  <w:tcW w:w="736" w:type="pct"/>
                  <w:gridSpan w:val="2"/>
                  <w:vMerge w:val="restart"/>
                  <w:tcBorders>
                    <w:tl2br w:val="nil"/>
                    <w:tr2bl w:val="nil"/>
                  </w:tcBorders>
                  <w:noWrap w:val="0"/>
                  <w:vAlign w:val="center"/>
                </w:tcPr>
                <w:p w14:paraId="705FF8DA">
                  <w:pPr>
                    <w:pStyle w:val="30"/>
                    <w:widowControl w:val="0"/>
                    <w:bidi w:val="0"/>
                    <w:rPr>
                      <w:rFonts w:hint="default" w:ascii="Times New Roman" w:hAnsi="Times New Roman" w:cs="Times New Roman"/>
                      <w:b/>
                      <w:bCs w:val="0"/>
                      <w:color w:val="auto"/>
                      <w:highlight w:val="none"/>
                      <w:lang w:val="en-US" w:eastAsia="zh-CN"/>
                    </w:rPr>
                  </w:pPr>
                  <w:r>
                    <w:rPr>
                      <w:rFonts w:hint="default" w:ascii="Times New Roman" w:hAnsi="Times New Roman" w:cs="Times New Roman"/>
                      <w:b/>
                      <w:bCs w:val="0"/>
                      <w:color w:val="auto"/>
                      <w:highlight w:val="none"/>
                      <w:lang w:val="en-US" w:eastAsia="zh-CN"/>
                    </w:rPr>
                    <w:t>排放口地理坐标</w:t>
                  </w:r>
                </w:p>
              </w:tc>
              <w:tc>
                <w:tcPr>
                  <w:tcW w:w="524" w:type="pct"/>
                  <w:vMerge w:val="restart"/>
                  <w:tcBorders>
                    <w:tl2br w:val="nil"/>
                    <w:tr2bl w:val="nil"/>
                  </w:tcBorders>
                  <w:noWrap w:val="0"/>
                  <w:vAlign w:val="center"/>
                </w:tcPr>
                <w:p w14:paraId="2ECE8A95">
                  <w:pPr>
                    <w:pStyle w:val="30"/>
                    <w:widowControl w:val="0"/>
                    <w:bidi w:val="0"/>
                    <w:rPr>
                      <w:rFonts w:hint="default" w:ascii="Times New Roman" w:hAnsi="Times New Roman" w:cs="Times New Roman"/>
                      <w:b/>
                      <w:bCs w:val="0"/>
                      <w:color w:val="auto"/>
                      <w:highlight w:val="none"/>
                      <w:lang w:val="en-US" w:eastAsia="zh-CN"/>
                    </w:rPr>
                  </w:pPr>
                  <w:r>
                    <w:rPr>
                      <w:rFonts w:hint="default" w:ascii="Times New Roman" w:hAnsi="Times New Roman" w:cs="Times New Roman"/>
                      <w:b/>
                      <w:bCs w:val="0"/>
                      <w:color w:val="auto"/>
                      <w:highlight w:val="none"/>
                      <w:lang w:val="en-US" w:eastAsia="zh-CN"/>
                    </w:rPr>
                    <w:t>废水排放量</w:t>
                  </w:r>
                  <w:r>
                    <w:rPr>
                      <w:rFonts w:hint="default" w:ascii="Times New Roman" w:hAnsi="Times New Roman" w:cs="Times New Roman"/>
                      <w:color w:val="auto"/>
                      <w:highlight w:val="none"/>
                    </w:rPr>
                    <w:t>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/d</w:t>
                  </w:r>
                </w:p>
              </w:tc>
              <w:tc>
                <w:tcPr>
                  <w:tcW w:w="484" w:type="pct"/>
                  <w:vMerge w:val="restart"/>
                  <w:tcBorders>
                    <w:tl2br w:val="nil"/>
                    <w:tr2bl w:val="nil"/>
                  </w:tcBorders>
                  <w:noWrap w:val="0"/>
                  <w:vAlign w:val="center"/>
                </w:tcPr>
                <w:p w14:paraId="4AA004B5">
                  <w:pPr>
                    <w:pStyle w:val="30"/>
                    <w:widowControl w:val="0"/>
                    <w:bidi w:val="0"/>
                    <w:rPr>
                      <w:rFonts w:hint="default" w:ascii="Times New Roman" w:hAnsi="Times New Roman" w:cs="Times New Roman"/>
                      <w:b/>
                      <w:bCs w:val="0"/>
                      <w:color w:val="auto"/>
                      <w:highlight w:val="none"/>
                      <w:lang w:val="en-US" w:eastAsia="zh-CN"/>
                    </w:rPr>
                  </w:pPr>
                  <w:r>
                    <w:rPr>
                      <w:rFonts w:hint="default" w:ascii="Times New Roman" w:hAnsi="Times New Roman" w:cs="Times New Roman"/>
                      <w:b/>
                      <w:bCs w:val="0"/>
                      <w:color w:val="auto"/>
                      <w:highlight w:val="none"/>
                      <w:lang w:val="en-US" w:eastAsia="zh-CN"/>
                    </w:rPr>
                    <w:t>排放去向</w:t>
                  </w:r>
                </w:p>
              </w:tc>
              <w:tc>
                <w:tcPr>
                  <w:tcW w:w="857" w:type="pct"/>
                  <w:vMerge w:val="restart"/>
                  <w:tcBorders>
                    <w:tl2br w:val="nil"/>
                    <w:tr2bl w:val="nil"/>
                  </w:tcBorders>
                  <w:noWrap w:val="0"/>
                  <w:vAlign w:val="center"/>
                </w:tcPr>
                <w:p w14:paraId="5FA4D127">
                  <w:pPr>
                    <w:pStyle w:val="30"/>
                    <w:widowControl w:val="0"/>
                    <w:bidi w:val="0"/>
                    <w:rPr>
                      <w:rFonts w:hint="default" w:ascii="Times New Roman" w:hAnsi="Times New Roman" w:cs="Times New Roman"/>
                      <w:b/>
                      <w:bCs w:val="0"/>
                      <w:color w:val="auto"/>
                      <w:highlight w:val="none"/>
                      <w:lang w:val="en-US" w:eastAsia="zh-CN"/>
                    </w:rPr>
                  </w:pPr>
                  <w:r>
                    <w:rPr>
                      <w:rFonts w:hint="default" w:ascii="Times New Roman" w:hAnsi="Times New Roman" w:cs="Times New Roman"/>
                      <w:b/>
                      <w:bCs w:val="0"/>
                      <w:color w:val="auto"/>
                      <w:highlight w:val="none"/>
                      <w:lang w:val="en-US" w:eastAsia="zh-CN"/>
                    </w:rPr>
                    <w:t>排放规律</w:t>
                  </w:r>
                </w:p>
              </w:tc>
              <w:tc>
                <w:tcPr>
                  <w:tcW w:w="1962" w:type="pct"/>
                  <w:gridSpan w:val="3"/>
                  <w:tcBorders>
                    <w:tl2br w:val="nil"/>
                    <w:tr2bl w:val="nil"/>
                  </w:tcBorders>
                  <w:noWrap w:val="0"/>
                  <w:vAlign w:val="center"/>
                </w:tcPr>
                <w:p w14:paraId="38BE3EAC">
                  <w:pPr>
                    <w:pStyle w:val="30"/>
                    <w:widowControl w:val="0"/>
                    <w:bidi w:val="0"/>
                    <w:rPr>
                      <w:rFonts w:hint="default" w:ascii="Times New Roman" w:hAnsi="Times New Roman" w:cs="Times New Roman"/>
                      <w:b/>
                      <w:bCs w:val="0"/>
                      <w:color w:val="auto"/>
                      <w:highlight w:val="none"/>
                      <w:lang w:val="en-US" w:eastAsia="zh-CN"/>
                    </w:rPr>
                  </w:pPr>
                  <w:r>
                    <w:rPr>
                      <w:rFonts w:hint="default" w:ascii="Times New Roman" w:hAnsi="Times New Roman" w:cs="Times New Roman"/>
                      <w:b/>
                      <w:bCs w:val="0"/>
                      <w:color w:val="auto"/>
                      <w:highlight w:val="none"/>
                      <w:lang w:val="en-US" w:eastAsia="zh-CN"/>
                    </w:rPr>
                    <w:t>受纳污水处理厂信息</w:t>
                  </w:r>
                </w:p>
              </w:tc>
            </w:tr>
            <w:tr w14:paraId="4CC79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2" w:hRule="atLeast"/>
                <w:jc w:val="center"/>
              </w:trPr>
              <w:tc>
                <w:tcPr>
                  <w:tcW w:w="433" w:type="pct"/>
                  <w:vMerge w:val="continue"/>
                  <w:tcBorders>
                    <w:tl2br w:val="nil"/>
                    <w:tr2bl w:val="nil"/>
                  </w:tcBorders>
                  <w:noWrap w:val="0"/>
                  <w:vAlign w:val="center"/>
                </w:tcPr>
                <w:p w14:paraId="2E9C6454">
                  <w:pPr>
                    <w:pStyle w:val="30"/>
                    <w:widowControl w:val="0"/>
                    <w:bidi w:val="0"/>
                    <w:rPr>
                      <w:rFonts w:hint="default" w:ascii="Times New Roman" w:hAnsi="Times New Roman" w:cs="Times New Roman"/>
                      <w:color w:val="auto"/>
                      <w:highlight w:val="none"/>
                      <w:lang w:val="en-US" w:eastAsia="zh-CN"/>
                    </w:rPr>
                  </w:pPr>
                </w:p>
              </w:tc>
              <w:tc>
                <w:tcPr>
                  <w:tcW w:w="736" w:type="pct"/>
                  <w:gridSpan w:val="2"/>
                  <w:vMerge w:val="continue"/>
                  <w:tcBorders>
                    <w:tl2br w:val="nil"/>
                    <w:tr2bl w:val="nil"/>
                  </w:tcBorders>
                  <w:noWrap w:val="0"/>
                  <w:vAlign w:val="center"/>
                </w:tcPr>
                <w:p w14:paraId="7CFD333C">
                  <w:pPr>
                    <w:pStyle w:val="30"/>
                    <w:widowControl w:val="0"/>
                    <w:bidi w:val="0"/>
                    <w:rPr>
                      <w:rFonts w:hint="default" w:ascii="Times New Roman" w:hAnsi="Times New Roman" w:cs="Times New Roman"/>
                      <w:color w:val="auto"/>
                      <w:highlight w:val="none"/>
                      <w:lang w:val="en-US" w:eastAsia="zh-CN"/>
                    </w:rPr>
                  </w:pPr>
                </w:p>
              </w:tc>
              <w:tc>
                <w:tcPr>
                  <w:tcW w:w="524" w:type="pct"/>
                  <w:vMerge w:val="continue"/>
                  <w:tcBorders>
                    <w:tl2br w:val="nil"/>
                    <w:tr2bl w:val="nil"/>
                  </w:tcBorders>
                  <w:noWrap w:val="0"/>
                  <w:vAlign w:val="center"/>
                </w:tcPr>
                <w:p w14:paraId="31AC7F57">
                  <w:pPr>
                    <w:pStyle w:val="30"/>
                    <w:widowControl w:val="0"/>
                    <w:bidi w:val="0"/>
                    <w:rPr>
                      <w:rFonts w:hint="default" w:ascii="Times New Roman" w:hAnsi="Times New Roman" w:cs="Times New Roman"/>
                      <w:color w:val="auto"/>
                      <w:highlight w:val="none"/>
                      <w:lang w:val="en-US" w:eastAsia="zh-CN"/>
                    </w:rPr>
                  </w:pPr>
                </w:p>
              </w:tc>
              <w:tc>
                <w:tcPr>
                  <w:tcW w:w="484" w:type="pct"/>
                  <w:vMerge w:val="continue"/>
                  <w:tcBorders>
                    <w:tl2br w:val="nil"/>
                    <w:tr2bl w:val="nil"/>
                  </w:tcBorders>
                  <w:noWrap w:val="0"/>
                  <w:vAlign w:val="center"/>
                </w:tcPr>
                <w:p w14:paraId="206F4FCC">
                  <w:pPr>
                    <w:pStyle w:val="30"/>
                    <w:widowControl w:val="0"/>
                    <w:bidi w:val="0"/>
                    <w:rPr>
                      <w:rFonts w:hint="default" w:ascii="Times New Roman" w:hAnsi="Times New Roman" w:cs="Times New Roman"/>
                      <w:color w:val="auto"/>
                      <w:highlight w:val="none"/>
                      <w:lang w:val="en-US" w:eastAsia="zh-CN"/>
                    </w:rPr>
                  </w:pPr>
                </w:p>
              </w:tc>
              <w:tc>
                <w:tcPr>
                  <w:tcW w:w="857" w:type="pct"/>
                  <w:vMerge w:val="continue"/>
                  <w:tcBorders>
                    <w:tl2br w:val="nil"/>
                    <w:tr2bl w:val="nil"/>
                  </w:tcBorders>
                  <w:noWrap w:val="0"/>
                  <w:vAlign w:val="center"/>
                </w:tcPr>
                <w:p w14:paraId="4642BD8B">
                  <w:pPr>
                    <w:pStyle w:val="30"/>
                    <w:widowControl w:val="0"/>
                    <w:bidi w:val="0"/>
                    <w:rPr>
                      <w:rFonts w:hint="default" w:ascii="Times New Roman" w:hAnsi="Times New Roman" w:cs="Times New Roman"/>
                      <w:color w:val="auto"/>
                      <w:highlight w:val="none"/>
                      <w:lang w:val="en-US" w:eastAsia="zh-CN"/>
                    </w:rPr>
                  </w:pPr>
                </w:p>
              </w:tc>
              <w:tc>
                <w:tcPr>
                  <w:tcW w:w="445" w:type="pct"/>
                  <w:tcBorders>
                    <w:tl2br w:val="nil"/>
                    <w:tr2bl w:val="nil"/>
                  </w:tcBorders>
                  <w:noWrap w:val="0"/>
                  <w:vAlign w:val="center"/>
                </w:tcPr>
                <w:p w14:paraId="244D2C6F">
                  <w:pPr>
                    <w:pStyle w:val="30"/>
                    <w:widowControl w:val="0"/>
                    <w:bidi w:val="0"/>
                    <w:rPr>
                      <w:rFonts w:hint="default" w:ascii="Times New Roman" w:hAnsi="Times New Roman" w:cs="Times New Roman"/>
                      <w:b/>
                      <w:bCs w:val="0"/>
                      <w:color w:val="auto"/>
                      <w:highlight w:val="none"/>
                      <w:lang w:val="en-US" w:eastAsia="zh-CN"/>
                    </w:rPr>
                  </w:pPr>
                  <w:r>
                    <w:rPr>
                      <w:rFonts w:hint="default" w:ascii="Times New Roman" w:hAnsi="Times New Roman" w:cs="Times New Roman"/>
                      <w:b/>
                      <w:bCs w:val="0"/>
                      <w:color w:val="auto"/>
                      <w:highlight w:val="none"/>
                      <w:lang w:val="en-US" w:eastAsia="zh-CN"/>
                    </w:rPr>
                    <w:t>名称</w:t>
                  </w:r>
                </w:p>
              </w:tc>
              <w:tc>
                <w:tcPr>
                  <w:tcW w:w="695" w:type="pct"/>
                  <w:tcBorders>
                    <w:tl2br w:val="nil"/>
                    <w:tr2bl w:val="nil"/>
                  </w:tcBorders>
                  <w:noWrap w:val="0"/>
                  <w:vAlign w:val="center"/>
                </w:tcPr>
                <w:p w14:paraId="5DEBC357">
                  <w:pPr>
                    <w:pStyle w:val="30"/>
                    <w:widowControl w:val="0"/>
                    <w:bidi w:val="0"/>
                    <w:rPr>
                      <w:rFonts w:hint="default" w:ascii="Times New Roman" w:hAnsi="Times New Roman" w:cs="Times New Roman"/>
                      <w:b/>
                      <w:bCs w:val="0"/>
                      <w:color w:val="auto"/>
                      <w:highlight w:val="none"/>
                      <w:lang w:val="en-US" w:eastAsia="zh-CN"/>
                    </w:rPr>
                  </w:pPr>
                  <w:r>
                    <w:rPr>
                      <w:rFonts w:hint="default" w:ascii="Times New Roman" w:hAnsi="Times New Roman" w:cs="Times New Roman"/>
                      <w:b/>
                      <w:bCs w:val="0"/>
                      <w:color w:val="auto"/>
                      <w:highlight w:val="none"/>
                      <w:lang w:val="en-US" w:eastAsia="zh-CN"/>
                    </w:rPr>
                    <w:t>污染物种类</w:t>
                  </w:r>
                </w:p>
              </w:tc>
              <w:tc>
                <w:tcPr>
                  <w:tcW w:w="821" w:type="pct"/>
                  <w:tcBorders>
                    <w:tl2br w:val="nil"/>
                    <w:tr2bl w:val="nil"/>
                  </w:tcBorders>
                  <w:noWrap w:val="0"/>
                  <w:vAlign w:val="center"/>
                </w:tcPr>
                <w:p w14:paraId="25B40F3C">
                  <w:pPr>
                    <w:pStyle w:val="30"/>
                    <w:widowControl w:val="0"/>
                    <w:bidi w:val="0"/>
                    <w:rPr>
                      <w:rFonts w:hint="default" w:ascii="Times New Roman" w:hAnsi="Times New Roman" w:cs="Times New Roman"/>
                      <w:b/>
                      <w:bCs w:val="0"/>
                      <w:color w:val="auto"/>
                      <w:highlight w:val="none"/>
                      <w:lang w:val="en-US" w:eastAsia="zh-CN"/>
                    </w:rPr>
                  </w:pPr>
                  <w:r>
                    <w:rPr>
                      <w:rFonts w:hint="default" w:ascii="Times New Roman" w:hAnsi="Times New Roman" w:cs="Times New Roman"/>
                      <w:b/>
                      <w:bCs w:val="0"/>
                      <w:color w:val="auto"/>
                      <w:highlight w:val="none"/>
                      <w:lang w:val="en-US" w:eastAsia="zh-CN"/>
                    </w:rPr>
                    <w:t>排放标准（mg/L）</w:t>
                  </w:r>
                </w:p>
              </w:tc>
            </w:tr>
            <w:tr w14:paraId="675E3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433" w:type="pct"/>
                  <w:vMerge w:val="restart"/>
                  <w:tcBorders>
                    <w:tl2br w:val="nil"/>
                    <w:tr2bl w:val="nil"/>
                  </w:tcBorders>
                  <w:noWrap w:val="0"/>
                  <w:vAlign w:val="center"/>
                </w:tcPr>
                <w:p w14:paraId="2523CDF3">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废水总排放口DW001</w:t>
                  </w:r>
                </w:p>
              </w:tc>
              <w:tc>
                <w:tcPr>
                  <w:tcW w:w="381" w:type="pct"/>
                  <w:tcBorders>
                    <w:tl2br w:val="nil"/>
                    <w:tr2bl w:val="nil"/>
                  </w:tcBorders>
                  <w:noWrap w:val="0"/>
                  <w:vAlign w:val="center"/>
                </w:tcPr>
                <w:p w14:paraId="7530E379">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经度</w:t>
                  </w:r>
                </w:p>
              </w:tc>
              <w:tc>
                <w:tcPr>
                  <w:tcW w:w="354" w:type="pct"/>
                  <w:tcBorders>
                    <w:tl2br w:val="nil"/>
                    <w:tr2bl w:val="nil"/>
                  </w:tcBorders>
                  <w:noWrap w:val="0"/>
                  <w:vAlign w:val="center"/>
                </w:tcPr>
                <w:p w14:paraId="0624DC0A">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纬度</w:t>
                  </w:r>
                </w:p>
              </w:tc>
              <w:tc>
                <w:tcPr>
                  <w:tcW w:w="524" w:type="pct"/>
                  <w:vMerge w:val="restart"/>
                  <w:tcBorders>
                    <w:tl2br w:val="nil"/>
                    <w:tr2bl w:val="nil"/>
                  </w:tcBorders>
                  <w:noWrap w:val="0"/>
                  <w:vAlign w:val="center"/>
                </w:tcPr>
                <w:p w14:paraId="1A02652E">
                  <w:pPr>
                    <w:pStyle w:val="30"/>
                    <w:widowControl w:val="0"/>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0.8368</w:t>
                  </w:r>
                </w:p>
              </w:tc>
              <w:tc>
                <w:tcPr>
                  <w:tcW w:w="484" w:type="pct"/>
                  <w:vMerge w:val="restart"/>
                  <w:tcBorders>
                    <w:tl2br w:val="nil"/>
                    <w:tr2bl w:val="nil"/>
                  </w:tcBorders>
                  <w:noWrap w:val="0"/>
                  <w:vAlign w:val="center"/>
                </w:tcPr>
                <w:p w14:paraId="60795345">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市政污水管网</w:t>
                  </w:r>
                </w:p>
              </w:tc>
              <w:tc>
                <w:tcPr>
                  <w:tcW w:w="857" w:type="pct"/>
                  <w:vMerge w:val="restart"/>
                  <w:tcBorders>
                    <w:tl2br w:val="nil"/>
                    <w:tr2bl w:val="nil"/>
                  </w:tcBorders>
                  <w:noWrap w:val="0"/>
                  <w:vAlign w:val="center"/>
                </w:tcPr>
                <w:p w14:paraId="693B864F">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间断排放，排放期间流量不稳定且无规律，但不属于冲击性排放；间歇排放时段：工作时间</w:t>
                  </w:r>
                </w:p>
              </w:tc>
              <w:tc>
                <w:tcPr>
                  <w:tcW w:w="445" w:type="pct"/>
                  <w:vMerge w:val="restart"/>
                  <w:tcBorders>
                    <w:tl2br w:val="nil"/>
                    <w:tr2bl w:val="nil"/>
                  </w:tcBorders>
                  <w:noWrap w:val="0"/>
                  <w:vAlign w:val="center"/>
                </w:tcPr>
                <w:p w14:paraId="3CBA401F">
                  <w:pPr>
                    <w:pStyle w:val="30"/>
                    <w:widowControl w:val="0"/>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库尔勒市南市区污水处理厂（库尔勒龙润水处理有限公司）</w:t>
                  </w:r>
                </w:p>
              </w:tc>
              <w:tc>
                <w:tcPr>
                  <w:tcW w:w="695" w:type="pct"/>
                  <w:tcBorders>
                    <w:tl2br w:val="nil"/>
                    <w:tr2bl w:val="nil"/>
                  </w:tcBorders>
                  <w:noWrap w:val="0"/>
                  <w:vAlign w:val="center"/>
                </w:tcPr>
                <w:p w14:paraId="2B2002FA">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pH</w:t>
                  </w:r>
                </w:p>
              </w:tc>
              <w:tc>
                <w:tcPr>
                  <w:tcW w:w="821" w:type="pct"/>
                  <w:tcBorders>
                    <w:tl2br w:val="nil"/>
                    <w:tr2bl w:val="nil"/>
                  </w:tcBorders>
                  <w:noWrap w:val="0"/>
                  <w:vAlign w:val="center"/>
                </w:tcPr>
                <w:p w14:paraId="3003EBE9">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6-9</w:t>
                  </w:r>
                </w:p>
              </w:tc>
            </w:tr>
            <w:tr w14:paraId="21172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33" w:type="pct"/>
                  <w:vMerge w:val="continue"/>
                  <w:tcBorders>
                    <w:tl2br w:val="nil"/>
                    <w:tr2bl w:val="nil"/>
                  </w:tcBorders>
                  <w:noWrap w:val="0"/>
                  <w:vAlign w:val="center"/>
                </w:tcPr>
                <w:p w14:paraId="0DD690F1">
                  <w:pPr>
                    <w:pStyle w:val="30"/>
                    <w:widowControl w:val="0"/>
                    <w:bidi w:val="0"/>
                    <w:rPr>
                      <w:rFonts w:hint="default" w:ascii="Times New Roman" w:hAnsi="Times New Roman" w:cs="Times New Roman"/>
                      <w:color w:val="auto"/>
                      <w:highlight w:val="none"/>
                      <w:lang w:val="en-US" w:eastAsia="zh-CN"/>
                    </w:rPr>
                  </w:pPr>
                </w:p>
              </w:tc>
              <w:tc>
                <w:tcPr>
                  <w:tcW w:w="381" w:type="pct"/>
                  <w:vMerge w:val="restart"/>
                  <w:tcBorders>
                    <w:tl2br w:val="nil"/>
                    <w:tr2bl w:val="nil"/>
                  </w:tcBorders>
                  <w:noWrap w:val="0"/>
                  <w:vAlign w:val="center"/>
                </w:tcPr>
                <w:p w14:paraId="280F383B">
                  <w:pPr>
                    <w:pStyle w:val="30"/>
                    <w:widowControl w:val="0"/>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w:t>
                  </w:r>
                </w:p>
              </w:tc>
              <w:tc>
                <w:tcPr>
                  <w:tcW w:w="354" w:type="pct"/>
                  <w:vMerge w:val="restart"/>
                  <w:tcBorders>
                    <w:tl2br w:val="nil"/>
                    <w:tr2bl w:val="nil"/>
                  </w:tcBorders>
                  <w:noWrap w:val="0"/>
                  <w:vAlign w:val="center"/>
                </w:tcPr>
                <w:p w14:paraId="27F67373">
                  <w:pPr>
                    <w:pStyle w:val="30"/>
                    <w:widowControl w:val="0"/>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w:t>
                  </w:r>
                </w:p>
              </w:tc>
              <w:tc>
                <w:tcPr>
                  <w:tcW w:w="524" w:type="pct"/>
                  <w:vMerge w:val="continue"/>
                  <w:tcBorders>
                    <w:tl2br w:val="nil"/>
                    <w:tr2bl w:val="nil"/>
                  </w:tcBorders>
                  <w:noWrap w:val="0"/>
                  <w:vAlign w:val="center"/>
                </w:tcPr>
                <w:p w14:paraId="6614C123">
                  <w:pPr>
                    <w:pStyle w:val="30"/>
                    <w:widowControl w:val="0"/>
                    <w:bidi w:val="0"/>
                    <w:rPr>
                      <w:rFonts w:hint="default" w:ascii="Times New Roman" w:hAnsi="Times New Roman" w:cs="Times New Roman"/>
                      <w:color w:val="auto"/>
                      <w:highlight w:val="none"/>
                      <w:lang w:val="en-US" w:eastAsia="zh-CN"/>
                    </w:rPr>
                  </w:pPr>
                </w:p>
              </w:tc>
              <w:tc>
                <w:tcPr>
                  <w:tcW w:w="484" w:type="pct"/>
                  <w:vMerge w:val="continue"/>
                  <w:tcBorders>
                    <w:tl2br w:val="nil"/>
                    <w:tr2bl w:val="nil"/>
                  </w:tcBorders>
                  <w:noWrap w:val="0"/>
                  <w:vAlign w:val="center"/>
                </w:tcPr>
                <w:p w14:paraId="2ECF16BC">
                  <w:pPr>
                    <w:pStyle w:val="30"/>
                    <w:widowControl w:val="0"/>
                    <w:bidi w:val="0"/>
                    <w:rPr>
                      <w:rFonts w:hint="default" w:ascii="Times New Roman" w:hAnsi="Times New Roman" w:cs="Times New Roman"/>
                      <w:color w:val="auto"/>
                      <w:highlight w:val="none"/>
                      <w:lang w:val="en-US" w:eastAsia="zh-CN"/>
                    </w:rPr>
                  </w:pPr>
                </w:p>
              </w:tc>
              <w:tc>
                <w:tcPr>
                  <w:tcW w:w="857" w:type="pct"/>
                  <w:vMerge w:val="continue"/>
                  <w:tcBorders>
                    <w:tl2br w:val="nil"/>
                    <w:tr2bl w:val="nil"/>
                  </w:tcBorders>
                  <w:noWrap w:val="0"/>
                  <w:vAlign w:val="center"/>
                </w:tcPr>
                <w:p w14:paraId="4675A05D">
                  <w:pPr>
                    <w:pStyle w:val="30"/>
                    <w:widowControl w:val="0"/>
                    <w:bidi w:val="0"/>
                    <w:rPr>
                      <w:rFonts w:hint="default" w:ascii="Times New Roman" w:hAnsi="Times New Roman" w:cs="Times New Roman"/>
                      <w:color w:val="auto"/>
                      <w:highlight w:val="none"/>
                      <w:lang w:val="en-US" w:eastAsia="zh-CN"/>
                    </w:rPr>
                  </w:pPr>
                </w:p>
              </w:tc>
              <w:tc>
                <w:tcPr>
                  <w:tcW w:w="445" w:type="pct"/>
                  <w:vMerge w:val="continue"/>
                  <w:tcBorders>
                    <w:tl2br w:val="nil"/>
                    <w:tr2bl w:val="nil"/>
                  </w:tcBorders>
                  <w:noWrap w:val="0"/>
                  <w:vAlign w:val="center"/>
                </w:tcPr>
                <w:p w14:paraId="695B1893">
                  <w:pPr>
                    <w:pStyle w:val="30"/>
                    <w:widowControl w:val="0"/>
                    <w:bidi w:val="0"/>
                    <w:rPr>
                      <w:rFonts w:hint="default" w:ascii="Times New Roman" w:hAnsi="Times New Roman" w:cs="Times New Roman"/>
                      <w:color w:val="auto"/>
                      <w:highlight w:val="none"/>
                      <w:lang w:val="en-US" w:eastAsia="zh-CN"/>
                    </w:rPr>
                  </w:pPr>
                </w:p>
              </w:tc>
              <w:tc>
                <w:tcPr>
                  <w:tcW w:w="695" w:type="pct"/>
                  <w:tcBorders>
                    <w:tl2br w:val="nil"/>
                    <w:tr2bl w:val="nil"/>
                  </w:tcBorders>
                  <w:noWrap w:val="0"/>
                  <w:vAlign w:val="center"/>
                </w:tcPr>
                <w:p w14:paraId="2AD852F9">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BOD</w:t>
                  </w:r>
                  <w:r>
                    <w:rPr>
                      <w:rFonts w:hint="default" w:ascii="Times New Roman" w:hAnsi="Times New Roman" w:cs="Times New Roman"/>
                      <w:color w:val="auto"/>
                      <w:highlight w:val="none"/>
                      <w:vertAlign w:val="subscript"/>
                      <w:lang w:val="en-US" w:eastAsia="zh-CN"/>
                    </w:rPr>
                    <w:t>5</w:t>
                  </w:r>
                </w:p>
              </w:tc>
              <w:tc>
                <w:tcPr>
                  <w:tcW w:w="821" w:type="pct"/>
                  <w:tcBorders>
                    <w:tl2br w:val="nil"/>
                    <w:tr2bl w:val="nil"/>
                  </w:tcBorders>
                  <w:noWrap w:val="0"/>
                  <w:vAlign w:val="center"/>
                </w:tcPr>
                <w:p w14:paraId="52B386CA">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r>
            <w:tr w14:paraId="48B15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33" w:type="pct"/>
                  <w:vMerge w:val="continue"/>
                  <w:tcBorders>
                    <w:tl2br w:val="nil"/>
                    <w:tr2bl w:val="nil"/>
                  </w:tcBorders>
                  <w:noWrap w:val="0"/>
                  <w:vAlign w:val="center"/>
                </w:tcPr>
                <w:p w14:paraId="2D6AD8A7">
                  <w:pPr>
                    <w:pStyle w:val="30"/>
                    <w:widowControl w:val="0"/>
                    <w:bidi w:val="0"/>
                    <w:rPr>
                      <w:rFonts w:hint="default" w:ascii="Times New Roman" w:hAnsi="Times New Roman" w:cs="Times New Roman"/>
                      <w:color w:val="auto"/>
                      <w:highlight w:val="none"/>
                      <w:lang w:val="en-US" w:eastAsia="zh-CN"/>
                    </w:rPr>
                  </w:pPr>
                </w:p>
              </w:tc>
              <w:tc>
                <w:tcPr>
                  <w:tcW w:w="381" w:type="pct"/>
                  <w:vMerge w:val="continue"/>
                  <w:tcBorders>
                    <w:tl2br w:val="nil"/>
                    <w:tr2bl w:val="nil"/>
                  </w:tcBorders>
                  <w:noWrap w:val="0"/>
                  <w:vAlign w:val="center"/>
                </w:tcPr>
                <w:p w14:paraId="0F6BC4EE">
                  <w:pPr>
                    <w:pStyle w:val="30"/>
                    <w:widowControl w:val="0"/>
                    <w:bidi w:val="0"/>
                    <w:rPr>
                      <w:rFonts w:hint="default" w:ascii="Times New Roman" w:hAnsi="Times New Roman" w:cs="Times New Roman"/>
                      <w:color w:val="auto"/>
                      <w:highlight w:val="none"/>
                      <w:lang w:val="en-US" w:eastAsia="zh-CN"/>
                    </w:rPr>
                  </w:pPr>
                </w:p>
              </w:tc>
              <w:tc>
                <w:tcPr>
                  <w:tcW w:w="354" w:type="pct"/>
                  <w:vMerge w:val="continue"/>
                  <w:tcBorders>
                    <w:tl2br w:val="nil"/>
                    <w:tr2bl w:val="nil"/>
                  </w:tcBorders>
                  <w:noWrap w:val="0"/>
                  <w:vAlign w:val="center"/>
                </w:tcPr>
                <w:p w14:paraId="070D061C">
                  <w:pPr>
                    <w:pStyle w:val="30"/>
                    <w:widowControl w:val="0"/>
                    <w:bidi w:val="0"/>
                    <w:rPr>
                      <w:rFonts w:hint="default" w:ascii="Times New Roman" w:hAnsi="Times New Roman" w:cs="Times New Roman"/>
                      <w:color w:val="auto"/>
                      <w:highlight w:val="none"/>
                      <w:lang w:val="en-US" w:eastAsia="zh-CN"/>
                    </w:rPr>
                  </w:pPr>
                </w:p>
              </w:tc>
              <w:tc>
                <w:tcPr>
                  <w:tcW w:w="524" w:type="pct"/>
                  <w:vMerge w:val="continue"/>
                  <w:tcBorders>
                    <w:tl2br w:val="nil"/>
                    <w:tr2bl w:val="nil"/>
                  </w:tcBorders>
                  <w:noWrap w:val="0"/>
                  <w:vAlign w:val="center"/>
                </w:tcPr>
                <w:p w14:paraId="433595B4">
                  <w:pPr>
                    <w:pStyle w:val="30"/>
                    <w:widowControl w:val="0"/>
                    <w:bidi w:val="0"/>
                    <w:rPr>
                      <w:rFonts w:hint="default" w:ascii="Times New Roman" w:hAnsi="Times New Roman" w:cs="Times New Roman"/>
                      <w:color w:val="auto"/>
                      <w:highlight w:val="none"/>
                      <w:lang w:val="en-US" w:eastAsia="zh-CN"/>
                    </w:rPr>
                  </w:pPr>
                </w:p>
              </w:tc>
              <w:tc>
                <w:tcPr>
                  <w:tcW w:w="484" w:type="pct"/>
                  <w:vMerge w:val="continue"/>
                  <w:tcBorders>
                    <w:tl2br w:val="nil"/>
                    <w:tr2bl w:val="nil"/>
                  </w:tcBorders>
                  <w:noWrap w:val="0"/>
                  <w:vAlign w:val="center"/>
                </w:tcPr>
                <w:p w14:paraId="6370431B">
                  <w:pPr>
                    <w:pStyle w:val="30"/>
                    <w:widowControl w:val="0"/>
                    <w:bidi w:val="0"/>
                    <w:rPr>
                      <w:rFonts w:hint="default" w:ascii="Times New Roman" w:hAnsi="Times New Roman" w:cs="Times New Roman"/>
                      <w:color w:val="auto"/>
                      <w:highlight w:val="none"/>
                      <w:lang w:val="en-US" w:eastAsia="zh-CN"/>
                    </w:rPr>
                  </w:pPr>
                </w:p>
              </w:tc>
              <w:tc>
                <w:tcPr>
                  <w:tcW w:w="857" w:type="pct"/>
                  <w:vMerge w:val="continue"/>
                  <w:tcBorders>
                    <w:tl2br w:val="nil"/>
                    <w:tr2bl w:val="nil"/>
                  </w:tcBorders>
                  <w:noWrap w:val="0"/>
                  <w:vAlign w:val="center"/>
                </w:tcPr>
                <w:p w14:paraId="26267204">
                  <w:pPr>
                    <w:pStyle w:val="30"/>
                    <w:widowControl w:val="0"/>
                    <w:bidi w:val="0"/>
                    <w:rPr>
                      <w:rFonts w:hint="default" w:ascii="Times New Roman" w:hAnsi="Times New Roman" w:cs="Times New Roman"/>
                      <w:color w:val="auto"/>
                      <w:highlight w:val="none"/>
                      <w:lang w:val="en-US" w:eastAsia="zh-CN"/>
                    </w:rPr>
                  </w:pPr>
                </w:p>
              </w:tc>
              <w:tc>
                <w:tcPr>
                  <w:tcW w:w="445" w:type="pct"/>
                  <w:vMerge w:val="continue"/>
                  <w:tcBorders>
                    <w:tl2br w:val="nil"/>
                    <w:tr2bl w:val="nil"/>
                  </w:tcBorders>
                  <w:noWrap w:val="0"/>
                  <w:vAlign w:val="center"/>
                </w:tcPr>
                <w:p w14:paraId="798F32D0">
                  <w:pPr>
                    <w:pStyle w:val="30"/>
                    <w:widowControl w:val="0"/>
                    <w:bidi w:val="0"/>
                    <w:rPr>
                      <w:rFonts w:hint="default" w:ascii="Times New Roman" w:hAnsi="Times New Roman" w:cs="Times New Roman"/>
                      <w:color w:val="auto"/>
                      <w:highlight w:val="none"/>
                      <w:lang w:val="en-US" w:eastAsia="zh-CN"/>
                    </w:rPr>
                  </w:pPr>
                </w:p>
              </w:tc>
              <w:tc>
                <w:tcPr>
                  <w:tcW w:w="695" w:type="pct"/>
                  <w:tcBorders>
                    <w:tl2br w:val="nil"/>
                    <w:tr2bl w:val="nil"/>
                  </w:tcBorders>
                  <w:noWrap w:val="0"/>
                  <w:vAlign w:val="center"/>
                </w:tcPr>
                <w:p w14:paraId="3CD022E6">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COD</w:t>
                  </w:r>
                </w:p>
              </w:tc>
              <w:tc>
                <w:tcPr>
                  <w:tcW w:w="821" w:type="pct"/>
                  <w:tcBorders>
                    <w:tl2br w:val="nil"/>
                    <w:tr2bl w:val="nil"/>
                  </w:tcBorders>
                  <w:noWrap w:val="0"/>
                  <w:vAlign w:val="center"/>
                </w:tcPr>
                <w:p w14:paraId="67A511F1">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50</w:t>
                  </w:r>
                </w:p>
              </w:tc>
            </w:tr>
            <w:tr w14:paraId="32739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33" w:type="pct"/>
                  <w:vMerge w:val="continue"/>
                  <w:tcBorders>
                    <w:tl2br w:val="nil"/>
                    <w:tr2bl w:val="nil"/>
                  </w:tcBorders>
                  <w:noWrap w:val="0"/>
                  <w:vAlign w:val="center"/>
                </w:tcPr>
                <w:p w14:paraId="3D328FC2">
                  <w:pPr>
                    <w:pStyle w:val="30"/>
                    <w:widowControl w:val="0"/>
                    <w:bidi w:val="0"/>
                    <w:rPr>
                      <w:rFonts w:hint="default" w:ascii="Times New Roman" w:hAnsi="Times New Roman" w:cs="Times New Roman"/>
                      <w:color w:val="auto"/>
                      <w:highlight w:val="none"/>
                      <w:lang w:val="en-US" w:eastAsia="zh-CN"/>
                    </w:rPr>
                  </w:pPr>
                </w:p>
              </w:tc>
              <w:tc>
                <w:tcPr>
                  <w:tcW w:w="381" w:type="pct"/>
                  <w:vMerge w:val="continue"/>
                  <w:tcBorders>
                    <w:tl2br w:val="nil"/>
                    <w:tr2bl w:val="nil"/>
                  </w:tcBorders>
                  <w:noWrap w:val="0"/>
                  <w:vAlign w:val="center"/>
                </w:tcPr>
                <w:p w14:paraId="25BDD650">
                  <w:pPr>
                    <w:pStyle w:val="30"/>
                    <w:widowControl w:val="0"/>
                    <w:bidi w:val="0"/>
                    <w:rPr>
                      <w:rFonts w:hint="default" w:ascii="Times New Roman" w:hAnsi="Times New Roman" w:cs="Times New Roman"/>
                      <w:color w:val="auto"/>
                      <w:highlight w:val="none"/>
                      <w:lang w:val="en-US" w:eastAsia="zh-CN"/>
                    </w:rPr>
                  </w:pPr>
                </w:p>
              </w:tc>
              <w:tc>
                <w:tcPr>
                  <w:tcW w:w="354" w:type="pct"/>
                  <w:vMerge w:val="continue"/>
                  <w:tcBorders>
                    <w:tl2br w:val="nil"/>
                    <w:tr2bl w:val="nil"/>
                  </w:tcBorders>
                  <w:noWrap w:val="0"/>
                  <w:vAlign w:val="center"/>
                </w:tcPr>
                <w:p w14:paraId="26979C3C">
                  <w:pPr>
                    <w:pStyle w:val="30"/>
                    <w:widowControl w:val="0"/>
                    <w:bidi w:val="0"/>
                    <w:rPr>
                      <w:rFonts w:hint="default" w:ascii="Times New Roman" w:hAnsi="Times New Roman" w:cs="Times New Roman"/>
                      <w:color w:val="auto"/>
                      <w:highlight w:val="none"/>
                      <w:lang w:val="en-US" w:eastAsia="zh-CN"/>
                    </w:rPr>
                  </w:pPr>
                </w:p>
              </w:tc>
              <w:tc>
                <w:tcPr>
                  <w:tcW w:w="524" w:type="pct"/>
                  <w:vMerge w:val="continue"/>
                  <w:tcBorders>
                    <w:tl2br w:val="nil"/>
                    <w:tr2bl w:val="nil"/>
                  </w:tcBorders>
                  <w:noWrap w:val="0"/>
                  <w:vAlign w:val="center"/>
                </w:tcPr>
                <w:p w14:paraId="6B818C44">
                  <w:pPr>
                    <w:pStyle w:val="30"/>
                    <w:widowControl w:val="0"/>
                    <w:bidi w:val="0"/>
                    <w:rPr>
                      <w:rFonts w:hint="default" w:ascii="Times New Roman" w:hAnsi="Times New Roman" w:cs="Times New Roman"/>
                      <w:color w:val="auto"/>
                      <w:highlight w:val="none"/>
                      <w:lang w:val="en-US" w:eastAsia="zh-CN"/>
                    </w:rPr>
                  </w:pPr>
                </w:p>
              </w:tc>
              <w:tc>
                <w:tcPr>
                  <w:tcW w:w="484" w:type="pct"/>
                  <w:vMerge w:val="continue"/>
                  <w:tcBorders>
                    <w:tl2br w:val="nil"/>
                    <w:tr2bl w:val="nil"/>
                  </w:tcBorders>
                  <w:noWrap w:val="0"/>
                  <w:vAlign w:val="center"/>
                </w:tcPr>
                <w:p w14:paraId="3810CD32">
                  <w:pPr>
                    <w:pStyle w:val="30"/>
                    <w:widowControl w:val="0"/>
                    <w:bidi w:val="0"/>
                    <w:rPr>
                      <w:rFonts w:hint="default" w:ascii="Times New Roman" w:hAnsi="Times New Roman" w:cs="Times New Roman"/>
                      <w:color w:val="auto"/>
                      <w:highlight w:val="none"/>
                      <w:lang w:val="en-US" w:eastAsia="zh-CN"/>
                    </w:rPr>
                  </w:pPr>
                </w:p>
              </w:tc>
              <w:tc>
                <w:tcPr>
                  <w:tcW w:w="857" w:type="pct"/>
                  <w:vMerge w:val="continue"/>
                  <w:tcBorders>
                    <w:tl2br w:val="nil"/>
                    <w:tr2bl w:val="nil"/>
                  </w:tcBorders>
                  <w:noWrap w:val="0"/>
                  <w:vAlign w:val="center"/>
                </w:tcPr>
                <w:p w14:paraId="035D44B2">
                  <w:pPr>
                    <w:pStyle w:val="30"/>
                    <w:widowControl w:val="0"/>
                    <w:bidi w:val="0"/>
                    <w:rPr>
                      <w:rFonts w:hint="default" w:ascii="Times New Roman" w:hAnsi="Times New Roman" w:cs="Times New Roman"/>
                      <w:color w:val="auto"/>
                      <w:highlight w:val="none"/>
                      <w:lang w:val="en-US" w:eastAsia="zh-CN"/>
                    </w:rPr>
                  </w:pPr>
                </w:p>
              </w:tc>
              <w:tc>
                <w:tcPr>
                  <w:tcW w:w="445" w:type="pct"/>
                  <w:vMerge w:val="continue"/>
                  <w:tcBorders>
                    <w:tl2br w:val="nil"/>
                    <w:tr2bl w:val="nil"/>
                  </w:tcBorders>
                  <w:noWrap w:val="0"/>
                  <w:vAlign w:val="center"/>
                </w:tcPr>
                <w:p w14:paraId="45EFCE0C">
                  <w:pPr>
                    <w:pStyle w:val="30"/>
                    <w:widowControl w:val="0"/>
                    <w:bidi w:val="0"/>
                    <w:rPr>
                      <w:rFonts w:hint="default" w:ascii="Times New Roman" w:hAnsi="Times New Roman" w:cs="Times New Roman"/>
                      <w:color w:val="auto"/>
                      <w:highlight w:val="none"/>
                      <w:lang w:val="en-US" w:eastAsia="zh-CN"/>
                    </w:rPr>
                  </w:pPr>
                </w:p>
              </w:tc>
              <w:tc>
                <w:tcPr>
                  <w:tcW w:w="695" w:type="pct"/>
                  <w:tcBorders>
                    <w:tl2br w:val="nil"/>
                    <w:tr2bl w:val="nil"/>
                  </w:tcBorders>
                  <w:noWrap w:val="0"/>
                  <w:vAlign w:val="center"/>
                </w:tcPr>
                <w:p w14:paraId="08A28922">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氨氮</w:t>
                  </w:r>
                </w:p>
              </w:tc>
              <w:tc>
                <w:tcPr>
                  <w:tcW w:w="821" w:type="pct"/>
                  <w:tcBorders>
                    <w:tl2br w:val="nil"/>
                    <w:tr2bl w:val="nil"/>
                  </w:tcBorders>
                  <w:noWrap w:val="0"/>
                  <w:vAlign w:val="center"/>
                </w:tcPr>
                <w:p w14:paraId="42935661">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w:t>
                  </w:r>
                </w:p>
              </w:tc>
            </w:tr>
            <w:tr w14:paraId="7889D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33" w:type="pct"/>
                  <w:vMerge w:val="continue"/>
                  <w:tcBorders>
                    <w:tl2br w:val="nil"/>
                    <w:tr2bl w:val="nil"/>
                  </w:tcBorders>
                  <w:noWrap w:val="0"/>
                  <w:vAlign w:val="center"/>
                </w:tcPr>
                <w:p w14:paraId="0CF121EF">
                  <w:pPr>
                    <w:pStyle w:val="30"/>
                    <w:widowControl w:val="0"/>
                    <w:bidi w:val="0"/>
                    <w:rPr>
                      <w:rFonts w:hint="default" w:ascii="Times New Roman" w:hAnsi="Times New Roman" w:cs="Times New Roman"/>
                      <w:color w:val="auto"/>
                      <w:highlight w:val="none"/>
                      <w:lang w:val="en-US" w:eastAsia="zh-CN"/>
                    </w:rPr>
                  </w:pPr>
                </w:p>
              </w:tc>
              <w:tc>
                <w:tcPr>
                  <w:tcW w:w="381" w:type="pct"/>
                  <w:vMerge w:val="continue"/>
                  <w:tcBorders>
                    <w:tl2br w:val="nil"/>
                    <w:tr2bl w:val="nil"/>
                  </w:tcBorders>
                  <w:noWrap w:val="0"/>
                  <w:vAlign w:val="center"/>
                </w:tcPr>
                <w:p w14:paraId="05139183">
                  <w:pPr>
                    <w:pStyle w:val="30"/>
                    <w:widowControl w:val="0"/>
                    <w:bidi w:val="0"/>
                    <w:rPr>
                      <w:rFonts w:hint="default" w:ascii="Times New Roman" w:hAnsi="Times New Roman" w:cs="Times New Roman"/>
                      <w:color w:val="auto"/>
                      <w:highlight w:val="none"/>
                      <w:lang w:val="en-US" w:eastAsia="zh-CN"/>
                    </w:rPr>
                  </w:pPr>
                </w:p>
              </w:tc>
              <w:tc>
                <w:tcPr>
                  <w:tcW w:w="354" w:type="pct"/>
                  <w:vMerge w:val="continue"/>
                  <w:tcBorders>
                    <w:tl2br w:val="nil"/>
                    <w:tr2bl w:val="nil"/>
                  </w:tcBorders>
                  <w:noWrap w:val="0"/>
                  <w:vAlign w:val="center"/>
                </w:tcPr>
                <w:p w14:paraId="767F35AF">
                  <w:pPr>
                    <w:pStyle w:val="30"/>
                    <w:widowControl w:val="0"/>
                    <w:bidi w:val="0"/>
                    <w:rPr>
                      <w:rFonts w:hint="default" w:ascii="Times New Roman" w:hAnsi="Times New Roman" w:cs="Times New Roman"/>
                      <w:color w:val="auto"/>
                      <w:highlight w:val="none"/>
                      <w:lang w:val="en-US" w:eastAsia="zh-CN"/>
                    </w:rPr>
                  </w:pPr>
                </w:p>
              </w:tc>
              <w:tc>
                <w:tcPr>
                  <w:tcW w:w="524" w:type="pct"/>
                  <w:vMerge w:val="continue"/>
                  <w:tcBorders>
                    <w:tl2br w:val="nil"/>
                    <w:tr2bl w:val="nil"/>
                  </w:tcBorders>
                  <w:noWrap w:val="0"/>
                  <w:vAlign w:val="center"/>
                </w:tcPr>
                <w:p w14:paraId="70BCACC8">
                  <w:pPr>
                    <w:pStyle w:val="30"/>
                    <w:widowControl w:val="0"/>
                    <w:bidi w:val="0"/>
                    <w:rPr>
                      <w:rFonts w:hint="default" w:ascii="Times New Roman" w:hAnsi="Times New Roman" w:cs="Times New Roman"/>
                      <w:color w:val="auto"/>
                      <w:highlight w:val="none"/>
                      <w:lang w:val="en-US" w:eastAsia="zh-CN"/>
                    </w:rPr>
                  </w:pPr>
                </w:p>
              </w:tc>
              <w:tc>
                <w:tcPr>
                  <w:tcW w:w="484" w:type="pct"/>
                  <w:vMerge w:val="continue"/>
                  <w:tcBorders>
                    <w:tl2br w:val="nil"/>
                    <w:tr2bl w:val="nil"/>
                  </w:tcBorders>
                  <w:noWrap w:val="0"/>
                  <w:vAlign w:val="center"/>
                </w:tcPr>
                <w:p w14:paraId="1F4163C8">
                  <w:pPr>
                    <w:pStyle w:val="30"/>
                    <w:widowControl w:val="0"/>
                    <w:bidi w:val="0"/>
                    <w:rPr>
                      <w:rFonts w:hint="default" w:ascii="Times New Roman" w:hAnsi="Times New Roman" w:cs="Times New Roman"/>
                      <w:color w:val="auto"/>
                      <w:highlight w:val="none"/>
                      <w:lang w:val="en-US" w:eastAsia="zh-CN"/>
                    </w:rPr>
                  </w:pPr>
                </w:p>
              </w:tc>
              <w:tc>
                <w:tcPr>
                  <w:tcW w:w="857" w:type="pct"/>
                  <w:vMerge w:val="continue"/>
                  <w:tcBorders>
                    <w:tl2br w:val="nil"/>
                    <w:tr2bl w:val="nil"/>
                  </w:tcBorders>
                  <w:noWrap w:val="0"/>
                  <w:vAlign w:val="center"/>
                </w:tcPr>
                <w:p w14:paraId="312DADAC">
                  <w:pPr>
                    <w:pStyle w:val="30"/>
                    <w:widowControl w:val="0"/>
                    <w:bidi w:val="0"/>
                    <w:rPr>
                      <w:rFonts w:hint="default" w:ascii="Times New Roman" w:hAnsi="Times New Roman" w:cs="Times New Roman"/>
                      <w:color w:val="auto"/>
                      <w:highlight w:val="none"/>
                      <w:lang w:val="en-US" w:eastAsia="zh-CN"/>
                    </w:rPr>
                  </w:pPr>
                </w:p>
              </w:tc>
              <w:tc>
                <w:tcPr>
                  <w:tcW w:w="445" w:type="pct"/>
                  <w:vMerge w:val="continue"/>
                  <w:tcBorders>
                    <w:tl2br w:val="nil"/>
                    <w:tr2bl w:val="nil"/>
                  </w:tcBorders>
                  <w:noWrap w:val="0"/>
                  <w:vAlign w:val="center"/>
                </w:tcPr>
                <w:p w14:paraId="0FFE28B3">
                  <w:pPr>
                    <w:pStyle w:val="30"/>
                    <w:widowControl w:val="0"/>
                    <w:bidi w:val="0"/>
                    <w:rPr>
                      <w:rFonts w:hint="default" w:ascii="Times New Roman" w:hAnsi="Times New Roman" w:cs="Times New Roman"/>
                      <w:color w:val="auto"/>
                      <w:highlight w:val="none"/>
                      <w:lang w:val="en-US" w:eastAsia="zh-CN"/>
                    </w:rPr>
                  </w:pPr>
                </w:p>
              </w:tc>
              <w:tc>
                <w:tcPr>
                  <w:tcW w:w="695" w:type="pct"/>
                  <w:tcBorders>
                    <w:tl2br w:val="nil"/>
                    <w:tr2bl w:val="nil"/>
                  </w:tcBorders>
                  <w:noWrap w:val="0"/>
                  <w:vAlign w:val="center"/>
                </w:tcPr>
                <w:p w14:paraId="25EC98E6">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SS</w:t>
                  </w:r>
                </w:p>
              </w:tc>
              <w:tc>
                <w:tcPr>
                  <w:tcW w:w="821" w:type="pct"/>
                  <w:tcBorders>
                    <w:tl2br w:val="nil"/>
                    <w:tr2bl w:val="nil"/>
                  </w:tcBorders>
                  <w:noWrap w:val="0"/>
                  <w:vAlign w:val="center"/>
                </w:tcPr>
                <w:p w14:paraId="22B72E27">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r>
            <w:tr w14:paraId="2237B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96" w:hRule="atLeast"/>
                <w:jc w:val="center"/>
              </w:trPr>
              <w:tc>
                <w:tcPr>
                  <w:tcW w:w="433" w:type="pct"/>
                  <w:vMerge w:val="continue"/>
                  <w:tcBorders>
                    <w:tl2br w:val="nil"/>
                    <w:tr2bl w:val="nil"/>
                  </w:tcBorders>
                  <w:noWrap w:val="0"/>
                  <w:vAlign w:val="center"/>
                </w:tcPr>
                <w:p w14:paraId="5A83ADC9">
                  <w:pPr>
                    <w:pStyle w:val="30"/>
                    <w:widowControl w:val="0"/>
                    <w:bidi w:val="0"/>
                    <w:rPr>
                      <w:rFonts w:hint="default" w:ascii="Times New Roman" w:hAnsi="Times New Roman" w:cs="Times New Roman"/>
                      <w:color w:val="auto"/>
                      <w:highlight w:val="none"/>
                      <w:lang w:val="en-US" w:eastAsia="zh-CN"/>
                    </w:rPr>
                  </w:pPr>
                </w:p>
              </w:tc>
              <w:tc>
                <w:tcPr>
                  <w:tcW w:w="381" w:type="pct"/>
                  <w:vMerge w:val="continue"/>
                  <w:tcBorders>
                    <w:tl2br w:val="nil"/>
                    <w:tr2bl w:val="nil"/>
                  </w:tcBorders>
                  <w:noWrap w:val="0"/>
                  <w:vAlign w:val="center"/>
                </w:tcPr>
                <w:p w14:paraId="117A687B">
                  <w:pPr>
                    <w:pStyle w:val="30"/>
                    <w:widowControl w:val="0"/>
                    <w:bidi w:val="0"/>
                    <w:rPr>
                      <w:rFonts w:hint="default" w:ascii="Times New Roman" w:hAnsi="Times New Roman" w:cs="Times New Roman"/>
                      <w:color w:val="auto"/>
                      <w:highlight w:val="none"/>
                      <w:lang w:val="en-US" w:eastAsia="zh-CN"/>
                    </w:rPr>
                  </w:pPr>
                </w:p>
              </w:tc>
              <w:tc>
                <w:tcPr>
                  <w:tcW w:w="354" w:type="pct"/>
                  <w:vMerge w:val="continue"/>
                  <w:tcBorders>
                    <w:tl2br w:val="nil"/>
                    <w:tr2bl w:val="nil"/>
                  </w:tcBorders>
                  <w:noWrap w:val="0"/>
                  <w:vAlign w:val="center"/>
                </w:tcPr>
                <w:p w14:paraId="2D7F923C">
                  <w:pPr>
                    <w:pStyle w:val="30"/>
                    <w:widowControl w:val="0"/>
                    <w:bidi w:val="0"/>
                    <w:rPr>
                      <w:rFonts w:hint="default" w:ascii="Times New Roman" w:hAnsi="Times New Roman" w:cs="Times New Roman"/>
                      <w:color w:val="auto"/>
                      <w:highlight w:val="none"/>
                      <w:lang w:val="en-US" w:eastAsia="zh-CN"/>
                    </w:rPr>
                  </w:pPr>
                </w:p>
              </w:tc>
              <w:tc>
                <w:tcPr>
                  <w:tcW w:w="524" w:type="pct"/>
                  <w:vMerge w:val="continue"/>
                  <w:tcBorders>
                    <w:tl2br w:val="nil"/>
                    <w:tr2bl w:val="nil"/>
                  </w:tcBorders>
                  <w:noWrap w:val="0"/>
                  <w:vAlign w:val="center"/>
                </w:tcPr>
                <w:p w14:paraId="3A791FBA">
                  <w:pPr>
                    <w:pStyle w:val="30"/>
                    <w:widowControl w:val="0"/>
                    <w:bidi w:val="0"/>
                    <w:rPr>
                      <w:rFonts w:hint="default" w:ascii="Times New Roman" w:hAnsi="Times New Roman" w:cs="Times New Roman"/>
                      <w:color w:val="auto"/>
                      <w:highlight w:val="none"/>
                      <w:lang w:val="en-US" w:eastAsia="zh-CN"/>
                    </w:rPr>
                  </w:pPr>
                </w:p>
              </w:tc>
              <w:tc>
                <w:tcPr>
                  <w:tcW w:w="484" w:type="pct"/>
                  <w:vMerge w:val="continue"/>
                  <w:tcBorders>
                    <w:tl2br w:val="nil"/>
                    <w:tr2bl w:val="nil"/>
                  </w:tcBorders>
                  <w:noWrap w:val="0"/>
                  <w:vAlign w:val="center"/>
                </w:tcPr>
                <w:p w14:paraId="2B3A3DE9">
                  <w:pPr>
                    <w:pStyle w:val="30"/>
                    <w:widowControl w:val="0"/>
                    <w:bidi w:val="0"/>
                    <w:rPr>
                      <w:rFonts w:hint="default" w:ascii="Times New Roman" w:hAnsi="Times New Roman" w:cs="Times New Roman"/>
                      <w:color w:val="auto"/>
                      <w:highlight w:val="none"/>
                      <w:lang w:val="en-US" w:eastAsia="zh-CN"/>
                    </w:rPr>
                  </w:pPr>
                </w:p>
              </w:tc>
              <w:tc>
                <w:tcPr>
                  <w:tcW w:w="857" w:type="pct"/>
                  <w:vMerge w:val="continue"/>
                  <w:tcBorders>
                    <w:tl2br w:val="nil"/>
                    <w:tr2bl w:val="nil"/>
                  </w:tcBorders>
                  <w:noWrap w:val="0"/>
                  <w:vAlign w:val="center"/>
                </w:tcPr>
                <w:p w14:paraId="202CA92B">
                  <w:pPr>
                    <w:pStyle w:val="30"/>
                    <w:widowControl w:val="0"/>
                    <w:bidi w:val="0"/>
                    <w:rPr>
                      <w:rFonts w:hint="default" w:ascii="Times New Roman" w:hAnsi="Times New Roman" w:cs="Times New Roman"/>
                      <w:color w:val="auto"/>
                      <w:highlight w:val="none"/>
                      <w:lang w:val="en-US" w:eastAsia="zh-CN"/>
                    </w:rPr>
                  </w:pPr>
                </w:p>
              </w:tc>
              <w:tc>
                <w:tcPr>
                  <w:tcW w:w="445" w:type="pct"/>
                  <w:vMerge w:val="continue"/>
                  <w:tcBorders>
                    <w:tl2br w:val="nil"/>
                    <w:tr2bl w:val="nil"/>
                  </w:tcBorders>
                  <w:noWrap w:val="0"/>
                  <w:vAlign w:val="center"/>
                </w:tcPr>
                <w:p w14:paraId="1F046309">
                  <w:pPr>
                    <w:pStyle w:val="30"/>
                    <w:widowControl w:val="0"/>
                    <w:bidi w:val="0"/>
                    <w:rPr>
                      <w:rFonts w:hint="default" w:ascii="Times New Roman" w:hAnsi="Times New Roman" w:cs="Times New Roman"/>
                      <w:color w:val="auto"/>
                      <w:highlight w:val="none"/>
                      <w:lang w:val="en-US" w:eastAsia="zh-CN"/>
                    </w:rPr>
                  </w:pPr>
                </w:p>
              </w:tc>
              <w:tc>
                <w:tcPr>
                  <w:tcW w:w="695" w:type="pct"/>
                  <w:tcBorders>
                    <w:tl2br w:val="nil"/>
                    <w:tr2bl w:val="nil"/>
                  </w:tcBorders>
                  <w:noWrap w:val="0"/>
                  <w:vAlign w:val="center"/>
                </w:tcPr>
                <w:p w14:paraId="1DA040FE">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粪大肠菌群数</w:t>
                  </w:r>
                </w:p>
              </w:tc>
              <w:tc>
                <w:tcPr>
                  <w:tcW w:w="821" w:type="pct"/>
                  <w:tcBorders>
                    <w:tl2br w:val="nil"/>
                    <w:tr2bl w:val="nil"/>
                  </w:tcBorders>
                  <w:noWrap w:val="0"/>
                  <w:vAlign w:val="center"/>
                </w:tcPr>
                <w:p w14:paraId="42701724">
                  <w:pPr>
                    <w:pStyle w:val="30"/>
                    <w:widowControl w:val="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lang w:val="en-US" w:eastAsia="zh-CN"/>
                    </w:rPr>
                    <w:t>（个/L）</w:t>
                  </w:r>
                </w:p>
              </w:tc>
            </w:tr>
          </w:tbl>
          <w:p w14:paraId="32B4D238">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w:t>
            </w:r>
            <w:r>
              <w:rPr>
                <w:rFonts w:hint="eastAsia" w:cs="Times New Roman"/>
                <w:color w:val="auto"/>
                <w:highlight w:val="none"/>
                <w:lang w:val="en-US" w:eastAsia="zh-CN"/>
              </w:rPr>
              <w:t>6</w:t>
            </w:r>
            <w:r>
              <w:rPr>
                <w:rFonts w:hint="default" w:ascii="Times New Roman" w:hAnsi="Times New Roman" w:cs="Times New Roman"/>
                <w:color w:val="auto"/>
                <w:highlight w:val="none"/>
                <w:lang w:val="en-US" w:eastAsia="zh-CN"/>
              </w:rPr>
              <w:t>.3监测计划</w:t>
            </w:r>
          </w:p>
          <w:p w14:paraId="50D80F41">
            <w:pPr>
              <w:pStyle w:val="31"/>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参照《排污单位自行监测技术指南总则》（HJ819-2017）要求，废水监测计划如下：</w:t>
            </w:r>
          </w:p>
          <w:p w14:paraId="5EBA3D35">
            <w:pPr>
              <w:pStyle w:val="29"/>
              <w:bidi w:val="0"/>
              <w:ind w:left="0" w:leftChars="0" w:firstLine="0" w:firstLineChars="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表4-</w:t>
            </w:r>
            <w:r>
              <w:rPr>
                <w:rFonts w:hint="eastAsia" w:cs="Times New Roman"/>
                <w:color w:val="auto"/>
                <w:highlight w:val="none"/>
                <w:lang w:val="en-US" w:eastAsia="zh-CN"/>
              </w:rPr>
              <w:t>6</w:t>
            </w:r>
            <w:r>
              <w:rPr>
                <w:rFonts w:hint="default" w:ascii="Times New Roman" w:hAnsi="Times New Roman" w:cs="Times New Roman"/>
                <w:color w:val="auto"/>
                <w:highlight w:val="none"/>
                <w:lang w:val="en-US" w:eastAsia="zh-CN"/>
              </w:rPr>
              <w:t xml:space="preserve">   废水污染源监测计划</w:t>
            </w:r>
          </w:p>
          <w:tbl>
            <w:tblPr>
              <w:tblStyle w:val="18"/>
              <w:tblW w:w="7946" w:type="dxa"/>
              <w:jc w:val="center"/>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Layout w:type="autofit"/>
              <w:tblCellMar>
                <w:top w:w="0" w:type="dxa"/>
                <w:left w:w="108" w:type="dxa"/>
                <w:bottom w:w="0" w:type="dxa"/>
                <w:right w:w="108" w:type="dxa"/>
              </w:tblCellMar>
            </w:tblPr>
            <w:tblGrid>
              <w:gridCol w:w="1470"/>
              <w:gridCol w:w="1269"/>
              <w:gridCol w:w="1477"/>
              <w:gridCol w:w="1188"/>
              <w:gridCol w:w="2542"/>
            </w:tblGrid>
            <w:tr w14:paraId="76F422A7">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470" w:type="dxa"/>
                  <w:tcBorders>
                    <w:tl2br w:val="nil"/>
                    <w:tr2bl w:val="nil"/>
                  </w:tcBorders>
                  <w:noWrap/>
                  <w:vAlign w:val="center"/>
                </w:tcPr>
                <w:p w14:paraId="40AACC0D">
                  <w:pPr>
                    <w:pStyle w:val="30"/>
                    <w:bidi w:val="0"/>
                    <w:rPr>
                      <w:rFonts w:hint="default" w:ascii="Times New Roman" w:hAnsi="Times New Roman" w:cs="Times New Roman"/>
                      <w:b/>
                      <w:bCs w:val="0"/>
                      <w:color w:val="auto"/>
                      <w:highlight w:val="none"/>
                      <w:lang w:val="en-US" w:eastAsia="zh-CN"/>
                    </w:rPr>
                  </w:pPr>
                  <w:r>
                    <w:rPr>
                      <w:rFonts w:hint="default" w:ascii="Times New Roman" w:hAnsi="Times New Roman" w:cs="Times New Roman"/>
                      <w:b/>
                      <w:bCs w:val="0"/>
                      <w:color w:val="auto"/>
                      <w:highlight w:val="none"/>
                      <w:lang w:val="en-US" w:eastAsia="zh-CN"/>
                    </w:rPr>
                    <w:t>类别</w:t>
                  </w:r>
                </w:p>
              </w:tc>
              <w:tc>
                <w:tcPr>
                  <w:tcW w:w="1269" w:type="dxa"/>
                  <w:tcBorders>
                    <w:tl2br w:val="nil"/>
                    <w:tr2bl w:val="nil"/>
                  </w:tcBorders>
                  <w:noWrap/>
                  <w:vAlign w:val="center"/>
                </w:tcPr>
                <w:p w14:paraId="26F93476">
                  <w:pPr>
                    <w:pStyle w:val="30"/>
                    <w:bidi w:val="0"/>
                    <w:rPr>
                      <w:rFonts w:hint="default" w:ascii="Times New Roman" w:hAnsi="Times New Roman" w:cs="Times New Roman"/>
                      <w:b/>
                      <w:bCs w:val="0"/>
                      <w:color w:val="auto"/>
                      <w:highlight w:val="none"/>
                      <w:lang w:val="en-US" w:eastAsia="zh-CN"/>
                    </w:rPr>
                  </w:pPr>
                  <w:r>
                    <w:rPr>
                      <w:rFonts w:hint="default" w:ascii="Times New Roman" w:hAnsi="Times New Roman" w:cs="Times New Roman"/>
                      <w:b/>
                      <w:bCs w:val="0"/>
                      <w:color w:val="auto"/>
                      <w:highlight w:val="none"/>
                      <w:lang w:val="en-US" w:eastAsia="zh-CN"/>
                    </w:rPr>
                    <w:t>监测点位</w:t>
                  </w:r>
                </w:p>
              </w:tc>
              <w:tc>
                <w:tcPr>
                  <w:tcW w:w="1477" w:type="dxa"/>
                  <w:tcBorders>
                    <w:tl2br w:val="nil"/>
                    <w:tr2bl w:val="nil"/>
                  </w:tcBorders>
                  <w:noWrap/>
                  <w:vAlign w:val="center"/>
                </w:tcPr>
                <w:p w14:paraId="3C260F9F">
                  <w:pPr>
                    <w:pStyle w:val="30"/>
                    <w:bidi w:val="0"/>
                    <w:rPr>
                      <w:rFonts w:hint="default" w:ascii="Times New Roman" w:hAnsi="Times New Roman" w:cs="Times New Roman"/>
                      <w:b/>
                      <w:bCs w:val="0"/>
                      <w:color w:val="auto"/>
                      <w:highlight w:val="none"/>
                      <w:lang w:val="en-US" w:eastAsia="zh-CN"/>
                    </w:rPr>
                  </w:pPr>
                  <w:r>
                    <w:rPr>
                      <w:rFonts w:hint="default" w:ascii="Times New Roman" w:hAnsi="Times New Roman" w:cs="Times New Roman"/>
                      <w:b/>
                      <w:bCs w:val="0"/>
                      <w:color w:val="auto"/>
                      <w:highlight w:val="none"/>
                      <w:lang w:val="en-US" w:eastAsia="zh-CN"/>
                    </w:rPr>
                    <w:t>监测项目</w:t>
                  </w:r>
                </w:p>
              </w:tc>
              <w:tc>
                <w:tcPr>
                  <w:tcW w:w="1188" w:type="dxa"/>
                  <w:tcBorders>
                    <w:tl2br w:val="nil"/>
                    <w:tr2bl w:val="nil"/>
                  </w:tcBorders>
                  <w:noWrap/>
                  <w:vAlign w:val="center"/>
                </w:tcPr>
                <w:p w14:paraId="1B351B67">
                  <w:pPr>
                    <w:pStyle w:val="30"/>
                    <w:bidi w:val="0"/>
                    <w:rPr>
                      <w:rFonts w:hint="default" w:ascii="Times New Roman" w:hAnsi="Times New Roman" w:cs="Times New Roman"/>
                      <w:b/>
                      <w:bCs w:val="0"/>
                      <w:color w:val="auto"/>
                      <w:highlight w:val="none"/>
                      <w:lang w:val="en-US" w:eastAsia="zh-CN"/>
                    </w:rPr>
                  </w:pPr>
                  <w:r>
                    <w:rPr>
                      <w:rFonts w:hint="default" w:ascii="Times New Roman" w:hAnsi="Times New Roman" w:cs="Times New Roman"/>
                      <w:b/>
                      <w:bCs w:val="0"/>
                      <w:color w:val="auto"/>
                      <w:highlight w:val="none"/>
                      <w:lang w:val="en-US" w:eastAsia="zh-CN"/>
                    </w:rPr>
                    <w:t>监测频率</w:t>
                  </w:r>
                </w:p>
              </w:tc>
              <w:tc>
                <w:tcPr>
                  <w:tcW w:w="2542" w:type="dxa"/>
                  <w:tcBorders>
                    <w:tl2br w:val="nil"/>
                    <w:tr2bl w:val="nil"/>
                  </w:tcBorders>
                  <w:noWrap/>
                  <w:vAlign w:val="center"/>
                </w:tcPr>
                <w:p w14:paraId="6E1D8547">
                  <w:pPr>
                    <w:pStyle w:val="30"/>
                    <w:bidi w:val="0"/>
                    <w:rPr>
                      <w:rFonts w:hint="default" w:ascii="Times New Roman" w:hAnsi="Times New Roman" w:cs="Times New Roman"/>
                      <w:b/>
                      <w:bCs w:val="0"/>
                      <w:color w:val="auto"/>
                      <w:highlight w:val="none"/>
                      <w:lang w:val="en-US" w:eastAsia="zh-CN"/>
                    </w:rPr>
                  </w:pPr>
                  <w:r>
                    <w:rPr>
                      <w:rFonts w:hint="default" w:ascii="Times New Roman" w:hAnsi="Times New Roman" w:cs="Times New Roman"/>
                      <w:b/>
                      <w:bCs w:val="0"/>
                      <w:color w:val="auto"/>
                      <w:highlight w:val="none"/>
                      <w:lang w:val="en-US" w:eastAsia="zh-CN"/>
                    </w:rPr>
                    <w:t>执行排放标准</w:t>
                  </w:r>
                </w:p>
              </w:tc>
            </w:tr>
            <w:tr w14:paraId="0DE52B7D">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470" w:type="dxa"/>
                  <w:tcBorders>
                    <w:tl2br w:val="nil"/>
                    <w:tr2bl w:val="nil"/>
                  </w:tcBorders>
                  <w:noWrap/>
                  <w:vAlign w:val="center"/>
                </w:tcPr>
                <w:p w14:paraId="691A56AF">
                  <w:pPr>
                    <w:pStyle w:val="3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医疗废水</w:t>
                  </w:r>
                  <w:r>
                    <w:rPr>
                      <w:rFonts w:hint="eastAsia" w:cs="Times New Roman"/>
                      <w:color w:val="auto"/>
                      <w:highlight w:val="none"/>
                      <w:lang w:val="en-US" w:eastAsia="zh-CN"/>
                    </w:rPr>
                    <w:t>、清洗消毒废水、</w:t>
                  </w:r>
                </w:p>
              </w:tc>
              <w:tc>
                <w:tcPr>
                  <w:tcW w:w="1269" w:type="dxa"/>
                  <w:tcBorders>
                    <w:tl2br w:val="nil"/>
                    <w:tr2bl w:val="nil"/>
                  </w:tcBorders>
                  <w:noWrap/>
                  <w:vAlign w:val="center"/>
                </w:tcPr>
                <w:p w14:paraId="69063A38">
                  <w:pPr>
                    <w:pStyle w:val="3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污水处理设施出口</w:t>
                  </w:r>
                </w:p>
              </w:tc>
              <w:tc>
                <w:tcPr>
                  <w:tcW w:w="1477" w:type="dxa"/>
                  <w:tcBorders>
                    <w:tl2br w:val="nil"/>
                    <w:tr2bl w:val="nil"/>
                  </w:tcBorders>
                  <w:noWrap/>
                  <w:vAlign w:val="center"/>
                </w:tcPr>
                <w:p w14:paraId="3CD94120">
                  <w:pPr>
                    <w:pStyle w:val="3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pH、COD、BOD</w:t>
                  </w:r>
                  <w:r>
                    <w:rPr>
                      <w:rFonts w:hint="default" w:ascii="Times New Roman" w:hAnsi="Times New Roman" w:cs="Times New Roman"/>
                      <w:color w:val="auto"/>
                      <w:highlight w:val="none"/>
                      <w:vertAlign w:val="subscript"/>
                      <w:lang w:val="en-US" w:eastAsia="zh-CN"/>
                    </w:rPr>
                    <w:t>5</w:t>
                  </w:r>
                  <w:r>
                    <w:rPr>
                      <w:rFonts w:hint="default" w:ascii="Times New Roman" w:hAnsi="Times New Roman" w:cs="Times New Roman"/>
                      <w:color w:val="auto"/>
                      <w:highlight w:val="none"/>
                      <w:lang w:val="en-US" w:eastAsia="zh-CN"/>
                    </w:rPr>
                    <w:t>、SS、NH</w:t>
                  </w:r>
                  <w:r>
                    <w:rPr>
                      <w:rFonts w:hint="default" w:ascii="Times New Roman" w:hAnsi="Times New Roman" w:cs="Times New Roman"/>
                      <w:color w:val="auto"/>
                      <w:highlight w:val="none"/>
                      <w:vertAlign w:val="subscript"/>
                      <w:lang w:val="en-US" w:eastAsia="zh-CN"/>
                    </w:rPr>
                    <w:t>3</w:t>
                  </w:r>
                  <w:r>
                    <w:rPr>
                      <w:rFonts w:hint="default" w:ascii="Times New Roman" w:hAnsi="Times New Roman" w:cs="Times New Roman"/>
                      <w:color w:val="auto"/>
                      <w:highlight w:val="none"/>
                      <w:lang w:val="en-US" w:eastAsia="zh-CN"/>
                    </w:rPr>
                    <w:t>-N、粪大肠菌群数、总余氯</w:t>
                  </w:r>
                </w:p>
              </w:tc>
              <w:tc>
                <w:tcPr>
                  <w:tcW w:w="1188" w:type="dxa"/>
                  <w:tcBorders>
                    <w:tl2br w:val="nil"/>
                    <w:tr2bl w:val="nil"/>
                  </w:tcBorders>
                  <w:noWrap/>
                  <w:vAlign w:val="center"/>
                </w:tcPr>
                <w:p w14:paraId="603D6DCA">
                  <w:pPr>
                    <w:pStyle w:val="30"/>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1次/年</w:t>
                  </w:r>
                </w:p>
              </w:tc>
              <w:tc>
                <w:tcPr>
                  <w:tcW w:w="2542" w:type="dxa"/>
                  <w:tcBorders>
                    <w:tl2br w:val="nil"/>
                    <w:tr2bl w:val="nil"/>
                  </w:tcBorders>
                  <w:noWrap/>
                  <w:vAlign w:val="center"/>
                </w:tcPr>
                <w:p w14:paraId="490722C9">
                  <w:pPr>
                    <w:pStyle w:val="30"/>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《医疗机构水污染物排放标准》</w:t>
                  </w:r>
                  <w:r>
                    <w:rPr>
                      <w:rFonts w:hint="default"/>
                      <w:color w:val="auto"/>
                      <w:lang w:val="en-US" w:eastAsia="zh-CN"/>
                    </w:rPr>
                    <w:t>（GB18466-2005，含2026年修改单）</w:t>
                  </w:r>
                  <w:r>
                    <w:rPr>
                      <w:rFonts w:hint="eastAsia" w:cs="Times New Roman"/>
                      <w:color w:val="auto"/>
                      <w:highlight w:val="none"/>
                      <w:lang w:val="en-US" w:eastAsia="zh-CN"/>
                    </w:rPr>
                    <w:t>表2中预处理</w:t>
                  </w:r>
                  <w:r>
                    <w:rPr>
                      <w:rFonts w:hint="default" w:ascii="Times New Roman" w:hAnsi="Times New Roman" w:cs="Times New Roman"/>
                      <w:color w:val="auto"/>
                      <w:highlight w:val="none"/>
                      <w:lang w:val="en-US" w:eastAsia="zh-CN"/>
                    </w:rPr>
                    <w:t>标准限值要求</w:t>
                  </w:r>
                </w:p>
              </w:tc>
            </w:tr>
          </w:tbl>
          <w:p w14:paraId="18AE9BE6">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w:t>
            </w:r>
            <w:r>
              <w:rPr>
                <w:rFonts w:hint="eastAsia" w:cs="Times New Roman"/>
                <w:color w:val="auto"/>
                <w:highlight w:val="none"/>
                <w:lang w:val="en-US" w:eastAsia="zh-CN"/>
              </w:rPr>
              <w:t>6</w:t>
            </w:r>
            <w:r>
              <w:rPr>
                <w:rFonts w:hint="default" w:ascii="Times New Roman" w:hAnsi="Times New Roman" w:cs="Times New Roman"/>
                <w:color w:val="auto"/>
                <w:highlight w:val="none"/>
                <w:lang w:val="en-US" w:eastAsia="zh-CN"/>
              </w:rPr>
              <w:t>.4依托可行性分析</w:t>
            </w:r>
          </w:p>
          <w:p w14:paraId="1420508A">
            <w:pPr>
              <w:pStyle w:val="31"/>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库尔勒市南市区污水处理厂（库尔勒龙润水处理有限公司）于2017年建设，其设计规模为5万立方米/日，位于库尔勒市鼎兴路与机场路交会处，占地约210亩，污水收集范围为孔雀河以南，杜鹃河以西的城市生活污水。污水处理工艺为AAO+混合反应沉淀+深床滤池+消毒，污泥采用重力浓缩+离心脱水。排放标准《城镇污水处理厂污染物排放标准》（GB18918-2002）一级A排放标准。排放去向为杜鹃河生态湿地公园三期河道（用于绿化和景观用水</w:t>
            </w:r>
            <w:r>
              <w:rPr>
                <w:rFonts w:hint="default" w:ascii="Times New Roman" w:hAnsi="Times New Roman" w:cs="Times New Roman"/>
                <w:color w:val="auto"/>
                <w:highlight w:val="none"/>
                <w:lang w:val="en-US" w:eastAsia="zh-CN"/>
              </w:rPr>
              <w:t>。</w:t>
            </w:r>
          </w:p>
          <w:p w14:paraId="415DD4A0">
            <w:pPr>
              <w:pStyle w:val="31"/>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本项目污水排放量仅为</w:t>
            </w:r>
            <w:r>
              <w:rPr>
                <w:rFonts w:hint="eastAsia" w:cs="Times New Roman"/>
                <w:color w:val="auto"/>
                <w:highlight w:val="none"/>
                <w:lang w:val="en-US" w:eastAsia="zh-CN"/>
              </w:rPr>
              <w:t>0.8368</w:t>
            </w:r>
            <w:r>
              <w:rPr>
                <w:rFonts w:hint="default" w:ascii="Times New Roman" w:hAnsi="Times New Roman" w:cs="Times New Roman"/>
                <w:color w:val="auto"/>
                <w:highlight w:val="none"/>
                <w:lang w:val="en-US" w:eastAsia="zh-CN"/>
              </w:rPr>
              <w:t>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rPr>
              <w:t>/d</w:t>
            </w:r>
            <w:r>
              <w:rPr>
                <w:rFonts w:hint="default" w:ascii="Times New Roman" w:hAnsi="Times New Roman" w:cs="Times New Roman"/>
                <w:color w:val="auto"/>
                <w:highlight w:val="none"/>
                <w:lang w:val="en-US" w:eastAsia="zh-CN"/>
              </w:rPr>
              <w:t>，</w:t>
            </w:r>
            <w:r>
              <w:rPr>
                <w:rFonts w:hint="eastAsia" w:cs="Times New Roman"/>
                <w:color w:val="auto"/>
                <w:highlight w:val="none"/>
                <w:lang w:val="en-US" w:eastAsia="zh-CN"/>
              </w:rPr>
              <w:t>库尔勒市南市区污水处理厂（库尔勒龙润水处理有限公司）</w:t>
            </w:r>
            <w:r>
              <w:rPr>
                <w:rFonts w:hint="default" w:ascii="Times New Roman" w:hAnsi="Times New Roman" w:cs="Times New Roman"/>
                <w:color w:val="auto"/>
                <w:highlight w:val="none"/>
              </w:rPr>
              <w:t>有足够的余量接纳项目营运期废水。从废水水量来说，废水接管是可行的。</w:t>
            </w:r>
          </w:p>
          <w:p w14:paraId="3E2F0A54">
            <w:pPr>
              <w:pStyle w:val="31"/>
              <w:bidi w:val="0"/>
              <w:rPr>
                <w:rFonts w:hint="default" w:ascii="Times New Roman" w:hAnsi="Times New Roman" w:cs="Times New Roman"/>
                <w:color w:val="auto"/>
                <w:highlight w:val="none"/>
              </w:rPr>
            </w:pPr>
            <w:r>
              <w:rPr>
                <w:rFonts w:hint="default" w:ascii="Times New Roman" w:hAnsi="Times New Roman" w:cs="Times New Roman"/>
                <w:bCs/>
                <w:color w:val="auto"/>
                <w:kern w:val="0"/>
                <w:highlight w:val="none"/>
                <w:lang w:bidi="ar"/>
              </w:rPr>
              <w:t>建设项目废水水质简单，</w:t>
            </w:r>
            <w:r>
              <w:rPr>
                <w:rFonts w:hint="default" w:ascii="Times New Roman" w:hAnsi="Times New Roman" w:eastAsia="宋体" w:cs="Times New Roman"/>
                <w:color w:val="auto"/>
                <w:kern w:val="0"/>
                <w:szCs w:val="24"/>
                <w:highlight w:val="none"/>
                <w:shd w:val="clear" w:color="auto" w:fill="auto"/>
                <w:lang w:val="en-US" w:eastAsia="zh-CN" w:bidi="ar"/>
              </w:rPr>
              <w:t>医疗废水</w:t>
            </w:r>
            <w:r>
              <w:rPr>
                <w:rFonts w:hint="eastAsia" w:cs="Times New Roman"/>
                <w:color w:val="auto"/>
                <w:kern w:val="0"/>
                <w:szCs w:val="24"/>
                <w:highlight w:val="none"/>
                <w:shd w:val="clear" w:color="auto" w:fill="auto"/>
                <w:lang w:val="en-US" w:eastAsia="zh-CN" w:bidi="ar"/>
              </w:rPr>
              <w:t>、清洗消毒废水</w:t>
            </w:r>
            <w:r>
              <w:rPr>
                <w:rFonts w:hint="default" w:ascii="Times New Roman" w:hAnsi="Times New Roman" w:eastAsia="宋体" w:cs="Times New Roman"/>
                <w:color w:val="auto"/>
                <w:kern w:val="0"/>
                <w:szCs w:val="24"/>
                <w:highlight w:val="none"/>
                <w:shd w:val="clear" w:color="auto" w:fill="auto"/>
                <w:lang w:val="en-US" w:eastAsia="zh-CN" w:bidi="ar"/>
              </w:rPr>
              <w:t>经</w:t>
            </w:r>
            <w:r>
              <w:rPr>
                <w:rFonts w:hint="default" w:ascii="Times New Roman" w:hAnsi="Times New Roman" w:eastAsia="宋体" w:cs="Times New Roman"/>
                <w:color w:val="auto"/>
                <w:szCs w:val="24"/>
                <w:highlight w:val="none"/>
                <w:shd w:val="clear" w:color="auto" w:fill="auto"/>
                <w:lang w:val="en-US" w:eastAsia="zh-CN"/>
              </w:rPr>
              <w:t>一</w:t>
            </w:r>
            <w:r>
              <w:rPr>
                <w:rFonts w:hint="default" w:ascii="Times New Roman" w:hAnsi="Times New Roman" w:cs="Times New Roman"/>
                <w:color w:val="auto"/>
                <w:highlight w:val="none"/>
                <w:lang w:val="en-US" w:eastAsia="zh-CN"/>
              </w:rPr>
              <w:t>体化污水处理设施</w:t>
            </w:r>
            <w:r>
              <w:rPr>
                <w:rFonts w:hint="default" w:ascii="Times New Roman" w:hAnsi="Times New Roman" w:eastAsia="宋体" w:cs="Times New Roman"/>
                <w:color w:val="auto"/>
                <w:szCs w:val="24"/>
                <w:highlight w:val="none"/>
                <w:shd w:val="clear" w:color="auto" w:fill="auto"/>
                <w:lang w:val="en-US" w:eastAsia="zh-CN"/>
              </w:rPr>
              <w:t>（处理规模为</w:t>
            </w:r>
            <w:r>
              <w:rPr>
                <w:rFonts w:hint="eastAsia" w:cs="Times New Roman"/>
                <w:color w:val="auto"/>
                <w:szCs w:val="24"/>
                <w:highlight w:val="none"/>
                <w:shd w:val="clear" w:color="auto" w:fill="auto"/>
                <w:lang w:val="en-US" w:eastAsia="zh-CN"/>
              </w:rPr>
              <w:t>0.2m</w:t>
            </w:r>
            <w:r>
              <w:rPr>
                <w:rFonts w:hint="eastAsia" w:cs="Times New Roman"/>
                <w:color w:val="auto"/>
                <w:szCs w:val="24"/>
                <w:highlight w:val="none"/>
                <w:shd w:val="clear" w:color="auto" w:fill="auto"/>
                <w:vertAlign w:val="superscript"/>
                <w:lang w:val="en-US" w:eastAsia="zh-CN"/>
              </w:rPr>
              <w:t>3</w:t>
            </w:r>
            <w:r>
              <w:rPr>
                <w:rFonts w:hint="eastAsia" w:cs="Times New Roman"/>
                <w:color w:val="auto"/>
                <w:szCs w:val="24"/>
                <w:highlight w:val="none"/>
                <w:shd w:val="clear" w:color="auto" w:fill="auto"/>
                <w:lang w:val="en-US" w:eastAsia="zh-CN"/>
              </w:rPr>
              <w:t>/d</w:t>
            </w:r>
            <w:r>
              <w:rPr>
                <w:rFonts w:hint="default" w:ascii="Times New Roman" w:hAnsi="Times New Roman" w:eastAsia="宋体" w:cs="Times New Roman"/>
                <w:color w:val="auto"/>
                <w:szCs w:val="24"/>
                <w:highlight w:val="none"/>
                <w:shd w:val="clear" w:color="auto" w:fill="auto"/>
                <w:lang w:val="en-US" w:eastAsia="zh-CN"/>
              </w:rPr>
              <w:t>）</w:t>
            </w:r>
            <w:r>
              <w:rPr>
                <w:rFonts w:hint="default" w:ascii="Times New Roman" w:hAnsi="Times New Roman" w:cs="Times New Roman"/>
                <w:color w:val="auto"/>
                <w:highlight w:val="none"/>
                <w:lang w:val="en-US" w:eastAsia="zh-CN"/>
              </w:rPr>
              <w:t>经</w:t>
            </w:r>
            <w:bookmarkStart w:id="38" w:name="OLE_LINK107"/>
            <w:r>
              <w:rPr>
                <w:rFonts w:hint="default" w:ascii="Times New Roman" w:hAnsi="Times New Roman" w:cs="Times New Roman"/>
                <w:color w:val="auto"/>
                <w:highlight w:val="none"/>
                <w:lang w:val="en-US" w:eastAsia="zh-CN"/>
              </w:rPr>
              <w:t>滤网过滤+</w:t>
            </w:r>
            <w:r>
              <w:rPr>
                <w:rFonts w:hint="default" w:ascii="Times New Roman" w:hAnsi="Times New Roman" w:cs="Times New Roman"/>
                <w:color w:val="auto"/>
                <w:highlight w:val="none"/>
                <w:lang w:eastAsia="zh-CN"/>
              </w:rPr>
              <w:t>氯片缓释消毒</w:t>
            </w:r>
            <w:bookmarkEnd w:id="38"/>
            <w:r>
              <w:rPr>
                <w:rFonts w:hint="default" w:ascii="Times New Roman" w:hAnsi="Times New Roman" w:eastAsia="宋体" w:cs="Times New Roman"/>
                <w:color w:val="auto"/>
                <w:szCs w:val="24"/>
                <w:highlight w:val="none"/>
                <w:shd w:val="clear" w:color="auto" w:fill="auto"/>
                <w:lang w:val="en-US" w:eastAsia="zh-CN"/>
              </w:rPr>
              <w:t>处理达到</w:t>
            </w:r>
            <w:r>
              <w:rPr>
                <w:rFonts w:hint="default" w:ascii="Times New Roman" w:hAnsi="Times New Roman" w:cs="Times New Roman"/>
                <w:color w:val="auto"/>
                <w:szCs w:val="24"/>
                <w:highlight w:val="none"/>
                <w:lang w:val="en-US" w:eastAsia="zh-CN"/>
              </w:rPr>
              <w:t>《医疗机构水污染物排放标准》</w:t>
            </w:r>
            <w:r>
              <w:rPr>
                <w:rFonts w:hint="eastAsia" w:cs="Times New Roman"/>
                <w:color w:val="auto"/>
                <w:lang w:eastAsia="zh-CN"/>
              </w:rPr>
              <w:t>（GB 18466-2005，含2026年修改单）</w:t>
            </w:r>
            <w:r>
              <w:rPr>
                <w:rFonts w:hint="default" w:ascii="Times New Roman" w:hAnsi="Times New Roman" w:cs="Times New Roman"/>
                <w:color w:val="auto"/>
                <w:szCs w:val="24"/>
                <w:highlight w:val="none"/>
                <w:lang w:val="en-US" w:eastAsia="zh-CN"/>
              </w:rPr>
              <w:t>中表2预处理标准限值要求后</w:t>
            </w:r>
            <w:r>
              <w:rPr>
                <w:rFonts w:hint="default" w:ascii="Times New Roman" w:hAnsi="Times New Roman" w:eastAsia="宋体" w:cs="Times New Roman"/>
                <w:color w:val="auto"/>
                <w:szCs w:val="24"/>
                <w:highlight w:val="none"/>
                <w:shd w:val="clear" w:color="auto" w:fill="auto"/>
                <w:lang w:val="en-US" w:eastAsia="zh-CN"/>
              </w:rPr>
              <w:t>与生活污水</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洗浴废水</w:t>
            </w:r>
            <w:r>
              <w:rPr>
                <w:rFonts w:hint="default" w:ascii="Times New Roman" w:hAnsi="Times New Roman" w:eastAsia="宋体" w:cs="Times New Roman"/>
                <w:color w:val="auto"/>
                <w:szCs w:val="24"/>
                <w:highlight w:val="none"/>
                <w:shd w:val="clear" w:color="auto" w:fill="auto"/>
                <w:lang w:val="en-US" w:eastAsia="zh-CN"/>
              </w:rPr>
              <w:t>一同排入市政下水管网</w:t>
            </w:r>
            <w:r>
              <w:rPr>
                <w:rFonts w:hint="default" w:ascii="Times New Roman" w:hAnsi="Times New Roman" w:eastAsia="宋体" w:cs="Times New Roman"/>
                <w:color w:val="auto"/>
                <w:kern w:val="0"/>
                <w:szCs w:val="24"/>
                <w:highlight w:val="none"/>
                <w:shd w:val="clear" w:color="auto" w:fill="auto"/>
                <w:lang w:val="en-US" w:eastAsia="zh-CN" w:bidi="ar"/>
              </w:rPr>
              <w:t>，</w:t>
            </w:r>
            <w:bookmarkStart w:id="39" w:name="OLE_LINK108"/>
            <w:r>
              <w:rPr>
                <w:rFonts w:hint="default" w:ascii="Times New Roman" w:hAnsi="Times New Roman" w:eastAsia="宋体" w:cs="Times New Roman"/>
                <w:color w:val="auto"/>
                <w:kern w:val="0"/>
                <w:szCs w:val="24"/>
                <w:highlight w:val="none"/>
                <w:shd w:val="clear" w:color="auto" w:fill="auto"/>
                <w:lang w:val="en-US" w:eastAsia="zh-CN" w:bidi="ar"/>
              </w:rPr>
              <w:t>最终排入</w:t>
            </w:r>
            <w:r>
              <w:rPr>
                <w:rFonts w:hint="eastAsia" w:cs="Times New Roman"/>
                <w:color w:val="auto"/>
                <w:kern w:val="0"/>
                <w:szCs w:val="24"/>
                <w:highlight w:val="none"/>
                <w:shd w:val="clear" w:color="auto" w:fill="auto"/>
                <w:lang w:val="en-US" w:eastAsia="zh-CN" w:bidi="ar"/>
              </w:rPr>
              <w:t>库尔勒市南市区污水处理厂（库尔勒龙润水处理有限公司）</w:t>
            </w:r>
            <w:r>
              <w:rPr>
                <w:rFonts w:hint="default" w:ascii="Times New Roman" w:hAnsi="Times New Roman" w:eastAsia="宋体" w:cs="Times New Roman"/>
                <w:color w:val="auto"/>
                <w:kern w:val="0"/>
                <w:szCs w:val="24"/>
                <w:highlight w:val="none"/>
                <w:shd w:val="clear" w:color="auto" w:fill="auto"/>
                <w:lang w:val="en-US" w:eastAsia="zh-CN" w:bidi="ar"/>
              </w:rPr>
              <w:t>处理</w:t>
            </w:r>
            <w:bookmarkEnd w:id="39"/>
            <w:r>
              <w:rPr>
                <w:rFonts w:hint="eastAsia" w:cs="Times New Roman"/>
                <w:color w:val="auto"/>
                <w:kern w:val="0"/>
                <w:szCs w:val="24"/>
                <w:highlight w:val="none"/>
                <w:shd w:val="clear" w:color="auto" w:fill="auto"/>
                <w:lang w:val="en-US" w:eastAsia="zh-CN" w:bidi="ar"/>
              </w:rPr>
              <w:t>，</w:t>
            </w:r>
            <w:r>
              <w:rPr>
                <w:rFonts w:hint="default" w:ascii="Times New Roman" w:hAnsi="Times New Roman" w:cs="Times New Roman"/>
                <w:color w:val="auto"/>
                <w:highlight w:val="none"/>
                <w:lang w:val="en-US" w:eastAsia="zh-CN"/>
              </w:rPr>
              <w:t>本项目废水排放</w:t>
            </w:r>
            <w:r>
              <w:rPr>
                <w:rFonts w:hint="default" w:ascii="Times New Roman" w:hAnsi="Times New Roman" w:cs="Times New Roman"/>
                <w:color w:val="auto"/>
                <w:highlight w:val="none"/>
              </w:rPr>
              <w:t>不会对污水处理厂的正常运行产生冲击负荷，不影响其水质稳定达标排放。因此，从水质上说，废水接管是可行的。</w:t>
            </w:r>
          </w:p>
          <w:p w14:paraId="0AD33137">
            <w:pPr>
              <w:pStyle w:val="31"/>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综上所述，本项目产生的废水排入</w:t>
            </w:r>
            <w:r>
              <w:rPr>
                <w:rFonts w:hint="eastAsia" w:cs="Times New Roman"/>
                <w:color w:val="auto"/>
                <w:highlight w:val="none"/>
                <w:lang w:val="en-US" w:eastAsia="zh-CN"/>
              </w:rPr>
              <w:t>库尔勒市南市区污水处理厂（库尔勒龙润水处理有限公司）</w:t>
            </w:r>
            <w:r>
              <w:rPr>
                <w:rFonts w:hint="default" w:ascii="Times New Roman" w:hAnsi="Times New Roman" w:cs="Times New Roman"/>
                <w:color w:val="auto"/>
                <w:highlight w:val="none"/>
              </w:rPr>
              <w:t>接管可行。由于本项目废水排放量很小，项目运营后</w:t>
            </w:r>
            <w:r>
              <w:rPr>
                <w:rFonts w:hint="default" w:ascii="Times New Roman" w:hAnsi="Times New Roman" w:cs="Times New Roman"/>
                <w:color w:val="auto"/>
                <w:highlight w:val="none"/>
                <w:lang w:val="en-US" w:eastAsia="zh-CN"/>
              </w:rPr>
              <w:t>排水</w:t>
            </w:r>
            <w:r>
              <w:rPr>
                <w:rFonts w:hint="default" w:ascii="Times New Roman" w:hAnsi="Times New Roman" w:cs="Times New Roman"/>
                <w:color w:val="auto"/>
                <w:highlight w:val="none"/>
              </w:rPr>
              <w:t>不会对</w:t>
            </w:r>
            <w:r>
              <w:rPr>
                <w:rFonts w:hint="eastAsia" w:cs="Times New Roman"/>
                <w:color w:val="auto"/>
                <w:highlight w:val="none"/>
                <w:lang w:val="en-US" w:eastAsia="zh-CN"/>
              </w:rPr>
              <w:t>库尔勒市南市区污水处理厂（库尔勒龙润水处理有限公司）</w:t>
            </w:r>
            <w:r>
              <w:rPr>
                <w:rFonts w:hint="default" w:ascii="Times New Roman" w:hAnsi="Times New Roman" w:cs="Times New Roman"/>
                <w:color w:val="auto"/>
                <w:highlight w:val="none"/>
              </w:rPr>
              <w:t>造成明显不良影响。</w:t>
            </w:r>
          </w:p>
          <w:p w14:paraId="0553FC65">
            <w:pPr>
              <w:pStyle w:val="3"/>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val="en-US" w:eastAsia="zh-CN"/>
              </w:rPr>
              <w:t>4.</w:t>
            </w:r>
            <w:r>
              <w:rPr>
                <w:rFonts w:hint="eastAsia" w:cs="Times New Roman"/>
                <w:color w:val="auto"/>
                <w:highlight w:val="none"/>
                <w:lang w:val="en-US" w:eastAsia="zh-CN"/>
              </w:rPr>
              <w:t>7</w:t>
            </w:r>
            <w:r>
              <w:rPr>
                <w:rFonts w:hint="default" w:ascii="Times New Roman" w:hAnsi="Times New Roman" w:cs="Times New Roman"/>
                <w:color w:val="auto"/>
                <w:highlight w:val="none"/>
                <w:lang w:eastAsia="zh-CN"/>
              </w:rPr>
              <w:t>、</w:t>
            </w:r>
            <w:r>
              <w:rPr>
                <w:rFonts w:hint="eastAsia" w:cs="Times New Roman"/>
                <w:color w:val="auto"/>
                <w:highlight w:val="none"/>
                <w:lang w:val="en-US" w:eastAsia="zh-CN"/>
              </w:rPr>
              <w:t>噪声</w:t>
            </w:r>
          </w:p>
          <w:p w14:paraId="783E577F">
            <w:pPr>
              <w:pStyle w:val="4"/>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val="en-US" w:eastAsia="zh-CN"/>
              </w:rPr>
              <w:t>4.</w:t>
            </w:r>
            <w:r>
              <w:rPr>
                <w:rFonts w:hint="eastAsia" w:cs="Times New Roman"/>
                <w:color w:val="auto"/>
                <w:highlight w:val="none"/>
                <w:lang w:val="en-US" w:eastAsia="zh-CN"/>
              </w:rPr>
              <w:t>7</w:t>
            </w:r>
            <w:r>
              <w:rPr>
                <w:rFonts w:hint="default" w:ascii="Times New Roman" w:hAnsi="Times New Roman" w:cs="Times New Roman"/>
                <w:color w:val="auto"/>
                <w:highlight w:val="none"/>
                <w:lang w:val="en-US" w:eastAsia="zh-CN"/>
              </w:rPr>
              <w:t>.1</w:t>
            </w:r>
            <w:r>
              <w:rPr>
                <w:rFonts w:hint="default" w:ascii="Times New Roman" w:hAnsi="Times New Roman" w:cs="Times New Roman"/>
                <w:color w:val="auto"/>
                <w:highlight w:val="none"/>
                <w:lang w:eastAsia="zh-CN"/>
              </w:rPr>
              <w:t>噪声源强</w:t>
            </w:r>
          </w:p>
          <w:p w14:paraId="64554A5E">
            <w:pPr>
              <w:pStyle w:val="31"/>
              <w:bidi w:val="0"/>
              <w:rPr>
                <w:rFonts w:hint="default" w:ascii="Times New Roman" w:hAnsi="Times New Roman" w:cs="Times New Roman"/>
                <w:color w:val="auto"/>
                <w:lang w:val="en-US" w:eastAsia="zh-CN"/>
              </w:rPr>
            </w:pPr>
            <w:r>
              <w:rPr>
                <w:rFonts w:hint="eastAsia" w:cs="Times New Roman"/>
                <w:color w:val="auto"/>
                <w:lang w:val="en-US" w:eastAsia="zh-CN"/>
              </w:rPr>
              <w:t>本项目</w:t>
            </w:r>
            <w:r>
              <w:rPr>
                <w:rFonts w:hint="default" w:ascii="Times New Roman" w:hAnsi="Times New Roman" w:cs="Times New Roman"/>
                <w:color w:val="auto"/>
              </w:rPr>
              <w:t>主要噪声源为</w:t>
            </w:r>
            <w:r>
              <w:rPr>
                <w:rFonts w:hint="eastAsia" w:cs="Times New Roman"/>
                <w:color w:val="auto"/>
                <w:lang w:val="en-US" w:eastAsia="zh-CN"/>
              </w:rPr>
              <w:t>就诊</w:t>
            </w:r>
            <w:r>
              <w:rPr>
                <w:rFonts w:hint="default" w:ascii="Times New Roman" w:hAnsi="Times New Roman" w:cs="Times New Roman"/>
                <w:color w:val="auto"/>
              </w:rPr>
              <w:t>动物叫声的噪声，接诊动物均为小型宠物，动物的叫声最高强度一</w:t>
            </w:r>
            <w:r>
              <w:rPr>
                <w:rFonts w:hint="eastAsia" w:cs="Times New Roman"/>
                <w:color w:val="auto"/>
                <w:lang w:eastAsia="zh-CN"/>
              </w:rPr>
              <w:t>般在</w:t>
            </w:r>
            <w:r>
              <w:rPr>
                <w:rFonts w:hint="default" w:ascii="Times New Roman" w:hAnsi="Times New Roman" w:cs="Times New Roman"/>
                <w:color w:val="auto"/>
                <w:lang w:val="en-US" w:eastAsia="zh-CN"/>
              </w:rPr>
              <w:t>50</w:t>
            </w:r>
            <w:r>
              <w:rPr>
                <w:rFonts w:hint="default" w:ascii="Times New Roman" w:hAnsi="Times New Roman" w:cs="Times New Roman"/>
                <w:color w:val="auto"/>
              </w:rPr>
              <w:t>~7</w:t>
            </w:r>
            <w:r>
              <w:rPr>
                <w:rFonts w:hint="default" w:ascii="Times New Roman" w:hAnsi="Times New Roman" w:cs="Times New Roman"/>
                <w:color w:val="auto"/>
                <w:lang w:val="en-US" w:eastAsia="zh-CN"/>
              </w:rPr>
              <w:t>0</w:t>
            </w:r>
            <w:r>
              <w:rPr>
                <w:rFonts w:hint="default" w:ascii="Times New Roman" w:hAnsi="Times New Roman" w:cs="Times New Roman"/>
                <w:color w:val="auto"/>
              </w:rPr>
              <w:t>dB</w:t>
            </w:r>
            <w:r>
              <w:rPr>
                <w:rFonts w:hint="eastAsia" w:cs="Times New Roman"/>
                <w:color w:val="auto"/>
                <w:lang w:eastAsia="zh-CN"/>
              </w:rPr>
              <w:t>（</w:t>
            </w:r>
            <w:r>
              <w:rPr>
                <w:rFonts w:hint="default" w:ascii="Times New Roman" w:hAnsi="Times New Roman" w:cs="Times New Roman"/>
                <w:color w:val="auto"/>
              </w:rPr>
              <w:t>A</w:t>
            </w:r>
            <w:r>
              <w:rPr>
                <w:rFonts w:hint="eastAsia" w:cs="Times New Roman"/>
                <w:color w:val="auto"/>
                <w:lang w:eastAsia="zh-CN"/>
              </w:rPr>
              <w:t>）</w:t>
            </w:r>
            <w:r>
              <w:rPr>
                <w:rFonts w:hint="default" w:ascii="Times New Roman" w:hAnsi="Times New Roman" w:cs="Times New Roman"/>
                <w:color w:val="auto"/>
              </w:rPr>
              <w:t>之间，多属于间歇性噪声</w:t>
            </w:r>
            <w:r>
              <w:rPr>
                <w:rFonts w:hint="eastAsia" w:cs="Times New Roman"/>
                <w:color w:val="auto"/>
                <w:lang w:eastAsia="zh-CN"/>
              </w:rPr>
              <w:t>；污水处理设备运行、水泵运转时、</w:t>
            </w:r>
            <w:r>
              <w:rPr>
                <w:rFonts w:hint="eastAsia" w:cs="Times New Roman"/>
                <w:color w:val="auto"/>
                <w:lang w:val="en-US" w:eastAsia="zh-CN"/>
              </w:rPr>
              <w:t>离心机等</w:t>
            </w:r>
            <w:r>
              <w:rPr>
                <w:rFonts w:hint="eastAsia" w:cs="Times New Roman"/>
                <w:color w:val="auto"/>
                <w:lang w:eastAsia="zh-CN"/>
              </w:rPr>
              <w:t>产生的噪声，噪声声级为60</w:t>
            </w:r>
            <w:r>
              <w:rPr>
                <w:rFonts w:hint="default" w:ascii="Times New Roman" w:hAnsi="Times New Roman" w:cs="Times New Roman"/>
                <w:color w:val="auto"/>
              </w:rPr>
              <w:t>~</w:t>
            </w:r>
            <w:r>
              <w:rPr>
                <w:rFonts w:hint="eastAsia" w:cs="Times New Roman"/>
                <w:color w:val="auto"/>
                <w:lang w:val="en-US" w:eastAsia="zh-CN"/>
              </w:rPr>
              <w:t>8</w:t>
            </w:r>
            <w:r>
              <w:rPr>
                <w:rFonts w:hint="eastAsia" w:cs="Times New Roman"/>
                <w:color w:val="auto"/>
                <w:lang w:eastAsia="zh-CN"/>
              </w:rPr>
              <w:t>0dB（A）</w:t>
            </w:r>
            <w:r>
              <w:rPr>
                <w:rFonts w:hint="default" w:ascii="Times New Roman" w:hAnsi="Times New Roman" w:cs="Times New Roman"/>
                <w:color w:val="auto"/>
                <w:lang w:eastAsia="zh-CN"/>
              </w:rPr>
              <w:t>。</w:t>
            </w:r>
            <w:r>
              <w:rPr>
                <w:rFonts w:hint="default" w:ascii="Times New Roman" w:hAnsi="Times New Roman" w:cs="Times New Roman"/>
                <w:color w:val="auto"/>
                <w:lang w:val="en-US" w:eastAsia="zh-CN"/>
              </w:rPr>
              <w:t>本项目噪声污染源源强调查清单见表4-</w:t>
            </w:r>
            <w:r>
              <w:rPr>
                <w:rFonts w:hint="eastAsia" w:cs="Times New Roman"/>
                <w:color w:val="auto"/>
                <w:lang w:val="en-US" w:eastAsia="zh-CN"/>
              </w:rPr>
              <w:t>7</w:t>
            </w:r>
            <w:r>
              <w:rPr>
                <w:rFonts w:hint="default" w:ascii="Times New Roman" w:hAnsi="Times New Roman" w:cs="Times New Roman"/>
                <w:color w:val="auto"/>
                <w:lang w:val="en-US" w:eastAsia="zh-CN"/>
              </w:rPr>
              <w:t>。</w:t>
            </w:r>
          </w:p>
          <w:p w14:paraId="3BB064ED">
            <w:pPr>
              <w:pStyle w:val="29"/>
              <w:bidi w:val="0"/>
              <w:ind w:left="0" w:leftChars="0" w:firstLine="0" w:firstLineChars="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表4-</w:t>
            </w:r>
            <w:r>
              <w:rPr>
                <w:rFonts w:hint="eastAsia" w:cs="Times New Roman"/>
                <w:color w:val="auto"/>
                <w:lang w:val="en-US" w:eastAsia="zh-CN"/>
              </w:rPr>
              <w:t>7</w:t>
            </w:r>
            <w:r>
              <w:rPr>
                <w:rFonts w:hint="default" w:ascii="Times New Roman" w:hAnsi="Times New Roman" w:cs="Times New Roman"/>
                <w:color w:val="auto"/>
                <w:lang w:val="en-US" w:eastAsia="zh-CN"/>
              </w:rPr>
              <w:t xml:space="preserve">  本项目主要噪声污染源源强调查清单</w:t>
            </w:r>
          </w:p>
          <w:tbl>
            <w:tblPr>
              <w:tblStyle w:val="19"/>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1"/>
              <w:gridCol w:w="1188"/>
              <w:gridCol w:w="682"/>
              <w:gridCol w:w="985"/>
              <w:gridCol w:w="1504"/>
              <w:gridCol w:w="1027"/>
              <w:gridCol w:w="1027"/>
              <w:gridCol w:w="1028"/>
            </w:tblGrid>
            <w:tr w14:paraId="75B08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9" w:type="pct"/>
                  <w:noWrap w:val="0"/>
                  <w:vAlign w:val="center"/>
                </w:tcPr>
                <w:p w14:paraId="797C5D67">
                  <w:pPr>
                    <w:pStyle w:val="30"/>
                    <w:widowControl w:val="0"/>
                    <w:bidi w:val="0"/>
                    <w:rPr>
                      <w:rFonts w:hint="default" w:ascii="Times New Roman" w:hAnsi="Times New Roman" w:cs="Times New Roman"/>
                      <w:b/>
                      <w:bCs w:val="0"/>
                      <w:color w:val="auto"/>
                      <w:lang w:val="en-US" w:eastAsia="zh-CN"/>
                    </w:rPr>
                  </w:pPr>
                  <w:r>
                    <w:rPr>
                      <w:rFonts w:hint="default" w:ascii="Times New Roman" w:hAnsi="Times New Roman" w:cs="Times New Roman"/>
                      <w:b/>
                      <w:bCs w:val="0"/>
                      <w:color w:val="auto"/>
                      <w:lang w:val="en-US" w:eastAsia="zh-CN"/>
                    </w:rPr>
                    <w:t>工序</w:t>
                  </w:r>
                </w:p>
              </w:tc>
              <w:tc>
                <w:tcPr>
                  <w:tcW w:w="723" w:type="pct"/>
                  <w:noWrap w:val="0"/>
                  <w:vAlign w:val="center"/>
                </w:tcPr>
                <w:p w14:paraId="43B3550B">
                  <w:pPr>
                    <w:pStyle w:val="30"/>
                    <w:widowControl w:val="0"/>
                    <w:bidi w:val="0"/>
                    <w:rPr>
                      <w:rFonts w:hint="default" w:ascii="Times New Roman" w:hAnsi="Times New Roman" w:cs="Times New Roman"/>
                      <w:b/>
                      <w:bCs w:val="0"/>
                      <w:color w:val="auto"/>
                      <w:lang w:val="en-US" w:eastAsia="zh-CN"/>
                    </w:rPr>
                  </w:pPr>
                  <w:r>
                    <w:rPr>
                      <w:rFonts w:hint="default" w:ascii="Times New Roman" w:hAnsi="Times New Roman" w:cs="Times New Roman"/>
                      <w:b/>
                      <w:bCs w:val="0"/>
                      <w:color w:val="auto"/>
                      <w:lang w:val="en-US" w:eastAsia="zh-CN"/>
                    </w:rPr>
                    <w:t>噪声源</w:t>
                  </w:r>
                </w:p>
              </w:tc>
              <w:tc>
                <w:tcPr>
                  <w:tcW w:w="415" w:type="pct"/>
                  <w:noWrap w:val="0"/>
                  <w:vAlign w:val="center"/>
                </w:tcPr>
                <w:p w14:paraId="15A1B11C">
                  <w:pPr>
                    <w:pStyle w:val="30"/>
                    <w:widowControl w:val="0"/>
                    <w:bidi w:val="0"/>
                    <w:rPr>
                      <w:rFonts w:hint="default" w:ascii="Times New Roman" w:hAnsi="Times New Roman" w:cs="Times New Roman"/>
                      <w:b/>
                      <w:bCs w:val="0"/>
                      <w:color w:val="auto"/>
                      <w:lang w:val="en-US" w:eastAsia="zh-CN"/>
                    </w:rPr>
                  </w:pPr>
                  <w:r>
                    <w:rPr>
                      <w:rFonts w:hint="default" w:ascii="Times New Roman" w:hAnsi="Times New Roman" w:cs="Times New Roman"/>
                      <w:b/>
                      <w:bCs w:val="0"/>
                      <w:color w:val="auto"/>
                      <w:lang w:val="en-US" w:eastAsia="zh-CN"/>
                    </w:rPr>
                    <w:t>声源类型</w:t>
                  </w:r>
                </w:p>
              </w:tc>
              <w:tc>
                <w:tcPr>
                  <w:tcW w:w="599" w:type="pct"/>
                  <w:noWrap w:val="0"/>
                  <w:vAlign w:val="center"/>
                </w:tcPr>
                <w:p w14:paraId="3216036C">
                  <w:pPr>
                    <w:pStyle w:val="30"/>
                    <w:widowControl w:val="0"/>
                    <w:bidi w:val="0"/>
                    <w:rPr>
                      <w:rFonts w:hint="default" w:ascii="Times New Roman" w:hAnsi="Times New Roman" w:cs="Times New Roman"/>
                      <w:b/>
                      <w:bCs w:val="0"/>
                      <w:color w:val="auto"/>
                      <w:lang w:val="en-US" w:eastAsia="zh-CN"/>
                    </w:rPr>
                  </w:pPr>
                  <w:r>
                    <w:rPr>
                      <w:rFonts w:hint="default" w:ascii="Times New Roman" w:hAnsi="Times New Roman" w:cs="Times New Roman"/>
                      <w:b/>
                      <w:bCs w:val="0"/>
                      <w:color w:val="auto"/>
                      <w:lang w:val="en-US" w:eastAsia="zh-CN"/>
                    </w:rPr>
                    <w:t>噪声源强dB(A)</w:t>
                  </w:r>
                </w:p>
              </w:tc>
              <w:tc>
                <w:tcPr>
                  <w:tcW w:w="915" w:type="pct"/>
                  <w:noWrap w:val="0"/>
                  <w:vAlign w:val="center"/>
                </w:tcPr>
                <w:p w14:paraId="0E0B1831">
                  <w:pPr>
                    <w:pStyle w:val="30"/>
                    <w:widowControl w:val="0"/>
                    <w:bidi w:val="0"/>
                    <w:rPr>
                      <w:rFonts w:hint="default" w:ascii="Times New Roman" w:hAnsi="Times New Roman" w:cs="Times New Roman"/>
                      <w:b/>
                      <w:bCs w:val="0"/>
                      <w:color w:val="auto"/>
                      <w:lang w:val="en-US" w:eastAsia="zh-CN"/>
                    </w:rPr>
                  </w:pPr>
                  <w:r>
                    <w:rPr>
                      <w:rFonts w:hint="default" w:ascii="Times New Roman" w:hAnsi="Times New Roman" w:cs="Times New Roman"/>
                      <w:b/>
                      <w:bCs w:val="0"/>
                      <w:color w:val="auto"/>
                      <w:lang w:val="en-US" w:eastAsia="zh-CN"/>
                    </w:rPr>
                    <w:t>降噪措施</w:t>
                  </w:r>
                </w:p>
              </w:tc>
              <w:tc>
                <w:tcPr>
                  <w:tcW w:w="625" w:type="pct"/>
                  <w:noWrap w:val="0"/>
                  <w:vAlign w:val="center"/>
                </w:tcPr>
                <w:p w14:paraId="264139BF">
                  <w:pPr>
                    <w:pStyle w:val="30"/>
                    <w:widowControl w:val="0"/>
                    <w:bidi w:val="0"/>
                    <w:rPr>
                      <w:rFonts w:hint="default" w:ascii="Times New Roman" w:hAnsi="Times New Roman" w:cs="Times New Roman"/>
                      <w:b/>
                      <w:bCs w:val="0"/>
                      <w:color w:val="auto"/>
                      <w:lang w:val="en-US" w:eastAsia="zh-CN"/>
                    </w:rPr>
                  </w:pPr>
                  <w:r>
                    <w:rPr>
                      <w:rFonts w:hint="default" w:ascii="Times New Roman" w:hAnsi="Times New Roman" w:cs="Times New Roman"/>
                      <w:b/>
                      <w:bCs w:val="0"/>
                      <w:color w:val="auto"/>
                      <w:lang w:val="en-US" w:eastAsia="zh-CN"/>
                    </w:rPr>
                    <w:t>降噪</w:t>
                  </w:r>
                </w:p>
                <w:p w14:paraId="644A0120">
                  <w:pPr>
                    <w:pStyle w:val="30"/>
                    <w:widowControl w:val="0"/>
                    <w:bidi w:val="0"/>
                    <w:rPr>
                      <w:rFonts w:hint="default" w:ascii="Times New Roman" w:hAnsi="Times New Roman" w:cs="Times New Roman"/>
                      <w:b/>
                      <w:bCs w:val="0"/>
                      <w:color w:val="auto"/>
                      <w:lang w:val="en-US" w:eastAsia="zh-CN"/>
                    </w:rPr>
                  </w:pPr>
                  <w:r>
                    <w:rPr>
                      <w:rFonts w:hint="default" w:ascii="Times New Roman" w:hAnsi="Times New Roman" w:cs="Times New Roman"/>
                      <w:b/>
                      <w:bCs w:val="0"/>
                      <w:color w:val="auto"/>
                      <w:lang w:val="en-US" w:eastAsia="zh-CN"/>
                    </w:rPr>
                    <w:t>效果dB(A)</w:t>
                  </w:r>
                </w:p>
              </w:tc>
              <w:tc>
                <w:tcPr>
                  <w:tcW w:w="625" w:type="pct"/>
                  <w:noWrap w:val="0"/>
                  <w:vAlign w:val="center"/>
                </w:tcPr>
                <w:p w14:paraId="2967F3B1">
                  <w:pPr>
                    <w:pStyle w:val="30"/>
                    <w:widowControl w:val="0"/>
                    <w:bidi w:val="0"/>
                    <w:rPr>
                      <w:rFonts w:hint="default" w:ascii="Times New Roman" w:hAnsi="Times New Roman" w:cs="Times New Roman"/>
                      <w:b/>
                      <w:bCs w:val="0"/>
                      <w:color w:val="auto"/>
                      <w:lang w:val="en-US" w:eastAsia="zh-CN"/>
                    </w:rPr>
                  </w:pPr>
                  <w:r>
                    <w:rPr>
                      <w:rFonts w:hint="default" w:ascii="Times New Roman" w:hAnsi="Times New Roman" w:cs="Times New Roman"/>
                      <w:b/>
                      <w:bCs w:val="0"/>
                      <w:color w:val="auto"/>
                      <w:lang w:val="en-US" w:eastAsia="zh-CN"/>
                    </w:rPr>
                    <w:t>噪声排放值dB(A)</w:t>
                  </w:r>
                </w:p>
              </w:tc>
              <w:tc>
                <w:tcPr>
                  <w:tcW w:w="625" w:type="pct"/>
                  <w:noWrap w:val="0"/>
                  <w:vAlign w:val="center"/>
                </w:tcPr>
                <w:p w14:paraId="1FAFD2C3">
                  <w:pPr>
                    <w:pStyle w:val="30"/>
                    <w:widowControl w:val="0"/>
                    <w:bidi w:val="0"/>
                    <w:rPr>
                      <w:rFonts w:hint="default" w:ascii="Times New Roman" w:hAnsi="Times New Roman" w:cs="Times New Roman"/>
                      <w:b/>
                      <w:bCs w:val="0"/>
                      <w:color w:val="auto"/>
                      <w:lang w:val="en-US" w:eastAsia="zh-CN"/>
                    </w:rPr>
                  </w:pPr>
                  <w:r>
                    <w:rPr>
                      <w:rFonts w:hint="default" w:ascii="Times New Roman" w:hAnsi="Times New Roman" w:cs="Times New Roman"/>
                      <w:b/>
                      <w:bCs w:val="0"/>
                      <w:color w:val="auto"/>
                      <w:lang w:val="en-US" w:eastAsia="zh-CN"/>
                    </w:rPr>
                    <w:t>持续</w:t>
                  </w:r>
                </w:p>
                <w:p w14:paraId="3D6807F5">
                  <w:pPr>
                    <w:pStyle w:val="30"/>
                    <w:widowControl w:val="0"/>
                    <w:bidi w:val="0"/>
                    <w:rPr>
                      <w:rFonts w:hint="default" w:ascii="Times New Roman" w:hAnsi="Times New Roman" w:cs="Times New Roman"/>
                      <w:b/>
                      <w:bCs w:val="0"/>
                      <w:color w:val="auto"/>
                      <w:lang w:val="en-US" w:eastAsia="zh-CN"/>
                    </w:rPr>
                  </w:pPr>
                  <w:r>
                    <w:rPr>
                      <w:rFonts w:hint="default" w:ascii="Times New Roman" w:hAnsi="Times New Roman" w:cs="Times New Roman"/>
                      <w:b/>
                      <w:bCs w:val="0"/>
                      <w:color w:val="auto"/>
                      <w:lang w:val="en-US" w:eastAsia="zh-CN"/>
                    </w:rPr>
                    <w:t>时间</w:t>
                  </w:r>
                </w:p>
              </w:tc>
            </w:tr>
            <w:tr w14:paraId="3EE67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9" w:type="pct"/>
                  <w:noWrap w:val="0"/>
                  <w:vAlign w:val="center"/>
                </w:tcPr>
                <w:p w14:paraId="68767BE4">
                  <w:pPr>
                    <w:pStyle w:val="30"/>
                    <w:widowControl w:val="0"/>
                    <w:bidi w:val="0"/>
                    <w:rPr>
                      <w:rFonts w:hint="default" w:ascii="Times New Roman" w:hAnsi="Times New Roman" w:cs="Times New Roman"/>
                      <w:color w:val="auto"/>
                      <w:lang w:val="en-US" w:eastAsia="zh-CN"/>
                    </w:rPr>
                  </w:pPr>
                  <w:bookmarkStart w:id="40" w:name="OLE_LINK42" w:colFirst="1" w:colLast="1"/>
                  <w:r>
                    <w:rPr>
                      <w:rFonts w:hint="default" w:ascii="Times New Roman" w:hAnsi="Times New Roman" w:cs="Times New Roman"/>
                      <w:color w:val="auto"/>
                      <w:lang w:val="en-US" w:eastAsia="zh-CN"/>
                    </w:rPr>
                    <w:t>治疗</w:t>
                  </w:r>
                </w:p>
              </w:tc>
              <w:tc>
                <w:tcPr>
                  <w:tcW w:w="723" w:type="pct"/>
                  <w:noWrap w:val="0"/>
                  <w:vAlign w:val="center"/>
                </w:tcPr>
                <w:p w14:paraId="116DE8A0">
                  <w:pPr>
                    <w:pStyle w:val="30"/>
                    <w:widowControl w:val="0"/>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宠物叫声</w:t>
                  </w:r>
                </w:p>
              </w:tc>
              <w:tc>
                <w:tcPr>
                  <w:tcW w:w="415" w:type="pct"/>
                  <w:noWrap w:val="0"/>
                  <w:vAlign w:val="center"/>
                </w:tcPr>
                <w:p w14:paraId="6BE9CFCF">
                  <w:pPr>
                    <w:pStyle w:val="30"/>
                    <w:widowControl w:val="0"/>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偶发</w:t>
                  </w:r>
                </w:p>
              </w:tc>
              <w:tc>
                <w:tcPr>
                  <w:tcW w:w="599" w:type="pct"/>
                  <w:noWrap w:val="0"/>
                  <w:vAlign w:val="center"/>
                </w:tcPr>
                <w:p w14:paraId="5874A4D3">
                  <w:pPr>
                    <w:pStyle w:val="30"/>
                    <w:widowControl w:val="0"/>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50-70</w:t>
                  </w:r>
                </w:p>
              </w:tc>
              <w:tc>
                <w:tcPr>
                  <w:tcW w:w="915" w:type="pct"/>
                  <w:noWrap w:val="0"/>
                  <w:vAlign w:val="center"/>
                </w:tcPr>
                <w:p w14:paraId="0334CEFC">
                  <w:pPr>
                    <w:pStyle w:val="30"/>
                    <w:widowControl w:val="0"/>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隔声、合理喂食、加强管理、宠物嘴套等</w:t>
                  </w:r>
                </w:p>
              </w:tc>
              <w:tc>
                <w:tcPr>
                  <w:tcW w:w="625" w:type="pct"/>
                  <w:noWrap w:val="0"/>
                  <w:vAlign w:val="center"/>
                </w:tcPr>
                <w:p w14:paraId="00F8F590">
                  <w:pPr>
                    <w:pStyle w:val="30"/>
                    <w:widowControl w:val="0"/>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20</w:t>
                  </w:r>
                </w:p>
              </w:tc>
              <w:tc>
                <w:tcPr>
                  <w:tcW w:w="625" w:type="pct"/>
                  <w:noWrap w:val="0"/>
                  <w:vAlign w:val="center"/>
                </w:tcPr>
                <w:p w14:paraId="49B7758E">
                  <w:pPr>
                    <w:pStyle w:val="30"/>
                    <w:widowControl w:val="0"/>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30-50</w:t>
                  </w:r>
                </w:p>
              </w:tc>
              <w:tc>
                <w:tcPr>
                  <w:tcW w:w="625" w:type="pct"/>
                  <w:noWrap w:val="0"/>
                  <w:vAlign w:val="center"/>
                </w:tcPr>
                <w:p w14:paraId="5BA9DE72">
                  <w:pPr>
                    <w:pStyle w:val="30"/>
                    <w:widowControl w:val="0"/>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间断</w:t>
                  </w:r>
                </w:p>
              </w:tc>
            </w:tr>
            <w:tr w14:paraId="61421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9" w:type="pct"/>
                  <w:noWrap w:val="0"/>
                  <w:vAlign w:val="center"/>
                </w:tcPr>
                <w:p w14:paraId="7C3A9777">
                  <w:pPr>
                    <w:pStyle w:val="30"/>
                    <w:widowControl w:val="0"/>
                    <w:bidi w:val="0"/>
                    <w:jc w:val="center"/>
                    <w:rPr>
                      <w:rFonts w:hint="default" w:cs="Times New Roman"/>
                      <w:color w:val="auto"/>
                      <w:lang w:val="en-US" w:eastAsia="zh-CN"/>
                    </w:rPr>
                  </w:pPr>
                  <w:r>
                    <w:rPr>
                      <w:rFonts w:hint="eastAsia" w:cs="Times New Roman"/>
                      <w:color w:val="auto"/>
                      <w:lang w:val="en-US" w:eastAsia="zh-CN"/>
                    </w:rPr>
                    <w:t>/</w:t>
                  </w:r>
                </w:p>
              </w:tc>
              <w:tc>
                <w:tcPr>
                  <w:tcW w:w="723" w:type="pct"/>
                  <w:noWrap w:val="0"/>
                  <w:vAlign w:val="center"/>
                </w:tcPr>
                <w:p w14:paraId="551BFFFF">
                  <w:pPr>
                    <w:pStyle w:val="30"/>
                    <w:widowControl w:val="0"/>
                    <w:bidi w:val="0"/>
                    <w:rPr>
                      <w:rFonts w:hint="eastAsia" w:cs="Times New Roman"/>
                      <w:color w:val="auto"/>
                      <w:lang w:val="en-US" w:eastAsia="zh-CN"/>
                    </w:rPr>
                  </w:pPr>
                  <w:r>
                    <w:rPr>
                      <w:rFonts w:hint="eastAsia" w:cs="Times New Roman"/>
                      <w:color w:val="auto"/>
                      <w:lang w:val="en-US" w:eastAsia="zh-CN"/>
                    </w:rPr>
                    <w:t>离心机</w:t>
                  </w:r>
                </w:p>
              </w:tc>
              <w:tc>
                <w:tcPr>
                  <w:tcW w:w="415" w:type="pct"/>
                  <w:noWrap w:val="0"/>
                  <w:vAlign w:val="center"/>
                </w:tcPr>
                <w:p w14:paraId="57E4DC35">
                  <w:pPr>
                    <w:pStyle w:val="30"/>
                    <w:widowControl w:val="0"/>
                    <w:bidi w:val="0"/>
                    <w:rPr>
                      <w:rFonts w:hint="eastAsia" w:cs="Times New Roman"/>
                      <w:color w:val="auto"/>
                      <w:lang w:val="en-US" w:eastAsia="zh-CN"/>
                    </w:rPr>
                  </w:pPr>
                  <w:r>
                    <w:rPr>
                      <w:rFonts w:hint="eastAsia" w:cs="Times New Roman"/>
                      <w:color w:val="auto"/>
                      <w:lang w:val="en-US" w:eastAsia="zh-CN"/>
                    </w:rPr>
                    <w:t>间歇</w:t>
                  </w:r>
                </w:p>
              </w:tc>
              <w:tc>
                <w:tcPr>
                  <w:tcW w:w="599" w:type="pct"/>
                  <w:noWrap w:val="0"/>
                  <w:vAlign w:val="center"/>
                </w:tcPr>
                <w:p w14:paraId="5BC7CA37">
                  <w:pPr>
                    <w:pStyle w:val="30"/>
                    <w:widowControl w:val="0"/>
                    <w:bidi w:val="0"/>
                    <w:rPr>
                      <w:rFonts w:hint="eastAsia" w:cs="Times New Roman"/>
                      <w:color w:val="auto"/>
                      <w:lang w:val="en-US" w:eastAsia="zh-CN"/>
                    </w:rPr>
                  </w:pPr>
                  <w:r>
                    <w:rPr>
                      <w:rFonts w:hint="eastAsia" w:cs="Times New Roman"/>
                      <w:color w:val="auto"/>
                      <w:lang w:val="en-US" w:eastAsia="zh-CN"/>
                    </w:rPr>
                    <w:t>70</w:t>
                  </w:r>
                </w:p>
              </w:tc>
              <w:tc>
                <w:tcPr>
                  <w:tcW w:w="915" w:type="pct"/>
                  <w:vMerge w:val="restart"/>
                  <w:noWrap w:val="0"/>
                  <w:vAlign w:val="center"/>
                </w:tcPr>
                <w:p w14:paraId="1903F12E">
                  <w:pPr>
                    <w:pStyle w:val="30"/>
                    <w:widowControl w:val="0"/>
                    <w:bidi w:val="0"/>
                    <w:rPr>
                      <w:rFonts w:hint="default" w:ascii="Times New Roman" w:hAnsi="Times New Roman" w:cs="Times New Roman"/>
                      <w:color w:val="auto"/>
                      <w:lang w:val="en-US" w:eastAsia="zh-CN"/>
                    </w:rPr>
                  </w:pPr>
                </w:p>
              </w:tc>
              <w:tc>
                <w:tcPr>
                  <w:tcW w:w="625" w:type="pct"/>
                  <w:noWrap w:val="0"/>
                  <w:vAlign w:val="center"/>
                </w:tcPr>
                <w:p w14:paraId="5E118B8F">
                  <w:pPr>
                    <w:pStyle w:val="30"/>
                    <w:widowControl w:val="0"/>
                    <w:bidi w:val="0"/>
                    <w:rPr>
                      <w:rFonts w:hint="default" w:cs="Times New Roman"/>
                      <w:color w:val="auto"/>
                      <w:lang w:val="en-US" w:eastAsia="zh-CN"/>
                    </w:rPr>
                  </w:pPr>
                  <w:r>
                    <w:rPr>
                      <w:rFonts w:hint="eastAsia" w:cs="Times New Roman"/>
                      <w:color w:val="auto"/>
                      <w:lang w:val="en-US" w:eastAsia="zh-CN"/>
                    </w:rPr>
                    <w:t>20</w:t>
                  </w:r>
                </w:p>
              </w:tc>
              <w:tc>
                <w:tcPr>
                  <w:tcW w:w="625" w:type="pct"/>
                  <w:noWrap w:val="0"/>
                  <w:vAlign w:val="center"/>
                </w:tcPr>
                <w:p w14:paraId="5CDE6A72">
                  <w:pPr>
                    <w:pStyle w:val="30"/>
                    <w:widowControl w:val="0"/>
                    <w:bidi w:val="0"/>
                    <w:rPr>
                      <w:rFonts w:hint="default" w:cs="Times New Roman"/>
                      <w:color w:val="auto"/>
                      <w:lang w:val="en-US" w:eastAsia="zh-CN"/>
                    </w:rPr>
                  </w:pPr>
                  <w:r>
                    <w:rPr>
                      <w:rFonts w:hint="eastAsia" w:cs="Times New Roman"/>
                      <w:color w:val="auto"/>
                      <w:lang w:val="en-US" w:eastAsia="zh-CN"/>
                    </w:rPr>
                    <w:t>50</w:t>
                  </w:r>
                </w:p>
              </w:tc>
              <w:tc>
                <w:tcPr>
                  <w:tcW w:w="625" w:type="pct"/>
                  <w:noWrap w:val="0"/>
                  <w:vAlign w:val="center"/>
                </w:tcPr>
                <w:p w14:paraId="2BBE7875">
                  <w:pPr>
                    <w:pStyle w:val="30"/>
                    <w:widowControl w:val="0"/>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间断</w:t>
                  </w:r>
                </w:p>
              </w:tc>
            </w:tr>
            <w:tr w14:paraId="7668F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9" w:type="pct"/>
                  <w:noWrap w:val="0"/>
                  <w:vAlign w:val="center"/>
                </w:tcPr>
                <w:p w14:paraId="5580E04E">
                  <w:pPr>
                    <w:pStyle w:val="30"/>
                    <w:widowControl w:val="0"/>
                    <w:bidi w:val="0"/>
                    <w:jc w:val="center"/>
                    <w:rPr>
                      <w:rFonts w:hint="default" w:cs="Times New Roman"/>
                      <w:color w:val="auto"/>
                      <w:lang w:val="en-US" w:eastAsia="zh-CN"/>
                    </w:rPr>
                  </w:pPr>
                  <w:r>
                    <w:rPr>
                      <w:rFonts w:hint="eastAsia" w:cs="Times New Roman"/>
                      <w:color w:val="auto"/>
                      <w:lang w:val="en-US" w:eastAsia="zh-CN"/>
                    </w:rPr>
                    <w:t>/</w:t>
                  </w:r>
                </w:p>
              </w:tc>
              <w:tc>
                <w:tcPr>
                  <w:tcW w:w="723" w:type="pct"/>
                  <w:noWrap w:val="0"/>
                  <w:vAlign w:val="center"/>
                </w:tcPr>
                <w:p w14:paraId="1FD269C5">
                  <w:pPr>
                    <w:pStyle w:val="30"/>
                    <w:widowControl w:val="0"/>
                    <w:bidi w:val="0"/>
                    <w:rPr>
                      <w:rFonts w:hint="default" w:cs="Times New Roman"/>
                      <w:color w:val="auto"/>
                      <w:lang w:val="en-US" w:eastAsia="zh-CN"/>
                    </w:rPr>
                  </w:pPr>
                  <w:r>
                    <w:rPr>
                      <w:rFonts w:hint="eastAsia" w:cs="Times New Roman"/>
                      <w:color w:val="auto"/>
                      <w:lang w:val="en-US" w:eastAsia="zh-CN"/>
                    </w:rPr>
                    <w:t>空调外机</w:t>
                  </w:r>
                </w:p>
              </w:tc>
              <w:tc>
                <w:tcPr>
                  <w:tcW w:w="415" w:type="pct"/>
                  <w:noWrap w:val="0"/>
                  <w:vAlign w:val="center"/>
                </w:tcPr>
                <w:p w14:paraId="3A1417C4">
                  <w:pPr>
                    <w:pStyle w:val="30"/>
                    <w:widowControl w:val="0"/>
                    <w:bidi w:val="0"/>
                    <w:rPr>
                      <w:rFonts w:hint="eastAsia" w:cs="Times New Roman"/>
                      <w:color w:val="auto"/>
                      <w:lang w:val="en-US" w:eastAsia="zh-CN"/>
                    </w:rPr>
                  </w:pPr>
                  <w:r>
                    <w:rPr>
                      <w:rFonts w:hint="eastAsia" w:cs="Times New Roman"/>
                      <w:color w:val="auto"/>
                      <w:lang w:val="en-US" w:eastAsia="zh-CN"/>
                    </w:rPr>
                    <w:t>间歇</w:t>
                  </w:r>
                </w:p>
              </w:tc>
              <w:tc>
                <w:tcPr>
                  <w:tcW w:w="599" w:type="pct"/>
                  <w:noWrap w:val="0"/>
                  <w:vAlign w:val="center"/>
                </w:tcPr>
                <w:p w14:paraId="36E6845C">
                  <w:pPr>
                    <w:pStyle w:val="30"/>
                    <w:widowControl w:val="0"/>
                    <w:bidi w:val="0"/>
                    <w:rPr>
                      <w:rFonts w:hint="default" w:cs="Times New Roman"/>
                      <w:color w:val="auto"/>
                      <w:lang w:val="en-US" w:eastAsia="zh-CN"/>
                    </w:rPr>
                  </w:pPr>
                  <w:r>
                    <w:rPr>
                      <w:rFonts w:hint="eastAsia" w:cs="Times New Roman"/>
                      <w:color w:val="auto"/>
                      <w:lang w:val="en-US" w:eastAsia="zh-CN"/>
                    </w:rPr>
                    <w:t>70</w:t>
                  </w:r>
                </w:p>
              </w:tc>
              <w:tc>
                <w:tcPr>
                  <w:tcW w:w="915" w:type="pct"/>
                  <w:vMerge w:val="continue"/>
                  <w:noWrap w:val="0"/>
                  <w:vAlign w:val="center"/>
                </w:tcPr>
                <w:p w14:paraId="40C295E6">
                  <w:pPr>
                    <w:pStyle w:val="30"/>
                    <w:widowControl w:val="0"/>
                    <w:bidi w:val="0"/>
                    <w:rPr>
                      <w:rFonts w:hint="default" w:ascii="Times New Roman" w:hAnsi="Times New Roman" w:cs="Times New Roman"/>
                      <w:color w:val="auto"/>
                      <w:lang w:val="en-US" w:eastAsia="zh-CN"/>
                    </w:rPr>
                  </w:pPr>
                </w:p>
              </w:tc>
              <w:tc>
                <w:tcPr>
                  <w:tcW w:w="625" w:type="pct"/>
                  <w:noWrap w:val="0"/>
                  <w:vAlign w:val="center"/>
                </w:tcPr>
                <w:p w14:paraId="4D8DBB55">
                  <w:pPr>
                    <w:pStyle w:val="30"/>
                    <w:widowControl w:val="0"/>
                    <w:bidi w:val="0"/>
                    <w:rPr>
                      <w:rFonts w:hint="default" w:cs="Times New Roman"/>
                      <w:color w:val="auto"/>
                      <w:lang w:val="en-US" w:eastAsia="zh-CN"/>
                    </w:rPr>
                  </w:pPr>
                  <w:r>
                    <w:rPr>
                      <w:rFonts w:hint="eastAsia" w:cs="Times New Roman"/>
                      <w:color w:val="auto"/>
                      <w:lang w:val="en-US" w:eastAsia="zh-CN"/>
                    </w:rPr>
                    <w:t>20</w:t>
                  </w:r>
                </w:p>
              </w:tc>
              <w:tc>
                <w:tcPr>
                  <w:tcW w:w="625" w:type="pct"/>
                  <w:noWrap w:val="0"/>
                  <w:vAlign w:val="center"/>
                </w:tcPr>
                <w:p w14:paraId="470F3EF6">
                  <w:pPr>
                    <w:pStyle w:val="30"/>
                    <w:widowControl w:val="0"/>
                    <w:bidi w:val="0"/>
                    <w:rPr>
                      <w:rFonts w:hint="default" w:cs="Times New Roman"/>
                      <w:color w:val="auto"/>
                      <w:lang w:val="en-US" w:eastAsia="zh-CN"/>
                    </w:rPr>
                  </w:pPr>
                  <w:r>
                    <w:rPr>
                      <w:rFonts w:hint="eastAsia" w:cs="Times New Roman"/>
                      <w:color w:val="auto"/>
                      <w:lang w:val="en-US" w:eastAsia="zh-CN"/>
                    </w:rPr>
                    <w:t>50</w:t>
                  </w:r>
                </w:p>
              </w:tc>
              <w:tc>
                <w:tcPr>
                  <w:tcW w:w="625" w:type="pct"/>
                  <w:noWrap w:val="0"/>
                  <w:vAlign w:val="center"/>
                </w:tcPr>
                <w:p w14:paraId="5BA0DBDC">
                  <w:pPr>
                    <w:pStyle w:val="30"/>
                    <w:widowControl w:val="0"/>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间断</w:t>
                  </w:r>
                </w:p>
              </w:tc>
            </w:tr>
            <w:bookmarkEnd w:id="40"/>
          </w:tbl>
          <w:p w14:paraId="4988CC16">
            <w:pPr>
              <w:pStyle w:val="29"/>
              <w:bidi w:val="0"/>
              <w:rPr>
                <w:rFonts w:hint="eastAsia"/>
                <w:color w:val="auto"/>
                <w:lang w:eastAsia="zh-CN"/>
              </w:rPr>
            </w:pPr>
            <w:r>
              <w:rPr>
                <w:rFonts w:hint="default"/>
                <w:color w:val="auto"/>
                <w:lang w:eastAsia="zh-CN"/>
              </w:rPr>
              <w:t>表4-</w:t>
            </w:r>
            <w:r>
              <w:rPr>
                <w:rFonts w:hint="eastAsia"/>
                <w:color w:val="auto"/>
                <w:lang w:val="en-US" w:eastAsia="zh-CN"/>
              </w:rPr>
              <w:t xml:space="preserve">8  </w:t>
            </w:r>
            <w:r>
              <w:rPr>
                <w:rFonts w:hint="default"/>
                <w:color w:val="auto"/>
                <w:lang w:eastAsia="zh-CN"/>
              </w:rPr>
              <w:t xml:space="preserve"> </w:t>
            </w:r>
            <w:r>
              <w:rPr>
                <w:rFonts w:hint="eastAsia"/>
                <w:color w:val="auto"/>
                <w:lang w:eastAsia="zh-CN"/>
              </w:rPr>
              <w:t>项目主要噪声源强调查清单（室</w:t>
            </w:r>
            <w:r>
              <w:rPr>
                <w:rFonts w:hint="eastAsia"/>
                <w:color w:val="auto"/>
                <w:lang w:val="en-US" w:eastAsia="zh-CN"/>
              </w:rPr>
              <w:t>内</w:t>
            </w:r>
            <w:r>
              <w:rPr>
                <w:rFonts w:hint="eastAsia"/>
                <w:color w:val="auto"/>
                <w:lang w:eastAsia="zh-CN"/>
              </w:rPr>
              <w:t>声源）</w:t>
            </w:r>
          </w:p>
          <w:tbl>
            <w:tblPr>
              <w:tblStyle w:val="18"/>
              <w:tblW w:w="8220" w:type="dxa"/>
              <w:jc w:val="center"/>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autofit"/>
              <w:tblCellMar>
                <w:top w:w="0" w:type="dxa"/>
                <w:left w:w="0" w:type="dxa"/>
                <w:bottom w:w="0" w:type="dxa"/>
                <w:right w:w="0" w:type="dxa"/>
              </w:tblCellMar>
            </w:tblPr>
            <w:tblGrid>
              <w:gridCol w:w="1152"/>
              <w:gridCol w:w="630"/>
              <w:gridCol w:w="877"/>
              <w:gridCol w:w="402"/>
              <w:gridCol w:w="437"/>
              <w:gridCol w:w="360"/>
              <w:gridCol w:w="950"/>
              <w:gridCol w:w="671"/>
              <w:gridCol w:w="1035"/>
              <w:gridCol w:w="838"/>
              <w:gridCol w:w="868"/>
            </w:tblGrid>
            <w:tr w14:paraId="64049871">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140" w:hRule="atLeast"/>
                <w:jc w:val="center"/>
              </w:trPr>
              <w:tc>
                <w:tcPr>
                  <w:tcW w:w="1152" w:type="dxa"/>
                  <w:vMerge w:val="restart"/>
                  <w:tcBorders>
                    <w:tl2br w:val="nil"/>
                    <w:tr2bl w:val="nil"/>
                  </w:tcBorders>
                  <w:noWrap w:val="0"/>
                  <w:vAlign w:val="center"/>
                </w:tcPr>
                <w:p w14:paraId="666F50D0">
                  <w:pPr>
                    <w:pStyle w:val="30"/>
                    <w:bidi w:val="0"/>
                    <w:rPr>
                      <w:rFonts w:hint="default" w:ascii="Times New Roman" w:hAnsi="Times New Roman" w:eastAsia="宋体" w:cs="Times New Roman"/>
                      <w:b/>
                      <w:bCs w:val="0"/>
                      <w:color w:val="auto"/>
                      <w:lang w:val="en-US" w:eastAsia="zh-CN"/>
                    </w:rPr>
                  </w:pPr>
                  <w:r>
                    <w:rPr>
                      <w:rFonts w:hint="eastAsia" w:ascii="Times New Roman" w:hAnsi="Times New Roman" w:eastAsia="宋体" w:cs="Times New Roman"/>
                      <w:b/>
                      <w:bCs w:val="0"/>
                      <w:color w:val="auto"/>
                      <w:lang w:val="en-US" w:eastAsia="zh-CN"/>
                    </w:rPr>
                    <w:t>声源名称</w:t>
                  </w:r>
                </w:p>
              </w:tc>
              <w:tc>
                <w:tcPr>
                  <w:tcW w:w="630" w:type="dxa"/>
                  <w:vMerge w:val="restart"/>
                  <w:tcBorders>
                    <w:tl2br w:val="nil"/>
                    <w:tr2bl w:val="nil"/>
                  </w:tcBorders>
                  <w:noWrap w:val="0"/>
                  <w:vAlign w:val="center"/>
                </w:tcPr>
                <w:p w14:paraId="7EA8138A">
                  <w:pPr>
                    <w:pStyle w:val="30"/>
                    <w:bidi w:val="0"/>
                    <w:rPr>
                      <w:rFonts w:hint="default" w:ascii="Times New Roman" w:hAnsi="Times New Roman" w:eastAsia="宋体" w:cs="Times New Roman"/>
                      <w:b/>
                      <w:bCs w:val="0"/>
                      <w:color w:val="auto"/>
                      <w:lang w:val="en-US" w:eastAsia="zh-CN"/>
                    </w:rPr>
                  </w:pPr>
                  <w:r>
                    <w:rPr>
                      <w:rFonts w:hint="default" w:ascii="Times New Roman" w:hAnsi="Times New Roman" w:eastAsia="宋体" w:cs="Times New Roman"/>
                      <w:b/>
                      <w:bCs w:val="0"/>
                      <w:color w:val="auto"/>
                      <w:lang w:val="en-US" w:eastAsia="zh-CN"/>
                    </w:rPr>
                    <w:t>噪声级dB（A）</w:t>
                  </w:r>
                </w:p>
              </w:tc>
              <w:tc>
                <w:tcPr>
                  <w:tcW w:w="877" w:type="dxa"/>
                  <w:vMerge w:val="restart"/>
                  <w:tcBorders>
                    <w:bottom w:val="single" w:color="auto" w:sz="4" w:space="0"/>
                    <w:tl2br w:val="nil"/>
                    <w:tr2bl w:val="nil"/>
                  </w:tcBorders>
                  <w:noWrap w:val="0"/>
                  <w:vAlign w:val="center"/>
                </w:tcPr>
                <w:p w14:paraId="59A8505F">
                  <w:pPr>
                    <w:pStyle w:val="30"/>
                    <w:bidi w:val="0"/>
                    <w:rPr>
                      <w:rFonts w:hint="eastAsia" w:ascii="Times New Roman" w:hAnsi="Times New Roman" w:eastAsia="宋体" w:cs="Times New Roman"/>
                      <w:b/>
                      <w:bCs w:val="0"/>
                      <w:color w:val="auto"/>
                      <w:lang w:val="en-US" w:eastAsia="zh-CN"/>
                    </w:rPr>
                  </w:pPr>
                  <w:r>
                    <w:rPr>
                      <w:rFonts w:hint="default" w:ascii="Times New Roman" w:hAnsi="Times New Roman" w:eastAsia="宋体" w:cs="Times New Roman"/>
                      <w:b/>
                      <w:bCs w:val="0"/>
                      <w:color w:val="auto"/>
                      <w:lang w:val="en-US" w:eastAsia="zh-CN"/>
                    </w:rPr>
                    <w:t>设备防噪措施</w:t>
                  </w:r>
                </w:p>
              </w:tc>
              <w:tc>
                <w:tcPr>
                  <w:tcW w:w="1199" w:type="dxa"/>
                  <w:gridSpan w:val="3"/>
                  <w:tcBorders>
                    <w:tl2br w:val="nil"/>
                    <w:tr2bl w:val="nil"/>
                  </w:tcBorders>
                  <w:noWrap w:val="0"/>
                  <w:vAlign w:val="center"/>
                </w:tcPr>
                <w:p w14:paraId="1ED61158">
                  <w:pPr>
                    <w:pStyle w:val="30"/>
                    <w:bidi w:val="0"/>
                    <w:rPr>
                      <w:rFonts w:hint="default" w:ascii="Times New Roman" w:hAnsi="Times New Roman" w:eastAsia="宋体" w:cs="Times New Roman"/>
                      <w:b/>
                      <w:bCs w:val="0"/>
                      <w:color w:val="auto"/>
                      <w:lang w:val="en-US" w:eastAsia="zh-CN"/>
                    </w:rPr>
                  </w:pPr>
                  <w:r>
                    <w:rPr>
                      <w:rFonts w:hint="eastAsia" w:ascii="Times New Roman" w:hAnsi="Times New Roman" w:eastAsia="宋体" w:cs="Times New Roman"/>
                      <w:b/>
                      <w:bCs w:val="0"/>
                      <w:color w:val="auto"/>
                      <w:lang w:val="en-US" w:eastAsia="zh-CN"/>
                    </w:rPr>
                    <w:t>空间位置</w:t>
                  </w:r>
                </w:p>
              </w:tc>
              <w:tc>
                <w:tcPr>
                  <w:tcW w:w="950" w:type="dxa"/>
                  <w:vMerge w:val="restart"/>
                  <w:tcBorders>
                    <w:tl2br w:val="nil"/>
                    <w:tr2bl w:val="nil"/>
                  </w:tcBorders>
                  <w:noWrap w:val="0"/>
                  <w:vAlign w:val="center"/>
                </w:tcPr>
                <w:p w14:paraId="1BF25C32">
                  <w:pPr>
                    <w:pStyle w:val="30"/>
                    <w:bidi w:val="0"/>
                    <w:rPr>
                      <w:rFonts w:hint="default" w:ascii="Times New Roman" w:hAnsi="Times New Roman" w:eastAsia="宋体" w:cs="Times New Roman"/>
                      <w:b/>
                      <w:bCs w:val="0"/>
                      <w:color w:val="auto"/>
                      <w:lang w:val="en-US" w:eastAsia="zh-CN"/>
                    </w:rPr>
                  </w:pPr>
                  <w:r>
                    <w:rPr>
                      <w:rFonts w:hint="eastAsia" w:ascii="Times New Roman" w:hAnsi="Times New Roman" w:eastAsia="宋体" w:cs="Times New Roman"/>
                      <w:b/>
                      <w:bCs w:val="0"/>
                      <w:color w:val="auto"/>
                      <w:lang w:val="en-US" w:eastAsia="zh-CN"/>
                    </w:rPr>
                    <w:t>距室内边界位置m</w:t>
                  </w:r>
                </w:p>
              </w:tc>
              <w:tc>
                <w:tcPr>
                  <w:tcW w:w="671" w:type="dxa"/>
                  <w:vMerge w:val="restart"/>
                  <w:tcBorders>
                    <w:tl2br w:val="nil"/>
                    <w:tr2bl w:val="nil"/>
                  </w:tcBorders>
                  <w:noWrap w:val="0"/>
                  <w:vAlign w:val="center"/>
                </w:tcPr>
                <w:p w14:paraId="66F31B23">
                  <w:pPr>
                    <w:pStyle w:val="30"/>
                    <w:bidi w:val="0"/>
                    <w:rPr>
                      <w:rFonts w:hint="eastAsia" w:ascii="Times New Roman" w:hAnsi="Times New Roman" w:eastAsia="宋体" w:cs="Times New Roman"/>
                      <w:b/>
                      <w:bCs w:val="0"/>
                      <w:color w:val="auto"/>
                      <w:lang w:val="en-US" w:eastAsia="zh-CN"/>
                    </w:rPr>
                  </w:pPr>
                  <w:r>
                    <w:rPr>
                      <w:rFonts w:hint="default"/>
                      <w:b/>
                      <w:bCs w:val="0"/>
                      <w:color w:val="auto"/>
                      <w:lang w:val="en-US" w:eastAsia="zh-CN"/>
                    </w:rPr>
                    <w:t>运行时段</w:t>
                  </w:r>
                </w:p>
              </w:tc>
              <w:tc>
                <w:tcPr>
                  <w:tcW w:w="1035" w:type="dxa"/>
                  <w:vMerge w:val="restart"/>
                  <w:tcBorders>
                    <w:tl2br w:val="nil"/>
                    <w:tr2bl w:val="nil"/>
                  </w:tcBorders>
                  <w:noWrap w:val="0"/>
                  <w:vAlign w:val="center"/>
                </w:tcPr>
                <w:p w14:paraId="1CCC4F14">
                  <w:pPr>
                    <w:pStyle w:val="30"/>
                    <w:bidi w:val="0"/>
                    <w:rPr>
                      <w:rFonts w:hint="eastAsia" w:ascii="Times New Roman" w:hAnsi="Times New Roman" w:eastAsia="宋体" w:cs="Times New Roman"/>
                      <w:b/>
                      <w:bCs w:val="0"/>
                      <w:color w:val="auto"/>
                      <w:lang w:val="en-US" w:eastAsia="zh-CN"/>
                    </w:rPr>
                  </w:pPr>
                  <w:r>
                    <w:rPr>
                      <w:rFonts w:hint="eastAsia" w:cs="Times New Roman"/>
                      <w:b/>
                      <w:bCs/>
                      <w:i w:val="0"/>
                      <w:iCs w:val="0"/>
                      <w:caps w:val="0"/>
                      <w:color w:val="auto"/>
                      <w:spacing w:val="0"/>
                      <w:sz w:val="21"/>
                      <w:szCs w:val="21"/>
                      <w:shd w:val="clear" w:color="auto" w:fill="FFFFFF"/>
                      <w:lang w:val="en-US" w:eastAsia="zh-CN"/>
                    </w:rPr>
                    <w:t>建筑物插入损失</w:t>
                  </w:r>
                  <w:r>
                    <w:rPr>
                      <w:b/>
                      <w:bCs/>
                      <w:color w:val="auto"/>
                      <w:kern w:val="0"/>
                      <w:szCs w:val="21"/>
                      <w:highlight w:val="none"/>
                    </w:rPr>
                    <w:t>d</w:t>
                  </w:r>
                  <w:r>
                    <w:rPr>
                      <w:b/>
                      <w:bCs/>
                      <w:caps/>
                      <w:color w:val="auto"/>
                      <w:kern w:val="0"/>
                      <w:szCs w:val="21"/>
                      <w:highlight w:val="none"/>
                    </w:rPr>
                    <w:t>B（A）</w:t>
                  </w:r>
                </w:p>
              </w:tc>
              <w:tc>
                <w:tcPr>
                  <w:tcW w:w="1706" w:type="dxa"/>
                  <w:gridSpan w:val="2"/>
                  <w:tcBorders>
                    <w:tl2br w:val="nil"/>
                    <w:tr2bl w:val="nil"/>
                  </w:tcBorders>
                  <w:noWrap w:val="0"/>
                  <w:vAlign w:val="center"/>
                </w:tcPr>
                <w:p w14:paraId="7D316808">
                  <w:pPr>
                    <w:pStyle w:val="30"/>
                    <w:bidi w:val="0"/>
                    <w:rPr>
                      <w:rFonts w:hint="default" w:ascii="Times New Roman" w:hAnsi="Times New Roman" w:eastAsia="宋体" w:cs="Times New Roman"/>
                      <w:b/>
                      <w:bCs w:val="0"/>
                      <w:color w:val="auto"/>
                      <w:lang w:val="en-US" w:eastAsia="zh-CN"/>
                    </w:rPr>
                  </w:pPr>
                  <w:r>
                    <w:rPr>
                      <w:rFonts w:hint="eastAsia" w:ascii="Times New Roman" w:hAnsi="Times New Roman" w:eastAsia="宋体" w:cs="Times New Roman"/>
                      <w:b/>
                      <w:bCs w:val="0"/>
                      <w:color w:val="auto"/>
                      <w:lang w:val="en-US" w:eastAsia="zh-CN"/>
                    </w:rPr>
                    <w:t>建筑物外噪声</w:t>
                  </w:r>
                </w:p>
              </w:tc>
            </w:tr>
            <w:tr w14:paraId="5E6E728A">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171" w:hRule="atLeast"/>
                <w:jc w:val="center"/>
              </w:trPr>
              <w:tc>
                <w:tcPr>
                  <w:tcW w:w="1152" w:type="dxa"/>
                  <w:vMerge w:val="continue"/>
                  <w:tcBorders>
                    <w:tl2br w:val="nil"/>
                    <w:tr2bl w:val="nil"/>
                  </w:tcBorders>
                  <w:noWrap w:val="0"/>
                  <w:vAlign w:val="center"/>
                </w:tcPr>
                <w:p w14:paraId="2E5D7933">
                  <w:pPr>
                    <w:pStyle w:val="30"/>
                    <w:bidi w:val="0"/>
                    <w:rPr>
                      <w:rFonts w:hint="default" w:ascii="Times New Roman" w:hAnsi="Times New Roman" w:eastAsia="宋体" w:cs="Times New Roman"/>
                      <w:b/>
                      <w:bCs w:val="0"/>
                      <w:color w:val="auto"/>
                      <w:lang w:val="en-US" w:eastAsia="zh-CN"/>
                    </w:rPr>
                  </w:pPr>
                </w:p>
              </w:tc>
              <w:tc>
                <w:tcPr>
                  <w:tcW w:w="630" w:type="dxa"/>
                  <w:vMerge w:val="continue"/>
                  <w:tcBorders>
                    <w:tl2br w:val="nil"/>
                    <w:tr2bl w:val="nil"/>
                  </w:tcBorders>
                  <w:noWrap w:val="0"/>
                  <w:vAlign w:val="center"/>
                </w:tcPr>
                <w:p w14:paraId="3BF7D9A7">
                  <w:pPr>
                    <w:pStyle w:val="30"/>
                    <w:bidi w:val="0"/>
                    <w:rPr>
                      <w:rFonts w:hint="default" w:ascii="Times New Roman" w:hAnsi="Times New Roman" w:eastAsia="宋体" w:cs="Times New Roman"/>
                      <w:b/>
                      <w:bCs w:val="0"/>
                      <w:color w:val="auto"/>
                      <w:lang w:val="en-US" w:eastAsia="zh-CN"/>
                    </w:rPr>
                  </w:pPr>
                </w:p>
              </w:tc>
              <w:tc>
                <w:tcPr>
                  <w:tcW w:w="877" w:type="dxa"/>
                  <w:vMerge w:val="continue"/>
                  <w:tcBorders>
                    <w:top w:val="single" w:color="auto" w:sz="4" w:space="0"/>
                    <w:tl2br w:val="nil"/>
                    <w:tr2bl w:val="nil"/>
                  </w:tcBorders>
                  <w:noWrap w:val="0"/>
                  <w:vAlign w:val="center"/>
                </w:tcPr>
                <w:p w14:paraId="0A25EC94">
                  <w:pPr>
                    <w:pStyle w:val="30"/>
                    <w:bidi w:val="0"/>
                    <w:rPr>
                      <w:rFonts w:hint="default" w:ascii="Times New Roman" w:hAnsi="Times New Roman" w:eastAsia="宋体" w:cs="Times New Roman"/>
                      <w:b/>
                      <w:bCs w:val="0"/>
                      <w:color w:val="auto"/>
                      <w:lang w:val="en-US" w:eastAsia="zh-CN"/>
                    </w:rPr>
                  </w:pPr>
                </w:p>
              </w:tc>
              <w:tc>
                <w:tcPr>
                  <w:tcW w:w="402" w:type="dxa"/>
                  <w:tcBorders>
                    <w:bottom w:val="single" w:color="auto" w:sz="4" w:space="0"/>
                    <w:tl2br w:val="nil"/>
                    <w:tr2bl w:val="nil"/>
                  </w:tcBorders>
                  <w:noWrap w:val="0"/>
                  <w:vAlign w:val="center"/>
                </w:tcPr>
                <w:p w14:paraId="21995685">
                  <w:pPr>
                    <w:pStyle w:val="30"/>
                    <w:bidi w:val="0"/>
                    <w:rPr>
                      <w:rFonts w:hint="default" w:ascii="Times New Roman" w:hAnsi="Times New Roman" w:eastAsia="宋体" w:cs="Times New Roman"/>
                      <w:b/>
                      <w:bCs w:val="0"/>
                      <w:color w:val="auto"/>
                      <w:lang w:val="en-US" w:eastAsia="zh-CN"/>
                    </w:rPr>
                  </w:pPr>
                  <w:r>
                    <w:rPr>
                      <w:rFonts w:hint="eastAsia" w:ascii="Times New Roman" w:hAnsi="Times New Roman" w:eastAsia="宋体" w:cs="Times New Roman"/>
                      <w:b/>
                      <w:bCs w:val="0"/>
                      <w:color w:val="auto"/>
                      <w:lang w:val="en-US" w:eastAsia="zh-CN"/>
                    </w:rPr>
                    <w:t>X</w:t>
                  </w:r>
                </w:p>
              </w:tc>
              <w:tc>
                <w:tcPr>
                  <w:tcW w:w="437" w:type="dxa"/>
                  <w:tcBorders>
                    <w:bottom w:val="single" w:color="auto" w:sz="4" w:space="0"/>
                    <w:tl2br w:val="nil"/>
                    <w:tr2bl w:val="nil"/>
                  </w:tcBorders>
                  <w:noWrap w:val="0"/>
                  <w:vAlign w:val="center"/>
                </w:tcPr>
                <w:p w14:paraId="5E5A74FE">
                  <w:pPr>
                    <w:pStyle w:val="30"/>
                    <w:bidi w:val="0"/>
                    <w:rPr>
                      <w:rFonts w:hint="default" w:ascii="Times New Roman" w:hAnsi="Times New Roman" w:eastAsia="宋体" w:cs="Times New Roman"/>
                      <w:b/>
                      <w:bCs w:val="0"/>
                      <w:color w:val="auto"/>
                      <w:lang w:val="en-US" w:eastAsia="zh-CN"/>
                    </w:rPr>
                  </w:pPr>
                  <w:r>
                    <w:rPr>
                      <w:rFonts w:hint="eastAsia" w:ascii="Times New Roman" w:hAnsi="Times New Roman" w:eastAsia="宋体" w:cs="Times New Roman"/>
                      <w:b/>
                      <w:bCs w:val="0"/>
                      <w:color w:val="auto"/>
                      <w:lang w:val="en-US" w:eastAsia="zh-CN"/>
                    </w:rPr>
                    <w:t>Y</w:t>
                  </w:r>
                </w:p>
              </w:tc>
              <w:tc>
                <w:tcPr>
                  <w:tcW w:w="360" w:type="dxa"/>
                  <w:tcBorders>
                    <w:bottom w:val="single" w:color="auto" w:sz="4" w:space="0"/>
                    <w:tl2br w:val="nil"/>
                    <w:tr2bl w:val="nil"/>
                  </w:tcBorders>
                  <w:noWrap w:val="0"/>
                  <w:vAlign w:val="center"/>
                </w:tcPr>
                <w:p w14:paraId="487DB580">
                  <w:pPr>
                    <w:pStyle w:val="30"/>
                    <w:bidi w:val="0"/>
                    <w:rPr>
                      <w:rFonts w:hint="default" w:ascii="Times New Roman" w:hAnsi="Times New Roman" w:eastAsia="宋体" w:cs="Times New Roman"/>
                      <w:b/>
                      <w:bCs w:val="0"/>
                      <w:color w:val="auto"/>
                      <w:lang w:val="en-US" w:eastAsia="zh-CN"/>
                    </w:rPr>
                  </w:pPr>
                  <w:r>
                    <w:rPr>
                      <w:rFonts w:hint="eastAsia" w:ascii="Times New Roman" w:hAnsi="Times New Roman" w:eastAsia="宋体" w:cs="Times New Roman"/>
                      <w:b/>
                      <w:bCs w:val="0"/>
                      <w:color w:val="auto"/>
                      <w:lang w:val="en-US" w:eastAsia="zh-CN"/>
                    </w:rPr>
                    <w:t>Z</w:t>
                  </w:r>
                </w:p>
              </w:tc>
              <w:tc>
                <w:tcPr>
                  <w:tcW w:w="950" w:type="dxa"/>
                  <w:vMerge w:val="continue"/>
                  <w:tcBorders>
                    <w:bottom w:val="single" w:color="auto" w:sz="4" w:space="0"/>
                    <w:tl2br w:val="nil"/>
                    <w:tr2bl w:val="nil"/>
                  </w:tcBorders>
                  <w:noWrap w:val="0"/>
                  <w:vAlign w:val="center"/>
                </w:tcPr>
                <w:p w14:paraId="393C6907">
                  <w:pPr>
                    <w:pStyle w:val="30"/>
                    <w:bidi w:val="0"/>
                    <w:rPr>
                      <w:rFonts w:hint="default" w:ascii="Times New Roman" w:hAnsi="Times New Roman" w:eastAsia="宋体" w:cs="Times New Roman"/>
                      <w:b/>
                      <w:bCs w:val="0"/>
                      <w:color w:val="auto"/>
                      <w:lang w:val="en-US" w:eastAsia="zh-CN"/>
                    </w:rPr>
                  </w:pPr>
                </w:p>
              </w:tc>
              <w:tc>
                <w:tcPr>
                  <w:tcW w:w="671" w:type="dxa"/>
                  <w:vMerge w:val="continue"/>
                  <w:tcBorders>
                    <w:bottom w:val="single" w:color="auto" w:sz="4" w:space="0"/>
                    <w:tl2br w:val="nil"/>
                    <w:tr2bl w:val="nil"/>
                  </w:tcBorders>
                  <w:noWrap w:val="0"/>
                  <w:vAlign w:val="center"/>
                </w:tcPr>
                <w:p w14:paraId="24AD9895">
                  <w:pPr>
                    <w:pStyle w:val="30"/>
                    <w:bidi w:val="0"/>
                    <w:rPr>
                      <w:rFonts w:hint="default" w:ascii="Times New Roman" w:hAnsi="Times New Roman" w:eastAsia="宋体" w:cs="Times New Roman"/>
                      <w:b/>
                      <w:bCs w:val="0"/>
                      <w:color w:val="auto"/>
                      <w:lang w:val="en-US" w:eastAsia="zh-CN"/>
                    </w:rPr>
                  </w:pPr>
                </w:p>
              </w:tc>
              <w:tc>
                <w:tcPr>
                  <w:tcW w:w="1035" w:type="dxa"/>
                  <w:vMerge w:val="continue"/>
                  <w:tcBorders>
                    <w:bottom w:val="single" w:color="auto" w:sz="4" w:space="0"/>
                    <w:tl2br w:val="nil"/>
                    <w:tr2bl w:val="nil"/>
                  </w:tcBorders>
                  <w:noWrap w:val="0"/>
                  <w:vAlign w:val="center"/>
                </w:tcPr>
                <w:p w14:paraId="3C3D47A0">
                  <w:pPr>
                    <w:pStyle w:val="30"/>
                    <w:bidi w:val="0"/>
                    <w:rPr>
                      <w:rFonts w:hint="default" w:ascii="Times New Roman" w:hAnsi="Times New Roman" w:eastAsia="宋体" w:cs="Times New Roman"/>
                      <w:b/>
                      <w:bCs w:val="0"/>
                      <w:color w:val="auto"/>
                      <w:lang w:val="en-US" w:eastAsia="zh-CN"/>
                    </w:rPr>
                  </w:pPr>
                </w:p>
              </w:tc>
              <w:tc>
                <w:tcPr>
                  <w:tcW w:w="838" w:type="dxa"/>
                  <w:tcBorders>
                    <w:bottom w:val="single" w:color="auto" w:sz="4" w:space="0"/>
                    <w:tl2br w:val="nil"/>
                    <w:tr2bl w:val="nil"/>
                  </w:tcBorders>
                  <w:noWrap w:val="0"/>
                  <w:vAlign w:val="center"/>
                </w:tcPr>
                <w:p w14:paraId="010B08C2">
                  <w:pPr>
                    <w:pStyle w:val="44"/>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val="0"/>
                      <w:color w:val="auto"/>
                      <w:lang w:val="en-US" w:eastAsia="zh-CN"/>
                    </w:rPr>
                  </w:pPr>
                  <w:r>
                    <w:rPr>
                      <w:rFonts w:hint="eastAsia" w:cs="Times New Roman"/>
                      <w:b/>
                      <w:bCs/>
                      <w:i w:val="0"/>
                      <w:iCs w:val="0"/>
                      <w:caps w:val="0"/>
                      <w:color w:val="auto"/>
                      <w:spacing w:val="0"/>
                      <w:sz w:val="21"/>
                      <w:szCs w:val="21"/>
                      <w:shd w:val="clear" w:color="auto" w:fill="FFFFFF"/>
                      <w:lang w:val="en-US" w:eastAsia="zh-CN"/>
                    </w:rPr>
                    <w:t>距离建筑物外距离m</w:t>
                  </w:r>
                </w:p>
              </w:tc>
              <w:tc>
                <w:tcPr>
                  <w:tcW w:w="868" w:type="dxa"/>
                  <w:tcBorders>
                    <w:bottom w:val="single" w:color="auto" w:sz="4" w:space="0"/>
                    <w:tl2br w:val="nil"/>
                    <w:tr2bl w:val="nil"/>
                  </w:tcBorders>
                  <w:noWrap w:val="0"/>
                  <w:vAlign w:val="center"/>
                </w:tcPr>
                <w:p w14:paraId="6498D608">
                  <w:pPr>
                    <w:pStyle w:val="44"/>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val="0"/>
                      <w:color w:val="auto"/>
                      <w:lang w:val="en-US" w:eastAsia="zh-CN"/>
                    </w:rPr>
                  </w:pPr>
                  <w:r>
                    <w:rPr>
                      <w:rFonts w:hint="eastAsia" w:cs="Times New Roman"/>
                      <w:b/>
                      <w:bCs/>
                      <w:i w:val="0"/>
                      <w:iCs w:val="0"/>
                      <w:caps w:val="0"/>
                      <w:color w:val="auto"/>
                      <w:spacing w:val="0"/>
                      <w:sz w:val="21"/>
                      <w:szCs w:val="21"/>
                      <w:shd w:val="clear" w:color="auto" w:fill="FFFFFF"/>
                      <w:lang w:val="en-US" w:eastAsia="zh-CN"/>
                    </w:rPr>
                    <w:t>声压级</w:t>
                  </w:r>
                  <w:r>
                    <w:rPr>
                      <w:b/>
                      <w:bCs/>
                      <w:color w:val="auto"/>
                      <w:kern w:val="0"/>
                      <w:szCs w:val="21"/>
                      <w:highlight w:val="none"/>
                    </w:rPr>
                    <w:t>d</w:t>
                  </w:r>
                  <w:r>
                    <w:rPr>
                      <w:b/>
                      <w:bCs/>
                      <w:caps/>
                      <w:color w:val="auto"/>
                      <w:kern w:val="0"/>
                      <w:szCs w:val="21"/>
                      <w:highlight w:val="none"/>
                    </w:rPr>
                    <w:t>B（A）</w:t>
                  </w:r>
                </w:p>
              </w:tc>
            </w:tr>
            <w:tr w14:paraId="05D652C3">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505" w:hRule="atLeast"/>
                <w:jc w:val="center"/>
              </w:trPr>
              <w:tc>
                <w:tcPr>
                  <w:tcW w:w="1152" w:type="dxa"/>
                  <w:tcBorders>
                    <w:tl2br w:val="nil"/>
                    <w:tr2bl w:val="nil"/>
                  </w:tcBorders>
                  <w:noWrap w:val="0"/>
                  <w:vAlign w:val="center"/>
                </w:tcPr>
                <w:p w14:paraId="27628B52">
                  <w:pPr>
                    <w:pStyle w:val="30"/>
                    <w:bidi w:val="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宠物叫声</w:t>
                  </w:r>
                </w:p>
              </w:tc>
              <w:tc>
                <w:tcPr>
                  <w:tcW w:w="630" w:type="dxa"/>
                  <w:tcBorders>
                    <w:tl2br w:val="nil"/>
                    <w:tr2bl w:val="nil"/>
                  </w:tcBorders>
                  <w:noWrap w:val="0"/>
                  <w:vAlign w:val="center"/>
                </w:tcPr>
                <w:p w14:paraId="5E85146B">
                  <w:pPr>
                    <w:pStyle w:val="30"/>
                    <w:bidi w:val="0"/>
                    <w:rPr>
                      <w:rFonts w:hint="default" w:ascii="Times New Roman" w:hAnsi="Times New Roman" w:eastAsia="宋体" w:cs="Times New Roman"/>
                      <w:color w:val="auto"/>
                      <w:lang w:val="en-US" w:eastAsia="zh-CN"/>
                    </w:rPr>
                  </w:pPr>
                  <w:r>
                    <w:rPr>
                      <w:rFonts w:hint="eastAsia" w:eastAsia="宋体" w:cs="Times New Roman"/>
                      <w:color w:val="auto"/>
                      <w:lang w:val="en-US" w:eastAsia="zh-CN"/>
                    </w:rPr>
                    <w:t>50-</w:t>
                  </w:r>
                  <w:r>
                    <w:rPr>
                      <w:rFonts w:hint="eastAsia" w:ascii="Times New Roman" w:hAnsi="Times New Roman" w:eastAsia="宋体" w:cs="Times New Roman"/>
                      <w:color w:val="auto"/>
                      <w:lang w:val="en-US" w:eastAsia="zh-CN"/>
                    </w:rPr>
                    <w:t>70</w:t>
                  </w:r>
                </w:p>
              </w:tc>
              <w:tc>
                <w:tcPr>
                  <w:tcW w:w="877" w:type="dxa"/>
                  <w:tcBorders>
                    <w:top w:val="single" w:color="auto" w:sz="4" w:space="0"/>
                    <w:bottom w:val="single" w:color="auto" w:sz="4" w:space="0"/>
                    <w:tl2br w:val="nil"/>
                    <w:tr2bl w:val="nil"/>
                  </w:tcBorders>
                  <w:noWrap w:val="0"/>
                  <w:vAlign w:val="center"/>
                </w:tcPr>
                <w:p w14:paraId="2304E250">
                  <w:pPr>
                    <w:pStyle w:val="30"/>
                    <w:bidi w:val="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厂房隔声</w:t>
                  </w:r>
                </w:p>
              </w:tc>
              <w:tc>
                <w:tcPr>
                  <w:tcW w:w="402" w:type="dxa"/>
                  <w:tcBorders>
                    <w:tl2br w:val="nil"/>
                    <w:tr2bl w:val="nil"/>
                  </w:tcBorders>
                  <w:noWrap w:val="0"/>
                  <w:vAlign w:val="center"/>
                </w:tcPr>
                <w:p w14:paraId="2C2C0062">
                  <w:pPr>
                    <w:pStyle w:val="30"/>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w:t>
                  </w:r>
                </w:p>
              </w:tc>
              <w:tc>
                <w:tcPr>
                  <w:tcW w:w="437" w:type="dxa"/>
                  <w:tcBorders>
                    <w:tl2br w:val="nil"/>
                    <w:tr2bl w:val="nil"/>
                  </w:tcBorders>
                  <w:noWrap w:val="0"/>
                  <w:vAlign w:val="center"/>
                </w:tcPr>
                <w:p w14:paraId="59F54B62">
                  <w:pPr>
                    <w:pStyle w:val="30"/>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w:t>
                  </w:r>
                </w:p>
              </w:tc>
              <w:tc>
                <w:tcPr>
                  <w:tcW w:w="360" w:type="dxa"/>
                  <w:tcBorders>
                    <w:tl2br w:val="nil"/>
                    <w:tr2bl w:val="nil"/>
                  </w:tcBorders>
                  <w:noWrap w:val="0"/>
                  <w:vAlign w:val="center"/>
                </w:tcPr>
                <w:p w14:paraId="29E3EB54">
                  <w:pPr>
                    <w:pStyle w:val="30"/>
                    <w:bidi w:val="0"/>
                    <w:rPr>
                      <w:rFonts w:hint="default" w:ascii="Times New Roman" w:hAnsi="Times New Roman" w:eastAsia="宋体" w:cs="Times New Roman"/>
                      <w:color w:val="auto"/>
                      <w:lang w:val="en-US" w:eastAsia="zh-CN"/>
                    </w:rPr>
                  </w:pPr>
                  <w:r>
                    <w:rPr>
                      <w:rFonts w:hint="eastAsia" w:cs="Times New Roman"/>
                      <w:color w:val="auto"/>
                      <w:lang w:val="en-US" w:eastAsia="zh-CN"/>
                    </w:rPr>
                    <w:t>1</w:t>
                  </w:r>
                </w:p>
              </w:tc>
              <w:tc>
                <w:tcPr>
                  <w:tcW w:w="950" w:type="dxa"/>
                  <w:tcBorders>
                    <w:tl2br w:val="nil"/>
                    <w:tr2bl w:val="nil"/>
                  </w:tcBorders>
                  <w:noWrap w:val="0"/>
                  <w:vAlign w:val="center"/>
                </w:tcPr>
                <w:p w14:paraId="714A686F">
                  <w:pPr>
                    <w:pStyle w:val="30"/>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w:t>
                  </w:r>
                </w:p>
              </w:tc>
              <w:tc>
                <w:tcPr>
                  <w:tcW w:w="671" w:type="dxa"/>
                  <w:tcBorders>
                    <w:tl2br w:val="nil"/>
                    <w:tr2bl w:val="nil"/>
                  </w:tcBorders>
                  <w:noWrap w:val="0"/>
                  <w:vAlign w:val="center"/>
                </w:tcPr>
                <w:p w14:paraId="0711D1AD">
                  <w:pPr>
                    <w:pStyle w:val="30"/>
                    <w:bidi w:val="0"/>
                    <w:rPr>
                      <w:rFonts w:hint="default" w:ascii="Times New Roman" w:hAnsi="Times New Roman" w:eastAsia="宋体" w:cs="Times New Roman"/>
                      <w:color w:val="auto"/>
                      <w:lang w:val="en-US" w:eastAsia="zh-CN"/>
                    </w:rPr>
                  </w:pPr>
                  <w:r>
                    <w:rPr>
                      <w:rFonts w:hint="eastAsia"/>
                      <w:lang w:val="en-US" w:eastAsia="zh-CN"/>
                    </w:rPr>
                    <w:t>24小时</w:t>
                  </w:r>
                </w:p>
              </w:tc>
              <w:tc>
                <w:tcPr>
                  <w:tcW w:w="1035" w:type="dxa"/>
                  <w:tcBorders>
                    <w:tl2br w:val="nil"/>
                    <w:tr2bl w:val="nil"/>
                  </w:tcBorders>
                  <w:noWrap w:val="0"/>
                  <w:vAlign w:val="center"/>
                </w:tcPr>
                <w:p w14:paraId="01CFEA67">
                  <w:pPr>
                    <w:pStyle w:val="30"/>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20</w:t>
                  </w:r>
                </w:p>
              </w:tc>
              <w:tc>
                <w:tcPr>
                  <w:tcW w:w="838" w:type="dxa"/>
                  <w:tcBorders>
                    <w:tl2br w:val="nil"/>
                    <w:tr2bl w:val="nil"/>
                  </w:tcBorders>
                  <w:noWrap w:val="0"/>
                  <w:vAlign w:val="center"/>
                </w:tcPr>
                <w:p w14:paraId="4B366E76">
                  <w:pPr>
                    <w:pStyle w:val="30"/>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w:t>
                  </w:r>
                </w:p>
              </w:tc>
              <w:tc>
                <w:tcPr>
                  <w:tcW w:w="868" w:type="dxa"/>
                  <w:tcBorders>
                    <w:tl2br w:val="nil"/>
                    <w:tr2bl w:val="nil"/>
                  </w:tcBorders>
                  <w:noWrap w:val="0"/>
                  <w:vAlign w:val="center"/>
                </w:tcPr>
                <w:p w14:paraId="6BFA6609">
                  <w:pPr>
                    <w:pStyle w:val="30"/>
                    <w:bidi w:val="0"/>
                    <w:rPr>
                      <w:rFonts w:hint="default" w:ascii="Times New Roman" w:hAnsi="Times New Roman" w:eastAsia="宋体" w:cs="Times New Roman"/>
                      <w:color w:val="auto"/>
                      <w:lang w:val="en-US" w:eastAsia="zh-CN"/>
                    </w:rPr>
                  </w:pPr>
                  <w:r>
                    <w:rPr>
                      <w:rFonts w:hint="eastAsia" w:cs="Times New Roman"/>
                      <w:color w:val="auto"/>
                      <w:lang w:val="en-US" w:eastAsia="zh-CN"/>
                    </w:rPr>
                    <w:t>44</w:t>
                  </w:r>
                </w:p>
              </w:tc>
            </w:tr>
            <w:tr w14:paraId="29A3091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505" w:hRule="atLeast"/>
                <w:jc w:val="center"/>
              </w:trPr>
              <w:tc>
                <w:tcPr>
                  <w:tcW w:w="1152" w:type="dxa"/>
                  <w:tcBorders>
                    <w:tl2br w:val="nil"/>
                    <w:tr2bl w:val="nil"/>
                  </w:tcBorders>
                  <w:noWrap w:val="0"/>
                  <w:vAlign w:val="center"/>
                </w:tcPr>
                <w:p w14:paraId="1CD88E13">
                  <w:pPr>
                    <w:pStyle w:val="30"/>
                    <w:widowControl w:val="0"/>
                    <w:bidi w:val="0"/>
                    <w:rPr>
                      <w:rFonts w:hint="default" w:cs="Times New Roman"/>
                      <w:color w:val="auto"/>
                      <w:lang w:val="en-US" w:eastAsia="zh-CN"/>
                    </w:rPr>
                  </w:pPr>
                  <w:r>
                    <w:rPr>
                      <w:rFonts w:hint="eastAsia" w:cs="Times New Roman"/>
                      <w:color w:val="auto"/>
                      <w:lang w:val="en-US" w:eastAsia="zh-CN"/>
                    </w:rPr>
                    <w:t>离心机</w:t>
                  </w:r>
                </w:p>
              </w:tc>
              <w:tc>
                <w:tcPr>
                  <w:tcW w:w="630" w:type="dxa"/>
                  <w:tcBorders>
                    <w:tl2br w:val="nil"/>
                    <w:tr2bl w:val="nil"/>
                  </w:tcBorders>
                  <w:noWrap w:val="0"/>
                  <w:vAlign w:val="center"/>
                </w:tcPr>
                <w:p w14:paraId="3CAFCF09">
                  <w:pPr>
                    <w:pStyle w:val="30"/>
                    <w:widowControl w:val="0"/>
                    <w:bidi w:val="0"/>
                    <w:rPr>
                      <w:rFonts w:hint="default" w:cs="Times New Roman"/>
                      <w:color w:val="auto"/>
                      <w:lang w:val="en-US" w:eastAsia="zh-CN"/>
                    </w:rPr>
                  </w:pPr>
                  <w:r>
                    <w:rPr>
                      <w:rFonts w:hint="eastAsia" w:cs="Times New Roman"/>
                      <w:color w:val="auto"/>
                      <w:lang w:val="en-US" w:eastAsia="zh-CN"/>
                    </w:rPr>
                    <w:t>70</w:t>
                  </w:r>
                </w:p>
              </w:tc>
              <w:tc>
                <w:tcPr>
                  <w:tcW w:w="877" w:type="dxa"/>
                  <w:tcBorders>
                    <w:tl2br w:val="nil"/>
                    <w:tr2bl w:val="nil"/>
                  </w:tcBorders>
                  <w:noWrap w:val="0"/>
                  <w:vAlign w:val="center"/>
                </w:tcPr>
                <w:p w14:paraId="76F7A009">
                  <w:pPr>
                    <w:pStyle w:val="30"/>
                    <w:bidi w:val="0"/>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低噪声设备、基础</w:t>
                  </w:r>
                  <w:r>
                    <w:rPr>
                      <w:rFonts w:hint="eastAsia" w:cs="Times New Roman"/>
                      <w:color w:val="auto"/>
                      <w:lang w:val="en-US" w:eastAsia="zh-CN"/>
                    </w:rPr>
                    <w:t>减振</w:t>
                  </w:r>
                  <w:r>
                    <w:rPr>
                      <w:rFonts w:hint="default" w:ascii="Times New Roman" w:hAnsi="Times New Roman" w:cs="Times New Roman"/>
                      <w:color w:val="auto"/>
                      <w:lang w:val="en-US" w:eastAsia="zh-CN"/>
                    </w:rPr>
                    <w:t>、墙体隔声</w:t>
                  </w:r>
                </w:p>
              </w:tc>
              <w:tc>
                <w:tcPr>
                  <w:tcW w:w="402" w:type="dxa"/>
                  <w:tcBorders>
                    <w:tl2br w:val="nil"/>
                    <w:tr2bl w:val="nil"/>
                  </w:tcBorders>
                  <w:noWrap w:val="0"/>
                  <w:vAlign w:val="center"/>
                </w:tcPr>
                <w:p w14:paraId="6E7D8C2A">
                  <w:pPr>
                    <w:pStyle w:val="30"/>
                    <w:bidi w:val="0"/>
                    <w:rPr>
                      <w:rFonts w:hint="default" w:cs="Times New Roman"/>
                      <w:color w:val="auto"/>
                      <w:lang w:val="en-US" w:eastAsia="zh-CN"/>
                    </w:rPr>
                  </w:pPr>
                  <w:r>
                    <w:rPr>
                      <w:rFonts w:hint="eastAsia" w:cs="Times New Roman"/>
                      <w:color w:val="auto"/>
                      <w:lang w:val="en-US" w:eastAsia="zh-CN"/>
                    </w:rPr>
                    <w:t>-6</w:t>
                  </w:r>
                </w:p>
              </w:tc>
              <w:tc>
                <w:tcPr>
                  <w:tcW w:w="437" w:type="dxa"/>
                  <w:tcBorders>
                    <w:tl2br w:val="nil"/>
                    <w:tr2bl w:val="nil"/>
                  </w:tcBorders>
                  <w:noWrap w:val="0"/>
                  <w:vAlign w:val="center"/>
                </w:tcPr>
                <w:p w14:paraId="0F9DAFBD">
                  <w:pPr>
                    <w:pStyle w:val="30"/>
                    <w:bidi w:val="0"/>
                    <w:rPr>
                      <w:rFonts w:hint="default" w:cs="Times New Roman"/>
                      <w:color w:val="auto"/>
                      <w:lang w:val="en-US" w:eastAsia="zh-CN"/>
                    </w:rPr>
                  </w:pPr>
                  <w:r>
                    <w:rPr>
                      <w:rFonts w:hint="eastAsia" w:cs="Times New Roman"/>
                      <w:color w:val="auto"/>
                      <w:lang w:val="en-US" w:eastAsia="zh-CN"/>
                    </w:rPr>
                    <w:t>10</w:t>
                  </w:r>
                </w:p>
              </w:tc>
              <w:tc>
                <w:tcPr>
                  <w:tcW w:w="360" w:type="dxa"/>
                  <w:tcBorders>
                    <w:tl2br w:val="nil"/>
                    <w:tr2bl w:val="nil"/>
                  </w:tcBorders>
                  <w:noWrap w:val="0"/>
                  <w:vAlign w:val="center"/>
                </w:tcPr>
                <w:p w14:paraId="24A5D650">
                  <w:pPr>
                    <w:pStyle w:val="30"/>
                    <w:bidi w:val="0"/>
                    <w:rPr>
                      <w:rFonts w:hint="default" w:cs="Times New Roman"/>
                      <w:color w:val="auto"/>
                      <w:lang w:val="en-US" w:eastAsia="zh-CN"/>
                    </w:rPr>
                  </w:pPr>
                  <w:r>
                    <w:rPr>
                      <w:rFonts w:hint="eastAsia" w:cs="Times New Roman"/>
                      <w:color w:val="auto"/>
                      <w:lang w:val="en-US" w:eastAsia="zh-CN"/>
                    </w:rPr>
                    <w:t>1</w:t>
                  </w:r>
                </w:p>
              </w:tc>
              <w:tc>
                <w:tcPr>
                  <w:tcW w:w="950" w:type="dxa"/>
                  <w:tcBorders>
                    <w:tl2br w:val="nil"/>
                    <w:tr2bl w:val="nil"/>
                  </w:tcBorders>
                  <w:noWrap w:val="0"/>
                  <w:vAlign w:val="center"/>
                </w:tcPr>
                <w:p w14:paraId="40624068">
                  <w:pPr>
                    <w:pStyle w:val="30"/>
                    <w:bidi w:val="0"/>
                    <w:rPr>
                      <w:rFonts w:hint="default" w:cs="Times New Roman"/>
                      <w:color w:val="auto"/>
                      <w:lang w:val="en-US" w:eastAsia="zh-CN"/>
                    </w:rPr>
                  </w:pPr>
                  <w:r>
                    <w:rPr>
                      <w:rFonts w:hint="eastAsia" w:cs="Times New Roman"/>
                      <w:color w:val="auto"/>
                      <w:lang w:val="en-US" w:eastAsia="zh-CN"/>
                    </w:rPr>
                    <w:t>1</w:t>
                  </w:r>
                </w:p>
              </w:tc>
              <w:tc>
                <w:tcPr>
                  <w:tcW w:w="671" w:type="dxa"/>
                  <w:tcBorders>
                    <w:tl2br w:val="nil"/>
                    <w:tr2bl w:val="nil"/>
                  </w:tcBorders>
                  <w:noWrap w:val="0"/>
                  <w:vAlign w:val="center"/>
                </w:tcPr>
                <w:p w14:paraId="060D49E7">
                  <w:pPr>
                    <w:pStyle w:val="30"/>
                    <w:bidi w:val="0"/>
                    <w:rPr>
                      <w:rFonts w:hint="eastAsia" w:cs="Times New Roman"/>
                      <w:color w:val="auto"/>
                      <w:lang w:val="en-US" w:eastAsia="zh-CN"/>
                    </w:rPr>
                  </w:pPr>
                  <w:r>
                    <w:rPr>
                      <w:rFonts w:hint="eastAsia" w:cs="Times New Roman"/>
                      <w:color w:val="auto"/>
                      <w:lang w:val="en-US" w:eastAsia="zh-CN"/>
                    </w:rPr>
                    <w:t>昼间</w:t>
                  </w:r>
                </w:p>
              </w:tc>
              <w:tc>
                <w:tcPr>
                  <w:tcW w:w="1035" w:type="dxa"/>
                  <w:tcBorders>
                    <w:tl2br w:val="nil"/>
                    <w:tr2bl w:val="nil"/>
                  </w:tcBorders>
                  <w:noWrap w:val="0"/>
                  <w:vAlign w:val="center"/>
                </w:tcPr>
                <w:p w14:paraId="204A7C53">
                  <w:pPr>
                    <w:pStyle w:val="30"/>
                    <w:bidi w:val="0"/>
                    <w:rPr>
                      <w:rFonts w:hint="eastAsia" w:cs="Times New Roman"/>
                      <w:color w:val="auto"/>
                      <w:lang w:val="en-US" w:eastAsia="zh-CN"/>
                    </w:rPr>
                  </w:pPr>
                  <w:r>
                    <w:rPr>
                      <w:rFonts w:hint="eastAsia" w:cs="Times New Roman"/>
                      <w:color w:val="auto"/>
                      <w:lang w:val="en-US" w:eastAsia="zh-CN"/>
                    </w:rPr>
                    <w:t>20</w:t>
                  </w:r>
                </w:p>
              </w:tc>
              <w:tc>
                <w:tcPr>
                  <w:tcW w:w="838" w:type="dxa"/>
                  <w:tcBorders>
                    <w:tl2br w:val="nil"/>
                    <w:tr2bl w:val="nil"/>
                  </w:tcBorders>
                  <w:noWrap w:val="0"/>
                  <w:vAlign w:val="center"/>
                </w:tcPr>
                <w:p w14:paraId="3098FF07">
                  <w:pPr>
                    <w:pStyle w:val="30"/>
                    <w:bidi w:val="0"/>
                    <w:rPr>
                      <w:rFonts w:hint="default" w:cs="Times New Roman"/>
                      <w:color w:val="auto"/>
                      <w:lang w:val="en-US" w:eastAsia="zh-CN"/>
                    </w:rPr>
                  </w:pPr>
                  <w:r>
                    <w:rPr>
                      <w:rFonts w:hint="eastAsia" w:cs="Times New Roman"/>
                      <w:color w:val="auto"/>
                      <w:lang w:val="en-US" w:eastAsia="zh-CN"/>
                    </w:rPr>
                    <w:t>1</w:t>
                  </w:r>
                </w:p>
              </w:tc>
              <w:tc>
                <w:tcPr>
                  <w:tcW w:w="868" w:type="dxa"/>
                  <w:tcBorders>
                    <w:tl2br w:val="nil"/>
                    <w:tr2bl w:val="nil"/>
                  </w:tcBorders>
                  <w:noWrap w:val="0"/>
                  <w:vAlign w:val="center"/>
                </w:tcPr>
                <w:p w14:paraId="287E39F2">
                  <w:pPr>
                    <w:pStyle w:val="30"/>
                    <w:bidi w:val="0"/>
                    <w:rPr>
                      <w:rFonts w:hint="default" w:cs="Times New Roman"/>
                      <w:color w:val="auto"/>
                      <w:lang w:val="en-US" w:eastAsia="zh-CN"/>
                    </w:rPr>
                  </w:pPr>
                  <w:r>
                    <w:rPr>
                      <w:rFonts w:hint="eastAsia" w:cs="Times New Roman"/>
                      <w:color w:val="auto"/>
                      <w:lang w:val="en-US" w:eastAsia="zh-CN"/>
                    </w:rPr>
                    <w:t>44</w:t>
                  </w:r>
                </w:p>
              </w:tc>
            </w:tr>
          </w:tbl>
          <w:p w14:paraId="20F32723">
            <w:pPr>
              <w:keepNext w:val="0"/>
              <w:keepLines w:val="0"/>
              <w:suppressLineNumbers w:val="0"/>
              <w:adjustRightInd w:val="0"/>
              <w:snapToGrid w:val="0"/>
              <w:spacing w:before="0" w:beforeAutospacing="0" w:after="0" w:afterAutospacing="0" w:line="240" w:lineRule="auto"/>
              <w:ind w:left="0" w:right="0" w:firstLine="0"/>
              <w:rPr>
                <w:rFonts w:hint="eastAsia"/>
                <w:color w:val="auto"/>
                <w:sz w:val="21"/>
                <w:szCs w:val="21"/>
                <w:lang w:eastAsia="zh-CN"/>
              </w:rPr>
            </w:pPr>
            <w:r>
              <w:rPr>
                <w:rFonts w:hint="eastAsia"/>
                <w:color w:val="auto"/>
                <w:sz w:val="21"/>
                <w:szCs w:val="21"/>
              </w:rPr>
              <w:t>注：以项目区</w:t>
            </w:r>
            <w:r>
              <w:rPr>
                <w:rFonts w:hint="eastAsia"/>
                <w:color w:val="auto"/>
                <w:sz w:val="21"/>
                <w:szCs w:val="21"/>
                <w:lang w:val="en-US" w:eastAsia="zh-CN"/>
              </w:rPr>
              <w:t>中心</w:t>
            </w:r>
            <w:r>
              <w:rPr>
                <w:rFonts w:hint="eastAsia"/>
                <w:color w:val="auto"/>
                <w:sz w:val="21"/>
                <w:szCs w:val="21"/>
              </w:rPr>
              <w:t>为坐标原点（0，0，0），以向</w:t>
            </w:r>
            <w:r>
              <w:rPr>
                <w:rFonts w:hint="eastAsia"/>
                <w:color w:val="auto"/>
                <w:sz w:val="21"/>
                <w:szCs w:val="21"/>
                <w:lang w:val="en-US" w:eastAsia="zh-CN"/>
              </w:rPr>
              <w:t>东</w:t>
            </w:r>
            <w:r>
              <w:rPr>
                <w:rFonts w:hint="eastAsia"/>
                <w:color w:val="auto"/>
                <w:sz w:val="21"/>
                <w:szCs w:val="21"/>
              </w:rPr>
              <w:t>为X轴向，以向</w:t>
            </w:r>
            <w:r>
              <w:rPr>
                <w:rFonts w:hint="eastAsia"/>
                <w:color w:val="auto"/>
                <w:sz w:val="21"/>
                <w:szCs w:val="21"/>
                <w:lang w:val="en-US" w:eastAsia="zh-CN"/>
              </w:rPr>
              <w:t>北</w:t>
            </w:r>
            <w:r>
              <w:rPr>
                <w:rFonts w:hint="eastAsia"/>
                <w:color w:val="auto"/>
                <w:sz w:val="21"/>
                <w:szCs w:val="21"/>
              </w:rPr>
              <w:t>为Y轴向，以向上为Z轴向</w:t>
            </w:r>
            <w:r>
              <w:rPr>
                <w:rFonts w:hint="eastAsia"/>
                <w:color w:val="auto"/>
                <w:sz w:val="21"/>
                <w:szCs w:val="21"/>
                <w:lang w:eastAsia="zh-CN"/>
              </w:rPr>
              <w:t>。</w:t>
            </w:r>
          </w:p>
          <w:p w14:paraId="75AEAE83">
            <w:pPr>
              <w:keepNext w:val="0"/>
              <w:keepLines w:val="0"/>
              <w:pageBreakBefore w:val="0"/>
              <w:widowControl w:val="0"/>
              <w:kinsoku/>
              <w:wordWrap/>
              <w:overflowPunct/>
              <w:topLinePunct w:val="0"/>
              <w:autoSpaceDE/>
              <w:autoSpaceDN/>
              <w:bidi w:val="0"/>
              <w:adjustRightInd w:val="0"/>
              <w:snapToGrid w:val="0"/>
              <w:spacing w:line="480" w:lineRule="exact"/>
              <w:jc w:val="center"/>
              <w:textAlignment w:val="auto"/>
              <w:rPr>
                <w:rFonts w:hint="eastAsia" w:ascii="Times New Roman" w:hAnsi="Times New Roman" w:eastAsia="宋体" w:cs="Times New Roman"/>
                <w:b/>
                <w:bCs/>
                <w:snapToGrid w:val="0"/>
                <w:color w:val="auto"/>
                <w:spacing w:val="8"/>
                <w:kern w:val="0"/>
                <w:sz w:val="21"/>
                <w:szCs w:val="72"/>
                <w:lang w:val="en-US" w:eastAsia="zh-CN"/>
              </w:rPr>
            </w:pPr>
            <w:r>
              <w:rPr>
                <w:rFonts w:hint="default" w:ascii="Times New Roman" w:hAnsi="Times New Roman" w:eastAsia="宋体" w:cs="Times New Roman"/>
                <w:b/>
                <w:bCs/>
                <w:snapToGrid w:val="0"/>
                <w:color w:val="auto"/>
                <w:spacing w:val="8"/>
                <w:kern w:val="0"/>
                <w:sz w:val="21"/>
                <w:szCs w:val="72"/>
                <w:lang w:val="en-US" w:eastAsia="zh-CN"/>
              </w:rPr>
              <w:t>表</w:t>
            </w:r>
            <w:r>
              <w:rPr>
                <w:rFonts w:hint="eastAsia" w:ascii="Times New Roman" w:hAnsi="Times New Roman" w:eastAsia="宋体" w:cs="Times New Roman"/>
                <w:b/>
                <w:bCs/>
                <w:snapToGrid w:val="0"/>
                <w:color w:val="auto"/>
                <w:spacing w:val="8"/>
                <w:kern w:val="0"/>
                <w:sz w:val="21"/>
                <w:szCs w:val="72"/>
                <w:lang w:val="en-US" w:eastAsia="zh-CN"/>
              </w:rPr>
              <w:t>4-9 主要噪声源强调查清单（室外声源）</w:t>
            </w:r>
          </w:p>
          <w:tbl>
            <w:tblPr>
              <w:tblStyle w:val="18"/>
              <w:tblW w:w="4995"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28" w:type="dxa"/>
                <w:bottom w:w="0" w:type="dxa"/>
                <w:right w:w="28" w:type="dxa"/>
              </w:tblCellMar>
            </w:tblPr>
            <w:tblGrid>
              <w:gridCol w:w="558"/>
              <w:gridCol w:w="1453"/>
              <w:gridCol w:w="739"/>
              <w:gridCol w:w="791"/>
              <w:gridCol w:w="732"/>
              <w:gridCol w:w="1391"/>
              <w:gridCol w:w="1522"/>
              <w:gridCol w:w="1016"/>
            </w:tblGrid>
            <w:tr w14:paraId="4B633D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tblHeader/>
                <w:jc w:val="center"/>
              </w:trPr>
              <w:tc>
                <w:tcPr>
                  <w:tcW w:w="340" w:type="pct"/>
                  <w:vMerge w:val="restart"/>
                  <w:noWrap w:val="0"/>
                  <w:vAlign w:val="center"/>
                </w:tcPr>
                <w:p w14:paraId="08C3773B">
                  <w:pPr>
                    <w:pStyle w:val="47"/>
                    <w:tabs>
                      <w:tab w:val="left" w:pos="282"/>
                      <w:tab w:val="left" w:pos="327"/>
                      <w:tab w:val="left" w:pos="507"/>
                      <w:tab w:val="right" w:pos="8913"/>
                    </w:tabs>
                    <w:spacing w:line="240" w:lineRule="auto"/>
                    <w:ind w:firstLine="0" w:firstLineChars="0"/>
                    <w:jc w:val="center"/>
                    <w:rPr>
                      <w:rFonts w:hint="eastAsia"/>
                      <w:b/>
                      <w:color w:val="auto"/>
                      <w:sz w:val="21"/>
                      <w:highlight w:val="none"/>
                    </w:rPr>
                  </w:pPr>
                  <w:r>
                    <w:rPr>
                      <w:rFonts w:hint="eastAsia"/>
                      <w:b/>
                      <w:color w:val="auto"/>
                      <w:sz w:val="21"/>
                      <w:highlight w:val="none"/>
                    </w:rPr>
                    <w:t>序号</w:t>
                  </w:r>
                </w:p>
              </w:tc>
              <w:tc>
                <w:tcPr>
                  <w:tcW w:w="885" w:type="pct"/>
                  <w:vMerge w:val="restart"/>
                  <w:noWrap w:val="0"/>
                  <w:vAlign w:val="center"/>
                </w:tcPr>
                <w:p w14:paraId="440031FD">
                  <w:pPr>
                    <w:pStyle w:val="47"/>
                    <w:tabs>
                      <w:tab w:val="left" w:pos="282"/>
                      <w:tab w:val="left" w:pos="327"/>
                      <w:tab w:val="left" w:pos="507"/>
                      <w:tab w:val="right" w:pos="8913"/>
                    </w:tabs>
                    <w:spacing w:line="240" w:lineRule="auto"/>
                    <w:ind w:firstLine="0" w:firstLineChars="0"/>
                    <w:jc w:val="center"/>
                    <w:rPr>
                      <w:rFonts w:hint="eastAsia"/>
                      <w:b/>
                      <w:color w:val="auto"/>
                      <w:sz w:val="21"/>
                      <w:highlight w:val="none"/>
                    </w:rPr>
                  </w:pPr>
                  <w:r>
                    <w:rPr>
                      <w:rFonts w:hint="eastAsia"/>
                      <w:b/>
                      <w:color w:val="auto"/>
                      <w:sz w:val="21"/>
                      <w:highlight w:val="none"/>
                    </w:rPr>
                    <w:t>声源名称</w:t>
                  </w:r>
                </w:p>
              </w:tc>
              <w:tc>
                <w:tcPr>
                  <w:tcW w:w="1378" w:type="pct"/>
                  <w:gridSpan w:val="3"/>
                  <w:noWrap w:val="0"/>
                  <w:vAlign w:val="center"/>
                </w:tcPr>
                <w:p w14:paraId="3F6549EB">
                  <w:pPr>
                    <w:pStyle w:val="47"/>
                    <w:tabs>
                      <w:tab w:val="left" w:pos="282"/>
                      <w:tab w:val="left" w:pos="327"/>
                      <w:tab w:val="left" w:pos="507"/>
                      <w:tab w:val="right" w:pos="8913"/>
                    </w:tabs>
                    <w:spacing w:line="240" w:lineRule="auto"/>
                    <w:ind w:firstLine="0" w:firstLineChars="0"/>
                    <w:jc w:val="center"/>
                    <w:rPr>
                      <w:rFonts w:hint="eastAsia"/>
                      <w:b/>
                      <w:color w:val="auto"/>
                      <w:sz w:val="21"/>
                      <w:highlight w:val="none"/>
                    </w:rPr>
                  </w:pPr>
                  <w:r>
                    <w:rPr>
                      <w:rFonts w:hint="eastAsia"/>
                      <w:b/>
                      <w:color w:val="auto"/>
                      <w:sz w:val="21"/>
                      <w:highlight w:val="none"/>
                    </w:rPr>
                    <w:t>空间相对位置/m</w:t>
                  </w:r>
                </w:p>
              </w:tc>
              <w:tc>
                <w:tcPr>
                  <w:tcW w:w="847" w:type="pct"/>
                  <w:vMerge w:val="restart"/>
                  <w:noWrap w:val="0"/>
                  <w:vAlign w:val="center"/>
                </w:tcPr>
                <w:p w14:paraId="2B7AA26C">
                  <w:pPr>
                    <w:pStyle w:val="47"/>
                    <w:tabs>
                      <w:tab w:val="left" w:pos="282"/>
                      <w:tab w:val="left" w:pos="327"/>
                      <w:tab w:val="left" w:pos="507"/>
                      <w:tab w:val="right" w:pos="8913"/>
                    </w:tabs>
                    <w:spacing w:line="240" w:lineRule="auto"/>
                    <w:ind w:firstLine="0" w:firstLineChars="0"/>
                    <w:jc w:val="center"/>
                    <w:rPr>
                      <w:rFonts w:hint="eastAsia"/>
                      <w:b/>
                      <w:color w:val="auto"/>
                      <w:sz w:val="21"/>
                      <w:highlight w:val="none"/>
                    </w:rPr>
                  </w:pPr>
                  <w:r>
                    <w:rPr>
                      <w:rFonts w:hint="eastAsia" w:eastAsia="宋体"/>
                      <w:b/>
                      <w:color w:val="auto"/>
                      <w:sz w:val="21"/>
                      <w:highlight w:val="none"/>
                      <w:lang w:eastAsia="zh-CN"/>
                    </w:rPr>
                    <w:t>声压级/距离声源距离/（dB（A）/m）</w:t>
                  </w:r>
                </w:p>
              </w:tc>
              <w:tc>
                <w:tcPr>
                  <w:tcW w:w="927" w:type="pct"/>
                  <w:vMerge w:val="restart"/>
                  <w:noWrap w:val="0"/>
                  <w:vAlign w:val="center"/>
                </w:tcPr>
                <w:p w14:paraId="4334D258">
                  <w:pPr>
                    <w:pStyle w:val="47"/>
                    <w:tabs>
                      <w:tab w:val="left" w:pos="282"/>
                      <w:tab w:val="left" w:pos="327"/>
                      <w:tab w:val="left" w:pos="507"/>
                      <w:tab w:val="right" w:pos="8913"/>
                    </w:tabs>
                    <w:spacing w:line="240" w:lineRule="auto"/>
                    <w:ind w:firstLine="0" w:firstLineChars="0"/>
                    <w:jc w:val="center"/>
                    <w:rPr>
                      <w:rFonts w:hint="eastAsia"/>
                      <w:b/>
                      <w:color w:val="auto"/>
                      <w:sz w:val="21"/>
                      <w:highlight w:val="none"/>
                    </w:rPr>
                  </w:pPr>
                  <w:r>
                    <w:rPr>
                      <w:rFonts w:hint="eastAsia"/>
                      <w:b/>
                      <w:color w:val="auto"/>
                      <w:sz w:val="21"/>
                      <w:highlight w:val="none"/>
                    </w:rPr>
                    <w:t>声源控制措施</w:t>
                  </w:r>
                </w:p>
              </w:tc>
              <w:tc>
                <w:tcPr>
                  <w:tcW w:w="619" w:type="pct"/>
                  <w:vMerge w:val="restart"/>
                  <w:noWrap w:val="0"/>
                  <w:vAlign w:val="center"/>
                </w:tcPr>
                <w:p w14:paraId="25BC61E3">
                  <w:pPr>
                    <w:pStyle w:val="47"/>
                    <w:tabs>
                      <w:tab w:val="left" w:pos="282"/>
                      <w:tab w:val="left" w:pos="327"/>
                      <w:tab w:val="left" w:pos="507"/>
                      <w:tab w:val="right" w:pos="8913"/>
                    </w:tabs>
                    <w:spacing w:line="240" w:lineRule="auto"/>
                    <w:ind w:firstLine="0" w:firstLineChars="0"/>
                    <w:jc w:val="center"/>
                    <w:rPr>
                      <w:rFonts w:hint="eastAsia"/>
                      <w:b/>
                      <w:color w:val="auto"/>
                      <w:sz w:val="21"/>
                      <w:highlight w:val="none"/>
                    </w:rPr>
                  </w:pPr>
                  <w:r>
                    <w:rPr>
                      <w:rFonts w:hint="eastAsia"/>
                      <w:b/>
                      <w:color w:val="auto"/>
                      <w:sz w:val="21"/>
                      <w:highlight w:val="none"/>
                    </w:rPr>
                    <w:t>运行时段</w:t>
                  </w:r>
                </w:p>
              </w:tc>
            </w:tr>
            <w:tr w14:paraId="7EA5E45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tblHeader/>
                <w:jc w:val="center"/>
              </w:trPr>
              <w:tc>
                <w:tcPr>
                  <w:tcW w:w="340" w:type="pct"/>
                  <w:vMerge w:val="continue"/>
                  <w:noWrap w:val="0"/>
                  <w:vAlign w:val="center"/>
                </w:tcPr>
                <w:p w14:paraId="6400C073">
                  <w:pPr>
                    <w:pStyle w:val="47"/>
                    <w:tabs>
                      <w:tab w:val="left" w:pos="282"/>
                      <w:tab w:val="left" w:pos="327"/>
                      <w:tab w:val="left" w:pos="507"/>
                      <w:tab w:val="right" w:pos="8913"/>
                    </w:tabs>
                    <w:spacing w:line="240" w:lineRule="auto"/>
                    <w:ind w:firstLine="0" w:firstLineChars="0"/>
                    <w:jc w:val="center"/>
                    <w:rPr>
                      <w:rFonts w:hint="eastAsia"/>
                      <w:b/>
                      <w:color w:val="auto"/>
                      <w:sz w:val="21"/>
                      <w:highlight w:val="none"/>
                    </w:rPr>
                  </w:pPr>
                </w:p>
              </w:tc>
              <w:tc>
                <w:tcPr>
                  <w:tcW w:w="885" w:type="pct"/>
                  <w:vMerge w:val="continue"/>
                  <w:noWrap w:val="0"/>
                  <w:vAlign w:val="center"/>
                </w:tcPr>
                <w:p w14:paraId="13A29469">
                  <w:pPr>
                    <w:pStyle w:val="47"/>
                    <w:tabs>
                      <w:tab w:val="left" w:pos="282"/>
                      <w:tab w:val="left" w:pos="327"/>
                      <w:tab w:val="left" w:pos="507"/>
                      <w:tab w:val="right" w:pos="8913"/>
                    </w:tabs>
                    <w:spacing w:line="240" w:lineRule="auto"/>
                    <w:ind w:firstLine="0" w:firstLineChars="0"/>
                    <w:jc w:val="center"/>
                    <w:rPr>
                      <w:rFonts w:hint="eastAsia"/>
                      <w:b/>
                      <w:color w:val="auto"/>
                      <w:sz w:val="21"/>
                      <w:highlight w:val="none"/>
                    </w:rPr>
                  </w:pPr>
                </w:p>
              </w:tc>
              <w:tc>
                <w:tcPr>
                  <w:tcW w:w="450" w:type="pct"/>
                  <w:noWrap w:val="0"/>
                  <w:vAlign w:val="center"/>
                </w:tcPr>
                <w:p w14:paraId="602E7B05">
                  <w:pPr>
                    <w:pStyle w:val="47"/>
                    <w:tabs>
                      <w:tab w:val="left" w:pos="282"/>
                      <w:tab w:val="left" w:pos="327"/>
                      <w:tab w:val="left" w:pos="507"/>
                      <w:tab w:val="right" w:pos="8913"/>
                    </w:tabs>
                    <w:spacing w:line="240" w:lineRule="auto"/>
                    <w:ind w:firstLine="0" w:firstLineChars="0"/>
                    <w:jc w:val="center"/>
                    <w:rPr>
                      <w:rFonts w:hint="eastAsia"/>
                      <w:b/>
                      <w:color w:val="auto"/>
                      <w:sz w:val="21"/>
                      <w:highlight w:val="none"/>
                    </w:rPr>
                  </w:pPr>
                  <w:r>
                    <w:rPr>
                      <w:rFonts w:hint="eastAsia"/>
                      <w:b/>
                      <w:color w:val="auto"/>
                      <w:sz w:val="21"/>
                      <w:highlight w:val="none"/>
                    </w:rPr>
                    <w:t>X</w:t>
                  </w:r>
                </w:p>
              </w:tc>
              <w:tc>
                <w:tcPr>
                  <w:tcW w:w="482" w:type="pct"/>
                  <w:noWrap w:val="0"/>
                  <w:vAlign w:val="center"/>
                </w:tcPr>
                <w:p w14:paraId="22F02C1D">
                  <w:pPr>
                    <w:pStyle w:val="47"/>
                    <w:tabs>
                      <w:tab w:val="left" w:pos="282"/>
                      <w:tab w:val="left" w:pos="327"/>
                      <w:tab w:val="left" w:pos="507"/>
                      <w:tab w:val="right" w:pos="8913"/>
                    </w:tabs>
                    <w:spacing w:line="240" w:lineRule="auto"/>
                    <w:ind w:firstLine="0" w:firstLineChars="0"/>
                    <w:jc w:val="center"/>
                    <w:rPr>
                      <w:rFonts w:hint="eastAsia"/>
                      <w:b/>
                      <w:color w:val="auto"/>
                      <w:sz w:val="21"/>
                      <w:highlight w:val="none"/>
                    </w:rPr>
                  </w:pPr>
                  <w:r>
                    <w:rPr>
                      <w:rFonts w:hint="eastAsia"/>
                      <w:b/>
                      <w:color w:val="auto"/>
                      <w:sz w:val="21"/>
                      <w:highlight w:val="none"/>
                    </w:rPr>
                    <w:t>Y</w:t>
                  </w:r>
                </w:p>
              </w:tc>
              <w:tc>
                <w:tcPr>
                  <w:tcW w:w="446" w:type="pct"/>
                  <w:noWrap w:val="0"/>
                  <w:vAlign w:val="center"/>
                </w:tcPr>
                <w:p w14:paraId="55982F54">
                  <w:pPr>
                    <w:pStyle w:val="47"/>
                    <w:tabs>
                      <w:tab w:val="left" w:pos="282"/>
                      <w:tab w:val="left" w:pos="327"/>
                      <w:tab w:val="left" w:pos="507"/>
                      <w:tab w:val="right" w:pos="8913"/>
                    </w:tabs>
                    <w:spacing w:line="240" w:lineRule="auto"/>
                    <w:ind w:firstLine="0" w:firstLineChars="0"/>
                    <w:jc w:val="center"/>
                    <w:rPr>
                      <w:rFonts w:hint="eastAsia"/>
                      <w:b/>
                      <w:color w:val="auto"/>
                      <w:sz w:val="21"/>
                      <w:highlight w:val="none"/>
                    </w:rPr>
                  </w:pPr>
                  <w:r>
                    <w:rPr>
                      <w:rFonts w:hint="eastAsia"/>
                      <w:b/>
                      <w:color w:val="auto"/>
                      <w:sz w:val="21"/>
                      <w:highlight w:val="none"/>
                    </w:rPr>
                    <w:t>Z</w:t>
                  </w:r>
                </w:p>
              </w:tc>
              <w:tc>
                <w:tcPr>
                  <w:tcW w:w="847" w:type="pct"/>
                  <w:vMerge w:val="continue"/>
                  <w:noWrap w:val="0"/>
                  <w:vAlign w:val="center"/>
                </w:tcPr>
                <w:p w14:paraId="1B99AF38">
                  <w:pPr>
                    <w:pStyle w:val="47"/>
                    <w:tabs>
                      <w:tab w:val="left" w:pos="282"/>
                      <w:tab w:val="left" w:pos="327"/>
                      <w:tab w:val="left" w:pos="507"/>
                      <w:tab w:val="right" w:pos="8913"/>
                    </w:tabs>
                    <w:spacing w:line="240" w:lineRule="auto"/>
                    <w:ind w:firstLine="0" w:firstLineChars="0"/>
                    <w:jc w:val="center"/>
                    <w:rPr>
                      <w:rFonts w:hint="eastAsia"/>
                      <w:b/>
                      <w:color w:val="auto"/>
                      <w:sz w:val="21"/>
                      <w:highlight w:val="none"/>
                    </w:rPr>
                  </w:pPr>
                </w:p>
              </w:tc>
              <w:tc>
                <w:tcPr>
                  <w:tcW w:w="927" w:type="pct"/>
                  <w:vMerge w:val="continue"/>
                  <w:noWrap w:val="0"/>
                  <w:vAlign w:val="center"/>
                </w:tcPr>
                <w:p w14:paraId="04F3D59D">
                  <w:pPr>
                    <w:pStyle w:val="47"/>
                    <w:tabs>
                      <w:tab w:val="left" w:pos="282"/>
                      <w:tab w:val="left" w:pos="327"/>
                      <w:tab w:val="left" w:pos="507"/>
                      <w:tab w:val="right" w:pos="8913"/>
                    </w:tabs>
                    <w:spacing w:line="240" w:lineRule="auto"/>
                    <w:ind w:firstLine="0" w:firstLineChars="0"/>
                    <w:jc w:val="center"/>
                    <w:rPr>
                      <w:rFonts w:hint="eastAsia"/>
                      <w:b/>
                      <w:color w:val="auto"/>
                      <w:sz w:val="21"/>
                      <w:highlight w:val="none"/>
                    </w:rPr>
                  </w:pPr>
                </w:p>
              </w:tc>
              <w:tc>
                <w:tcPr>
                  <w:tcW w:w="619" w:type="pct"/>
                  <w:vMerge w:val="continue"/>
                  <w:noWrap w:val="0"/>
                  <w:vAlign w:val="center"/>
                </w:tcPr>
                <w:p w14:paraId="1B669E1A">
                  <w:pPr>
                    <w:pStyle w:val="47"/>
                    <w:tabs>
                      <w:tab w:val="left" w:pos="282"/>
                      <w:tab w:val="left" w:pos="327"/>
                      <w:tab w:val="left" w:pos="507"/>
                      <w:tab w:val="right" w:pos="8913"/>
                    </w:tabs>
                    <w:spacing w:line="240" w:lineRule="auto"/>
                    <w:ind w:firstLine="0" w:firstLineChars="0"/>
                    <w:jc w:val="center"/>
                    <w:rPr>
                      <w:rFonts w:hint="eastAsia"/>
                      <w:b/>
                      <w:color w:val="auto"/>
                      <w:sz w:val="21"/>
                      <w:highlight w:val="none"/>
                    </w:rPr>
                  </w:pPr>
                </w:p>
              </w:tc>
            </w:tr>
            <w:tr w14:paraId="2515C1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72" w:hRule="atLeast"/>
                <w:jc w:val="center"/>
              </w:trPr>
              <w:tc>
                <w:tcPr>
                  <w:tcW w:w="340" w:type="pct"/>
                  <w:noWrap w:val="0"/>
                  <w:vAlign w:val="center"/>
                </w:tcPr>
                <w:p w14:paraId="7E9E427A">
                  <w:pPr>
                    <w:pStyle w:val="47"/>
                    <w:tabs>
                      <w:tab w:val="left" w:pos="282"/>
                      <w:tab w:val="left" w:pos="327"/>
                      <w:tab w:val="left" w:pos="507"/>
                      <w:tab w:val="right" w:pos="8913"/>
                    </w:tabs>
                    <w:spacing w:line="240" w:lineRule="auto"/>
                    <w:ind w:firstLine="0" w:firstLineChars="0"/>
                    <w:jc w:val="center"/>
                    <w:rPr>
                      <w:rFonts w:hint="eastAsia" w:ascii="Times New Roman" w:hAnsi="Times New Roman" w:eastAsia="宋体"/>
                      <w:bCs/>
                      <w:color w:val="auto"/>
                      <w:sz w:val="21"/>
                      <w:highlight w:val="none"/>
                      <w:lang w:val="en-US" w:eastAsia="zh-CN"/>
                    </w:rPr>
                  </w:pPr>
                  <w:r>
                    <w:rPr>
                      <w:rFonts w:hint="eastAsia"/>
                      <w:bCs/>
                      <w:color w:val="auto"/>
                      <w:sz w:val="21"/>
                      <w:highlight w:val="none"/>
                      <w:lang w:val="en-US" w:eastAsia="zh-CN"/>
                    </w:rPr>
                    <w:t>1</w:t>
                  </w:r>
                </w:p>
              </w:tc>
              <w:tc>
                <w:tcPr>
                  <w:tcW w:w="885" w:type="pct"/>
                  <w:noWrap w:val="0"/>
                  <w:vAlign w:val="center"/>
                </w:tcPr>
                <w:p w14:paraId="152159A7">
                  <w:pPr>
                    <w:pStyle w:val="30"/>
                    <w:widowControl w:val="0"/>
                    <w:bidi w:val="0"/>
                    <w:rPr>
                      <w:rFonts w:hint="eastAsia" w:ascii="Times New Roman" w:hAnsi="Times New Roman"/>
                      <w:color w:val="auto"/>
                      <w:szCs w:val="21"/>
                      <w:highlight w:val="none"/>
                    </w:rPr>
                  </w:pPr>
                  <w:r>
                    <w:rPr>
                      <w:rFonts w:hint="eastAsia" w:cs="Times New Roman"/>
                      <w:color w:val="auto"/>
                      <w:lang w:val="en-US" w:eastAsia="zh-CN"/>
                    </w:rPr>
                    <w:t>空调外机</w:t>
                  </w:r>
                </w:p>
              </w:tc>
              <w:tc>
                <w:tcPr>
                  <w:tcW w:w="450" w:type="pct"/>
                  <w:noWrap w:val="0"/>
                  <w:vAlign w:val="center"/>
                </w:tcPr>
                <w:p w14:paraId="77163120">
                  <w:pPr>
                    <w:pStyle w:val="47"/>
                    <w:tabs>
                      <w:tab w:val="left" w:pos="282"/>
                      <w:tab w:val="left" w:pos="327"/>
                      <w:tab w:val="left" w:pos="507"/>
                      <w:tab w:val="right" w:pos="8913"/>
                    </w:tabs>
                    <w:spacing w:line="240" w:lineRule="auto"/>
                    <w:ind w:firstLine="0" w:firstLineChars="0"/>
                    <w:jc w:val="center"/>
                    <w:rPr>
                      <w:rFonts w:hint="default"/>
                      <w:bCs/>
                      <w:color w:val="auto"/>
                      <w:sz w:val="21"/>
                      <w:highlight w:val="none"/>
                      <w:lang w:val="en-US" w:eastAsia="zh-CN"/>
                    </w:rPr>
                  </w:pPr>
                  <w:r>
                    <w:rPr>
                      <w:rFonts w:hint="eastAsia"/>
                      <w:bCs/>
                      <w:color w:val="auto"/>
                      <w:sz w:val="21"/>
                      <w:highlight w:val="none"/>
                      <w:lang w:val="en-US" w:eastAsia="zh-CN"/>
                    </w:rPr>
                    <w:t>-8</w:t>
                  </w:r>
                </w:p>
              </w:tc>
              <w:tc>
                <w:tcPr>
                  <w:tcW w:w="482" w:type="pct"/>
                  <w:noWrap w:val="0"/>
                  <w:vAlign w:val="center"/>
                </w:tcPr>
                <w:p w14:paraId="315514D4">
                  <w:pPr>
                    <w:pStyle w:val="47"/>
                    <w:tabs>
                      <w:tab w:val="left" w:pos="282"/>
                      <w:tab w:val="left" w:pos="327"/>
                      <w:tab w:val="left" w:pos="507"/>
                      <w:tab w:val="right" w:pos="8913"/>
                    </w:tabs>
                    <w:spacing w:line="240" w:lineRule="auto"/>
                    <w:ind w:firstLine="0" w:firstLineChars="0"/>
                    <w:jc w:val="center"/>
                    <w:rPr>
                      <w:rFonts w:hint="eastAsia"/>
                      <w:bCs/>
                      <w:color w:val="auto"/>
                      <w:sz w:val="21"/>
                      <w:highlight w:val="none"/>
                      <w:lang w:val="en-US" w:eastAsia="zh-CN"/>
                    </w:rPr>
                  </w:pPr>
                  <w:r>
                    <w:rPr>
                      <w:rFonts w:hint="eastAsia"/>
                      <w:bCs/>
                      <w:color w:val="auto"/>
                      <w:sz w:val="21"/>
                      <w:highlight w:val="none"/>
                      <w:lang w:val="en-US" w:eastAsia="zh-CN"/>
                    </w:rPr>
                    <w:t>2</w:t>
                  </w:r>
                </w:p>
              </w:tc>
              <w:tc>
                <w:tcPr>
                  <w:tcW w:w="446" w:type="pct"/>
                  <w:noWrap w:val="0"/>
                  <w:vAlign w:val="center"/>
                </w:tcPr>
                <w:p w14:paraId="4EC466D0">
                  <w:pPr>
                    <w:pStyle w:val="47"/>
                    <w:tabs>
                      <w:tab w:val="left" w:pos="282"/>
                      <w:tab w:val="left" w:pos="327"/>
                      <w:tab w:val="left" w:pos="507"/>
                      <w:tab w:val="right" w:pos="8913"/>
                    </w:tabs>
                    <w:spacing w:line="240" w:lineRule="auto"/>
                    <w:ind w:firstLine="0" w:firstLineChars="0"/>
                    <w:jc w:val="center"/>
                    <w:rPr>
                      <w:rFonts w:hint="eastAsia"/>
                      <w:bCs/>
                      <w:color w:val="auto"/>
                      <w:sz w:val="21"/>
                      <w:highlight w:val="none"/>
                    </w:rPr>
                  </w:pPr>
                  <w:r>
                    <w:rPr>
                      <w:rFonts w:hint="eastAsia"/>
                      <w:bCs/>
                      <w:color w:val="auto"/>
                      <w:sz w:val="21"/>
                      <w:highlight w:val="none"/>
                      <w:lang w:val="en-US" w:eastAsia="zh-CN"/>
                    </w:rPr>
                    <w:t>1</w:t>
                  </w:r>
                </w:p>
              </w:tc>
              <w:tc>
                <w:tcPr>
                  <w:tcW w:w="847" w:type="pct"/>
                  <w:noWrap w:val="0"/>
                  <w:vAlign w:val="center"/>
                </w:tcPr>
                <w:p w14:paraId="19E1CBBE">
                  <w:pPr>
                    <w:pStyle w:val="30"/>
                    <w:widowControl w:val="0"/>
                    <w:bidi w:val="0"/>
                    <w:rPr>
                      <w:rFonts w:hint="default"/>
                      <w:color w:val="auto"/>
                      <w:szCs w:val="21"/>
                      <w:highlight w:val="none"/>
                      <w:lang w:val="en-US" w:eastAsia="zh-CN"/>
                    </w:rPr>
                  </w:pPr>
                  <w:r>
                    <w:rPr>
                      <w:rFonts w:hint="eastAsia" w:cs="Times New Roman"/>
                      <w:color w:val="auto"/>
                      <w:lang w:val="en-US" w:eastAsia="zh-CN"/>
                    </w:rPr>
                    <w:t>70/1</w:t>
                  </w:r>
                </w:p>
              </w:tc>
              <w:tc>
                <w:tcPr>
                  <w:tcW w:w="927" w:type="pct"/>
                  <w:noWrap w:val="0"/>
                  <w:vAlign w:val="center"/>
                </w:tcPr>
                <w:p w14:paraId="7EEBDDFC">
                  <w:pPr>
                    <w:pStyle w:val="47"/>
                    <w:tabs>
                      <w:tab w:val="left" w:pos="282"/>
                      <w:tab w:val="left" w:pos="327"/>
                      <w:tab w:val="left" w:pos="507"/>
                      <w:tab w:val="right" w:pos="8913"/>
                    </w:tabs>
                    <w:spacing w:line="240" w:lineRule="auto"/>
                    <w:ind w:firstLine="0" w:firstLineChars="0"/>
                    <w:jc w:val="center"/>
                    <w:rPr>
                      <w:rFonts w:hint="default" w:eastAsia="宋体"/>
                      <w:bCs/>
                      <w:color w:val="auto"/>
                      <w:sz w:val="21"/>
                      <w:highlight w:val="none"/>
                      <w:lang w:val="en-US" w:eastAsia="zh-CN"/>
                    </w:rPr>
                  </w:pPr>
                  <w:r>
                    <w:rPr>
                      <w:rFonts w:hint="eastAsia"/>
                      <w:bCs/>
                      <w:color w:val="auto"/>
                      <w:sz w:val="21"/>
                      <w:highlight w:val="none"/>
                    </w:rPr>
                    <w:t>采用低噪声设备、基础</w:t>
                  </w:r>
                  <w:r>
                    <w:rPr>
                      <w:rFonts w:hint="eastAsia"/>
                      <w:bCs/>
                      <w:color w:val="auto"/>
                      <w:sz w:val="21"/>
                      <w:highlight w:val="none"/>
                      <w:lang w:val="en-US" w:eastAsia="zh-CN"/>
                    </w:rPr>
                    <w:t>减振、围墙隔声</w:t>
                  </w:r>
                </w:p>
              </w:tc>
              <w:tc>
                <w:tcPr>
                  <w:tcW w:w="619" w:type="pct"/>
                  <w:noWrap w:val="0"/>
                  <w:vAlign w:val="center"/>
                </w:tcPr>
                <w:p w14:paraId="1E6BCDE8">
                  <w:pPr>
                    <w:pStyle w:val="47"/>
                    <w:tabs>
                      <w:tab w:val="left" w:pos="282"/>
                      <w:tab w:val="left" w:pos="327"/>
                      <w:tab w:val="left" w:pos="507"/>
                      <w:tab w:val="right" w:pos="8913"/>
                    </w:tabs>
                    <w:spacing w:line="240" w:lineRule="auto"/>
                    <w:ind w:firstLine="0" w:firstLineChars="0"/>
                    <w:jc w:val="center"/>
                    <w:rPr>
                      <w:rFonts w:hint="eastAsia" w:eastAsia="宋体"/>
                      <w:bCs/>
                      <w:color w:val="auto"/>
                      <w:sz w:val="21"/>
                      <w:highlight w:val="none"/>
                      <w:lang w:eastAsia="zh-CN"/>
                    </w:rPr>
                  </w:pPr>
                  <w:r>
                    <w:rPr>
                      <w:rFonts w:hint="eastAsia"/>
                      <w:bCs/>
                      <w:color w:val="auto"/>
                      <w:sz w:val="21"/>
                      <w:highlight w:val="none"/>
                      <w:lang w:val="en-US" w:eastAsia="zh-CN"/>
                    </w:rPr>
                    <w:t>昼间</w:t>
                  </w:r>
                </w:p>
              </w:tc>
            </w:tr>
          </w:tbl>
          <w:p w14:paraId="57A78370">
            <w:pPr>
              <w:pStyle w:val="4"/>
              <w:bidi w:val="0"/>
              <w:rPr>
                <w:rFonts w:hint="default" w:ascii="Times New Roman" w:hAnsi="Times New Roman" w:cs="Times New Roman"/>
                <w:color w:val="auto"/>
                <w:lang w:eastAsia="zh-CN"/>
              </w:rPr>
            </w:pPr>
            <w:r>
              <w:rPr>
                <w:rFonts w:hint="default" w:ascii="Times New Roman" w:hAnsi="Times New Roman" w:cs="Times New Roman"/>
                <w:color w:val="auto"/>
                <w:lang w:val="en-US" w:eastAsia="zh-CN"/>
              </w:rPr>
              <w:t>4.</w:t>
            </w:r>
            <w:r>
              <w:rPr>
                <w:rFonts w:hint="eastAsia" w:cs="Times New Roman"/>
                <w:color w:val="auto"/>
                <w:lang w:val="en-US" w:eastAsia="zh-CN"/>
              </w:rPr>
              <w:t>7</w:t>
            </w:r>
            <w:r>
              <w:rPr>
                <w:rFonts w:hint="default" w:ascii="Times New Roman" w:hAnsi="Times New Roman" w:cs="Times New Roman"/>
                <w:color w:val="auto"/>
                <w:lang w:val="en-US" w:eastAsia="zh-CN"/>
              </w:rPr>
              <w:t>.2</w:t>
            </w:r>
            <w:r>
              <w:rPr>
                <w:rFonts w:hint="default" w:ascii="Times New Roman" w:hAnsi="Times New Roman" w:cs="Times New Roman"/>
                <w:color w:val="auto"/>
                <w:lang w:eastAsia="zh-CN"/>
              </w:rPr>
              <w:t>噪声影响及达标分析</w:t>
            </w:r>
          </w:p>
          <w:p w14:paraId="448EA676">
            <w:pPr>
              <w:pStyle w:val="31"/>
              <w:bidi w:val="0"/>
              <w:rPr>
                <w:rFonts w:hint="default" w:ascii="Times New Roman" w:hAnsi="Times New Roman" w:cs="Times New Roman"/>
                <w:color w:val="auto"/>
                <w:lang w:eastAsia="zh-CN"/>
              </w:rPr>
            </w:pPr>
            <w:r>
              <w:rPr>
                <w:rFonts w:hint="default" w:ascii="Times New Roman" w:hAnsi="Times New Roman" w:cs="Times New Roman"/>
                <w:color w:val="auto"/>
                <w:lang w:eastAsia="zh-CN"/>
              </w:rPr>
              <w:t>（1）评价标准</w:t>
            </w:r>
          </w:p>
          <w:p w14:paraId="77BB714D">
            <w:pPr>
              <w:pStyle w:val="31"/>
              <w:bidi w:val="0"/>
              <w:rPr>
                <w:rFonts w:hint="default" w:ascii="Times New Roman" w:hAnsi="Times New Roman" w:cs="Times New Roman"/>
                <w:color w:val="auto"/>
                <w:lang w:eastAsia="zh-CN"/>
              </w:rPr>
            </w:pPr>
            <w:r>
              <w:rPr>
                <w:rFonts w:hint="default" w:ascii="Times New Roman" w:hAnsi="Times New Roman" w:cs="Times New Roman"/>
                <w:color w:val="auto"/>
                <w:lang w:eastAsia="zh-CN"/>
              </w:rPr>
              <w:t>项目运营期</w:t>
            </w:r>
            <w:r>
              <w:rPr>
                <w:rFonts w:hint="default" w:ascii="Times New Roman" w:hAnsi="Times New Roman" w:cs="Times New Roman"/>
                <w:color w:val="auto"/>
                <w:lang w:val="en-US" w:eastAsia="zh-CN"/>
              </w:rPr>
              <w:t>厂界</w:t>
            </w:r>
            <w:r>
              <w:rPr>
                <w:rFonts w:hint="default" w:ascii="Times New Roman" w:hAnsi="Times New Roman" w:cs="Times New Roman"/>
                <w:color w:val="auto"/>
                <w:highlight w:val="none"/>
                <w:lang w:val="en-US" w:eastAsia="zh-CN"/>
              </w:rPr>
              <w:t>东侧</w:t>
            </w:r>
            <w:r>
              <w:rPr>
                <w:rFonts w:hint="default" w:ascii="Times New Roman" w:hAnsi="Times New Roman" w:cs="Times New Roman"/>
                <w:color w:val="auto"/>
                <w:lang w:eastAsia="zh-CN"/>
              </w:rPr>
              <w:t>噪声执行《工业企业厂界环境噪声排放标准》（GB12348-2008）</w:t>
            </w:r>
            <w:r>
              <w:rPr>
                <w:rFonts w:hint="default" w:ascii="Times New Roman" w:hAnsi="Times New Roman" w:cs="Times New Roman"/>
                <w:color w:val="auto"/>
                <w:lang w:val="en-US" w:eastAsia="zh-CN"/>
              </w:rPr>
              <w:t>2</w:t>
            </w:r>
            <w:r>
              <w:rPr>
                <w:rFonts w:hint="default" w:ascii="Times New Roman" w:hAnsi="Times New Roman" w:cs="Times New Roman"/>
                <w:color w:val="auto"/>
                <w:lang w:eastAsia="zh-CN"/>
              </w:rPr>
              <w:t>类</w:t>
            </w:r>
            <w:r>
              <w:rPr>
                <w:rFonts w:hint="default" w:ascii="Times New Roman" w:hAnsi="Times New Roman" w:cs="Times New Roman"/>
                <w:color w:val="auto"/>
                <w:lang w:val="en-US" w:eastAsia="zh-CN"/>
              </w:rPr>
              <w:t>功能</w:t>
            </w:r>
            <w:r>
              <w:rPr>
                <w:rFonts w:hint="default" w:ascii="Times New Roman" w:hAnsi="Times New Roman" w:cs="Times New Roman"/>
                <w:color w:val="auto"/>
                <w:lang w:eastAsia="zh-CN"/>
              </w:rPr>
              <w:t>区限值，</w:t>
            </w:r>
            <w:r>
              <w:rPr>
                <w:rFonts w:hint="default" w:ascii="Times New Roman" w:hAnsi="Times New Roman" w:cs="Times New Roman"/>
                <w:color w:val="auto"/>
                <w:lang w:val="en-US" w:eastAsia="zh-CN"/>
              </w:rPr>
              <w:t>厂界南侧、西侧与北侧</w:t>
            </w:r>
            <w:r>
              <w:rPr>
                <w:rFonts w:hint="default" w:ascii="Times New Roman" w:hAnsi="Times New Roman" w:cs="Times New Roman"/>
                <w:color w:val="auto"/>
                <w:lang w:eastAsia="zh-CN"/>
              </w:rPr>
              <w:t>噪声执行《工业企业厂界环境噪声排放标准》（GB12348-2008）</w:t>
            </w:r>
            <w:r>
              <w:rPr>
                <w:rFonts w:hint="default" w:ascii="Times New Roman" w:hAnsi="Times New Roman" w:cs="Times New Roman"/>
                <w:color w:val="auto"/>
                <w:lang w:val="en-US" w:eastAsia="zh-CN"/>
              </w:rPr>
              <w:t>4</w:t>
            </w:r>
            <w:r>
              <w:rPr>
                <w:rFonts w:hint="default" w:ascii="Times New Roman" w:hAnsi="Times New Roman" w:cs="Times New Roman"/>
                <w:color w:val="auto"/>
                <w:lang w:eastAsia="zh-CN"/>
              </w:rPr>
              <w:t>类</w:t>
            </w:r>
            <w:r>
              <w:rPr>
                <w:rFonts w:hint="default" w:ascii="Times New Roman" w:hAnsi="Times New Roman" w:cs="Times New Roman"/>
                <w:color w:val="auto"/>
                <w:lang w:val="en-US" w:eastAsia="zh-CN"/>
              </w:rPr>
              <w:t>功能</w:t>
            </w:r>
            <w:r>
              <w:rPr>
                <w:rFonts w:hint="default" w:ascii="Times New Roman" w:hAnsi="Times New Roman" w:cs="Times New Roman"/>
                <w:color w:val="auto"/>
                <w:lang w:eastAsia="zh-CN"/>
              </w:rPr>
              <w:t>区限值。</w:t>
            </w:r>
          </w:p>
          <w:p w14:paraId="311C3340">
            <w:pPr>
              <w:pStyle w:val="31"/>
              <w:bidi w:val="0"/>
              <w:rPr>
                <w:rFonts w:hint="default" w:ascii="Times New Roman" w:hAnsi="Times New Roman" w:cs="Times New Roman"/>
                <w:color w:val="auto"/>
                <w:lang w:eastAsia="zh-CN"/>
              </w:rPr>
            </w:pPr>
            <w:r>
              <w:rPr>
                <w:rFonts w:hint="default" w:ascii="Times New Roman" w:hAnsi="Times New Roman" w:cs="Times New Roman"/>
                <w:color w:val="auto"/>
                <w:lang w:eastAsia="zh-CN"/>
              </w:rPr>
              <w:t>（2）评价方法与预测模式</w:t>
            </w:r>
          </w:p>
          <w:p w14:paraId="08A578B9">
            <w:pPr>
              <w:pStyle w:val="31"/>
              <w:bidi w:val="0"/>
              <w:rPr>
                <w:rFonts w:hint="default" w:ascii="Times New Roman" w:hAnsi="Times New Roman" w:cs="Times New Roman"/>
                <w:color w:val="auto"/>
                <w:lang w:eastAsia="zh-CN"/>
              </w:rPr>
            </w:pPr>
            <w:r>
              <w:rPr>
                <w:rFonts w:hint="default" w:ascii="Times New Roman" w:hAnsi="Times New Roman" w:cs="Times New Roman"/>
                <w:color w:val="auto"/>
                <w:lang w:eastAsia="zh-CN"/>
              </w:rPr>
              <w:t>预测模式：采用点声源衰减预测模式和声压级叠加模式，预测噪声源对各厂界噪声评价点的贡献值。</w:t>
            </w:r>
          </w:p>
          <w:p w14:paraId="680D0084">
            <w:pPr>
              <w:spacing w:line="360" w:lineRule="auto"/>
              <w:ind w:firstLine="480" w:firstLineChars="200"/>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fldChar w:fldCharType="begin"/>
            </w:r>
            <w:r>
              <w:rPr>
                <w:rFonts w:hint="eastAsia" w:ascii="Times New Roman" w:hAnsi="Times New Roman" w:eastAsia="宋体" w:cs="Times New Roman"/>
                <w:color w:val="auto"/>
                <w:sz w:val="24"/>
                <w:highlight w:val="none"/>
              </w:rPr>
              <w:instrText xml:space="preserve"> = 1 \* GB3 \* MERGEFORMAT </w:instrText>
            </w:r>
            <w:r>
              <w:rPr>
                <w:rFonts w:hint="eastAsia" w:ascii="Times New Roman" w:hAnsi="Times New Roman" w:eastAsia="宋体" w:cs="Times New Roman"/>
                <w:color w:val="auto"/>
                <w:sz w:val="24"/>
                <w:highlight w:val="none"/>
              </w:rPr>
              <w:fldChar w:fldCharType="separate"/>
            </w:r>
            <w:r>
              <w:rPr>
                <w:rFonts w:hint="eastAsia" w:ascii="Times New Roman" w:hAnsi="Times New Roman" w:eastAsia="宋体" w:cs="Times New Roman"/>
                <w:color w:val="auto"/>
                <w:sz w:val="24"/>
                <w:highlight w:val="none"/>
              </w:rPr>
              <w:t>①</w:t>
            </w:r>
            <w:r>
              <w:rPr>
                <w:rFonts w:hint="eastAsia" w:ascii="Times New Roman" w:hAnsi="Times New Roman" w:eastAsia="宋体" w:cs="Times New Roman"/>
                <w:color w:val="auto"/>
                <w:sz w:val="24"/>
                <w:highlight w:val="none"/>
              </w:rPr>
              <w:fldChar w:fldCharType="end"/>
            </w:r>
            <w:r>
              <w:rPr>
                <w:rFonts w:hint="eastAsia" w:ascii="Times New Roman" w:hAnsi="Times New Roman" w:eastAsia="宋体" w:cs="Times New Roman"/>
                <w:color w:val="auto"/>
                <w:sz w:val="24"/>
                <w:highlight w:val="none"/>
              </w:rPr>
              <w:t>工业场地界外噪声、环境噪声预测模式</w:t>
            </w:r>
          </w:p>
          <w:p w14:paraId="0F6DD314">
            <w:pPr>
              <w:spacing w:line="360" w:lineRule="auto"/>
              <w:ind w:firstLine="480" w:firstLineChars="200"/>
              <w:rPr>
                <w:rFonts w:hint="eastAsia" w:ascii="Times New Roman" w:hAnsi="Times New Roman" w:eastAsia="宋体" w:cs="Times New Roman"/>
                <w:color w:val="auto"/>
                <w:sz w:val="24"/>
                <w:highlight w:val="none"/>
              </w:rPr>
            </w:pPr>
            <w:r>
              <w:rPr>
                <w:rFonts w:hint="eastAsia" w:ascii="Times New Roman" w:hAnsi="Times New Roman" w:eastAsia="宋体" w:cs="宋体"/>
                <w:color w:val="auto"/>
                <w:kern w:val="2"/>
                <w:sz w:val="24"/>
                <w:szCs w:val="24"/>
                <w:highlight w:val="none"/>
                <w:lang w:val="en-US" w:eastAsia="zh-CN" w:bidi="ar-SA"/>
              </w:rPr>
              <w:t>由于在声波传播的过程中，通过距离衰减、空气吸收衰减到达厂界外，故实际衰减量要低</w:t>
            </w:r>
            <w:r>
              <w:rPr>
                <w:rFonts w:hint="eastAsia" w:ascii="Times New Roman" w:hAnsi="Times New Roman" w:eastAsia="宋体" w:cs="Times New Roman"/>
                <w:color w:val="auto"/>
                <w:sz w:val="24"/>
                <w:highlight w:val="none"/>
              </w:rPr>
              <w:t>于其预测衰减量，即实际噪声值将略低于其预测值。由声源预测模式计算：</w:t>
            </w:r>
          </w:p>
          <w:p w14:paraId="1D516E61">
            <w:pPr>
              <w:spacing w:line="360" w:lineRule="auto"/>
              <w:ind w:firstLine="480" w:firstLineChars="200"/>
              <w:jc w:val="center"/>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szCs w:val="24"/>
                <w:highlight w:val="none"/>
              </w:rPr>
              <w:object>
                <v:shape id="_x0000_i1029" o:spt="75" type="#_x0000_t75" style="height:34.15pt;width:106.2pt;" o:ole="t" filled="f" stroked="f" coordsize="21600,21600">
                  <v:path/>
                  <v:fill on="f" focussize="0,0"/>
                  <v:stroke on="f"/>
                  <v:imagedata r:id="rId24" o:title=""/>
                  <o:lock v:ext="edit" aspectratio="t"/>
                  <w10:wrap type="none"/>
                  <w10:anchorlock/>
                </v:shape>
                <o:OLEObject Type="Embed" ProgID="Equation.3" ShapeID="_x0000_i1029" DrawAspect="Content" ObjectID="_1468075729" r:id="rId23">
                  <o:LockedField>false</o:LockedField>
                </o:OLEObject>
              </w:object>
            </w:r>
          </w:p>
          <w:p w14:paraId="7CD498DC">
            <w:pPr>
              <w:spacing w:line="360" w:lineRule="auto"/>
              <w:ind w:firstLine="480" w:firstLineChars="200"/>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式中：L总—几个声压级相加后的总声压级，dB;</w:t>
            </w:r>
          </w:p>
          <w:p w14:paraId="28DCB873">
            <w:pPr>
              <w:spacing w:line="360" w:lineRule="auto"/>
              <w:ind w:firstLine="1200" w:firstLineChars="500"/>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Lij—某一个声压级，dB；</w:t>
            </w:r>
          </w:p>
          <w:p w14:paraId="6D02EF0A">
            <w:pPr>
              <w:spacing w:line="360" w:lineRule="auto"/>
              <w:ind w:firstLine="1200" w:firstLineChars="500"/>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N—相同声压级的个数</w:t>
            </w:r>
          </w:p>
          <w:p w14:paraId="7E02341E">
            <w:pPr>
              <w:spacing w:line="360" w:lineRule="auto"/>
              <w:ind w:firstLine="480" w:firstLineChars="20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val="en-US" w:eastAsia="zh-CN"/>
              </w:rPr>
              <w:t>Lp=Lpo-20lg(r/r0)</w:t>
            </w:r>
          </w:p>
          <w:p w14:paraId="4429C19F">
            <w:pPr>
              <w:spacing w:line="360" w:lineRule="auto"/>
              <w:ind w:firstLine="480" w:firstLineChars="200"/>
              <w:rPr>
                <w:rFonts w:hint="default"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式中</w:t>
            </w:r>
            <w:r>
              <w:rPr>
                <w:rFonts w:hint="eastAsia" w:ascii="Times New Roman" w:hAnsi="Times New Roman" w:eastAsia="宋体" w:cs="Times New Roman"/>
                <w:color w:val="auto"/>
                <w:sz w:val="24"/>
                <w:highlight w:val="none"/>
                <w:lang w:val="en-US" w:eastAsia="zh-CN"/>
              </w:rPr>
              <w:t>：</w:t>
            </w:r>
            <w:r>
              <w:rPr>
                <w:rFonts w:hint="default" w:ascii="Times New Roman" w:hAnsi="Times New Roman" w:eastAsia="宋体" w:cs="Times New Roman"/>
                <w:color w:val="auto"/>
                <w:sz w:val="24"/>
                <w:highlight w:val="none"/>
                <w:lang w:val="en-US" w:eastAsia="zh-CN"/>
              </w:rPr>
              <w:t>Lp—</w:t>
            </w:r>
            <w:r>
              <w:rPr>
                <w:rFonts w:hint="eastAsia" w:ascii="Times New Roman" w:hAnsi="Times New Roman" w:eastAsia="宋体" w:cs="Times New Roman"/>
                <w:color w:val="auto"/>
                <w:sz w:val="24"/>
                <w:highlight w:val="none"/>
                <w:lang w:val="en-US" w:eastAsia="zh-CN"/>
              </w:rPr>
              <w:t>距声源</w:t>
            </w:r>
            <w:r>
              <w:rPr>
                <w:rFonts w:hint="default" w:ascii="Times New Roman" w:hAnsi="Times New Roman" w:eastAsia="宋体" w:cs="Times New Roman"/>
                <w:color w:val="auto"/>
                <w:sz w:val="24"/>
                <w:highlight w:val="none"/>
                <w:lang w:val="en-US" w:eastAsia="zh-CN"/>
              </w:rPr>
              <w:t>r</w:t>
            </w:r>
            <w:r>
              <w:rPr>
                <w:rFonts w:hint="eastAsia" w:ascii="Times New Roman" w:hAnsi="Times New Roman" w:eastAsia="宋体" w:cs="Times New Roman"/>
                <w:color w:val="auto"/>
                <w:sz w:val="24"/>
                <w:highlight w:val="none"/>
                <w:lang w:val="en-US" w:eastAsia="zh-CN"/>
              </w:rPr>
              <w:t xml:space="preserve"> </w:t>
            </w:r>
            <w:r>
              <w:rPr>
                <w:rFonts w:hint="default" w:ascii="Times New Roman" w:hAnsi="Times New Roman" w:eastAsia="宋体" w:cs="Times New Roman"/>
                <w:color w:val="auto"/>
                <w:sz w:val="24"/>
                <w:highlight w:val="none"/>
                <w:lang w:val="en-US" w:eastAsia="zh-CN"/>
              </w:rPr>
              <w:t>m</w:t>
            </w:r>
            <w:r>
              <w:rPr>
                <w:rFonts w:hint="eastAsia" w:ascii="Times New Roman" w:hAnsi="Times New Roman" w:eastAsia="宋体" w:cs="Times New Roman"/>
                <w:color w:val="auto"/>
                <w:sz w:val="24"/>
                <w:highlight w:val="none"/>
                <w:lang w:val="en-US" w:eastAsia="zh-CN"/>
              </w:rPr>
              <w:t>处声压级，</w:t>
            </w:r>
            <w:r>
              <w:rPr>
                <w:rFonts w:hint="default" w:ascii="Times New Roman" w:hAnsi="Times New Roman" w:eastAsia="宋体" w:cs="Times New Roman"/>
                <w:color w:val="auto"/>
                <w:sz w:val="24"/>
                <w:highlight w:val="none"/>
                <w:lang w:val="en-US" w:eastAsia="zh-CN"/>
              </w:rPr>
              <w:t>dB</w:t>
            </w:r>
            <w:r>
              <w:rPr>
                <w:rFonts w:hint="eastAsia" w:cs="Times New Roman"/>
                <w:color w:val="auto"/>
                <w:sz w:val="24"/>
                <w:highlight w:val="none"/>
                <w:lang w:val="en-US" w:eastAsia="zh-CN"/>
              </w:rPr>
              <w:t>（</w:t>
            </w:r>
            <w:r>
              <w:rPr>
                <w:rFonts w:hint="default" w:ascii="Times New Roman" w:hAnsi="Times New Roman" w:eastAsia="宋体" w:cs="Times New Roman"/>
                <w:color w:val="auto"/>
                <w:sz w:val="24"/>
                <w:highlight w:val="none"/>
                <w:lang w:val="en-US" w:eastAsia="zh-CN"/>
              </w:rPr>
              <w:t>A</w:t>
            </w:r>
            <w:r>
              <w:rPr>
                <w:rFonts w:hint="eastAsia" w:cs="Times New Roman"/>
                <w:color w:val="auto"/>
                <w:sz w:val="24"/>
                <w:highlight w:val="none"/>
                <w:lang w:val="en-US" w:eastAsia="zh-CN"/>
              </w:rPr>
              <w:t>）</w:t>
            </w:r>
            <w:r>
              <w:rPr>
                <w:rFonts w:hint="eastAsia" w:ascii="Times New Roman" w:hAnsi="Times New Roman" w:eastAsia="宋体" w:cs="Times New Roman"/>
                <w:color w:val="auto"/>
                <w:sz w:val="24"/>
                <w:highlight w:val="none"/>
                <w:lang w:val="en-US" w:eastAsia="zh-CN"/>
              </w:rPr>
              <w:t>；</w:t>
            </w:r>
          </w:p>
          <w:p w14:paraId="445EA008">
            <w:pPr>
              <w:spacing w:line="360" w:lineRule="auto"/>
              <w:ind w:firstLine="1200" w:firstLineChars="5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val="en-US" w:eastAsia="zh-CN"/>
              </w:rPr>
              <w:t>Lpo—</w:t>
            </w:r>
            <w:r>
              <w:rPr>
                <w:rFonts w:hint="eastAsia" w:ascii="Times New Roman" w:hAnsi="Times New Roman" w:eastAsia="宋体" w:cs="Times New Roman"/>
                <w:color w:val="auto"/>
                <w:sz w:val="24"/>
                <w:highlight w:val="none"/>
                <w:lang w:val="en-US" w:eastAsia="zh-CN"/>
              </w:rPr>
              <w:t>距声源</w:t>
            </w:r>
            <w:r>
              <w:rPr>
                <w:rFonts w:hint="default" w:ascii="Times New Roman" w:hAnsi="Times New Roman" w:eastAsia="宋体" w:cs="Times New Roman"/>
                <w:color w:val="auto"/>
                <w:sz w:val="24"/>
                <w:highlight w:val="none"/>
                <w:lang w:val="en-US" w:eastAsia="zh-CN"/>
              </w:rPr>
              <w:t>r0</w:t>
            </w:r>
            <w:r>
              <w:rPr>
                <w:rFonts w:hint="eastAsia" w:ascii="Times New Roman" w:hAnsi="Times New Roman" w:eastAsia="宋体" w:cs="Times New Roman"/>
                <w:color w:val="auto"/>
                <w:sz w:val="24"/>
                <w:highlight w:val="none"/>
                <w:lang w:val="en-US" w:eastAsia="zh-CN"/>
              </w:rPr>
              <w:t xml:space="preserve"> </w:t>
            </w:r>
            <w:r>
              <w:rPr>
                <w:rFonts w:hint="default" w:ascii="Times New Roman" w:hAnsi="Times New Roman" w:eastAsia="宋体" w:cs="Times New Roman"/>
                <w:color w:val="auto"/>
                <w:sz w:val="24"/>
                <w:highlight w:val="none"/>
                <w:lang w:val="en-US" w:eastAsia="zh-CN"/>
              </w:rPr>
              <w:t>m</w:t>
            </w:r>
            <w:r>
              <w:rPr>
                <w:rFonts w:hint="eastAsia" w:ascii="Times New Roman" w:hAnsi="Times New Roman" w:eastAsia="宋体" w:cs="Times New Roman"/>
                <w:color w:val="auto"/>
                <w:sz w:val="24"/>
                <w:highlight w:val="none"/>
                <w:lang w:val="en-US" w:eastAsia="zh-CN"/>
              </w:rPr>
              <w:t>处的声压级，</w:t>
            </w:r>
            <w:r>
              <w:rPr>
                <w:rFonts w:hint="default" w:ascii="Times New Roman" w:hAnsi="Times New Roman" w:eastAsia="宋体" w:cs="Times New Roman"/>
                <w:color w:val="auto"/>
                <w:sz w:val="24"/>
                <w:highlight w:val="none"/>
                <w:lang w:val="en-US" w:eastAsia="zh-CN"/>
              </w:rPr>
              <w:t>dB</w:t>
            </w:r>
            <w:r>
              <w:rPr>
                <w:rFonts w:hint="eastAsia" w:cs="Times New Roman"/>
                <w:color w:val="auto"/>
                <w:sz w:val="24"/>
                <w:highlight w:val="none"/>
                <w:lang w:val="en-US" w:eastAsia="zh-CN"/>
              </w:rPr>
              <w:t>（</w:t>
            </w:r>
            <w:r>
              <w:rPr>
                <w:rFonts w:hint="default" w:ascii="Times New Roman" w:hAnsi="Times New Roman" w:eastAsia="宋体" w:cs="Times New Roman"/>
                <w:color w:val="auto"/>
                <w:sz w:val="24"/>
                <w:highlight w:val="none"/>
                <w:lang w:val="en-US" w:eastAsia="zh-CN"/>
              </w:rPr>
              <w:t>A</w:t>
            </w:r>
            <w:r>
              <w:rPr>
                <w:rFonts w:hint="eastAsia" w:cs="Times New Roman"/>
                <w:color w:val="auto"/>
                <w:sz w:val="24"/>
                <w:highlight w:val="none"/>
                <w:lang w:val="en-US" w:eastAsia="zh-CN"/>
              </w:rPr>
              <w:t>）</w:t>
            </w:r>
            <w:r>
              <w:rPr>
                <w:rFonts w:hint="eastAsia" w:ascii="Times New Roman" w:hAnsi="Times New Roman" w:eastAsia="宋体" w:cs="Times New Roman"/>
                <w:color w:val="auto"/>
                <w:sz w:val="24"/>
                <w:highlight w:val="none"/>
                <w:lang w:val="en-US" w:eastAsia="zh-CN"/>
              </w:rPr>
              <w:t>；</w:t>
            </w:r>
          </w:p>
          <w:p w14:paraId="1FB02794">
            <w:pPr>
              <w:spacing w:line="360" w:lineRule="auto"/>
              <w:ind w:firstLine="1200" w:firstLineChars="5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val="en-US" w:eastAsia="zh-CN"/>
              </w:rPr>
              <w:t>r—</w:t>
            </w:r>
            <w:r>
              <w:rPr>
                <w:rFonts w:hint="eastAsia" w:ascii="Times New Roman" w:hAnsi="Times New Roman" w:eastAsia="宋体" w:cs="Times New Roman"/>
                <w:color w:val="auto"/>
                <w:sz w:val="24"/>
                <w:highlight w:val="none"/>
                <w:lang w:val="en-US" w:eastAsia="zh-CN"/>
              </w:rPr>
              <w:t>距声源的距离，1</w:t>
            </w:r>
            <w:r>
              <w:rPr>
                <w:rFonts w:hint="default" w:ascii="Times New Roman" w:hAnsi="Times New Roman" w:eastAsia="宋体" w:cs="Times New Roman"/>
                <w:color w:val="auto"/>
                <w:sz w:val="24"/>
                <w:highlight w:val="none"/>
                <w:lang w:val="en-US" w:eastAsia="zh-CN"/>
              </w:rPr>
              <w:t>m</w:t>
            </w:r>
            <w:r>
              <w:rPr>
                <w:rFonts w:hint="eastAsia" w:ascii="Times New Roman" w:hAnsi="Times New Roman" w:eastAsia="宋体" w:cs="Times New Roman"/>
                <w:color w:val="auto"/>
                <w:sz w:val="24"/>
                <w:highlight w:val="none"/>
                <w:lang w:val="en-US" w:eastAsia="zh-CN"/>
              </w:rPr>
              <w:t>；</w:t>
            </w:r>
          </w:p>
          <w:p w14:paraId="7A29B93D">
            <w:pPr>
              <w:spacing w:line="360" w:lineRule="auto"/>
              <w:ind w:firstLine="1200" w:firstLineChars="5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val="en-US" w:eastAsia="zh-CN"/>
              </w:rPr>
              <w:t>r0—</w:t>
            </w:r>
            <w:r>
              <w:rPr>
                <w:rFonts w:hint="eastAsia" w:ascii="Times New Roman" w:hAnsi="Times New Roman" w:eastAsia="宋体" w:cs="Times New Roman"/>
                <w:color w:val="auto"/>
                <w:sz w:val="24"/>
                <w:highlight w:val="none"/>
                <w:lang w:val="en-US" w:eastAsia="zh-CN"/>
              </w:rPr>
              <w:t>距声源</w:t>
            </w:r>
            <w:r>
              <w:rPr>
                <w:rFonts w:hint="default" w:ascii="Times New Roman" w:hAnsi="Times New Roman" w:eastAsia="宋体" w:cs="Times New Roman"/>
                <w:color w:val="auto"/>
                <w:sz w:val="24"/>
                <w:highlight w:val="none"/>
                <w:lang w:val="en-US" w:eastAsia="zh-CN"/>
              </w:rPr>
              <w:t>1m</w:t>
            </w:r>
            <w:r>
              <w:rPr>
                <w:rFonts w:hint="eastAsia" w:ascii="Times New Roman" w:hAnsi="Times New Roman" w:eastAsia="宋体" w:cs="Times New Roman"/>
                <w:color w:val="auto"/>
                <w:sz w:val="24"/>
                <w:highlight w:val="none"/>
                <w:lang w:val="en-US" w:eastAsia="zh-CN"/>
              </w:rPr>
              <w:t>；</w:t>
            </w:r>
          </w:p>
          <w:p w14:paraId="17893250">
            <w:pPr>
              <w:spacing w:line="360" w:lineRule="auto"/>
              <w:ind w:firstLine="480" w:firstLineChars="200"/>
              <w:rPr>
                <w:rFonts w:ascii="Times New Roman" w:hAnsi="Times New Roman" w:eastAsia="宋体"/>
                <w:color w:val="auto"/>
                <w:sz w:val="24"/>
                <w:highlight w:val="none"/>
                <w:lang w:eastAsia="zh-CN"/>
              </w:rPr>
            </w:pPr>
            <w:r>
              <w:rPr>
                <w:rFonts w:hint="default" w:ascii="Times New Roman" w:hAnsi="Times New Roman" w:eastAsia="宋体" w:cs="Times New Roman"/>
                <w:color w:val="auto"/>
                <w:sz w:val="24"/>
                <w:highlight w:val="none"/>
              </w:rPr>
              <w:t>②</w:t>
            </w:r>
            <w:r>
              <w:rPr>
                <w:rFonts w:ascii="Times New Roman" w:hAnsi="Times New Roman" w:eastAsia="宋体"/>
                <w:color w:val="auto"/>
                <w:sz w:val="24"/>
                <w:highlight w:val="none"/>
                <w:lang w:eastAsia="zh-CN"/>
              </w:rPr>
              <w:t>等效室外声源声功率级法计算：</w:t>
            </w:r>
          </w:p>
          <w:p w14:paraId="055BDBAB">
            <w:pPr>
              <w:spacing w:line="360" w:lineRule="auto"/>
              <w:ind w:firstLine="480" w:firstLineChars="200"/>
              <w:rPr>
                <w:rFonts w:ascii="Times New Roman" w:hAnsi="Times New Roman" w:eastAsia="宋体"/>
                <w:color w:val="auto"/>
                <w:sz w:val="24"/>
                <w:highlight w:val="none"/>
                <w:lang w:eastAsia="zh-CN"/>
              </w:rPr>
            </w:pPr>
            <w:r>
              <w:rPr>
                <w:rFonts w:hint="eastAsia" w:ascii="Times New Roman" w:hAnsi="Times New Roman" w:eastAsia="宋体" w:cs="Times New Roman"/>
                <w:color w:val="auto"/>
                <w:sz w:val="24"/>
                <w:highlight w:val="none"/>
                <w:lang w:eastAsia="zh-CN"/>
              </w:rPr>
              <w:t>根</w:t>
            </w:r>
            <w:r>
              <w:rPr>
                <w:rFonts w:ascii="Times New Roman" w:hAnsi="Times New Roman" w:eastAsia="宋体"/>
                <w:color w:val="auto"/>
                <w:sz w:val="24"/>
                <w:highlight w:val="none"/>
                <w:lang w:eastAsia="zh-CN"/>
              </w:rPr>
              <w:t>据《环境影响评价技术导则 声环境》（HJ2.4-2021），声源位于室内，噪声源可视为点声源，根据点声源噪声衰减模式，各类机械产生的噪声影响采用以下预测模式：</w:t>
            </w:r>
          </w:p>
          <w:p w14:paraId="3006CFDE">
            <w:pPr>
              <w:spacing w:line="360" w:lineRule="auto"/>
              <w:ind w:firstLine="480" w:firstLineChars="200"/>
              <w:jc w:val="center"/>
              <w:rPr>
                <w:rFonts w:ascii="Times New Roman" w:hAnsi="Times New Roman" w:eastAsia="宋体"/>
                <w:color w:val="auto"/>
                <w:sz w:val="24"/>
                <w:highlight w:val="none"/>
                <w:lang w:eastAsia="zh-CN"/>
              </w:rPr>
            </w:pPr>
            <w:r>
              <w:rPr>
                <w:rFonts w:ascii="Times New Roman" w:hAnsi="Times New Roman" w:eastAsia="宋体"/>
                <w:color w:val="auto"/>
                <w:sz w:val="24"/>
                <w:highlight w:val="none"/>
                <w:lang w:eastAsia="zh-CN"/>
              </w:rPr>
              <w:t>Lp2</w:t>
            </w:r>
            <w:r>
              <w:rPr>
                <w:rFonts w:hint="eastAsia"/>
                <w:color w:val="auto"/>
                <w:sz w:val="24"/>
                <w:highlight w:val="none"/>
                <w:lang w:eastAsia="zh-CN"/>
              </w:rPr>
              <w:t>=</w:t>
            </w:r>
            <w:r>
              <w:rPr>
                <w:rFonts w:ascii="Times New Roman" w:hAnsi="Times New Roman" w:eastAsia="宋体"/>
                <w:color w:val="auto"/>
                <w:sz w:val="24"/>
                <w:highlight w:val="none"/>
                <w:lang w:eastAsia="zh-CN"/>
              </w:rPr>
              <w:t>Lp1-（TL+6）</w:t>
            </w:r>
          </w:p>
          <w:p w14:paraId="10613997">
            <w:pPr>
              <w:spacing w:line="360" w:lineRule="auto"/>
              <w:ind w:firstLine="480" w:firstLineChars="200"/>
              <w:rPr>
                <w:rFonts w:ascii="Times New Roman" w:hAnsi="Times New Roman" w:eastAsia="宋体"/>
                <w:color w:val="auto"/>
                <w:sz w:val="24"/>
                <w:highlight w:val="none"/>
                <w:lang w:eastAsia="zh-CN"/>
              </w:rPr>
            </w:pPr>
            <w:r>
              <w:rPr>
                <w:rFonts w:ascii="Times New Roman" w:hAnsi="Times New Roman" w:eastAsia="宋体"/>
                <w:color w:val="auto"/>
                <w:sz w:val="24"/>
                <w:highlight w:val="none"/>
                <w:lang w:eastAsia="zh-CN"/>
              </w:rPr>
              <w:t>式中：Lp1——靠近开口处（或窗户）室内某倍频带的声压级或A声级，</w:t>
            </w:r>
            <w:r>
              <w:rPr>
                <w:rFonts w:ascii="Times New Roman" w:hAnsi="Times New Roman" w:eastAsia="宋体"/>
                <w:color w:val="auto"/>
                <w:spacing w:val="4"/>
                <w:kern w:val="0"/>
                <w:sz w:val="24"/>
                <w:highlight w:val="none"/>
                <w:fitText w:val="528" w:id="319712983"/>
                <w:lang w:eastAsia="zh-CN"/>
              </w:rPr>
              <w:t>dB</w:t>
            </w:r>
            <w:r>
              <w:rPr>
                <w:rFonts w:ascii="Times New Roman" w:hAnsi="Times New Roman" w:eastAsia="宋体"/>
                <w:color w:val="auto"/>
                <w:spacing w:val="0"/>
                <w:kern w:val="0"/>
                <w:sz w:val="24"/>
                <w:highlight w:val="none"/>
                <w:fitText w:val="528" w:id="319712983"/>
                <w:lang w:eastAsia="zh-CN"/>
              </w:rPr>
              <w:t>；</w:t>
            </w:r>
          </w:p>
          <w:p w14:paraId="7CEB0355">
            <w:pPr>
              <w:spacing w:line="360" w:lineRule="auto"/>
              <w:ind w:firstLine="1200" w:firstLineChars="500"/>
              <w:rPr>
                <w:rFonts w:ascii="Times New Roman" w:hAnsi="Times New Roman" w:eastAsia="宋体"/>
                <w:color w:val="auto"/>
                <w:sz w:val="24"/>
                <w:highlight w:val="none"/>
                <w:lang w:eastAsia="zh-CN"/>
              </w:rPr>
            </w:pPr>
            <w:r>
              <w:rPr>
                <w:rFonts w:ascii="Times New Roman" w:hAnsi="Times New Roman" w:eastAsia="宋体"/>
                <w:color w:val="auto"/>
                <w:sz w:val="24"/>
                <w:highlight w:val="none"/>
                <w:lang w:eastAsia="zh-CN"/>
              </w:rPr>
              <w:t>Lp2——靠近开口处（或窗户）室外某倍频带的声压级或A声级，dB；</w:t>
            </w:r>
          </w:p>
          <w:p w14:paraId="5EEBDDE5">
            <w:pPr>
              <w:spacing w:line="360" w:lineRule="auto"/>
              <w:ind w:firstLine="1200" w:firstLineChars="500"/>
              <w:rPr>
                <w:rFonts w:ascii="Times New Roman" w:hAnsi="Times New Roman" w:eastAsia="宋体"/>
                <w:color w:val="auto"/>
                <w:sz w:val="24"/>
                <w:highlight w:val="none"/>
                <w:lang w:eastAsia="zh-CN"/>
              </w:rPr>
            </w:pPr>
            <w:r>
              <w:rPr>
                <w:rFonts w:ascii="Times New Roman" w:hAnsi="Times New Roman" w:eastAsia="宋体"/>
                <w:color w:val="auto"/>
                <w:sz w:val="24"/>
                <w:highlight w:val="none"/>
                <w:lang w:eastAsia="zh-CN"/>
              </w:rPr>
              <w:t>TL——隔墙（或窗户）倍频带或A声级的隔声量，dB。</w:t>
            </w:r>
          </w:p>
          <w:p w14:paraId="19AC8A83">
            <w:pPr>
              <w:spacing w:line="360" w:lineRule="auto"/>
              <w:ind w:firstLine="480" w:firstLineChars="200"/>
              <w:rPr>
                <w:rFonts w:ascii="Times New Roman" w:hAnsi="Times New Roman" w:eastAsia="宋体"/>
                <w:color w:val="auto"/>
                <w:sz w:val="24"/>
                <w:highlight w:val="none"/>
                <w:lang w:eastAsia="zh-CN"/>
              </w:rPr>
            </w:pPr>
            <w:r>
              <w:rPr>
                <w:rFonts w:ascii="Times New Roman" w:hAnsi="Times New Roman" w:eastAsia="宋体"/>
                <w:color w:val="auto"/>
                <w:sz w:val="24"/>
                <w:highlight w:val="none"/>
                <w:lang w:eastAsia="zh-CN"/>
              </w:rPr>
              <w:t>所有室内声源在围护结构处产生的i倍频带叠加声压级：</w:t>
            </w:r>
          </w:p>
          <w:p w14:paraId="0B4A81C9">
            <w:pPr>
              <w:pStyle w:val="45"/>
              <w:spacing w:line="240" w:lineRule="auto"/>
              <w:ind w:firstLine="480"/>
              <w:jc w:val="center"/>
              <w:rPr>
                <w:rFonts w:cs="Times New Roman"/>
                <w:color w:val="auto"/>
                <w:highlight w:val="none"/>
              </w:rPr>
            </w:pPr>
            <w:r>
              <w:rPr>
                <w:rFonts w:cs="Times New Roman"/>
                <w:color w:val="auto"/>
                <w:highlight w:val="none"/>
              </w:rPr>
              <w:drawing>
                <wp:inline distT="0" distB="0" distL="114300" distR="114300">
                  <wp:extent cx="2047875" cy="533400"/>
                  <wp:effectExtent l="0" t="0" r="9525" b="0"/>
                  <wp:docPr id="1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4"/>
                          <pic:cNvPicPr>
                            <a:picLocks noChangeAspect="1"/>
                          </pic:cNvPicPr>
                        </pic:nvPicPr>
                        <pic:blipFill>
                          <a:blip r:embed="rId25"/>
                          <a:stretch>
                            <a:fillRect/>
                          </a:stretch>
                        </pic:blipFill>
                        <pic:spPr>
                          <a:xfrm>
                            <a:off x="0" y="0"/>
                            <a:ext cx="2047875" cy="533400"/>
                          </a:xfrm>
                          <a:prstGeom prst="rect">
                            <a:avLst/>
                          </a:prstGeom>
                          <a:noFill/>
                          <a:ln>
                            <a:noFill/>
                          </a:ln>
                        </pic:spPr>
                      </pic:pic>
                    </a:graphicData>
                  </a:graphic>
                </wp:inline>
              </w:drawing>
            </w:r>
          </w:p>
          <w:p w14:paraId="4461A65B">
            <w:pPr>
              <w:pStyle w:val="45"/>
              <w:ind w:firstLine="480"/>
              <w:jc w:val="left"/>
              <w:rPr>
                <w:rFonts w:cs="Times New Roman"/>
                <w:color w:val="auto"/>
                <w:highlight w:val="none"/>
              </w:rPr>
            </w:pPr>
            <w:r>
              <w:rPr>
                <w:rFonts w:cs="Times New Roman"/>
                <w:color w:val="auto"/>
                <w:highlight w:val="none"/>
              </w:rPr>
              <w:t>式中：Lp1i（T）——靠近围护结构处室内N个声源i倍频带的叠加声压级，dB；</w:t>
            </w:r>
          </w:p>
          <w:p w14:paraId="7137BC95">
            <w:pPr>
              <w:pStyle w:val="45"/>
              <w:ind w:firstLine="1200" w:firstLineChars="500"/>
              <w:jc w:val="left"/>
              <w:rPr>
                <w:rFonts w:cs="Times New Roman"/>
                <w:color w:val="auto"/>
                <w:highlight w:val="none"/>
              </w:rPr>
            </w:pPr>
            <w:r>
              <w:rPr>
                <w:rFonts w:cs="Times New Roman"/>
                <w:color w:val="auto"/>
                <w:highlight w:val="none"/>
              </w:rPr>
              <w:t>Lp1ij——室内j声源i倍频带的声压级，dB；</w:t>
            </w:r>
          </w:p>
          <w:p w14:paraId="024AA3EF">
            <w:pPr>
              <w:pStyle w:val="45"/>
              <w:ind w:firstLine="1185" w:firstLineChars="494"/>
              <w:jc w:val="left"/>
              <w:rPr>
                <w:rFonts w:cs="Times New Roman"/>
                <w:color w:val="auto"/>
                <w:highlight w:val="none"/>
              </w:rPr>
            </w:pPr>
            <w:r>
              <w:rPr>
                <w:rFonts w:cs="Times New Roman"/>
                <w:color w:val="auto"/>
                <w:highlight w:val="none"/>
              </w:rPr>
              <w:t>N——室内声源总数。噪声预测计算的基本公式为：</w:t>
            </w:r>
          </w:p>
          <w:p w14:paraId="047FA86C">
            <w:pPr>
              <w:pStyle w:val="45"/>
              <w:ind w:firstLine="480"/>
              <w:jc w:val="center"/>
              <w:rPr>
                <w:rFonts w:cs="Times New Roman"/>
                <w:color w:val="auto"/>
                <w:highlight w:val="none"/>
              </w:rPr>
            </w:pPr>
            <w:r>
              <w:rPr>
                <w:rFonts w:cs="Times New Roman"/>
                <w:color w:val="auto"/>
                <w:highlight w:val="none"/>
              </w:rPr>
              <w:drawing>
                <wp:inline distT="0" distB="0" distL="114300" distR="114300">
                  <wp:extent cx="3895725" cy="276225"/>
                  <wp:effectExtent l="0" t="0" r="9525" b="9525"/>
                  <wp:docPr id="2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5"/>
                          <pic:cNvPicPr>
                            <a:picLocks noChangeAspect="1"/>
                          </pic:cNvPicPr>
                        </pic:nvPicPr>
                        <pic:blipFill>
                          <a:blip r:embed="rId26"/>
                          <a:stretch>
                            <a:fillRect/>
                          </a:stretch>
                        </pic:blipFill>
                        <pic:spPr>
                          <a:xfrm>
                            <a:off x="0" y="0"/>
                            <a:ext cx="3895725" cy="276225"/>
                          </a:xfrm>
                          <a:prstGeom prst="rect">
                            <a:avLst/>
                          </a:prstGeom>
                          <a:noFill/>
                          <a:ln>
                            <a:noFill/>
                          </a:ln>
                        </pic:spPr>
                      </pic:pic>
                    </a:graphicData>
                  </a:graphic>
                </wp:inline>
              </w:drawing>
            </w:r>
          </w:p>
          <w:p w14:paraId="306CEB3D">
            <w:pPr>
              <w:pStyle w:val="45"/>
              <w:ind w:firstLine="480"/>
              <w:jc w:val="left"/>
              <w:rPr>
                <w:rFonts w:cs="Times New Roman"/>
                <w:color w:val="auto"/>
                <w:highlight w:val="none"/>
              </w:rPr>
            </w:pPr>
            <w:r>
              <w:rPr>
                <w:rFonts w:cs="Times New Roman"/>
                <w:color w:val="auto"/>
                <w:highlight w:val="none"/>
              </w:rPr>
              <w:t>式中：Lp（r）——预测点处声压级，dB；</w:t>
            </w:r>
          </w:p>
          <w:p w14:paraId="5D894FE0">
            <w:pPr>
              <w:pStyle w:val="45"/>
              <w:ind w:firstLine="1200" w:firstLineChars="500"/>
              <w:jc w:val="left"/>
              <w:rPr>
                <w:rFonts w:cs="Times New Roman"/>
                <w:color w:val="auto"/>
                <w:highlight w:val="none"/>
              </w:rPr>
            </w:pPr>
            <w:r>
              <w:rPr>
                <w:rFonts w:cs="Times New Roman"/>
                <w:color w:val="auto"/>
                <w:highlight w:val="none"/>
              </w:rPr>
              <w:t>Lw——由点声源产生的声功率级（A计权或倍频带），dB；</w:t>
            </w:r>
          </w:p>
          <w:p w14:paraId="77CA3554">
            <w:pPr>
              <w:pStyle w:val="45"/>
              <w:ind w:firstLine="1200" w:firstLineChars="500"/>
              <w:jc w:val="left"/>
              <w:rPr>
                <w:rFonts w:cs="Times New Roman"/>
                <w:color w:val="auto"/>
                <w:highlight w:val="none"/>
              </w:rPr>
            </w:pPr>
            <w:r>
              <w:rPr>
                <w:rFonts w:cs="Times New Roman"/>
                <w:color w:val="auto"/>
                <w:highlight w:val="none"/>
              </w:rPr>
              <w:t>DC——指向性校正，它描述点声源的等效连续声压级与产生声功率级Lw的全向点声源在规定方向的声级的偏差程度，dB；</w:t>
            </w:r>
          </w:p>
          <w:p w14:paraId="236CBDB8">
            <w:pPr>
              <w:pStyle w:val="45"/>
              <w:ind w:firstLine="1200" w:firstLineChars="500"/>
              <w:jc w:val="left"/>
              <w:rPr>
                <w:rFonts w:cs="Times New Roman"/>
                <w:color w:val="auto"/>
                <w:highlight w:val="none"/>
              </w:rPr>
            </w:pPr>
            <w:r>
              <w:rPr>
                <w:rFonts w:cs="Times New Roman"/>
                <w:color w:val="auto"/>
                <w:highlight w:val="none"/>
              </w:rPr>
              <w:t>Adiv——几何发散引起的衰减，dB；</w:t>
            </w:r>
          </w:p>
          <w:p w14:paraId="1DB70C65">
            <w:pPr>
              <w:pStyle w:val="45"/>
              <w:ind w:firstLine="1200" w:firstLineChars="500"/>
              <w:jc w:val="left"/>
              <w:rPr>
                <w:rFonts w:cs="Times New Roman"/>
                <w:color w:val="auto"/>
                <w:highlight w:val="none"/>
              </w:rPr>
            </w:pPr>
            <w:r>
              <w:rPr>
                <w:rFonts w:cs="Times New Roman"/>
                <w:color w:val="auto"/>
                <w:highlight w:val="none"/>
              </w:rPr>
              <w:t>Aatm——大气吸收引起的衰减，dB；</w:t>
            </w:r>
          </w:p>
          <w:p w14:paraId="12633C49">
            <w:pPr>
              <w:pStyle w:val="45"/>
              <w:ind w:firstLine="1200" w:firstLineChars="500"/>
              <w:jc w:val="left"/>
              <w:rPr>
                <w:rFonts w:cs="Times New Roman"/>
                <w:color w:val="auto"/>
                <w:highlight w:val="none"/>
              </w:rPr>
            </w:pPr>
            <w:r>
              <w:rPr>
                <w:rFonts w:cs="Times New Roman"/>
                <w:color w:val="auto"/>
                <w:highlight w:val="none"/>
              </w:rPr>
              <w:t>Agr——地面效应引起的衰减，dB；</w:t>
            </w:r>
          </w:p>
          <w:p w14:paraId="040C7BD7">
            <w:pPr>
              <w:pStyle w:val="45"/>
              <w:ind w:firstLine="1185" w:firstLineChars="494"/>
              <w:jc w:val="left"/>
              <w:rPr>
                <w:rFonts w:cs="Times New Roman"/>
                <w:color w:val="auto"/>
                <w:highlight w:val="none"/>
              </w:rPr>
            </w:pPr>
            <w:r>
              <w:rPr>
                <w:rFonts w:cs="Times New Roman"/>
                <w:color w:val="auto"/>
                <w:highlight w:val="none"/>
              </w:rPr>
              <w:t>Abar——障碍物屏蔽引起的衰减，dB；</w:t>
            </w:r>
          </w:p>
          <w:p w14:paraId="6DF786DF">
            <w:pPr>
              <w:pStyle w:val="45"/>
              <w:ind w:firstLine="1200" w:firstLineChars="500"/>
              <w:jc w:val="left"/>
              <w:rPr>
                <w:rFonts w:cs="Times New Roman"/>
                <w:color w:val="auto"/>
                <w:highlight w:val="none"/>
              </w:rPr>
            </w:pPr>
            <w:r>
              <w:rPr>
                <w:rFonts w:cs="Times New Roman"/>
                <w:color w:val="auto"/>
                <w:highlight w:val="none"/>
              </w:rPr>
              <w:t>Amisc——其他多方面效应引起的衰减，dB。</w:t>
            </w:r>
          </w:p>
          <w:p w14:paraId="4BFE19D0">
            <w:pPr>
              <w:pStyle w:val="45"/>
              <w:ind w:firstLine="480"/>
              <w:jc w:val="left"/>
              <w:rPr>
                <w:rFonts w:cs="Times New Roman"/>
                <w:color w:val="auto"/>
                <w:highlight w:val="none"/>
              </w:rPr>
            </w:pPr>
            <w:r>
              <w:rPr>
                <w:rFonts w:cs="Times New Roman"/>
                <w:color w:val="auto"/>
                <w:highlight w:val="none"/>
              </w:rPr>
              <w:t>点声源的几何发散衰减公式为：</w:t>
            </w:r>
          </w:p>
          <w:p w14:paraId="6E3123B1">
            <w:pPr>
              <w:pStyle w:val="45"/>
              <w:spacing w:line="240" w:lineRule="auto"/>
              <w:ind w:firstLine="480"/>
              <w:jc w:val="center"/>
              <w:rPr>
                <w:rFonts w:cs="Times New Roman"/>
                <w:color w:val="auto"/>
                <w:highlight w:val="none"/>
              </w:rPr>
            </w:pPr>
            <w:r>
              <w:rPr>
                <w:rFonts w:cs="Times New Roman"/>
                <w:color w:val="auto"/>
                <w:highlight w:val="none"/>
              </w:rPr>
              <w:drawing>
                <wp:inline distT="0" distB="0" distL="114300" distR="114300">
                  <wp:extent cx="2266950" cy="266700"/>
                  <wp:effectExtent l="0" t="0" r="0" b="0"/>
                  <wp:docPr id="4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6"/>
                          <pic:cNvPicPr>
                            <a:picLocks noChangeAspect="1"/>
                          </pic:cNvPicPr>
                        </pic:nvPicPr>
                        <pic:blipFill>
                          <a:blip r:embed="rId27"/>
                          <a:stretch>
                            <a:fillRect/>
                          </a:stretch>
                        </pic:blipFill>
                        <pic:spPr>
                          <a:xfrm>
                            <a:off x="0" y="0"/>
                            <a:ext cx="2266950" cy="266700"/>
                          </a:xfrm>
                          <a:prstGeom prst="rect">
                            <a:avLst/>
                          </a:prstGeom>
                          <a:noFill/>
                          <a:ln>
                            <a:noFill/>
                          </a:ln>
                        </pic:spPr>
                      </pic:pic>
                    </a:graphicData>
                  </a:graphic>
                </wp:inline>
              </w:drawing>
            </w:r>
          </w:p>
          <w:p w14:paraId="6E33230D">
            <w:pPr>
              <w:pStyle w:val="45"/>
              <w:ind w:firstLine="480"/>
              <w:jc w:val="left"/>
              <w:rPr>
                <w:rFonts w:cs="Times New Roman"/>
                <w:color w:val="auto"/>
                <w:highlight w:val="none"/>
              </w:rPr>
            </w:pPr>
            <w:r>
              <w:rPr>
                <w:rFonts w:cs="Times New Roman"/>
                <w:color w:val="auto"/>
                <w:highlight w:val="none"/>
              </w:rPr>
              <w:t>式中：Lp（r）——预测点处声压级，dB；</w:t>
            </w:r>
          </w:p>
          <w:p w14:paraId="3AD49D56">
            <w:pPr>
              <w:pStyle w:val="45"/>
              <w:ind w:firstLine="1200" w:firstLineChars="500"/>
              <w:jc w:val="left"/>
              <w:rPr>
                <w:rFonts w:cs="Times New Roman"/>
                <w:color w:val="auto"/>
                <w:highlight w:val="none"/>
              </w:rPr>
            </w:pPr>
            <w:r>
              <w:rPr>
                <w:rFonts w:cs="Times New Roman"/>
                <w:color w:val="auto"/>
                <w:highlight w:val="none"/>
              </w:rPr>
              <w:t>Lp（r0）——参考位置r0处的声压级，dB；</w:t>
            </w:r>
          </w:p>
          <w:p w14:paraId="09A4D093">
            <w:pPr>
              <w:pStyle w:val="45"/>
              <w:ind w:firstLine="1200" w:firstLineChars="500"/>
              <w:jc w:val="left"/>
              <w:rPr>
                <w:rFonts w:cs="Times New Roman"/>
                <w:color w:val="auto"/>
                <w:highlight w:val="none"/>
              </w:rPr>
            </w:pPr>
            <w:r>
              <w:rPr>
                <w:rFonts w:cs="Times New Roman"/>
                <w:color w:val="auto"/>
                <w:highlight w:val="none"/>
              </w:rPr>
              <w:t>r——预测点距声源的距离；</w:t>
            </w:r>
          </w:p>
          <w:p w14:paraId="0957D433">
            <w:pPr>
              <w:pStyle w:val="45"/>
              <w:ind w:firstLine="1200" w:firstLineChars="500"/>
              <w:jc w:val="left"/>
              <w:rPr>
                <w:rFonts w:cs="Times New Roman"/>
                <w:color w:val="auto"/>
                <w:highlight w:val="none"/>
              </w:rPr>
            </w:pPr>
            <w:r>
              <w:rPr>
                <w:rFonts w:cs="Times New Roman"/>
                <w:color w:val="auto"/>
                <w:highlight w:val="none"/>
              </w:rPr>
              <w:t>r0——参考位置距声源的距离。</w:t>
            </w:r>
          </w:p>
          <w:p w14:paraId="4F5FA767">
            <w:pPr>
              <w:pStyle w:val="31"/>
              <w:bidi w:val="0"/>
              <w:rPr>
                <w:rFonts w:ascii="宋体" w:hAnsi="宋体" w:eastAsia="宋体" w:cs="宋体"/>
                <w:color w:val="auto"/>
                <w:sz w:val="24"/>
                <w:szCs w:val="24"/>
              </w:rPr>
            </w:pPr>
            <w:r>
              <w:rPr>
                <w:rFonts w:hint="default" w:ascii="Times New Roman" w:hAnsi="Times New Roman" w:eastAsia="宋体" w:cs="Times New Roman"/>
                <w:bCs w:val="0"/>
                <w:snapToGrid w:val="0"/>
                <w:color w:val="auto"/>
                <w:spacing w:val="0"/>
                <w:kern w:val="0"/>
                <w:sz w:val="24"/>
                <w:szCs w:val="21"/>
                <w:highlight w:val="none"/>
              </w:rPr>
              <w:t>③</w:t>
            </w:r>
            <w:r>
              <w:rPr>
                <w:rFonts w:ascii="宋体" w:hAnsi="宋体" w:eastAsia="宋体" w:cs="宋体"/>
                <w:color w:val="auto"/>
                <w:sz w:val="24"/>
                <w:szCs w:val="24"/>
              </w:rPr>
              <w:t>计算总声压级</w:t>
            </w:r>
          </w:p>
          <w:p w14:paraId="5E416717">
            <w:pPr>
              <w:pStyle w:val="31"/>
              <w:bidi w:val="0"/>
              <w:rPr>
                <w:rFonts w:ascii="宋体" w:hAnsi="宋体" w:eastAsia="宋体" w:cs="宋体"/>
                <w:color w:val="auto"/>
                <w:sz w:val="24"/>
                <w:szCs w:val="24"/>
              </w:rPr>
            </w:pPr>
            <w:r>
              <w:rPr>
                <w:rFonts w:ascii="宋体" w:hAnsi="宋体" w:eastAsia="宋体" w:cs="宋体"/>
                <w:color w:val="auto"/>
                <w:sz w:val="24"/>
                <w:szCs w:val="24"/>
              </w:rPr>
              <w:t>多声源叠加噪声预测值：</w:t>
            </w:r>
          </w:p>
          <w:p w14:paraId="7D6690A0">
            <w:pPr>
              <w:pStyle w:val="31"/>
              <w:bidi w:val="0"/>
              <w:jc w:val="center"/>
              <w:rPr>
                <w:color w:val="auto"/>
              </w:rPr>
            </w:pPr>
            <w:r>
              <w:rPr>
                <w:color w:val="auto"/>
              </w:rPr>
              <w:drawing>
                <wp:inline distT="0" distB="0" distL="114300" distR="114300">
                  <wp:extent cx="1987550" cy="406400"/>
                  <wp:effectExtent l="0" t="0" r="12700" b="12700"/>
                  <wp:docPr id="1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
                          <pic:cNvPicPr>
                            <a:picLocks noChangeAspect="1"/>
                          </pic:cNvPicPr>
                        </pic:nvPicPr>
                        <pic:blipFill>
                          <a:blip r:embed="rId28"/>
                          <a:stretch>
                            <a:fillRect/>
                          </a:stretch>
                        </pic:blipFill>
                        <pic:spPr>
                          <a:xfrm>
                            <a:off x="0" y="0"/>
                            <a:ext cx="1987550" cy="406400"/>
                          </a:xfrm>
                          <a:prstGeom prst="rect">
                            <a:avLst/>
                          </a:prstGeom>
                          <a:noFill/>
                          <a:ln>
                            <a:noFill/>
                          </a:ln>
                        </pic:spPr>
                      </pic:pic>
                    </a:graphicData>
                  </a:graphic>
                </wp:inline>
              </w:drawing>
            </w:r>
          </w:p>
          <w:p w14:paraId="4E6EC312">
            <w:pPr>
              <w:pStyle w:val="45"/>
              <w:ind w:firstLine="480"/>
              <w:jc w:val="left"/>
              <w:rPr>
                <w:rFonts w:cs="Times New Roman"/>
                <w:color w:val="auto"/>
                <w:highlight w:val="none"/>
              </w:rPr>
            </w:pPr>
            <w:r>
              <w:rPr>
                <w:rFonts w:cs="Times New Roman"/>
                <w:color w:val="auto"/>
                <w:highlight w:val="none"/>
              </w:rPr>
              <w:t>式中：Leq——预测点的噪声预测值，dB（A）；</w:t>
            </w:r>
          </w:p>
          <w:p w14:paraId="6EA8581D">
            <w:pPr>
              <w:pStyle w:val="45"/>
              <w:ind w:firstLine="1200" w:firstLineChars="500"/>
              <w:jc w:val="left"/>
              <w:rPr>
                <w:rFonts w:cs="Times New Roman"/>
                <w:color w:val="auto"/>
                <w:highlight w:val="none"/>
              </w:rPr>
            </w:pPr>
            <w:r>
              <w:rPr>
                <w:rFonts w:cs="Times New Roman"/>
                <w:color w:val="auto"/>
                <w:highlight w:val="none"/>
              </w:rPr>
              <w:t>Leqq——预测点的噪声贡献值，dB（A）；</w:t>
            </w:r>
          </w:p>
          <w:p w14:paraId="48DCBBDF">
            <w:pPr>
              <w:pStyle w:val="45"/>
              <w:ind w:firstLine="1200" w:firstLineChars="500"/>
              <w:jc w:val="left"/>
              <w:rPr>
                <w:rFonts w:cs="Times New Roman"/>
                <w:color w:val="auto"/>
                <w:highlight w:val="none"/>
              </w:rPr>
            </w:pPr>
            <w:r>
              <w:rPr>
                <w:rFonts w:cs="Times New Roman"/>
                <w:color w:val="auto"/>
                <w:highlight w:val="none"/>
              </w:rPr>
              <w:t>Leqb——预测点的噪声背景值，dB（A）。</w:t>
            </w:r>
          </w:p>
          <w:p w14:paraId="088AF65E">
            <w:pPr>
              <w:snapToGrid w:val="0"/>
              <w:spacing w:line="460" w:lineRule="exact"/>
              <w:ind w:firstLine="480"/>
              <w:rPr>
                <w:rFonts w:hint="default" w:ascii="Times New Roman" w:hAnsi="Times New Roman" w:cs="Times New Roman"/>
                <w:color w:val="auto"/>
                <w:lang w:eastAsia="zh-CN"/>
              </w:rPr>
            </w:pPr>
            <w:r>
              <w:rPr>
                <w:rFonts w:hint="default" w:ascii="Times New Roman" w:hAnsi="Times New Roman" w:cs="Times New Roman"/>
                <w:color w:val="auto"/>
                <w:lang w:eastAsia="zh-CN"/>
              </w:rPr>
              <w:t>运营期</w:t>
            </w:r>
            <w:r>
              <w:rPr>
                <w:rFonts w:hint="default" w:ascii="Times New Roman" w:hAnsi="Times New Roman" w:cs="Times New Roman"/>
                <w:color w:val="auto"/>
                <w:lang w:val="en-US" w:eastAsia="zh-CN"/>
              </w:rPr>
              <w:t>声环境保护目标</w:t>
            </w:r>
            <w:r>
              <w:rPr>
                <w:rFonts w:hint="default" w:ascii="Times New Roman" w:hAnsi="Times New Roman" w:cs="Times New Roman"/>
                <w:color w:val="auto"/>
                <w:lang w:eastAsia="zh-CN"/>
              </w:rPr>
              <w:t>噪声预测结果见表4-</w:t>
            </w:r>
            <w:r>
              <w:rPr>
                <w:rFonts w:hint="eastAsia" w:cs="Times New Roman"/>
                <w:color w:val="auto"/>
                <w:lang w:val="en-US" w:eastAsia="zh-CN"/>
              </w:rPr>
              <w:t>10</w:t>
            </w:r>
            <w:r>
              <w:rPr>
                <w:rFonts w:hint="default" w:ascii="Times New Roman" w:hAnsi="Times New Roman" w:cs="Times New Roman"/>
                <w:color w:val="auto"/>
                <w:lang w:eastAsia="zh-CN"/>
              </w:rPr>
              <w:t>。</w:t>
            </w:r>
          </w:p>
          <w:p w14:paraId="4BA8609E">
            <w:pPr>
              <w:snapToGrid w:val="0"/>
              <w:spacing w:line="450" w:lineRule="exact"/>
              <w:ind w:firstLine="422"/>
              <w:jc w:val="center"/>
              <w:rPr>
                <w:rFonts w:hint="default" w:ascii="Times New Roman" w:hAnsi="Times New Roman" w:cs="Times New Roman"/>
                <w:b/>
                <w:bCs/>
                <w:color w:val="auto"/>
                <w:sz w:val="30"/>
                <w:szCs w:val="30"/>
                <w:lang w:val="en-US" w:eastAsia="zh-CN"/>
              </w:rPr>
            </w:pPr>
            <w:r>
              <w:rPr>
                <w:rFonts w:hint="default" w:ascii="Times New Roman" w:hAnsi="Times New Roman" w:cs="Times New Roman"/>
                <w:b/>
                <w:bCs/>
                <w:color w:val="auto"/>
                <w:sz w:val="21"/>
                <w:szCs w:val="21"/>
                <w:highlight w:val="none"/>
                <w:lang w:val="en-US" w:eastAsia="zh-CN"/>
              </w:rPr>
              <w:t>表</w:t>
            </w:r>
            <w:r>
              <w:rPr>
                <w:rFonts w:hint="default" w:ascii="Times New Roman" w:hAnsi="Times New Roman" w:eastAsia="宋体" w:cs="Times New Roman"/>
                <w:b/>
                <w:bCs/>
                <w:color w:val="auto"/>
                <w:sz w:val="21"/>
                <w:szCs w:val="21"/>
                <w:highlight w:val="none"/>
                <w:lang w:eastAsia="zh-CN"/>
              </w:rPr>
              <w:t>4</w:t>
            </w:r>
            <w:r>
              <w:rPr>
                <w:rFonts w:hint="default" w:ascii="Times New Roman" w:hAnsi="Times New Roman" w:eastAsia="宋体" w:cs="Times New Roman"/>
                <w:b/>
                <w:bCs/>
                <w:color w:val="auto"/>
                <w:sz w:val="21"/>
                <w:szCs w:val="21"/>
                <w:highlight w:val="none"/>
                <w:lang w:val="en-US" w:eastAsia="zh-CN"/>
              </w:rPr>
              <w:t>-</w:t>
            </w:r>
            <w:r>
              <w:rPr>
                <w:rFonts w:hint="eastAsia" w:cs="Times New Roman"/>
                <w:b/>
                <w:bCs/>
                <w:color w:val="auto"/>
                <w:sz w:val="21"/>
                <w:szCs w:val="21"/>
                <w:highlight w:val="none"/>
                <w:lang w:val="en-US" w:eastAsia="zh-CN"/>
              </w:rPr>
              <w:t>10</w:t>
            </w:r>
            <w:r>
              <w:rPr>
                <w:rFonts w:hint="default" w:ascii="Times New Roman" w:hAnsi="Times New Roman" w:cs="Times New Roman"/>
                <w:b/>
                <w:bCs/>
                <w:color w:val="auto"/>
                <w:sz w:val="21"/>
                <w:szCs w:val="21"/>
                <w:highlight w:val="none"/>
                <w:lang w:val="en-US" w:eastAsia="zh-CN"/>
              </w:rPr>
              <w:t xml:space="preserve"> </w:t>
            </w:r>
            <w:r>
              <w:rPr>
                <w:rFonts w:hint="default" w:ascii="Times New Roman" w:hAnsi="Times New Roman" w:eastAsia="宋体" w:cs="Times New Roman"/>
                <w:b/>
                <w:bCs/>
                <w:color w:val="auto"/>
                <w:sz w:val="21"/>
                <w:szCs w:val="21"/>
                <w:lang w:val="en-US" w:eastAsia="zh-CN"/>
              </w:rPr>
              <w:t xml:space="preserve">  声环境保护目标噪声预测结果与达标分析表</w:t>
            </w:r>
          </w:p>
          <w:tbl>
            <w:tblPr>
              <w:tblStyle w:val="1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59"/>
              <w:gridCol w:w="1334"/>
              <w:gridCol w:w="587"/>
              <w:gridCol w:w="850"/>
              <w:gridCol w:w="671"/>
              <w:gridCol w:w="585"/>
              <w:gridCol w:w="694"/>
              <w:gridCol w:w="603"/>
              <w:gridCol w:w="613"/>
              <w:gridCol w:w="602"/>
              <w:gridCol w:w="597"/>
              <w:gridCol w:w="622"/>
            </w:tblGrid>
            <w:tr w14:paraId="25C60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279" w:type="pct"/>
                  <w:vMerge w:val="restart"/>
                  <w:noWrap w:val="0"/>
                  <w:vAlign w:val="center"/>
                </w:tcPr>
                <w:p w14:paraId="22FA5A10">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
                      <w:bCs w:val="0"/>
                      <w:color w:val="auto"/>
                      <w:sz w:val="21"/>
                      <w:szCs w:val="21"/>
                      <w:lang w:val="en-US" w:eastAsia="zh-CN"/>
                    </w:rPr>
                    <w:t>序号</w:t>
                  </w:r>
                </w:p>
              </w:tc>
              <w:tc>
                <w:tcPr>
                  <w:tcW w:w="811" w:type="pct"/>
                  <w:vMerge w:val="restart"/>
                  <w:noWrap w:val="0"/>
                  <w:vAlign w:val="center"/>
                </w:tcPr>
                <w:p w14:paraId="748219A5">
                  <w:pPr>
                    <w:widowControl w:val="0"/>
                    <w:snapToGrid w:val="0"/>
                    <w:spacing w:line="240" w:lineRule="auto"/>
                    <w:ind w:firstLine="0" w:firstLineChars="0"/>
                    <w:jc w:val="center"/>
                    <w:rPr>
                      <w:rFonts w:hint="default" w:ascii="Times New Roman" w:hAnsi="Times New Roman" w:eastAsia="宋体" w:cs="Times New Roman"/>
                      <w:b/>
                      <w:bCs w:val="0"/>
                      <w:color w:val="auto"/>
                      <w:sz w:val="21"/>
                      <w:szCs w:val="21"/>
                      <w:lang w:val="en-US" w:eastAsia="zh-CN"/>
                    </w:rPr>
                  </w:pPr>
                  <w:r>
                    <w:rPr>
                      <w:rFonts w:hint="default" w:ascii="Times New Roman" w:hAnsi="Times New Roman" w:eastAsia="宋体" w:cs="Times New Roman"/>
                      <w:b/>
                      <w:bCs w:val="0"/>
                      <w:color w:val="auto"/>
                      <w:sz w:val="21"/>
                      <w:szCs w:val="21"/>
                      <w:lang w:val="en-US" w:eastAsia="zh-CN"/>
                    </w:rPr>
                    <w:t>声环境保护目标名称</w:t>
                  </w:r>
                </w:p>
              </w:tc>
              <w:tc>
                <w:tcPr>
                  <w:tcW w:w="874" w:type="pct"/>
                  <w:gridSpan w:val="2"/>
                  <w:noWrap w:val="0"/>
                  <w:vAlign w:val="center"/>
                </w:tcPr>
                <w:p w14:paraId="3CBEFEC8">
                  <w:pPr>
                    <w:widowControl w:val="0"/>
                    <w:snapToGrid w:val="0"/>
                    <w:spacing w:line="240" w:lineRule="auto"/>
                    <w:ind w:firstLine="0" w:firstLineChars="0"/>
                    <w:jc w:val="center"/>
                    <w:rPr>
                      <w:rFonts w:hint="default" w:ascii="Times New Roman" w:hAnsi="Times New Roman" w:eastAsia="宋体" w:cs="Times New Roman"/>
                      <w:b/>
                      <w:bCs w:val="0"/>
                      <w:color w:val="auto"/>
                      <w:sz w:val="21"/>
                      <w:szCs w:val="21"/>
                      <w:highlight w:val="none"/>
                      <w:lang w:val="en-US" w:eastAsia="zh-CN"/>
                    </w:rPr>
                  </w:pPr>
                  <w:r>
                    <w:rPr>
                      <w:rFonts w:hint="default" w:ascii="Times New Roman" w:hAnsi="Times New Roman" w:eastAsia="宋体" w:cs="Times New Roman"/>
                      <w:b/>
                      <w:bCs w:val="0"/>
                      <w:color w:val="auto"/>
                      <w:sz w:val="21"/>
                      <w:szCs w:val="21"/>
                      <w:highlight w:val="none"/>
                      <w:lang w:val="en-US" w:eastAsia="zh-CN"/>
                    </w:rPr>
                    <w:t>噪声背景值/dB（A）</w:t>
                  </w:r>
                </w:p>
              </w:tc>
              <w:tc>
                <w:tcPr>
                  <w:tcW w:w="764" w:type="pct"/>
                  <w:gridSpan w:val="2"/>
                  <w:noWrap w:val="0"/>
                  <w:vAlign w:val="center"/>
                </w:tcPr>
                <w:p w14:paraId="6FB780BA">
                  <w:pPr>
                    <w:widowControl w:val="0"/>
                    <w:snapToGrid w:val="0"/>
                    <w:spacing w:line="240" w:lineRule="auto"/>
                    <w:ind w:firstLine="0" w:firstLineChars="0"/>
                    <w:jc w:val="center"/>
                    <w:rPr>
                      <w:rFonts w:hint="default" w:ascii="Times New Roman" w:hAnsi="Times New Roman" w:eastAsia="宋体" w:cs="Times New Roman"/>
                      <w:b/>
                      <w:bCs w:val="0"/>
                      <w:color w:val="auto"/>
                      <w:sz w:val="21"/>
                      <w:szCs w:val="21"/>
                      <w:highlight w:val="none"/>
                      <w:lang w:val="en-US" w:eastAsia="zh-CN"/>
                    </w:rPr>
                  </w:pPr>
                  <w:r>
                    <w:rPr>
                      <w:rFonts w:hint="default" w:ascii="Times New Roman" w:hAnsi="Times New Roman" w:eastAsia="宋体" w:cs="Times New Roman"/>
                      <w:b/>
                      <w:bCs w:val="0"/>
                      <w:color w:val="auto"/>
                      <w:sz w:val="21"/>
                      <w:szCs w:val="21"/>
                      <w:highlight w:val="none"/>
                      <w:lang w:val="en-US" w:eastAsia="zh-CN"/>
                    </w:rPr>
                    <w:t>噪声贡献值/dB（A）</w:t>
                  </w:r>
                </w:p>
              </w:tc>
              <w:tc>
                <w:tcPr>
                  <w:tcW w:w="789" w:type="pct"/>
                  <w:gridSpan w:val="2"/>
                  <w:noWrap w:val="0"/>
                  <w:vAlign w:val="center"/>
                </w:tcPr>
                <w:p w14:paraId="4FD06A6A">
                  <w:pPr>
                    <w:widowControl w:val="0"/>
                    <w:snapToGrid w:val="0"/>
                    <w:spacing w:line="240" w:lineRule="auto"/>
                    <w:ind w:firstLine="0" w:firstLineChars="0"/>
                    <w:jc w:val="center"/>
                    <w:rPr>
                      <w:rFonts w:hint="default" w:ascii="Times New Roman" w:hAnsi="Times New Roman" w:eastAsia="宋体" w:cs="Times New Roman"/>
                      <w:b/>
                      <w:bCs w:val="0"/>
                      <w:color w:val="auto"/>
                      <w:sz w:val="21"/>
                      <w:szCs w:val="21"/>
                      <w:highlight w:val="none"/>
                      <w:lang w:val="en-US" w:eastAsia="zh-CN"/>
                    </w:rPr>
                  </w:pPr>
                  <w:r>
                    <w:rPr>
                      <w:rFonts w:hint="default" w:ascii="Times New Roman" w:hAnsi="Times New Roman" w:eastAsia="宋体" w:cs="Times New Roman"/>
                      <w:b/>
                      <w:bCs w:val="0"/>
                      <w:color w:val="auto"/>
                      <w:sz w:val="21"/>
                      <w:szCs w:val="21"/>
                      <w:highlight w:val="none"/>
                      <w:lang w:val="en-US" w:eastAsia="zh-CN"/>
                    </w:rPr>
                    <w:t>噪声</w:t>
                  </w:r>
                  <w:r>
                    <w:rPr>
                      <w:rFonts w:hint="eastAsia" w:cs="Times New Roman"/>
                      <w:b/>
                      <w:bCs w:val="0"/>
                      <w:color w:val="auto"/>
                      <w:sz w:val="21"/>
                      <w:szCs w:val="21"/>
                      <w:highlight w:val="none"/>
                      <w:lang w:val="en-US" w:eastAsia="zh-CN"/>
                    </w:rPr>
                    <w:t>预测值</w:t>
                  </w:r>
                  <w:r>
                    <w:rPr>
                      <w:rFonts w:hint="default" w:ascii="Times New Roman" w:hAnsi="Times New Roman" w:eastAsia="宋体" w:cs="Times New Roman"/>
                      <w:b/>
                      <w:bCs w:val="0"/>
                      <w:color w:val="auto"/>
                      <w:sz w:val="21"/>
                      <w:szCs w:val="21"/>
                      <w:highlight w:val="none"/>
                      <w:lang w:val="en-US" w:eastAsia="zh-CN"/>
                    </w:rPr>
                    <w:t>/dB（A）</w:t>
                  </w:r>
                </w:p>
              </w:tc>
              <w:tc>
                <w:tcPr>
                  <w:tcW w:w="739" w:type="pct"/>
                  <w:gridSpan w:val="2"/>
                  <w:shd w:val="clear" w:color="auto" w:fill="auto"/>
                  <w:noWrap w:val="0"/>
                  <w:vAlign w:val="center"/>
                </w:tcPr>
                <w:p w14:paraId="1B15793A">
                  <w:pPr>
                    <w:widowControl w:val="0"/>
                    <w:snapToGrid w:val="0"/>
                    <w:spacing w:line="240" w:lineRule="auto"/>
                    <w:ind w:firstLine="0" w:firstLineChars="0"/>
                    <w:jc w:val="center"/>
                    <w:rPr>
                      <w:rFonts w:hint="default" w:ascii="Times New Roman" w:hAnsi="Times New Roman" w:eastAsia="宋体" w:cs="Times New Roman"/>
                      <w:b/>
                      <w:bCs w:val="0"/>
                      <w:snapToGrid w:val="0"/>
                      <w:color w:val="auto"/>
                      <w:kern w:val="0"/>
                      <w:sz w:val="21"/>
                      <w:szCs w:val="21"/>
                      <w:lang w:val="en-US" w:eastAsia="zh-CN"/>
                    </w:rPr>
                  </w:pPr>
                  <w:r>
                    <w:rPr>
                      <w:rFonts w:hint="default" w:ascii="Times New Roman" w:hAnsi="Times New Roman" w:eastAsia="宋体" w:cs="Times New Roman"/>
                      <w:b/>
                      <w:bCs w:val="0"/>
                      <w:color w:val="auto"/>
                      <w:sz w:val="21"/>
                      <w:szCs w:val="21"/>
                      <w:lang w:val="en-US" w:eastAsia="zh-CN"/>
                    </w:rPr>
                    <w:t>噪声标准值/dB（A）</w:t>
                  </w:r>
                </w:p>
              </w:tc>
              <w:tc>
                <w:tcPr>
                  <w:tcW w:w="741" w:type="pct"/>
                  <w:gridSpan w:val="2"/>
                  <w:noWrap w:val="0"/>
                  <w:vAlign w:val="center"/>
                </w:tcPr>
                <w:p w14:paraId="524BD8C5">
                  <w:pPr>
                    <w:widowControl w:val="0"/>
                    <w:snapToGrid w:val="0"/>
                    <w:spacing w:line="240" w:lineRule="auto"/>
                    <w:ind w:firstLine="0" w:firstLineChars="0"/>
                    <w:jc w:val="center"/>
                    <w:rPr>
                      <w:rFonts w:hint="default" w:ascii="Times New Roman" w:hAnsi="Times New Roman" w:eastAsia="宋体" w:cs="Times New Roman"/>
                      <w:b/>
                      <w:bCs w:val="0"/>
                      <w:color w:val="auto"/>
                      <w:sz w:val="21"/>
                      <w:szCs w:val="21"/>
                      <w:highlight w:val="none"/>
                      <w:lang w:val="en-US" w:eastAsia="zh-CN"/>
                    </w:rPr>
                  </w:pPr>
                  <w:r>
                    <w:rPr>
                      <w:rFonts w:hint="default" w:ascii="Times New Roman" w:hAnsi="Times New Roman" w:eastAsia="宋体" w:cs="Times New Roman"/>
                      <w:b/>
                      <w:bCs w:val="0"/>
                      <w:color w:val="auto"/>
                      <w:sz w:val="21"/>
                      <w:szCs w:val="21"/>
                      <w:highlight w:val="none"/>
                      <w:lang w:val="en-US" w:eastAsia="zh-CN"/>
                    </w:rPr>
                    <w:t>达标情况</w:t>
                  </w:r>
                </w:p>
              </w:tc>
            </w:tr>
            <w:tr w14:paraId="4AE42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279" w:type="pct"/>
                  <w:vMerge w:val="continue"/>
                  <w:noWrap w:val="0"/>
                  <w:vAlign w:val="center"/>
                </w:tcPr>
                <w:p w14:paraId="5E803B1C">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p>
              </w:tc>
              <w:tc>
                <w:tcPr>
                  <w:tcW w:w="811" w:type="pct"/>
                  <w:vMerge w:val="continue"/>
                  <w:noWrap w:val="0"/>
                  <w:vAlign w:val="center"/>
                </w:tcPr>
                <w:p w14:paraId="0BFACAA8">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p>
              </w:tc>
              <w:tc>
                <w:tcPr>
                  <w:tcW w:w="357" w:type="pct"/>
                  <w:noWrap w:val="0"/>
                  <w:vAlign w:val="center"/>
                </w:tcPr>
                <w:p w14:paraId="74C0DCCE">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昼间</w:t>
                  </w:r>
                </w:p>
              </w:tc>
              <w:tc>
                <w:tcPr>
                  <w:tcW w:w="516" w:type="pct"/>
                  <w:noWrap w:val="0"/>
                  <w:vAlign w:val="center"/>
                </w:tcPr>
                <w:p w14:paraId="34E790CE">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夜间</w:t>
                  </w:r>
                </w:p>
              </w:tc>
              <w:tc>
                <w:tcPr>
                  <w:tcW w:w="408" w:type="pct"/>
                  <w:noWrap w:val="0"/>
                  <w:vAlign w:val="center"/>
                </w:tcPr>
                <w:p w14:paraId="5F3EEB85">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昼间</w:t>
                  </w:r>
                </w:p>
              </w:tc>
              <w:tc>
                <w:tcPr>
                  <w:tcW w:w="355" w:type="pct"/>
                  <w:noWrap w:val="0"/>
                  <w:vAlign w:val="center"/>
                </w:tcPr>
                <w:p w14:paraId="162BFCB0">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夜间</w:t>
                  </w:r>
                </w:p>
              </w:tc>
              <w:tc>
                <w:tcPr>
                  <w:tcW w:w="422" w:type="pct"/>
                  <w:noWrap w:val="0"/>
                  <w:vAlign w:val="center"/>
                </w:tcPr>
                <w:p w14:paraId="72412829">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昼间</w:t>
                  </w:r>
                </w:p>
              </w:tc>
              <w:tc>
                <w:tcPr>
                  <w:tcW w:w="366" w:type="pct"/>
                  <w:noWrap w:val="0"/>
                  <w:vAlign w:val="center"/>
                </w:tcPr>
                <w:p w14:paraId="743C0351">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夜间</w:t>
                  </w:r>
                </w:p>
              </w:tc>
              <w:tc>
                <w:tcPr>
                  <w:tcW w:w="373" w:type="pct"/>
                  <w:noWrap w:val="0"/>
                  <w:vAlign w:val="center"/>
                </w:tcPr>
                <w:p w14:paraId="36EC9145">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昼间</w:t>
                  </w:r>
                </w:p>
              </w:tc>
              <w:tc>
                <w:tcPr>
                  <w:tcW w:w="366" w:type="pct"/>
                  <w:noWrap w:val="0"/>
                  <w:vAlign w:val="center"/>
                </w:tcPr>
                <w:p w14:paraId="286B06C5">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夜间</w:t>
                  </w:r>
                </w:p>
              </w:tc>
              <w:tc>
                <w:tcPr>
                  <w:tcW w:w="363" w:type="pct"/>
                  <w:noWrap w:val="0"/>
                  <w:vAlign w:val="center"/>
                </w:tcPr>
                <w:p w14:paraId="54C003F1">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昼间</w:t>
                  </w:r>
                </w:p>
              </w:tc>
              <w:tc>
                <w:tcPr>
                  <w:tcW w:w="378" w:type="pct"/>
                  <w:noWrap w:val="0"/>
                  <w:vAlign w:val="center"/>
                </w:tcPr>
                <w:p w14:paraId="2475F223">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夜间</w:t>
                  </w:r>
                </w:p>
              </w:tc>
            </w:tr>
            <w:tr w14:paraId="7D28F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3" w:hRule="atLeast"/>
              </w:trPr>
              <w:tc>
                <w:tcPr>
                  <w:tcW w:w="279" w:type="pct"/>
                  <w:noWrap w:val="0"/>
                  <w:vAlign w:val="center"/>
                </w:tcPr>
                <w:p w14:paraId="4C6A8F81">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1</w:t>
                  </w:r>
                </w:p>
              </w:tc>
              <w:tc>
                <w:tcPr>
                  <w:tcW w:w="811" w:type="pct"/>
                  <w:shd w:val="clear" w:color="auto" w:fill="auto"/>
                  <w:noWrap w:val="0"/>
                  <w:vAlign w:val="center"/>
                </w:tcPr>
                <w:p w14:paraId="0C166830">
                  <w:pPr>
                    <w:widowControl w:val="0"/>
                    <w:snapToGrid w:val="0"/>
                    <w:spacing w:line="240" w:lineRule="auto"/>
                    <w:ind w:firstLine="0" w:firstLineChars="0"/>
                    <w:jc w:val="center"/>
                    <w:rPr>
                      <w:rFonts w:hint="default" w:ascii="Times New Roman" w:hAnsi="Times New Roman" w:eastAsia="宋体" w:cs="Times New Roman"/>
                      <w:bCs/>
                      <w:snapToGrid w:val="0"/>
                      <w:color w:val="auto"/>
                      <w:kern w:val="0"/>
                      <w:sz w:val="21"/>
                      <w:szCs w:val="21"/>
                      <w:lang w:val="en-US" w:eastAsia="zh-CN"/>
                    </w:rPr>
                  </w:pPr>
                  <w:r>
                    <w:rPr>
                      <w:rFonts w:hint="default" w:ascii="Times New Roman" w:hAnsi="Times New Roman" w:eastAsia="宋体" w:cs="Times New Roman"/>
                      <w:bCs/>
                      <w:color w:val="auto"/>
                      <w:sz w:val="21"/>
                      <w:szCs w:val="21"/>
                      <w:lang w:val="en-US" w:eastAsia="zh-CN"/>
                    </w:rPr>
                    <w:t>丝路华庭11号楼</w:t>
                  </w:r>
                </w:p>
              </w:tc>
              <w:tc>
                <w:tcPr>
                  <w:tcW w:w="357" w:type="pct"/>
                  <w:shd w:val="clear" w:color="auto" w:fill="auto"/>
                  <w:noWrap w:val="0"/>
                  <w:vAlign w:val="center"/>
                </w:tcPr>
                <w:p w14:paraId="2AC37474">
                  <w:pPr>
                    <w:pStyle w:val="30"/>
                    <w:widowControl w:val="0"/>
                    <w:bidi w:val="0"/>
                    <w:rPr>
                      <w:rFonts w:hint="eastAsia" w:ascii="Times New Roman" w:hAnsi="Times New Roman" w:eastAsia="宋体" w:cs="Times New Roman"/>
                      <w:bCs/>
                      <w:snapToGrid w:val="0"/>
                      <w:color w:val="auto"/>
                      <w:kern w:val="0"/>
                      <w:sz w:val="21"/>
                      <w:szCs w:val="21"/>
                      <w:highlight w:val="yellow"/>
                      <w:lang w:val="en-US" w:eastAsia="zh-CN"/>
                    </w:rPr>
                  </w:pPr>
                  <w:r>
                    <w:rPr>
                      <w:rFonts w:hint="eastAsia" w:cs="Times New Roman"/>
                      <w:color w:val="auto"/>
                      <w:highlight w:val="none"/>
                      <w:lang w:val="en-US" w:eastAsia="zh-CN"/>
                    </w:rPr>
                    <w:t>52</w:t>
                  </w:r>
                </w:p>
              </w:tc>
              <w:tc>
                <w:tcPr>
                  <w:tcW w:w="516" w:type="pct"/>
                  <w:shd w:val="clear" w:color="auto" w:fill="auto"/>
                  <w:noWrap w:val="0"/>
                  <w:vAlign w:val="center"/>
                </w:tcPr>
                <w:p w14:paraId="014AF4B8">
                  <w:pPr>
                    <w:pStyle w:val="30"/>
                    <w:widowControl w:val="0"/>
                    <w:bidi w:val="0"/>
                    <w:rPr>
                      <w:rFonts w:hint="eastAsia" w:ascii="Times New Roman" w:hAnsi="Times New Roman" w:eastAsia="宋体" w:cs="Times New Roman"/>
                      <w:bCs/>
                      <w:snapToGrid w:val="0"/>
                      <w:color w:val="auto"/>
                      <w:kern w:val="0"/>
                      <w:sz w:val="21"/>
                      <w:szCs w:val="21"/>
                      <w:highlight w:val="yellow"/>
                      <w:lang w:val="en-US" w:eastAsia="zh-CN"/>
                    </w:rPr>
                  </w:pPr>
                  <w:r>
                    <w:rPr>
                      <w:rFonts w:hint="eastAsia" w:cs="Times New Roman"/>
                      <w:color w:val="auto"/>
                      <w:highlight w:val="none"/>
                      <w:lang w:val="en-US" w:eastAsia="zh-CN"/>
                    </w:rPr>
                    <w:t>43</w:t>
                  </w:r>
                </w:p>
              </w:tc>
              <w:tc>
                <w:tcPr>
                  <w:tcW w:w="408" w:type="pct"/>
                  <w:shd w:val="clear" w:color="auto" w:fill="auto"/>
                  <w:noWrap w:val="0"/>
                  <w:vAlign w:val="center"/>
                </w:tcPr>
                <w:p w14:paraId="5161A92A">
                  <w:pPr>
                    <w:widowControl w:val="0"/>
                    <w:snapToGrid w:val="0"/>
                    <w:spacing w:line="240" w:lineRule="auto"/>
                    <w:ind w:firstLine="0" w:firstLineChars="0"/>
                    <w:jc w:val="center"/>
                    <w:rPr>
                      <w:rFonts w:hint="default" w:ascii="Times New Roman" w:hAnsi="Times New Roman" w:eastAsia="宋体" w:cs="Times New Roman"/>
                      <w:bCs/>
                      <w:snapToGrid w:val="0"/>
                      <w:color w:val="auto"/>
                      <w:kern w:val="0"/>
                      <w:sz w:val="21"/>
                      <w:szCs w:val="21"/>
                      <w:highlight w:val="none"/>
                      <w:lang w:val="en-US" w:eastAsia="zh-CN"/>
                    </w:rPr>
                  </w:pPr>
                  <w:r>
                    <w:rPr>
                      <w:rFonts w:hint="eastAsia" w:cs="Times New Roman"/>
                      <w:bCs/>
                      <w:color w:val="auto"/>
                      <w:sz w:val="21"/>
                      <w:szCs w:val="21"/>
                      <w:highlight w:val="none"/>
                      <w:lang w:val="en-US" w:eastAsia="zh-CN"/>
                    </w:rPr>
                    <w:t>32</w:t>
                  </w:r>
                </w:p>
              </w:tc>
              <w:tc>
                <w:tcPr>
                  <w:tcW w:w="355" w:type="pct"/>
                  <w:shd w:val="clear" w:color="auto" w:fill="auto"/>
                  <w:noWrap w:val="0"/>
                  <w:vAlign w:val="center"/>
                </w:tcPr>
                <w:p w14:paraId="15003033">
                  <w:pPr>
                    <w:widowControl w:val="0"/>
                    <w:snapToGrid w:val="0"/>
                    <w:spacing w:line="240" w:lineRule="auto"/>
                    <w:ind w:firstLine="0" w:firstLineChars="0"/>
                    <w:jc w:val="center"/>
                    <w:rPr>
                      <w:rFonts w:hint="eastAsia" w:ascii="Times New Roman" w:hAnsi="Times New Roman" w:eastAsia="宋体" w:cs="Times New Roman"/>
                      <w:bCs/>
                      <w:snapToGrid w:val="0"/>
                      <w:color w:val="auto"/>
                      <w:kern w:val="0"/>
                      <w:sz w:val="21"/>
                      <w:szCs w:val="21"/>
                      <w:highlight w:val="none"/>
                      <w:lang w:val="en-US" w:eastAsia="zh-CN"/>
                    </w:rPr>
                  </w:pPr>
                  <w:r>
                    <w:rPr>
                      <w:rFonts w:hint="eastAsia" w:cs="Times New Roman"/>
                      <w:bCs/>
                      <w:color w:val="auto"/>
                      <w:sz w:val="21"/>
                      <w:szCs w:val="21"/>
                      <w:highlight w:val="none"/>
                      <w:lang w:val="en-US" w:eastAsia="zh-CN"/>
                    </w:rPr>
                    <w:t>32</w:t>
                  </w:r>
                </w:p>
              </w:tc>
              <w:tc>
                <w:tcPr>
                  <w:tcW w:w="422" w:type="pct"/>
                  <w:shd w:val="clear" w:color="auto" w:fill="auto"/>
                  <w:noWrap w:val="0"/>
                  <w:vAlign w:val="center"/>
                </w:tcPr>
                <w:p w14:paraId="2AEBB890">
                  <w:pPr>
                    <w:pStyle w:val="30"/>
                    <w:widowControl w:val="0"/>
                    <w:bidi w:val="0"/>
                    <w:rPr>
                      <w:rFonts w:hint="eastAsia" w:ascii="Times New Roman" w:hAnsi="Times New Roman" w:eastAsia="宋体" w:cs="Times New Roman"/>
                      <w:bCs/>
                      <w:snapToGrid w:val="0"/>
                      <w:color w:val="auto"/>
                      <w:kern w:val="0"/>
                      <w:sz w:val="21"/>
                      <w:szCs w:val="21"/>
                      <w:highlight w:val="yellow"/>
                      <w:lang w:val="en-US" w:eastAsia="zh-CN"/>
                    </w:rPr>
                  </w:pPr>
                  <w:r>
                    <w:rPr>
                      <w:rFonts w:hint="eastAsia" w:cs="Times New Roman"/>
                      <w:color w:val="auto"/>
                      <w:highlight w:val="none"/>
                      <w:lang w:val="en-US" w:eastAsia="zh-CN"/>
                    </w:rPr>
                    <w:t>52</w:t>
                  </w:r>
                </w:p>
              </w:tc>
              <w:tc>
                <w:tcPr>
                  <w:tcW w:w="366" w:type="pct"/>
                  <w:shd w:val="clear" w:color="auto" w:fill="auto"/>
                  <w:noWrap w:val="0"/>
                  <w:vAlign w:val="center"/>
                </w:tcPr>
                <w:p w14:paraId="350FE01D">
                  <w:pPr>
                    <w:pStyle w:val="30"/>
                    <w:widowControl w:val="0"/>
                    <w:bidi w:val="0"/>
                    <w:rPr>
                      <w:rFonts w:hint="eastAsia" w:ascii="Times New Roman" w:hAnsi="Times New Roman" w:eastAsia="宋体" w:cs="Times New Roman"/>
                      <w:bCs/>
                      <w:snapToGrid w:val="0"/>
                      <w:color w:val="auto"/>
                      <w:kern w:val="0"/>
                      <w:sz w:val="21"/>
                      <w:szCs w:val="21"/>
                      <w:highlight w:val="yellow"/>
                      <w:lang w:val="en-US" w:eastAsia="zh-CN"/>
                    </w:rPr>
                  </w:pPr>
                  <w:r>
                    <w:rPr>
                      <w:rFonts w:hint="eastAsia" w:cs="Times New Roman"/>
                      <w:color w:val="auto"/>
                      <w:highlight w:val="none"/>
                      <w:lang w:val="en-US" w:eastAsia="zh-CN"/>
                    </w:rPr>
                    <w:t>43</w:t>
                  </w:r>
                </w:p>
              </w:tc>
              <w:tc>
                <w:tcPr>
                  <w:tcW w:w="373" w:type="pct"/>
                  <w:shd w:val="clear" w:color="auto" w:fill="auto"/>
                  <w:noWrap w:val="0"/>
                  <w:vAlign w:val="center"/>
                </w:tcPr>
                <w:p w14:paraId="55D38DB5">
                  <w:pPr>
                    <w:widowControl w:val="0"/>
                    <w:snapToGrid w:val="0"/>
                    <w:spacing w:line="240" w:lineRule="auto"/>
                    <w:ind w:firstLine="0" w:firstLineChars="0"/>
                    <w:jc w:val="center"/>
                    <w:rPr>
                      <w:rFonts w:hint="default" w:ascii="Times New Roman" w:hAnsi="Times New Roman" w:eastAsia="宋体" w:cs="Times New Roman"/>
                      <w:bCs/>
                      <w:snapToGrid w:val="0"/>
                      <w:color w:val="auto"/>
                      <w:kern w:val="0"/>
                      <w:sz w:val="21"/>
                      <w:szCs w:val="21"/>
                      <w:lang w:val="en-US" w:eastAsia="zh-CN"/>
                    </w:rPr>
                  </w:pPr>
                  <w:r>
                    <w:rPr>
                      <w:rFonts w:hint="default" w:ascii="Times New Roman" w:hAnsi="Times New Roman" w:eastAsia="宋体" w:cs="Times New Roman"/>
                      <w:bCs/>
                      <w:color w:val="auto"/>
                      <w:sz w:val="21"/>
                      <w:szCs w:val="21"/>
                      <w:lang w:val="en-US" w:eastAsia="zh-CN"/>
                    </w:rPr>
                    <w:t>60</w:t>
                  </w:r>
                </w:p>
              </w:tc>
              <w:tc>
                <w:tcPr>
                  <w:tcW w:w="366" w:type="pct"/>
                  <w:shd w:val="clear" w:color="auto" w:fill="auto"/>
                  <w:noWrap w:val="0"/>
                  <w:vAlign w:val="center"/>
                </w:tcPr>
                <w:p w14:paraId="0288E83B">
                  <w:pPr>
                    <w:widowControl w:val="0"/>
                    <w:snapToGrid w:val="0"/>
                    <w:spacing w:line="240" w:lineRule="auto"/>
                    <w:ind w:firstLine="0" w:firstLineChars="0"/>
                    <w:jc w:val="center"/>
                    <w:rPr>
                      <w:rFonts w:hint="default" w:ascii="Times New Roman" w:hAnsi="Times New Roman" w:eastAsia="宋体" w:cs="Times New Roman"/>
                      <w:bCs/>
                      <w:snapToGrid w:val="0"/>
                      <w:color w:val="auto"/>
                      <w:kern w:val="0"/>
                      <w:sz w:val="21"/>
                      <w:szCs w:val="21"/>
                      <w:lang w:val="en-US" w:eastAsia="zh-CN"/>
                    </w:rPr>
                  </w:pPr>
                  <w:r>
                    <w:rPr>
                      <w:rFonts w:hint="default" w:ascii="Times New Roman" w:hAnsi="Times New Roman" w:eastAsia="宋体" w:cs="Times New Roman"/>
                      <w:bCs/>
                      <w:color w:val="auto"/>
                      <w:sz w:val="21"/>
                      <w:szCs w:val="21"/>
                      <w:lang w:val="en-US" w:eastAsia="zh-CN"/>
                    </w:rPr>
                    <w:t>50</w:t>
                  </w:r>
                </w:p>
              </w:tc>
              <w:tc>
                <w:tcPr>
                  <w:tcW w:w="363" w:type="pct"/>
                  <w:shd w:val="clear" w:color="auto" w:fill="auto"/>
                  <w:noWrap w:val="0"/>
                  <w:vAlign w:val="center"/>
                </w:tcPr>
                <w:p w14:paraId="00A45260">
                  <w:pPr>
                    <w:widowControl w:val="0"/>
                    <w:snapToGrid w:val="0"/>
                    <w:spacing w:line="240" w:lineRule="auto"/>
                    <w:ind w:firstLine="0" w:firstLineChars="0"/>
                    <w:jc w:val="center"/>
                    <w:rPr>
                      <w:rFonts w:hint="default" w:ascii="Times New Roman" w:hAnsi="Times New Roman" w:eastAsia="宋体" w:cs="Times New Roman"/>
                      <w:bCs/>
                      <w:snapToGrid w:val="0"/>
                      <w:color w:val="auto"/>
                      <w:kern w:val="0"/>
                      <w:sz w:val="21"/>
                      <w:szCs w:val="21"/>
                      <w:lang w:val="en-US" w:eastAsia="zh-CN"/>
                    </w:rPr>
                  </w:pPr>
                  <w:r>
                    <w:rPr>
                      <w:rFonts w:hint="default" w:ascii="Times New Roman" w:hAnsi="Times New Roman" w:eastAsia="宋体" w:cs="Times New Roman"/>
                      <w:bCs/>
                      <w:color w:val="auto"/>
                      <w:sz w:val="21"/>
                      <w:szCs w:val="21"/>
                      <w:lang w:val="en-US" w:eastAsia="zh-CN"/>
                    </w:rPr>
                    <w:t>达标</w:t>
                  </w:r>
                </w:p>
              </w:tc>
              <w:tc>
                <w:tcPr>
                  <w:tcW w:w="378" w:type="pct"/>
                  <w:shd w:val="clear" w:color="auto" w:fill="auto"/>
                  <w:noWrap w:val="0"/>
                  <w:vAlign w:val="center"/>
                </w:tcPr>
                <w:p w14:paraId="12FC0A26">
                  <w:pPr>
                    <w:widowControl w:val="0"/>
                    <w:snapToGrid w:val="0"/>
                    <w:spacing w:line="240" w:lineRule="auto"/>
                    <w:ind w:firstLine="0" w:firstLineChars="0"/>
                    <w:jc w:val="center"/>
                    <w:rPr>
                      <w:rFonts w:hint="default" w:ascii="Times New Roman" w:hAnsi="Times New Roman" w:eastAsia="宋体" w:cs="Times New Roman"/>
                      <w:bCs/>
                      <w:snapToGrid w:val="0"/>
                      <w:color w:val="auto"/>
                      <w:kern w:val="0"/>
                      <w:sz w:val="21"/>
                      <w:szCs w:val="21"/>
                      <w:lang w:val="en-US" w:eastAsia="zh-CN"/>
                    </w:rPr>
                  </w:pPr>
                  <w:r>
                    <w:rPr>
                      <w:rFonts w:hint="default" w:ascii="Times New Roman" w:hAnsi="Times New Roman" w:eastAsia="宋体" w:cs="Times New Roman"/>
                      <w:bCs/>
                      <w:color w:val="auto"/>
                      <w:sz w:val="21"/>
                      <w:szCs w:val="21"/>
                      <w:lang w:val="en-US" w:eastAsia="zh-CN"/>
                    </w:rPr>
                    <w:t>达标</w:t>
                  </w:r>
                </w:p>
              </w:tc>
            </w:tr>
            <w:tr w14:paraId="54461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3" w:hRule="atLeast"/>
              </w:trPr>
              <w:tc>
                <w:tcPr>
                  <w:tcW w:w="279" w:type="pct"/>
                  <w:noWrap w:val="0"/>
                  <w:vAlign w:val="center"/>
                </w:tcPr>
                <w:p w14:paraId="5B8CDA13">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2</w:t>
                  </w:r>
                </w:p>
              </w:tc>
              <w:tc>
                <w:tcPr>
                  <w:tcW w:w="811" w:type="pct"/>
                  <w:shd w:val="clear" w:color="auto" w:fill="auto"/>
                  <w:noWrap w:val="0"/>
                  <w:vAlign w:val="center"/>
                </w:tcPr>
                <w:p w14:paraId="06F6EBDB">
                  <w:pPr>
                    <w:widowControl w:val="0"/>
                    <w:snapToGrid w:val="0"/>
                    <w:spacing w:line="240" w:lineRule="auto"/>
                    <w:ind w:firstLine="0" w:firstLineChars="0"/>
                    <w:jc w:val="center"/>
                    <w:rPr>
                      <w:rFonts w:hint="default" w:ascii="Times New Roman" w:hAnsi="Times New Roman" w:eastAsia="宋体" w:cs="Times New Roman"/>
                      <w:bCs/>
                      <w:snapToGrid w:val="0"/>
                      <w:color w:val="auto"/>
                      <w:kern w:val="0"/>
                      <w:sz w:val="21"/>
                      <w:szCs w:val="21"/>
                      <w:lang w:val="en-US" w:eastAsia="zh-CN"/>
                    </w:rPr>
                  </w:pPr>
                  <w:r>
                    <w:rPr>
                      <w:rFonts w:hint="default" w:ascii="Times New Roman" w:hAnsi="Times New Roman" w:eastAsia="宋体" w:cs="Times New Roman"/>
                      <w:bCs/>
                      <w:color w:val="auto"/>
                      <w:sz w:val="21"/>
                      <w:szCs w:val="21"/>
                      <w:lang w:val="en-US" w:eastAsia="zh-CN"/>
                    </w:rPr>
                    <w:t>丝路华庭1</w:t>
                  </w:r>
                  <w:r>
                    <w:rPr>
                      <w:rFonts w:hint="eastAsia" w:cs="Times New Roman"/>
                      <w:bCs/>
                      <w:color w:val="auto"/>
                      <w:sz w:val="21"/>
                      <w:szCs w:val="21"/>
                      <w:lang w:val="en-US" w:eastAsia="zh-CN"/>
                    </w:rPr>
                    <w:t>2</w:t>
                  </w:r>
                  <w:r>
                    <w:rPr>
                      <w:rFonts w:hint="default" w:ascii="Times New Roman" w:hAnsi="Times New Roman" w:eastAsia="宋体" w:cs="Times New Roman"/>
                      <w:bCs/>
                      <w:color w:val="auto"/>
                      <w:sz w:val="21"/>
                      <w:szCs w:val="21"/>
                      <w:lang w:val="en-US" w:eastAsia="zh-CN"/>
                    </w:rPr>
                    <w:t>号楼</w:t>
                  </w:r>
                </w:p>
              </w:tc>
              <w:tc>
                <w:tcPr>
                  <w:tcW w:w="357" w:type="pct"/>
                  <w:shd w:val="clear" w:color="auto" w:fill="auto"/>
                  <w:noWrap w:val="0"/>
                  <w:vAlign w:val="center"/>
                </w:tcPr>
                <w:p w14:paraId="0E572D4A">
                  <w:pPr>
                    <w:pStyle w:val="30"/>
                    <w:widowControl w:val="0"/>
                    <w:bidi w:val="0"/>
                    <w:rPr>
                      <w:rFonts w:hint="default" w:ascii="Times New Roman" w:hAnsi="Times New Roman" w:eastAsia="宋体" w:cs="Times New Roman"/>
                      <w:bCs/>
                      <w:snapToGrid w:val="0"/>
                      <w:color w:val="auto"/>
                      <w:kern w:val="0"/>
                      <w:sz w:val="21"/>
                      <w:szCs w:val="21"/>
                      <w:highlight w:val="yellow"/>
                      <w:lang w:val="en-US" w:eastAsia="zh-CN"/>
                    </w:rPr>
                  </w:pPr>
                  <w:r>
                    <w:rPr>
                      <w:rFonts w:hint="eastAsia" w:cs="Times New Roman"/>
                      <w:color w:val="auto"/>
                      <w:highlight w:val="none"/>
                      <w:lang w:val="en-US" w:eastAsia="zh-CN"/>
                    </w:rPr>
                    <w:t>52</w:t>
                  </w:r>
                </w:p>
              </w:tc>
              <w:tc>
                <w:tcPr>
                  <w:tcW w:w="516" w:type="pct"/>
                  <w:shd w:val="clear" w:color="auto" w:fill="auto"/>
                  <w:noWrap w:val="0"/>
                  <w:vAlign w:val="center"/>
                </w:tcPr>
                <w:p w14:paraId="571EE319">
                  <w:pPr>
                    <w:pStyle w:val="30"/>
                    <w:widowControl w:val="0"/>
                    <w:bidi w:val="0"/>
                    <w:rPr>
                      <w:rFonts w:hint="default" w:ascii="Times New Roman" w:hAnsi="Times New Roman" w:eastAsia="宋体" w:cs="Times New Roman"/>
                      <w:bCs/>
                      <w:snapToGrid w:val="0"/>
                      <w:color w:val="auto"/>
                      <w:kern w:val="0"/>
                      <w:sz w:val="21"/>
                      <w:szCs w:val="21"/>
                      <w:highlight w:val="yellow"/>
                      <w:lang w:val="en-US" w:eastAsia="zh-CN"/>
                    </w:rPr>
                  </w:pPr>
                  <w:r>
                    <w:rPr>
                      <w:rFonts w:hint="eastAsia" w:cs="Times New Roman"/>
                      <w:color w:val="auto"/>
                      <w:highlight w:val="none"/>
                      <w:lang w:val="en-US" w:eastAsia="zh-CN"/>
                    </w:rPr>
                    <w:t>42</w:t>
                  </w:r>
                </w:p>
              </w:tc>
              <w:tc>
                <w:tcPr>
                  <w:tcW w:w="408" w:type="pct"/>
                  <w:shd w:val="clear" w:color="auto" w:fill="auto"/>
                  <w:noWrap w:val="0"/>
                  <w:vAlign w:val="center"/>
                </w:tcPr>
                <w:p w14:paraId="7278E4E1">
                  <w:pPr>
                    <w:widowControl w:val="0"/>
                    <w:snapToGrid w:val="0"/>
                    <w:spacing w:line="240" w:lineRule="auto"/>
                    <w:ind w:firstLine="0" w:firstLineChars="0"/>
                    <w:jc w:val="center"/>
                    <w:rPr>
                      <w:rFonts w:hint="default" w:ascii="Times New Roman" w:hAnsi="Times New Roman" w:eastAsia="宋体" w:cs="Times New Roman"/>
                      <w:bCs/>
                      <w:snapToGrid w:val="0"/>
                      <w:color w:val="auto"/>
                      <w:kern w:val="0"/>
                      <w:sz w:val="21"/>
                      <w:szCs w:val="21"/>
                      <w:highlight w:val="none"/>
                      <w:lang w:val="en-US" w:eastAsia="zh-CN"/>
                    </w:rPr>
                  </w:pPr>
                  <w:r>
                    <w:rPr>
                      <w:rFonts w:hint="eastAsia" w:cs="Times New Roman"/>
                      <w:bCs/>
                      <w:color w:val="auto"/>
                      <w:sz w:val="21"/>
                      <w:szCs w:val="21"/>
                      <w:highlight w:val="none"/>
                      <w:lang w:val="en-US" w:eastAsia="zh-CN"/>
                    </w:rPr>
                    <w:t>20</w:t>
                  </w:r>
                </w:p>
              </w:tc>
              <w:tc>
                <w:tcPr>
                  <w:tcW w:w="355" w:type="pct"/>
                  <w:shd w:val="clear" w:color="auto" w:fill="auto"/>
                  <w:noWrap w:val="0"/>
                  <w:vAlign w:val="center"/>
                </w:tcPr>
                <w:p w14:paraId="7F33D7E6">
                  <w:pPr>
                    <w:widowControl w:val="0"/>
                    <w:snapToGrid w:val="0"/>
                    <w:spacing w:line="240" w:lineRule="auto"/>
                    <w:ind w:firstLine="0" w:firstLineChars="0"/>
                    <w:jc w:val="center"/>
                    <w:rPr>
                      <w:rFonts w:hint="default" w:ascii="Times New Roman" w:hAnsi="Times New Roman" w:eastAsia="宋体" w:cs="Times New Roman"/>
                      <w:bCs/>
                      <w:snapToGrid w:val="0"/>
                      <w:color w:val="auto"/>
                      <w:kern w:val="0"/>
                      <w:sz w:val="21"/>
                      <w:szCs w:val="21"/>
                      <w:highlight w:val="none"/>
                      <w:lang w:val="en-US" w:eastAsia="zh-CN"/>
                    </w:rPr>
                  </w:pPr>
                  <w:r>
                    <w:rPr>
                      <w:rFonts w:hint="eastAsia" w:cs="Times New Roman"/>
                      <w:bCs/>
                      <w:color w:val="auto"/>
                      <w:sz w:val="21"/>
                      <w:szCs w:val="21"/>
                      <w:highlight w:val="none"/>
                      <w:lang w:val="en-US" w:eastAsia="zh-CN"/>
                    </w:rPr>
                    <w:t>20</w:t>
                  </w:r>
                </w:p>
              </w:tc>
              <w:tc>
                <w:tcPr>
                  <w:tcW w:w="422" w:type="pct"/>
                  <w:shd w:val="clear" w:color="auto" w:fill="auto"/>
                  <w:noWrap w:val="0"/>
                  <w:vAlign w:val="center"/>
                </w:tcPr>
                <w:p w14:paraId="2529753C">
                  <w:pPr>
                    <w:pStyle w:val="30"/>
                    <w:widowControl w:val="0"/>
                    <w:bidi w:val="0"/>
                    <w:rPr>
                      <w:rFonts w:hint="default" w:ascii="Times New Roman" w:hAnsi="Times New Roman" w:eastAsia="宋体" w:cs="Times New Roman"/>
                      <w:bCs/>
                      <w:snapToGrid w:val="0"/>
                      <w:color w:val="auto"/>
                      <w:kern w:val="0"/>
                      <w:sz w:val="21"/>
                      <w:szCs w:val="21"/>
                      <w:highlight w:val="yellow"/>
                      <w:lang w:val="en-US" w:eastAsia="zh-CN"/>
                    </w:rPr>
                  </w:pPr>
                  <w:r>
                    <w:rPr>
                      <w:rFonts w:hint="eastAsia" w:cs="Times New Roman"/>
                      <w:color w:val="auto"/>
                      <w:highlight w:val="none"/>
                      <w:lang w:val="en-US" w:eastAsia="zh-CN"/>
                    </w:rPr>
                    <w:t>52</w:t>
                  </w:r>
                </w:p>
              </w:tc>
              <w:tc>
                <w:tcPr>
                  <w:tcW w:w="366" w:type="pct"/>
                  <w:shd w:val="clear" w:color="auto" w:fill="auto"/>
                  <w:noWrap w:val="0"/>
                  <w:vAlign w:val="center"/>
                </w:tcPr>
                <w:p w14:paraId="40BDDE41">
                  <w:pPr>
                    <w:pStyle w:val="30"/>
                    <w:widowControl w:val="0"/>
                    <w:bidi w:val="0"/>
                    <w:rPr>
                      <w:rFonts w:hint="default" w:ascii="Times New Roman" w:hAnsi="Times New Roman" w:eastAsia="宋体" w:cs="Times New Roman"/>
                      <w:bCs/>
                      <w:snapToGrid w:val="0"/>
                      <w:color w:val="auto"/>
                      <w:kern w:val="0"/>
                      <w:sz w:val="21"/>
                      <w:szCs w:val="21"/>
                      <w:highlight w:val="yellow"/>
                      <w:lang w:val="en-US" w:eastAsia="zh-CN"/>
                    </w:rPr>
                  </w:pPr>
                  <w:r>
                    <w:rPr>
                      <w:rFonts w:hint="eastAsia" w:cs="Times New Roman"/>
                      <w:color w:val="auto"/>
                      <w:highlight w:val="none"/>
                      <w:lang w:val="en-US" w:eastAsia="zh-CN"/>
                    </w:rPr>
                    <w:t>42</w:t>
                  </w:r>
                </w:p>
              </w:tc>
              <w:tc>
                <w:tcPr>
                  <w:tcW w:w="373" w:type="pct"/>
                  <w:shd w:val="clear" w:color="auto" w:fill="auto"/>
                  <w:noWrap w:val="0"/>
                  <w:vAlign w:val="center"/>
                </w:tcPr>
                <w:p w14:paraId="6FDBC64C">
                  <w:pPr>
                    <w:widowControl w:val="0"/>
                    <w:snapToGrid w:val="0"/>
                    <w:spacing w:line="240" w:lineRule="auto"/>
                    <w:ind w:firstLine="0" w:firstLineChars="0"/>
                    <w:jc w:val="center"/>
                    <w:rPr>
                      <w:rFonts w:hint="default" w:ascii="Times New Roman" w:hAnsi="Times New Roman" w:eastAsia="宋体" w:cs="Times New Roman"/>
                      <w:bCs/>
                      <w:snapToGrid w:val="0"/>
                      <w:color w:val="auto"/>
                      <w:kern w:val="0"/>
                      <w:sz w:val="21"/>
                      <w:szCs w:val="21"/>
                      <w:lang w:val="en-US" w:eastAsia="zh-CN"/>
                    </w:rPr>
                  </w:pPr>
                  <w:r>
                    <w:rPr>
                      <w:rFonts w:hint="default" w:ascii="Times New Roman" w:hAnsi="Times New Roman" w:eastAsia="宋体" w:cs="Times New Roman"/>
                      <w:bCs/>
                      <w:color w:val="auto"/>
                      <w:sz w:val="21"/>
                      <w:szCs w:val="21"/>
                      <w:lang w:val="en-US" w:eastAsia="zh-CN"/>
                    </w:rPr>
                    <w:t>60</w:t>
                  </w:r>
                </w:p>
              </w:tc>
              <w:tc>
                <w:tcPr>
                  <w:tcW w:w="366" w:type="pct"/>
                  <w:shd w:val="clear" w:color="auto" w:fill="auto"/>
                  <w:noWrap w:val="0"/>
                  <w:vAlign w:val="center"/>
                </w:tcPr>
                <w:p w14:paraId="12F58F31">
                  <w:pPr>
                    <w:widowControl w:val="0"/>
                    <w:snapToGrid w:val="0"/>
                    <w:spacing w:line="240" w:lineRule="auto"/>
                    <w:ind w:firstLine="0" w:firstLineChars="0"/>
                    <w:jc w:val="center"/>
                    <w:rPr>
                      <w:rFonts w:hint="default" w:ascii="Times New Roman" w:hAnsi="Times New Roman" w:eastAsia="宋体" w:cs="Times New Roman"/>
                      <w:bCs/>
                      <w:snapToGrid w:val="0"/>
                      <w:color w:val="auto"/>
                      <w:kern w:val="0"/>
                      <w:sz w:val="21"/>
                      <w:szCs w:val="21"/>
                      <w:lang w:val="en-US" w:eastAsia="zh-CN"/>
                    </w:rPr>
                  </w:pPr>
                  <w:r>
                    <w:rPr>
                      <w:rFonts w:hint="default" w:ascii="Times New Roman" w:hAnsi="Times New Roman" w:eastAsia="宋体" w:cs="Times New Roman"/>
                      <w:bCs/>
                      <w:color w:val="auto"/>
                      <w:sz w:val="21"/>
                      <w:szCs w:val="21"/>
                      <w:lang w:val="en-US" w:eastAsia="zh-CN"/>
                    </w:rPr>
                    <w:t>50</w:t>
                  </w:r>
                </w:p>
              </w:tc>
              <w:tc>
                <w:tcPr>
                  <w:tcW w:w="363" w:type="pct"/>
                  <w:shd w:val="clear" w:color="auto" w:fill="auto"/>
                  <w:noWrap w:val="0"/>
                  <w:vAlign w:val="center"/>
                </w:tcPr>
                <w:p w14:paraId="344979E9">
                  <w:pPr>
                    <w:widowControl w:val="0"/>
                    <w:snapToGrid w:val="0"/>
                    <w:spacing w:line="240" w:lineRule="auto"/>
                    <w:ind w:firstLine="0" w:firstLineChars="0"/>
                    <w:jc w:val="center"/>
                    <w:rPr>
                      <w:rFonts w:hint="default" w:ascii="Times New Roman" w:hAnsi="Times New Roman" w:eastAsia="宋体" w:cs="Times New Roman"/>
                      <w:bCs/>
                      <w:snapToGrid w:val="0"/>
                      <w:color w:val="auto"/>
                      <w:kern w:val="0"/>
                      <w:sz w:val="21"/>
                      <w:szCs w:val="21"/>
                      <w:lang w:val="en-US" w:eastAsia="zh-CN"/>
                    </w:rPr>
                  </w:pPr>
                  <w:r>
                    <w:rPr>
                      <w:rFonts w:hint="default" w:ascii="Times New Roman" w:hAnsi="Times New Roman" w:eastAsia="宋体" w:cs="Times New Roman"/>
                      <w:bCs/>
                      <w:color w:val="auto"/>
                      <w:sz w:val="21"/>
                      <w:szCs w:val="21"/>
                      <w:lang w:val="en-US" w:eastAsia="zh-CN"/>
                    </w:rPr>
                    <w:t>达标</w:t>
                  </w:r>
                </w:p>
              </w:tc>
              <w:tc>
                <w:tcPr>
                  <w:tcW w:w="378" w:type="pct"/>
                  <w:shd w:val="clear" w:color="auto" w:fill="auto"/>
                  <w:noWrap w:val="0"/>
                  <w:vAlign w:val="center"/>
                </w:tcPr>
                <w:p w14:paraId="7C7E6A5E">
                  <w:pPr>
                    <w:widowControl w:val="0"/>
                    <w:snapToGrid w:val="0"/>
                    <w:spacing w:line="240" w:lineRule="auto"/>
                    <w:ind w:firstLine="0" w:firstLineChars="0"/>
                    <w:jc w:val="center"/>
                    <w:rPr>
                      <w:rFonts w:hint="default" w:ascii="Times New Roman" w:hAnsi="Times New Roman" w:eastAsia="宋体" w:cs="Times New Roman"/>
                      <w:bCs/>
                      <w:snapToGrid w:val="0"/>
                      <w:color w:val="auto"/>
                      <w:kern w:val="0"/>
                      <w:sz w:val="21"/>
                      <w:szCs w:val="21"/>
                      <w:lang w:val="en-US" w:eastAsia="zh-CN"/>
                    </w:rPr>
                  </w:pPr>
                  <w:r>
                    <w:rPr>
                      <w:rFonts w:hint="default" w:ascii="Times New Roman" w:hAnsi="Times New Roman" w:eastAsia="宋体" w:cs="Times New Roman"/>
                      <w:bCs/>
                      <w:color w:val="auto"/>
                      <w:sz w:val="21"/>
                      <w:szCs w:val="21"/>
                      <w:lang w:val="en-US" w:eastAsia="zh-CN"/>
                    </w:rPr>
                    <w:t>达标</w:t>
                  </w:r>
                </w:p>
              </w:tc>
            </w:tr>
          </w:tbl>
          <w:p w14:paraId="1BE8371F">
            <w:pPr>
              <w:pStyle w:val="31"/>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根据噪声预测，建成后项目各厂界噪声预测结果见表4-</w:t>
            </w:r>
            <w:r>
              <w:rPr>
                <w:rFonts w:hint="eastAsia" w:cs="Times New Roman"/>
                <w:color w:val="auto"/>
                <w:lang w:val="en-US" w:eastAsia="zh-CN"/>
              </w:rPr>
              <w:t>11</w:t>
            </w:r>
            <w:r>
              <w:rPr>
                <w:rFonts w:hint="default" w:ascii="Times New Roman" w:hAnsi="Times New Roman" w:cs="Times New Roman"/>
                <w:color w:val="auto"/>
                <w:lang w:val="en-US" w:eastAsia="zh-CN"/>
              </w:rPr>
              <w:t>：</w:t>
            </w:r>
          </w:p>
          <w:p w14:paraId="5932177E">
            <w:pPr>
              <w:pStyle w:val="29"/>
              <w:bidi w:val="0"/>
              <w:rPr>
                <w:rFonts w:hint="default" w:ascii="Times New Roman" w:hAnsi="Times New Roman" w:eastAsia="宋体" w:cs="Times New Roman"/>
                <w:b/>
                <w:bCs/>
                <w:color w:val="auto"/>
                <w:szCs w:val="21"/>
                <w:lang w:val="en-US" w:eastAsia="zh-CN"/>
              </w:rPr>
            </w:pPr>
            <w:r>
              <w:rPr>
                <w:rFonts w:hint="default" w:ascii="Times New Roman" w:hAnsi="Times New Roman" w:cs="Times New Roman"/>
                <w:color w:val="auto"/>
                <w:lang w:val="en-US" w:eastAsia="zh-CN"/>
              </w:rPr>
              <w:t>表4-</w:t>
            </w:r>
            <w:r>
              <w:rPr>
                <w:rFonts w:hint="eastAsia" w:cs="Times New Roman"/>
                <w:color w:val="auto"/>
                <w:lang w:val="en-US" w:eastAsia="zh-CN"/>
              </w:rPr>
              <w:t>11</w:t>
            </w:r>
            <w:r>
              <w:rPr>
                <w:rFonts w:hint="default" w:ascii="Times New Roman" w:hAnsi="Times New Roman" w:cs="Times New Roman"/>
                <w:color w:val="auto"/>
                <w:lang w:val="en-US" w:eastAsia="zh-CN"/>
              </w:rPr>
              <w:t xml:space="preserve">  厂界噪声预测结果一览表</w:t>
            </w:r>
          </w:p>
          <w:tbl>
            <w:tblPr>
              <w:tblStyle w:val="1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59"/>
              <w:gridCol w:w="1334"/>
              <w:gridCol w:w="587"/>
              <w:gridCol w:w="850"/>
              <w:gridCol w:w="671"/>
              <w:gridCol w:w="585"/>
              <w:gridCol w:w="694"/>
              <w:gridCol w:w="603"/>
              <w:gridCol w:w="613"/>
              <w:gridCol w:w="602"/>
              <w:gridCol w:w="597"/>
              <w:gridCol w:w="622"/>
            </w:tblGrid>
            <w:tr w14:paraId="39940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279" w:type="pct"/>
                  <w:vMerge w:val="restart"/>
                  <w:noWrap w:val="0"/>
                  <w:vAlign w:val="center"/>
                </w:tcPr>
                <w:p w14:paraId="42FC2A22">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
                      <w:bCs w:val="0"/>
                      <w:color w:val="auto"/>
                      <w:sz w:val="21"/>
                      <w:szCs w:val="21"/>
                      <w:lang w:val="en-US" w:eastAsia="zh-CN"/>
                    </w:rPr>
                    <w:t>序号</w:t>
                  </w:r>
                </w:p>
              </w:tc>
              <w:tc>
                <w:tcPr>
                  <w:tcW w:w="811" w:type="pct"/>
                  <w:vMerge w:val="restart"/>
                  <w:noWrap w:val="0"/>
                  <w:vAlign w:val="center"/>
                </w:tcPr>
                <w:p w14:paraId="21824770">
                  <w:pPr>
                    <w:widowControl w:val="0"/>
                    <w:snapToGrid w:val="0"/>
                    <w:spacing w:line="240" w:lineRule="auto"/>
                    <w:ind w:firstLine="0" w:firstLineChars="0"/>
                    <w:jc w:val="center"/>
                    <w:rPr>
                      <w:rFonts w:hint="default" w:ascii="Times New Roman" w:hAnsi="Times New Roman" w:eastAsia="宋体" w:cs="Times New Roman"/>
                      <w:b/>
                      <w:bCs w:val="0"/>
                      <w:color w:val="auto"/>
                      <w:sz w:val="21"/>
                      <w:szCs w:val="21"/>
                      <w:lang w:val="en-US" w:eastAsia="zh-CN"/>
                    </w:rPr>
                  </w:pPr>
                  <w:r>
                    <w:rPr>
                      <w:rFonts w:hint="default" w:ascii="Times New Roman" w:hAnsi="Times New Roman" w:eastAsia="宋体" w:cs="Times New Roman"/>
                      <w:b/>
                      <w:bCs w:val="0"/>
                      <w:color w:val="auto"/>
                      <w:sz w:val="21"/>
                      <w:szCs w:val="21"/>
                      <w:lang w:val="en-US" w:eastAsia="zh-CN"/>
                    </w:rPr>
                    <w:t>声环境保护目标名称</w:t>
                  </w:r>
                </w:p>
              </w:tc>
              <w:tc>
                <w:tcPr>
                  <w:tcW w:w="874" w:type="pct"/>
                  <w:gridSpan w:val="2"/>
                  <w:noWrap w:val="0"/>
                  <w:vAlign w:val="center"/>
                </w:tcPr>
                <w:p w14:paraId="18792556">
                  <w:pPr>
                    <w:widowControl w:val="0"/>
                    <w:snapToGrid w:val="0"/>
                    <w:spacing w:line="240" w:lineRule="auto"/>
                    <w:ind w:firstLine="0" w:firstLineChars="0"/>
                    <w:jc w:val="center"/>
                    <w:rPr>
                      <w:rFonts w:hint="default" w:ascii="Times New Roman" w:hAnsi="Times New Roman" w:eastAsia="宋体" w:cs="Times New Roman"/>
                      <w:b/>
                      <w:bCs w:val="0"/>
                      <w:color w:val="auto"/>
                      <w:sz w:val="21"/>
                      <w:szCs w:val="21"/>
                      <w:highlight w:val="none"/>
                      <w:lang w:val="en-US" w:eastAsia="zh-CN"/>
                    </w:rPr>
                  </w:pPr>
                  <w:r>
                    <w:rPr>
                      <w:rFonts w:hint="default" w:ascii="Times New Roman" w:hAnsi="Times New Roman" w:eastAsia="宋体" w:cs="Times New Roman"/>
                      <w:b/>
                      <w:bCs w:val="0"/>
                      <w:color w:val="auto"/>
                      <w:sz w:val="21"/>
                      <w:szCs w:val="21"/>
                      <w:highlight w:val="none"/>
                      <w:lang w:val="en-US" w:eastAsia="zh-CN"/>
                    </w:rPr>
                    <w:t>噪声背景值/dB（A）</w:t>
                  </w:r>
                </w:p>
              </w:tc>
              <w:tc>
                <w:tcPr>
                  <w:tcW w:w="764" w:type="pct"/>
                  <w:gridSpan w:val="2"/>
                  <w:noWrap w:val="0"/>
                  <w:vAlign w:val="center"/>
                </w:tcPr>
                <w:p w14:paraId="4FC195A9">
                  <w:pPr>
                    <w:widowControl w:val="0"/>
                    <w:snapToGrid w:val="0"/>
                    <w:spacing w:line="240" w:lineRule="auto"/>
                    <w:ind w:firstLine="0" w:firstLineChars="0"/>
                    <w:jc w:val="center"/>
                    <w:rPr>
                      <w:rFonts w:hint="default" w:ascii="Times New Roman" w:hAnsi="Times New Roman" w:eastAsia="宋体" w:cs="Times New Roman"/>
                      <w:b/>
                      <w:bCs w:val="0"/>
                      <w:color w:val="auto"/>
                      <w:sz w:val="21"/>
                      <w:szCs w:val="21"/>
                      <w:highlight w:val="none"/>
                      <w:lang w:val="en-US" w:eastAsia="zh-CN"/>
                    </w:rPr>
                  </w:pPr>
                  <w:r>
                    <w:rPr>
                      <w:rFonts w:hint="default" w:ascii="Times New Roman" w:hAnsi="Times New Roman" w:eastAsia="宋体" w:cs="Times New Roman"/>
                      <w:b/>
                      <w:bCs w:val="0"/>
                      <w:color w:val="auto"/>
                      <w:sz w:val="21"/>
                      <w:szCs w:val="21"/>
                      <w:highlight w:val="none"/>
                      <w:lang w:val="en-US" w:eastAsia="zh-CN"/>
                    </w:rPr>
                    <w:t>噪声贡献值/dB（A）</w:t>
                  </w:r>
                </w:p>
              </w:tc>
              <w:tc>
                <w:tcPr>
                  <w:tcW w:w="789" w:type="pct"/>
                  <w:gridSpan w:val="2"/>
                  <w:noWrap w:val="0"/>
                  <w:vAlign w:val="center"/>
                </w:tcPr>
                <w:p w14:paraId="44EC9EBF">
                  <w:pPr>
                    <w:widowControl w:val="0"/>
                    <w:snapToGrid w:val="0"/>
                    <w:spacing w:line="240" w:lineRule="auto"/>
                    <w:ind w:firstLine="0" w:firstLineChars="0"/>
                    <w:jc w:val="center"/>
                    <w:rPr>
                      <w:rFonts w:hint="default" w:ascii="Times New Roman" w:hAnsi="Times New Roman" w:eastAsia="宋体" w:cs="Times New Roman"/>
                      <w:b/>
                      <w:bCs w:val="0"/>
                      <w:color w:val="auto"/>
                      <w:sz w:val="21"/>
                      <w:szCs w:val="21"/>
                      <w:highlight w:val="none"/>
                      <w:lang w:val="en-US" w:eastAsia="zh-CN"/>
                    </w:rPr>
                  </w:pPr>
                  <w:r>
                    <w:rPr>
                      <w:rFonts w:hint="default" w:ascii="Times New Roman" w:hAnsi="Times New Roman" w:eastAsia="宋体" w:cs="Times New Roman"/>
                      <w:b/>
                      <w:bCs w:val="0"/>
                      <w:color w:val="auto"/>
                      <w:sz w:val="21"/>
                      <w:szCs w:val="21"/>
                      <w:highlight w:val="none"/>
                      <w:lang w:val="en-US" w:eastAsia="zh-CN"/>
                    </w:rPr>
                    <w:t>噪声</w:t>
                  </w:r>
                  <w:r>
                    <w:rPr>
                      <w:rFonts w:hint="eastAsia" w:cs="Times New Roman"/>
                      <w:b/>
                      <w:bCs w:val="0"/>
                      <w:color w:val="auto"/>
                      <w:sz w:val="21"/>
                      <w:szCs w:val="21"/>
                      <w:highlight w:val="none"/>
                      <w:lang w:val="en-US" w:eastAsia="zh-CN"/>
                    </w:rPr>
                    <w:t>预测值</w:t>
                  </w:r>
                  <w:r>
                    <w:rPr>
                      <w:rFonts w:hint="default" w:ascii="Times New Roman" w:hAnsi="Times New Roman" w:eastAsia="宋体" w:cs="Times New Roman"/>
                      <w:b/>
                      <w:bCs w:val="0"/>
                      <w:color w:val="auto"/>
                      <w:sz w:val="21"/>
                      <w:szCs w:val="21"/>
                      <w:highlight w:val="none"/>
                      <w:lang w:val="en-US" w:eastAsia="zh-CN"/>
                    </w:rPr>
                    <w:t>/dB（A）</w:t>
                  </w:r>
                </w:p>
              </w:tc>
              <w:tc>
                <w:tcPr>
                  <w:tcW w:w="739" w:type="pct"/>
                  <w:gridSpan w:val="2"/>
                  <w:shd w:val="clear" w:color="auto" w:fill="auto"/>
                  <w:noWrap w:val="0"/>
                  <w:vAlign w:val="center"/>
                </w:tcPr>
                <w:p w14:paraId="5EA99CFC">
                  <w:pPr>
                    <w:widowControl w:val="0"/>
                    <w:snapToGrid w:val="0"/>
                    <w:spacing w:line="240" w:lineRule="auto"/>
                    <w:ind w:firstLine="0" w:firstLineChars="0"/>
                    <w:jc w:val="center"/>
                    <w:rPr>
                      <w:rFonts w:hint="default" w:ascii="Times New Roman" w:hAnsi="Times New Roman" w:eastAsia="宋体" w:cs="Times New Roman"/>
                      <w:b/>
                      <w:bCs w:val="0"/>
                      <w:snapToGrid w:val="0"/>
                      <w:color w:val="auto"/>
                      <w:kern w:val="0"/>
                      <w:sz w:val="21"/>
                      <w:szCs w:val="21"/>
                      <w:lang w:val="en-US" w:eastAsia="zh-CN"/>
                    </w:rPr>
                  </w:pPr>
                  <w:r>
                    <w:rPr>
                      <w:rFonts w:hint="default" w:ascii="Times New Roman" w:hAnsi="Times New Roman" w:eastAsia="宋体" w:cs="Times New Roman"/>
                      <w:b/>
                      <w:bCs w:val="0"/>
                      <w:color w:val="auto"/>
                      <w:sz w:val="21"/>
                      <w:szCs w:val="21"/>
                      <w:lang w:val="en-US" w:eastAsia="zh-CN"/>
                    </w:rPr>
                    <w:t>噪声标准值/dB（A）</w:t>
                  </w:r>
                </w:p>
              </w:tc>
              <w:tc>
                <w:tcPr>
                  <w:tcW w:w="741" w:type="pct"/>
                  <w:gridSpan w:val="2"/>
                  <w:noWrap w:val="0"/>
                  <w:vAlign w:val="center"/>
                </w:tcPr>
                <w:p w14:paraId="2729B343">
                  <w:pPr>
                    <w:widowControl w:val="0"/>
                    <w:snapToGrid w:val="0"/>
                    <w:spacing w:line="240" w:lineRule="auto"/>
                    <w:ind w:firstLine="0" w:firstLineChars="0"/>
                    <w:jc w:val="center"/>
                    <w:rPr>
                      <w:rFonts w:hint="default" w:ascii="Times New Roman" w:hAnsi="Times New Roman" w:eastAsia="宋体" w:cs="Times New Roman"/>
                      <w:b/>
                      <w:bCs w:val="0"/>
                      <w:color w:val="auto"/>
                      <w:sz w:val="21"/>
                      <w:szCs w:val="21"/>
                      <w:highlight w:val="none"/>
                      <w:lang w:val="en-US" w:eastAsia="zh-CN"/>
                    </w:rPr>
                  </w:pPr>
                  <w:r>
                    <w:rPr>
                      <w:rFonts w:hint="default" w:ascii="Times New Roman" w:hAnsi="Times New Roman" w:eastAsia="宋体" w:cs="Times New Roman"/>
                      <w:b/>
                      <w:bCs w:val="0"/>
                      <w:color w:val="auto"/>
                      <w:sz w:val="21"/>
                      <w:szCs w:val="21"/>
                      <w:highlight w:val="none"/>
                      <w:lang w:val="en-US" w:eastAsia="zh-CN"/>
                    </w:rPr>
                    <w:t>达标情况</w:t>
                  </w:r>
                </w:p>
              </w:tc>
            </w:tr>
            <w:tr w14:paraId="505A4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279" w:type="pct"/>
                  <w:vMerge w:val="continue"/>
                  <w:noWrap w:val="0"/>
                  <w:vAlign w:val="center"/>
                </w:tcPr>
                <w:p w14:paraId="72D7390C">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p>
              </w:tc>
              <w:tc>
                <w:tcPr>
                  <w:tcW w:w="811" w:type="pct"/>
                  <w:vMerge w:val="continue"/>
                  <w:noWrap w:val="0"/>
                  <w:vAlign w:val="center"/>
                </w:tcPr>
                <w:p w14:paraId="52F82BD8">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p>
              </w:tc>
              <w:tc>
                <w:tcPr>
                  <w:tcW w:w="357" w:type="pct"/>
                  <w:noWrap w:val="0"/>
                  <w:vAlign w:val="center"/>
                </w:tcPr>
                <w:p w14:paraId="52D64025">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昼间</w:t>
                  </w:r>
                </w:p>
              </w:tc>
              <w:tc>
                <w:tcPr>
                  <w:tcW w:w="516" w:type="pct"/>
                  <w:noWrap w:val="0"/>
                  <w:vAlign w:val="center"/>
                </w:tcPr>
                <w:p w14:paraId="03AAE497">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夜间</w:t>
                  </w:r>
                </w:p>
              </w:tc>
              <w:tc>
                <w:tcPr>
                  <w:tcW w:w="408" w:type="pct"/>
                  <w:noWrap w:val="0"/>
                  <w:vAlign w:val="center"/>
                </w:tcPr>
                <w:p w14:paraId="442AF46B">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昼间</w:t>
                  </w:r>
                </w:p>
              </w:tc>
              <w:tc>
                <w:tcPr>
                  <w:tcW w:w="355" w:type="pct"/>
                  <w:noWrap w:val="0"/>
                  <w:vAlign w:val="center"/>
                </w:tcPr>
                <w:p w14:paraId="4CF348B0">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夜间</w:t>
                  </w:r>
                </w:p>
              </w:tc>
              <w:tc>
                <w:tcPr>
                  <w:tcW w:w="422" w:type="pct"/>
                  <w:noWrap w:val="0"/>
                  <w:vAlign w:val="center"/>
                </w:tcPr>
                <w:p w14:paraId="6E53B870">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昼间</w:t>
                  </w:r>
                </w:p>
              </w:tc>
              <w:tc>
                <w:tcPr>
                  <w:tcW w:w="366" w:type="pct"/>
                  <w:noWrap w:val="0"/>
                  <w:vAlign w:val="center"/>
                </w:tcPr>
                <w:p w14:paraId="349ED79C">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夜间</w:t>
                  </w:r>
                </w:p>
              </w:tc>
              <w:tc>
                <w:tcPr>
                  <w:tcW w:w="373" w:type="pct"/>
                  <w:noWrap w:val="0"/>
                  <w:vAlign w:val="center"/>
                </w:tcPr>
                <w:p w14:paraId="1C1212EB">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昼间</w:t>
                  </w:r>
                </w:p>
              </w:tc>
              <w:tc>
                <w:tcPr>
                  <w:tcW w:w="366" w:type="pct"/>
                  <w:noWrap w:val="0"/>
                  <w:vAlign w:val="center"/>
                </w:tcPr>
                <w:p w14:paraId="4936C6FC">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夜间</w:t>
                  </w:r>
                </w:p>
              </w:tc>
              <w:tc>
                <w:tcPr>
                  <w:tcW w:w="363" w:type="pct"/>
                  <w:noWrap w:val="0"/>
                  <w:vAlign w:val="center"/>
                </w:tcPr>
                <w:p w14:paraId="19FEC455">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昼间</w:t>
                  </w:r>
                </w:p>
              </w:tc>
              <w:tc>
                <w:tcPr>
                  <w:tcW w:w="378" w:type="pct"/>
                  <w:noWrap w:val="0"/>
                  <w:vAlign w:val="center"/>
                </w:tcPr>
                <w:p w14:paraId="6EE2150C">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夜间</w:t>
                  </w:r>
                </w:p>
              </w:tc>
            </w:tr>
            <w:tr w14:paraId="211FD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3" w:hRule="atLeast"/>
              </w:trPr>
              <w:tc>
                <w:tcPr>
                  <w:tcW w:w="279" w:type="pct"/>
                  <w:noWrap w:val="0"/>
                  <w:vAlign w:val="center"/>
                </w:tcPr>
                <w:p w14:paraId="2623458F">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1</w:t>
                  </w:r>
                </w:p>
              </w:tc>
              <w:tc>
                <w:tcPr>
                  <w:tcW w:w="811" w:type="pct"/>
                  <w:shd w:val="clear" w:color="auto" w:fill="auto"/>
                  <w:noWrap w:val="0"/>
                  <w:vAlign w:val="center"/>
                </w:tcPr>
                <w:p w14:paraId="5E60DB42">
                  <w:pPr>
                    <w:widowControl w:val="0"/>
                    <w:snapToGrid w:val="0"/>
                    <w:spacing w:line="240" w:lineRule="auto"/>
                    <w:ind w:firstLine="0" w:firstLineChars="0"/>
                    <w:jc w:val="center"/>
                    <w:rPr>
                      <w:rFonts w:hint="default" w:ascii="Times New Roman" w:hAnsi="Times New Roman" w:eastAsia="宋体" w:cs="Times New Roman"/>
                      <w:bCs/>
                      <w:snapToGrid w:val="0"/>
                      <w:color w:val="auto"/>
                      <w:kern w:val="0"/>
                      <w:sz w:val="21"/>
                      <w:szCs w:val="21"/>
                      <w:lang w:val="en-US" w:eastAsia="zh-CN"/>
                    </w:rPr>
                  </w:pPr>
                  <w:r>
                    <w:rPr>
                      <w:rFonts w:hint="eastAsia" w:cs="Times New Roman"/>
                      <w:bCs/>
                      <w:color w:val="auto"/>
                      <w:sz w:val="21"/>
                      <w:szCs w:val="21"/>
                      <w:lang w:val="en-US" w:eastAsia="zh-CN"/>
                    </w:rPr>
                    <w:t>厂界东侧</w:t>
                  </w:r>
                </w:p>
              </w:tc>
              <w:tc>
                <w:tcPr>
                  <w:tcW w:w="587" w:type="dxa"/>
                  <w:shd w:val="clear" w:color="auto" w:fill="auto"/>
                  <w:noWrap w:val="0"/>
                  <w:vAlign w:val="center"/>
                </w:tcPr>
                <w:p w14:paraId="298674CC">
                  <w:pPr>
                    <w:pStyle w:val="30"/>
                    <w:widowControl w:val="0"/>
                    <w:bidi w:val="0"/>
                    <w:rPr>
                      <w:rFonts w:hint="eastAsia" w:ascii="Times New Roman" w:hAnsi="Times New Roman" w:eastAsia="宋体" w:cs="Times New Roman"/>
                      <w:bCs/>
                      <w:snapToGrid w:val="0"/>
                      <w:color w:val="auto"/>
                      <w:kern w:val="0"/>
                      <w:sz w:val="21"/>
                      <w:szCs w:val="21"/>
                      <w:highlight w:val="yellow"/>
                      <w:lang w:val="en-US" w:eastAsia="zh-CN"/>
                    </w:rPr>
                  </w:pPr>
                  <w:r>
                    <w:rPr>
                      <w:rFonts w:hint="eastAsia" w:cs="Times New Roman"/>
                      <w:color w:val="auto"/>
                      <w:highlight w:val="none"/>
                      <w:lang w:val="en-US" w:eastAsia="zh-CN"/>
                    </w:rPr>
                    <w:t>54</w:t>
                  </w:r>
                </w:p>
              </w:tc>
              <w:tc>
                <w:tcPr>
                  <w:tcW w:w="850" w:type="dxa"/>
                  <w:shd w:val="clear" w:color="auto" w:fill="auto"/>
                  <w:noWrap w:val="0"/>
                  <w:vAlign w:val="center"/>
                </w:tcPr>
                <w:p w14:paraId="03816AA7">
                  <w:pPr>
                    <w:pStyle w:val="30"/>
                    <w:widowControl w:val="0"/>
                    <w:bidi w:val="0"/>
                    <w:rPr>
                      <w:rFonts w:hint="eastAsia" w:ascii="Times New Roman" w:hAnsi="Times New Roman" w:eastAsia="宋体" w:cs="Times New Roman"/>
                      <w:bCs/>
                      <w:snapToGrid w:val="0"/>
                      <w:color w:val="auto"/>
                      <w:kern w:val="0"/>
                      <w:sz w:val="21"/>
                      <w:szCs w:val="21"/>
                      <w:highlight w:val="yellow"/>
                      <w:lang w:val="en-US" w:eastAsia="zh-CN"/>
                    </w:rPr>
                  </w:pPr>
                  <w:r>
                    <w:rPr>
                      <w:rFonts w:hint="eastAsia" w:cs="Times New Roman"/>
                      <w:color w:val="auto"/>
                      <w:highlight w:val="none"/>
                      <w:lang w:val="en-US" w:eastAsia="zh-CN"/>
                    </w:rPr>
                    <w:t>42</w:t>
                  </w:r>
                </w:p>
              </w:tc>
              <w:tc>
                <w:tcPr>
                  <w:tcW w:w="408" w:type="pct"/>
                  <w:shd w:val="clear" w:color="auto" w:fill="auto"/>
                  <w:noWrap w:val="0"/>
                  <w:vAlign w:val="center"/>
                </w:tcPr>
                <w:p w14:paraId="26DEED53">
                  <w:pPr>
                    <w:widowControl w:val="0"/>
                    <w:snapToGrid w:val="0"/>
                    <w:spacing w:line="240" w:lineRule="auto"/>
                    <w:ind w:firstLine="0" w:firstLineChars="0"/>
                    <w:jc w:val="center"/>
                    <w:rPr>
                      <w:rFonts w:hint="default" w:ascii="Times New Roman" w:hAnsi="Times New Roman" w:eastAsia="宋体" w:cs="Times New Roman"/>
                      <w:bCs/>
                      <w:snapToGrid w:val="0"/>
                      <w:color w:val="auto"/>
                      <w:kern w:val="0"/>
                      <w:sz w:val="21"/>
                      <w:szCs w:val="21"/>
                      <w:highlight w:val="none"/>
                      <w:lang w:val="en-US" w:eastAsia="zh-CN"/>
                    </w:rPr>
                  </w:pPr>
                  <w:r>
                    <w:rPr>
                      <w:rFonts w:hint="eastAsia" w:cs="Times New Roman"/>
                      <w:bCs/>
                      <w:snapToGrid w:val="0"/>
                      <w:color w:val="auto"/>
                      <w:kern w:val="0"/>
                      <w:sz w:val="21"/>
                      <w:szCs w:val="21"/>
                      <w:highlight w:val="none"/>
                      <w:lang w:val="en-US" w:eastAsia="zh-CN"/>
                    </w:rPr>
                    <w:t>22</w:t>
                  </w:r>
                </w:p>
              </w:tc>
              <w:tc>
                <w:tcPr>
                  <w:tcW w:w="355" w:type="pct"/>
                  <w:shd w:val="clear" w:color="auto" w:fill="auto"/>
                  <w:noWrap w:val="0"/>
                  <w:vAlign w:val="center"/>
                </w:tcPr>
                <w:p w14:paraId="42CA9C28">
                  <w:pPr>
                    <w:widowControl w:val="0"/>
                    <w:snapToGrid w:val="0"/>
                    <w:spacing w:line="240" w:lineRule="auto"/>
                    <w:ind w:firstLine="0" w:firstLineChars="0"/>
                    <w:jc w:val="center"/>
                    <w:rPr>
                      <w:rFonts w:hint="default" w:ascii="Times New Roman" w:hAnsi="Times New Roman" w:eastAsia="宋体" w:cs="Times New Roman"/>
                      <w:bCs/>
                      <w:snapToGrid w:val="0"/>
                      <w:color w:val="auto"/>
                      <w:kern w:val="0"/>
                      <w:sz w:val="21"/>
                      <w:szCs w:val="21"/>
                      <w:highlight w:val="none"/>
                      <w:lang w:val="en-US" w:eastAsia="zh-CN"/>
                    </w:rPr>
                  </w:pPr>
                  <w:r>
                    <w:rPr>
                      <w:rFonts w:hint="eastAsia" w:cs="Times New Roman"/>
                      <w:bCs/>
                      <w:snapToGrid w:val="0"/>
                      <w:color w:val="auto"/>
                      <w:kern w:val="0"/>
                      <w:sz w:val="21"/>
                      <w:szCs w:val="21"/>
                      <w:highlight w:val="none"/>
                      <w:lang w:val="en-US" w:eastAsia="zh-CN"/>
                    </w:rPr>
                    <w:t>22</w:t>
                  </w:r>
                </w:p>
              </w:tc>
              <w:tc>
                <w:tcPr>
                  <w:tcW w:w="694" w:type="dxa"/>
                  <w:shd w:val="clear" w:color="auto" w:fill="auto"/>
                  <w:noWrap w:val="0"/>
                  <w:vAlign w:val="center"/>
                </w:tcPr>
                <w:p w14:paraId="18C54E36">
                  <w:pPr>
                    <w:pStyle w:val="30"/>
                    <w:widowControl w:val="0"/>
                    <w:bidi w:val="0"/>
                    <w:rPr>
                      <w:rFonts w:hint="eastAsia" w:ascii="Times New Roman" w:hAnsi="Times New Roman" w:eastAsia="宋体" w:cs="Times New Roman"/>
                      <w:bCs/>
                      <w:snapToGrid w:val="0"/>
                      <w:color w:val="auto"/>
                      <w:kern w:val="0"/>
                      <w:sz w:val="21"/>
                      <w:szCs w:val="21"/>
                      <w:highlight w:val="yellow"/>
                      <w:lang w:val="en-US" w:eastAsia="zh-CN"/>
                    </w:rPr>
                  </w:pPr>
                  <w:r>
                    <w:rPr>
                      <w:rFonts w:hint="eastAsia" w:cs="Times New Roman"/>
                      <w:color w:val="auto"/>
                      <w:highlight w:val="none"/>
                      <w:lang w:val="en-US" w:eastAsia="zh-CN"/>
                    </w:rPr>
                    <w:t>54</w:t>
                  </w:r>
                </w:p>
              </w:tc>
              <w:tc>
                <w:tcPr>
                  <w:tcW w:w="603" w:type="dxa"/>
                  <w:shd w:val="clear" w:color="auto" w:fill="auto"/>
                  <w:noWrap w:val="0"/>
                  <w:vAlign w:val="center"/>
                </w:tcPr>
                <w:p w14:paraId="4AA84547">
                  <w:pPr>
                    <w:pStyle w:val="30"/>
                    <w:widowControl w:val="0"/>
                    <w:bidi w:val="0"/>
                    <w:rPr>
                      <w:rFonts w:hint="eastAsia" w:ascii="Times New Roman" w:hAnsi="Times New Roman" w:eastAsia="宋体" w:cs="Times New Roman"/>
                      <w:bCs/>
                      <w:snapToGrid w:val="0"/>
                      <w:color w:val="auto"/>
                      <w:kern w:val="0"/>
                      <w:sz w:val="21"/>
                      <w:szCs w:val="21"/>
                      <w:highlight w:val="yellow"/>
                      <w:lang w:val="en-US" w:eastAsia="zh-CN"/>
                    </w:rPr>
                  </w:pPr>
                  <w:r>
                    <w:rPr>
                      <w:rFonts w:hint="eastAsia" w:cs="Times New Roman"/>
                      <w:color w:val="auto"/>
                      <w:highlight w:val="none"/>
                      <w:lang w:val="en-US" w:eastAsia="zh-CN"/>
                    </w:rPr>
                    <w:t>42</w:t>
                  </w:r>
                </w:p>
              </w:tc>
              <w:tc>
                <w:tcPr>
                  <w:tcW w:w="373" w:type="pct"/>
                  <w:shd w:val="clear" w:color="auto" w:fill="auto"/>
                  <w:noWrap w:val="0"/>
                  <w:vAlign w:val="center"/>
                </w:tcPr>
                <w:p w14:paraId="2F73DF3D">
                  <w:pPr>
                    <w:widowControl w:val="0"/>
                    <w:snapToGrid w:val="0"/>
                    <w:spacing w:line="240" w:lineRule="auto"/>
                    <w:ind w:firstLine="0" w:firstLineChars="0"/>
                    <w:jc w:val="center"/>
                    <w:rPr>
                      <w:rFonts w:hint="default" w:ascii="Times New Roman" w:hAnsi="Times New Roman" w:eastAsia="宋体" w:cs="Times New Roman"/>
                      <w:bCs/>
                      <w:snapToGrid w:val="0"/>
                      <w:color w:val="auto"/>
                      <w:kern w:val="0"/>
                      <w:sz w:val="21"/>
                      <w:szCs w:val="21"/>
                      <w:lang w:val="en-US" w:eastAsia="zh-CN"/>
                    </w:rPr>
                  </w:pPr>
                  <w:r>
                    <w:rPr>
                      <w:rFonts w:hint="default" w:ascii="Times New Roman" w:hAnsi="Times New Roman" w:eastAsia="宋体" w:cs="Times New Roman"/>
                      <w:bCs/>
                      <w:color w:val="auto"/>
                      <w:sz w:val="21"/>
                      <w:szCs w:val="21"/>
                      <w:lang w:val="en-US" w:eastAsia="zh-CN"/>
                    </w:rPr>
                    <w:t>60</w:t>
                  </w:r>
                </w:p>
              </w:tc>
              <w:tc>
                <w:tcPr>
                  <w:tcW w:w="366" w:type="pct"/>
                  <w:shd w:val="clear" w:color="auto" w:fill="auto"/>
                  <w:noWrap w:val="0"/>
                  <w:vAlign w:val="center"/>
                </w:tcPr>
                <w:p w14:paraId="7F0BC575">
                  <w:pPr>
                    <w:widowControl w:val="0"/>
                    <w:snapToGrid w:val="0"/>
                    <w:spacing w:line="240" w:lineRule="auto"/>
                    <w:ind w:firstLine="0" w:firstLineChars="0"/>
                    <w:jc w:val="center"/>
                    <w:rPr>
                      <w:rFonts w:hint="default" w:ascii="Times New Roman" w:hAnsi="Times New Roman" w:eastAsia="宋体" w:cs="Times New Roman"/>
                      <w:bCs/>
                      <w:snapToGrid w:val="0"/>
                      <w:color w:val="auto"/>
                      <w:kern w:val="0"/>
                      <w:sz w:val="21"/>
                      <w:szCs w:val="21"/>
                      <w:lang w:val="en-US" w:eastAsia="zh-CN"/>
                    </w:rPr>
                  </w:pPr>
                  <w:r>
                    <w:rPr>
                      <w:rFonts w:hint="default" w:ascii="Times New Roman" w:hAnsi="Times New Roman" w:eastAsia="宋体" w:cs="Times New Roman"/>
                      <w:bCs/>
                      <w:color w:val="auto"/>
                      <w:sz w:val="21"/>
                      <w:szCs w:val="21"/>
                      <w:lang w:val="en-US" w:eastAsia="zh-CN"/>
                    </w:rPr>
                    <w:t>50</w:t>
                  </w:r>
                </w:p>
              </w:tc>
              <w:tc>
                <w:tcPr>
                  <w:tcW w:w="363" w:type="pct"/>
                  <w:shd w:val="clear" w:color="auto" w:fill="auto"/>
                  <w:noWrap w:val="0"/>
                  <w:vAlign w:val="center"/>
                </w:tcPr>
                <w:p w14:paraId="1AD7DA89">
                  <w:pPr>
                    <w:widowControl w:val="0"/>
                    <w:snapToGrid w:val="0"/>
                    <w:spacing w:line="240" w:lineRule="auto"/>
                    <w:ind w:firstLine="0" w:firstLineChars="0"/>
                    <w:jc w:val="center"/>
                    <w:rPr>
                      <w:rFonts w:hint="default" w:ascii="Times New Roman" w:hAnsi="Times New Roman" w:eastAsia="宋体" w:cs="Times New Roman"/>
                      <w:bCs/>
                      <w:snapToGrid w:val="0"/>
                      <w:color w:val="auto"/>
                      <w:kern w:val="0"/>
                      <w:sz w:val="21"/>
                      <w:szCs w:val="21"/>
                      <w:lang w:val="en-US" w:eastAsia="zh-CN"/>
                    </w:rPr>
                  </w:pPr>
                  <w:r>
                    <w:rPr>
                      <w:rFonts w:hint="default" w:ascii="Times New Roman" w:hAnsi="Times New Roman" w:eastAsia="宋体" w:cs="Times New Roman"/>
                      <w:bCs/>
                      <w:color w:val="auto"/>
                      <w:sz w:val="21"/>
                      <w:szCs w:val="21"/>
                      <w:lang w:val="en-US" w:eastAsia="zh-CN"/>
                    </w:rPr>
                    <w:t>达标</w:t>
                  </w:r>
                </w:p>
              </w:tc>
              <w:tc>
                <w:tcPr>
                  <w:tcW w:w="378" w:type="pct"/>
                  <w:shd w:val="clear" w:color="auto" w:fill="auto"/>
                  <w:noWrap w:val="0"/>
                  <w:vAlign w:val="center"/>
                </w:tcPr>
                <w:p w14:paraId="799377CF">
                  <w:pPr>
                    <w:widowControl w:val="0"/>
                    <w:snapToGrid w:val="0"/>
                    <w:spacing w:line="240" w:lineRule="auto"/>
                    <w:ind w:firstLine="0" w:firstLineChars="0"/>
                    <w:jc w:val="center"/>
                    <w:rPr>
                      <w:rFonts w:hint="default" w:ascii="Times New Roman" w:hAnsi="Times New Roman" w:eastAsia="宋体" w:cs="Times New Roman"/>
                      <w:bCs/>
                      <w:snapToGrid w:val="0"/>
                      <w:color w:val="auto"/>
                      <w:kern w:val="0"/>
                      <w:sz w:val="21"/>
                      <w:szCs w:val="21"/>
                      <w:lang w:val="en-US" w:eastAsia="zh-CN"/>
                    </w:rPr>
                  </w:pPr>
                  <w:r>
                    <w:rPr>
                      <w:rFonts w:hint="default" w:ascii="Times New Roman" w:hAnsi="Times New Roman" w:eastAsia="宋体" w:cs="Times New Roman"/>
                      <w:bCs/>
                      <w:color w:val="auto"/>
                      <w:sz w:val="21"/>
                      <w:szCs w:val="21"/>
                      <w:lang w:val="en-US" w:eastAsia="zh-CN"/>
                    </w:rPr>
                    <w:t>达标</w:t>
                  </w:r>
                </w:p>
              </w:tc>
            </w:tr>
            <w:tr w14:paraId="46346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3" w:hRule="atLeast"/>
              </w:trPr>
              <w:tc>
                <w:tcPr>
                  <w:tcW w:w="279" w:type="pct"/>
                  <w:noWrap w:val="0"/>
                  <w:vAlign w:val="center"/>
                </w:tcPr>
                <w:p w14:paraId="4C91C6BD">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2</w:t>
                  </w:r>
                </w:p>
              </w:tc>
              <w:tc>
                <w:tcPr>
                  <w:tcW w:w="811" w:type="pct"/>
                  <w:shd w:val="clear" w:color="auto" w:fill="auto"/>
                  <w:noWrap w:val="0"/>
                  <w:vAlign w:val="center"/>
                </w:tcPr>
                <w:p w14:paraId="7B58200F">
                  <w:pPr>
                    <w:widowControl w:val="0"/>
                    <w:snapToGrid w:val="0"/>
                    <w:spacing w:line="240" w:lineRule="auto"/>
                    <w:ind w:firstLine="0" w:firstLineChars="0"/>
                    <w:jc w:val="center"/>
                    <w:rPr>
                      <w:rFonts w:hint="default" w:ascii="Times New Roman" w:hAnsi="Times New Roman" w:eastAsia="宋体" w:cs="Times New Roman"/>
                      <w:bCs/>
                      <w:snapToGrid w:val="0"/>
                      <w:color w:val="auto"/>
                      <w:kern w:val="0"/>
                      <w:sz w:val="21"/>
                      <w:szCs w:val="21"/>
                      <w:lang w:val="en-US" w:eastAsia="zh-CN"/>
                    </w:rPr>
                  </w:pPr>
                  <w:r>
                    <w:rPr>
                      <w:rFonts w:hint="eastAsia" w:cs="Times New Roman"/>
                      <w:bCs/>
                      <w:color w:val="auto"/>
                      <w:sz w:val="21"/>
                      <w:szCs w:val="21"/>
                      <w:lang w:val="en-US" w:eastAsia="zh-CN"/>
                    </w:rPr>
                    <w:t>厂界南侧</w:t>
                  </w:r>
                </w:p>
              </w:tc>
              <w:tc>
                <w:tcPr>
                  <w:tcW w:w="587" w:type="dxa"/>
                  <w:shd w:val="clear" w:color="auto" w:fill="auto"/>
                  <w:noWrap w:val="0"/>
                  <w:vAlign w:val="center"/>
                </w:tcPr>
                <w:p w14:paraId="77DB3522">
                  <w:pPr>
                    <w:pStyle w:val="30"/>
                    <w:widowControl w:val="0"/>
                    <w:bidi w:val="0"/>
                    <w:rPr>
                      <w:rFonts w:hint="default" w:ascii="Times New Roman" w:hAnsi="Times New Roman" w:eastAsia="宋体" w:cs="Times New Roman"/>
                      <w:bCs/>
                      <w:snapToGrid w:val="0"/>
                      <w:color w:val="auto"/>
                      <w:kern w:val="0"/>
                      <w:sz w:val="21"/>
                      <w:szCs w:val="21"/>
                      <w:highlight w:val="yellow"/>
                      <w:lang w:val="en-US" w:eastAsia="zh-CN"/>
                    </w:rPr>
                  </w:pPr>
                  <w:r>
                    <w:rPr>
                      <w:rFonts w:hint="eastAsia" w:cs="Times New Roman"/>
                      <w:color w:val="auto"/>
                      <w:highlight w:val="none"/>
                      <w:lang w:val="en-US" w:eastAsia="zh-CN"/>
                    </w:rPr>
                    <w:t>51</w:t>
                  </w:r>
                </w:p>
              </w:tc>
              <w:tc>
                <w:tcPr>
                  <w:tcW w:w="850" w:type="dxa"/>
                  <w:shd w:val="clear" w:color="auto" w:fill="auto"/>
                  <w:noWrap w:val="0"/>
                  <w:vAlign w:val="center"/>
                </w:tcPr>
                <w:p w14:paraId="047503AD">
                  <w:pPr>
                    <w:pStyle w:val="30"/>
                    <w:widowControl w:val="0"/>
                    <w:bidi w:val="0"/>
                    <w:rPr>
                      <w:rFonts w:hint="default" w:ascii="Times New Roman" w:hAnsi="Times New Roman" w:eastAsia="宋体" w:cs="Times New Roman"/>
                      <w:bCs/>
                      <w:snapToGrid w:val="0"/>
                      <w:color w:val="auto"/>
                      <w:kern w:val="0"/>
                      <w:sz w:val="21"/>
                      <w:szCs w:val="21"/>
                      <w:highlight w:val="yellow"/>
                      <w:lang w:val="en-US" w:eastAsia="zh-CN"/>
                    </w:rPr>
                  </w:pPr>
                  <w:r>
                    <w:rPr>
                      <w:rFonts w:hint="eastAsia" w:cs="Times New Roman"/>
                      <w:color w:val="auto"/>
                      <w:highlight w:val="none"/>
                      <w:lang w:val="en-US" w:eastAsia="zh-CN"/>
                    </w:rPr>
                    <w:t>50</w:t>
                  </w:r>
                </w:p>
              </w:tc>
              <w:tc>
                <w:tcPr>
                  <w:tcW w:w="408" w:type="pct"/>
                  <w:shd w:val="clear" w:color="auto" w:fill="auto"/>
                  <w:noWrap w:val="0"/>
                  <w:vAlign w:val="center"/>
                </w:tcPr>
                <w:p w14:paraId="086AFBEF">
                  <w:pPr>
                    <w:widowControl w:val="0"/>
                    <w:snapToGrid w:val="0"/>
                    <w:spacing w:line="240" w:lineRule="auto"/>
                    <w:ind w:firstLine="0" w:firstLineChars="0"/>
                    <w:jc w:val="center"/>
                    <w:rPr>
                      <w:rFonts w:hint="default" w:ascii="Times New Roman" w:hAnsi="Times New Roman" w:eastAsia="宋体" w:cs="Times New Roman"/>
                      <w:bCs/>
                      <w:snapToGrid w:val="0"/>
                      <w:color w:val="auto"/>
                      <w:kern w:val="0"/>
                      <w:sz w:val="21"/>
                      <w:szCs w:val="21"/>
                      <w:highlight w:val="none"/>
                      <w:lang w:val="en-US" w:eastAsia="zh-CN"/>
                    </w:rPr>
                  </w:pPr>
                  <w:r>
                    <w:rPr>
                      <w:rFonts w:hint="eastAsia" w:cs="Times New Roman"/>
                      <w:bCs/>
                      <w:snapToGrid w:val="0"/>
                      <w:color w:val="auto"/>
                      <w:kern w:val="0"/>
                      <w:sz w:val="21"/>
                      <w:szCs w:val="21"/>
                      <w:highlight w:val="none"/>
                      <w:lang w:val="en-US" w:eastAsia="zh-CN"/>
                    </w:rPr>
                    <w:t>31</w:t>
                  </w:r>
                </w:p>
              </w:tc>
              <w:tc>
                <w:tcPr>
                  <w:tcW w:w="355" w:type="pct"/>
                  <w:shd w:val="clear" w:color="auto" w:fill="auto"/>
                  <w:noWrap w:val="0"/>
                  <w:vAlign w:val="center"/>
                </w:tcPr>
                <w:p w14:paraId="629FC8FE">
                  <w:pPr>
                    <w:widowControl w:val="0"/>
                    <w:snapToGrid w:val="0"/>
                    <w:spacing w:line="240" w:lineRule="auto"/>
                    <w:ind w:firstLine="0" w:firstLineChars="0"/>
                    <w:jc w:val="center"/>
                    <w:rPr>
                      <w:rFonts w:hint="default" w:ascii="Times New Roman" w:hAnsi="Times New Roman" w:eastAsia="宋体" w:cs="Times New Roman"/>
                      <w:bCs/>
                      <w:snapToGrid w:val="0"/>
                      <w:color w:val="auto"/>
                      <w:kern w:val="0"/>
                      <w:sz w:val="21"/>
                      <w:szCs w:val="21"/>
                      <w:highlight w:val="none"/>
                      <w:lang w:val="en-US" w:eastAsia="zh-CN"/>
                    </w:rPr>
                  </w:pPr>
                  <w:r>
                    <w:rPr>
                      <w:rFonts w:hint="eastAsia" w:cs="Times New Roman"/>
                      <w:bCs/>
                      <w:snapToGrid w:val="0"/>
                      <w:color w:val="auto"/>
                      <w:kern w:val="0"/>
                      <w:sz w:val="21"/>
                      <w:szCs w:val="21"/>
                      <w:highlight w:val="none"/>
                      <w:lang w:val="en-US" w:eastAsia="zh-CN"/>
                    </w:rPr>
                    <w:t>31</w:t>
                  </w:r>
                </w:p>
              </w:tc>
              <w:tc>
                <w:tcPr>
                  <w:tcW w:w="694" w:type="dxa"/>
                  <w:shd w:val="clear" w:color="auto" w:fill="auto"/>
                  <w:noWrap w:val="0"/>
                  <w:vAlign w:val="center"/>
                </w:tcPr>
                <w:p w14:paraId="3D8B77D5">
                  <w:pPr>
                    <w:pStyle w:val="30"/>
                    <w:widowControl w:val="0"/>
                    <w:bidi w:val="0"/>
                    <w:rPr>
                      <w:rFonts w:hint="default" w:ascii="Times New Roman" w:hAnsi="Times New Roman" w:eastAsia="宋体" w:cs="Times New Roman"/>
                      <w:bCs/>
                      <w:snapToGrid w:val="0"/>
                      <w:color w:val="auto"/>
                      <w:kern w:val="0"/>
                      <w:sz w:val="21"/>
                      <w:szCs w:val="21"/>
                      <w:highlight w:val="yellow"/>
                      <w:lang w:val="en-US" w:eastAsia="zh-CN"/>
                    </w:rPr>
                  </w:pPr>
                  <w:r>
                    <w:rPr>
                      <w:rFonts w:hint="eastAsia" w:cs="Times New Roman"/>
                      <w:color w:val="auto"/>
                      <w:highlight w:val="none"/>
                      <w:lang w:val="en-US" w:eastAsia="zh-CN"/>
                    </w:rPr>
                    <w:t>51</w:t>
                  </w:r>
                </w:p>
              </w:tc>
              <w:tc>
                <w:tcPr>
                  <w:tcW w:w="603" w:type="dxa"/>
                  <w:shd w:val="clear" w:color="auto" w:fill="auto"/>
                  <w:noWrap w:val="0"/>
                  <w:vAlign w:val="center"/>
                </w:tcPr>
                <w:p w14:paraId="3A5703F1">
                  <w:pPr>
                    <w:pStyle w:val="30"/>
                    <w:widowControl w:val="0"/>
                    <w:bidi w:val="0"/>
                    <w:rPr>
                      <w:rFonts w:hint="default" w:ascii="Times New Roman" w:hAnsi="Times New Roman" w:eastAsia="宋体" w:cs="Times New Roman"/>
                      <w:bCs/>
                      <w:snapToGrid w:val="0"/>
                      <w:color w:val="auto"/>
                      <w:kern w:val="0"/>
                      <w:sz w:val="21"/>
                      <w:szCs w:val="21"/>
                      <w:highlight w:val="yellow"/>
                      <w:lang w:val="en-US" w:eastAsia="zh-CN"/>
                    </w:rPr>
                  </w:pPr>
                  <w:r>
                    <w:rPr>
                      <w:rFonts w:hint="eastAsia" w:cs="Times New Roman"/>
                      <w:color w:val="auto"/>
                      <w:highlight w:val="none"/>
                      <w:lang w:val="en-US" w:eastAsia="zh-CN"/>
                    </w:rPr>
                    <w:t>50</w:t>
                  </w:r>
                </w:p>
              </w:tc>
              <w:tc>
                <w:tcPr>
                  <w:tcW w:w="373" w:type="pct"/>
                  <w:shd w:val="clear" w:color="auto" w:fill="auto"/>
                  <w:noWrap w:val="0"/>
                  <w:vAlign w:val="center"/>
                </w:tcPr>
                <w:p w14:paraId="48E06816">
                  <w:pPr>
                    <w:widowControl w:val="0"/>
                    <w:snapToGrid w:val="0"/>
                    <w:spacing w:line="240" w:lineRule="auto"/>
                    <w:ind w:firstLine="0" w:firstLineChars="0"/>
                    <w:jc w:val="center"/>
                    <w:rPr>
                      <w:rFonts w:hint="default" w:ascii="Times New Roman" w:hAnsi="Times New Roman" w:eastAsia="宋体" w:cs="Times New Roman"/>
                      <w:bCs/>
                      <w:snapToGrid w:val="0"/>
                      <w:color w:val="auto"/>
                      <w:kern w:val="0"/>
                      <w:sz w:val="21"/>
                      <w:szCs w:val="21"/>
                      <w:lang w:val="en-US" w:eastAsia="zh-CN"/>
                    </w:rPr>
                  </w:pPr>
                  <w:r>
                    <w:rPr>
                      <w:rFonts w:hint="eastAsia" w:cs="Times New Roman"/>
                      <w:bCs/>
                      <w:color w:val="auto"/>
                      <w:sz w:val="21"/>
                      <w:szCs w:val="21"/>
                      <w:lang w:val="en-US" w:eastAsia="zh-CN"/>
                    </w:rPr>
                    <w:t>70</w:t>
                  </w:r>
                </w:p>
              </w:tc>
              <w:tc>
                <w:tcPr>
                  <w:tcW w:w="366" w:type="pct"/>
                  <w:shd w:val="clear" w:color="auto" w:fill="auto"/>
                  <w:noWrap w:val="0"/>
                  <w:vAlign w:val="center"/>
                </w:tcPr>
                <w:p w14:paraId="7B0B91B5">
                  <w:pPr>
                    <w:widowControl w:val="0"/>
                    <w:snapToGrid w:val="0"/>
                    <w:spacing w:line="240" w:lineRule="auto"/>
                    <w:ind w:firstLine="0" w:firstLineChars="0"/>
                    <w:jc w:val="center"/>
                    <w:rPr>
                      <w:rFonts w:hint="default" w:ascii="Times New Roman" w:hAnsi="Times New Roman" w:eastAsia="宋体" w:cs="Times New Roman"/>
                      <w:bCs/>
                      <w:snapToGrid w:val="0"/>
                      <w:color w:val="auto"/>
                      <w:kern w:val="0"/>
                      <w:sz w:val="21"/>
                      <w:szCs w:val="21"/>
                      <w:lang w:val="en-US" w:eastAsia="zh-CN"/>
                    </w:rPr>
                  </w:pPr>
                  <w:r>
                    <w:rPr>
                      <w:rFonts w:hint="default" w:ascii="Times New Roman" w:hAnsi="Times New Roman" w:eastAsia="宋体" w:cs="Times New Roman"/>
                      <w:bCs/>
                      <w:color w:val="auto"/>
                      <w:sz w:val="21"/>
                      <w:szCs w:val="21"/>
                      <w:lang w:val="en-US" w:eastAsia="zh-CN"/>
                    </w:rPr>
                    <w:t>5</w:t>
                  </w:r>
                  <w:r>
                    <w:rPr>
                      <w:rFonts w:hint="eastAsia" w:cs="Times New Roman"/>
                      <w:bCs/>
                      <w:color w:val="auto"/>
                      <w:sz w:val="21"/>
                      <w:szCs w:val="21"/>
                      <w:lang w:val="en-US" w:eastAsia="zh-CN"/>
                    </w:rPr>
                    <w:t>5</w:t>
                  </w:r>
                </w:p>
              </w:tc>
              <w:tc>
                <w:tcPr>
                  <w:tcW w:w="363" w:type="pct"/>
                  <w:shd w:val="clear" w:color="auto" w:fill="auto"/>
                  <w:noWrap w:val="0"/>
                  <w:vAlign w:val="center"/>
                </w:tcPr>
                <w:p w14:paraId="10E54F24">
                  <w:pPr>
                    <w:widowControl w:val="0"/>
                    <w:snapToGrid w:val="0"/>
                    <w:spacing w:line="240" w:lineRule="auto"/>
                    <w:ind w:firstLine="0" w:firstLineChars="0"/>
                    <w:jc w:val="center"/>
                    <w:rPr>
                      <w:rFonts w:hint="default" w:ascii="Times New Roman" w:hAnsi="Times New Roman" w:eastAsia="宋体" w:cs="Times New Roman"/>
                      <w:bCs/>
                      <w:snapToGrid w:val="0"/>
                      <w:color w:val="auto"/>
                      <w:kern w:val="0"/>
                      <w:sz w:val="21"/>
                      <w:szCs w:val="21"/>
                      <w:lang w:val="en-US" w:eastAsia="zh-CN"/>
                    </w:rPr>
                  </w:pPr>
                  <w:r>
                    <w:rPr>
                      <w:rFonts w:hint="default" w:ascii="Times New Roman" w:hAnsi="Times New Roman" w:eastAsia="宋体" w:cs="Times New Roman"/>
                      <w:bCs/>
                      <w:color w:val="auto"/>
                      <w:sz w:val="21"/>
                      <w:szCs w:val="21"/>
                      <w:lang w:val="en-US" w:eastAsia="zh-CN"/>
                    </w:rPr>
                    <w:t>达标</w:t>
                  </w:r>
                </w:p>
              </w:tc>
              <w:tc>
                <w:tcPr>
                  <w:tcW w:w="378" w:type="pct"/>
                  <w:shd w:val="clear" w:color="auto" w:fill="auto"/>
                  <w:noWrap w:val="0"/>
                  <w:vAlign w:val="center"/>
                </w:tcPr>
                <w:p w14:paraId="5776090B">
                  <w:pPr>
                    <w:widowControl w:val="0"/>
                    <w:snapToGrid w:val="0"/>
                    <w:spacing w:line="240" w:lineRule="auto"/>
                    <w:ind w:firstLine="0" w:firstLineChars="0"/>
                    <w:jc w:val="center"/>
                    <w:rPr>
                      <w:rFonts w:hint="default" w:ascii="Times New Roman" w:hAnsi="Times New Roman" w:eastAsia="宋体" w:cs="Times New Roman"/>
                      <w:bCs/>
                      <w:snapToGrid w:val="0"/>
                      <w:color w:val="auto"/>
                      <w:kern w:val="0"/>
                      <w:sz w:val="21"/>
                      <w:szCs w:val="21"/>
                      <w:lang w:val="en-US" w:eastAsia="zh-CN"/>
                    </w:rPr>
                  </w:pPr>
                  <w:r>
                    <w:rPr>
                      <w:rFonts w:hint="default" w:ascii="Times New Roman" w:hAnsi="Times New Roman" w:eastAsia="宋体" w:cs="Times New Roman"/>
                      <w:bCs/>
                      <w:color w:val="auto"/>
                      <w:sz w:val="21"/>
                      <w:szCs w:val="21"/>
                      <w:lang w:val="en-US" w:eastAsia="zh-CN"/>
                    </w:rPr>
                    <w:t>达标</w:t>
                  </w:r>
                </w:p>
              </w:tc>
            </w:tr>
            <w:tr w14:paraId="1B890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3" w:hRule="atLeast"/>
              </w:trPr>
              <w:tc>
                <w:tcPr>
                  <w:tcW w:w="279" w:type="pct"/>
                  <w:noWrap w:val="0"/>
                  <w:vAlign w:val="center"/>
                </w:tcPr>
                <w:p w14:paraId="082316B1">
                  <w:pPr>
                    <w:widowControl w:val="0"/>
                    <w:snapToGrid w:val="0"/>
                    <w:spacing w:line="240" w:lineRule="auto"/>
                    <w:ind w:firstLine="0" w:firstLineChars="0"/>
                    <w:jc w:val="center"/>
                    <w:rPr>
                      <w:rFonts w:hint="default" w:cs="Times New Roman"/>
                      <w:bCs/>
                      <w:color w:val="auto"/>
                      <w:sz w:val="21"/>
                      <w:szCs w:val="21"/>
                      <w:lang w:val="en-US" w:eastAsia="zh-CN"/>
                    </w:rPr>
                  </w:pPr>
                  <w:r>
                    <w:rPr>
                      <w:rFonts w:hint="eastAsia" w:cs="Times New Roman"/>
                      <w:bCs/>
                      <w:color w:val="auto"/>
                      <w:sz w:val="21"/>
                      <w:szCs w:val="21"/>
                      <w:lang w:val="en-US" w:eastAsia="zh-CN"/>
                    </w:rPr>
                    <w:t>3</w:t>
                  </w:r>
                </w:p>
              </w:tc>
              <w:tc>
                <w:tcPr>
                  <w:tcW w:w="811" w:type="pct"/>
                  <w:shd w:val="clear" w:color="auto" w:fill="auto"/>
                  <w:noWrap w:val="0"/>
                  <w:vAlign w:val="center"/>
                </w:tcPr>
                <w:p w14:paraId="4A533218">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厂界西侧</w:t>
                  </w:r>
                </w:p>
              </w:tc>
              <w:tc>
                <w:tcPr>
                  <w:tcW w:w="587" w:type="dxa"/>
                  <w:shd w:val="clear" w:color="auto" w:fill="auto"/>
                  <w:noWrap w:val="0"/>
                  <w:vAlign w:val="center"/>
                </w:tcPr>
                <w:p w14:paraId="3669EEB6">
                  <w:pPr>
                    <w:pStyle w:val="30"/>
                    <w:widowControl w:val="0"/>
                    <w:bidi w:val="0"/>
                    <w:rPr>
                      <w:rFonts w:hint="eastAsia" w:cs="Times New Roman"/>
                      <w:color w:val="auto"/>
                      <w:highlight w:val="none"/>
                      <w:lang w:val="en-US" w:eastAsia="zh-CN"/>
                    </w:rPr>
                  </w:pPr>
                  <w:r>
                    <w:rPr>
                      <w:rFonts w:hint="eastAsia" w:cs="Times New Roman"/>
                      <w:color w:val="auto"/>
                      <w:highlight w:val="none"/>
                      <w:lang w:val="en-US" w:eastAsia="zh-CN"/>
                    </w:rPr>
                    <w:t>55</w:t>
                  </w:r>
                </w:p>
              </w:tc>
              <w:tc>
                <w:tcPr>
                  <w:tcW w:w="850" w:type="dxa"/>
                  <w:shd w:val="clear" w:color="auto" w:fill="auto"/>
                  <w:noWrap w:val="0"/>
                  <w:vAlign w:val="center"/>
                </w:tcPr>
                <w:p w14:paraId="3FA4FD98">
                  <w:pPr>
                    <w:pStyle w:val="30"/>
                    <w:widowControl w:val="0"/>
                    <w:bidi w:val="0"/>
                    <w:rPr>
                      <w:rFonts w:hint="eastAsia" w:cs="Times New Roman"/>
                      <w:color w:val="auto"/>
                      <w:highlight w:val="none"/>
                      <w:lang w:val="en-US" w:eastAsia="zh-CN"/>
                    </w:rPr>
                  </w:pPr>
                  <w:r>
                    <w:rPr>
                      <w:rFonts w:hint="eastAsia" w:cs="Times New Roman"/>
                      <w:color w:val="auto"/>
                      <w:highlight w:val="none"/>
                      <w:lang w:val="en-US" w:eastAsia="zh-CN"/>
                    </w:rPr>
                    <w:t>46</w:t>
                  </w:r>
                </w:p>
              </w:tc>
              <w:tc>
                <w:tcPr>
                  <w:tcW w:w="408" w:type="pct"/>
                  <w:shd w:val="clear" w:color="auto" w:fill="auto"/>
                  <w:noWrap w:val="0"/>
                  <w:vAlign w:val="center"/>
                </w:tcPr>
                <w:p w14:paraId="4C8D9F20">
                  <w:pPr>
                    <w:widowControl w:val="0"/>
                    <w:snapToGrid w:val="0"/>
                    <w:spacing w:line="240" w:lineRule="auto"/>
                    <w:ind w:firstLine="0" w:firstLineChars="0"/>
                    <w:jc w:val="center"/>
                    <w:rPr>
                      <w:rFonts w:hint="default" w:cs="Times New Roman"/>
                      <w:bCs/>
                      <w:color w:val="auto"/>
                      <w:sz w:val="21"/>
                      <w:szCs w:val="21"/>
                      <w:highlight w:val="none"/>
                      <w:lang w:val="en-US" w:eastAsia="zh-CN"/>
                    </w:rPr>
                  </w:pPr>
                  <w:r>
                    <w:rPr>
                      <w:rFonts w:hint="eastAsia" w:cs="Times New Roman"/>
                      <w:bCs/>
                      <w:color w:val="auto"/>
                      <w:sz w:val="21"/>
                      <w:szCs w:val="21"/>
                      <w:highlight w:val="none"/>
                      <w:lang w:val="en-US" w:eastAsia="zh-CN"/>
                    </w:rPr>
                    <w:t>35</w:t>
                  </w:r>
                </w:p>
              </w:tc>
              <w:tc>
                <w:tcPr>
                  <w:tcW w:w="355" w:type="pct"/>
                  <w:shd w:val="clear" w:color="auto" w:fill="auto"/>
                  <w:noWrap w:val="0"/>
                  <w:vAlign w:val="center"/>
                </w:tcPr>
                <w:p w14:paraId="5FB11FBE">
                  <w:pPr>
                    <w:widowControl w:val="0"/>
                    <w:snapToGrid w:val="0"/>
                    <w:spacing w:line="240" w:lineRule="auto"/>
                    <w:ind w:firstLine="0" w:firstLineChars="0"/>
                    <w:jc w:val="center"/>
                    <w:rPr>
                      <w:rFonts w:hint="default" w:cs="Times New Roman"/>
                      <w:bCs/>
                      <w:color w:val="auto"/>
                      <w:sz w:val="21"/>
                      <w:szCs w:val="21"/>
                      <w:highlight w:val="none"/>
                      <w:lang w:val="en-US" w:eastAsia="zh-CN"/>
                    </w:rPr>
                  </w:pPr>
                  <w:r>
                    <w:rPr>
                      <w:rFonts w:hint="eastAsia" w:cs="Times New Roman"/>
                      <w:bCs/>
                      <w:color w:val="auto"/>
                      <w:sz w:val="21"/>
                      <w:szCs w:val="21"/>
                      <w:highlight w:val="none"/>
                      <w:lang w:val="en-US" w:eastAsia="zh-CN"/>
                    </w:rPr>
                    <w:t>35</w:t>
                  </w:r>
                </w:p>
              </w:tc>
              <w:tc>
                <w:tcPr>
                  <w:tcW w:w="694" w:type="dxa"/>
                  <w:shd w:val="clear" w:color="auto" w:fill="auto"/>
                  <w:noWrap w:val="0"/>
                  <w:vAlign w:val="center"/>
                </w:tcPr>
                <w:p w14:paraId="34895E80">
                  <w:pPr>
                    <w:pStyle w:val="30"/>
                    <w:widowControl w:val="0"/>
                    <w:bidi w:val="0"/>
                    <w:rPr>
                      <w:rFonts w:hint="eastAsia" w:cs="Times New Roman"/>
                      <w:color w:val="auto"/>
                      <w:highlight w:val="none"/>
                      <w:lang w:val="en-US" w:eastAsia="zh-CN"/>
                    </w:rPr>
                  </w:pPr>
                  <w:r>
                    <w:rPr>
                      <w:rFonts w:hint="eastAsia" w:cs="Times New Roman"/>
                      <w:color w:val="auto"/>
                      <w:highlight w:val="none"/>
                      <w:lang w:val="en-US" w:eastAsia="zh-CN"/>
                    </w:rPr>
                    <w:t>55</w:t>
                  </w:r>
                </w:p>
              </w:tc>
              <w:tc>
                <w:tcPr>
                  <w:tcW w:w="603" w:type="dxa"/>
                  <w:shd w:val="clear" w:color="auto" w:fill="auto"/>
                  <w:noWrap w:val="0"/>
                  <w:vAlign w:val="center"/>
                </w:tcPr>
                <w:p w14:paraId="41DA8F00">
                  <w:pPr>
                    <w:pStyle w:val="30"/>
                    <w:widowControl w:val="0"/>
                    <w:bidi w:val="0"/>
                    <w:rPr>
                      <w:rFonts w:hint="eastAsia" w:cs="Times New Roman"/>
                      <w:color w:val="auto"/>
                      <w:highlight w:val="none"/>
                      <w:lang w:val="en-US" w:eastAsia="zh-CN"/>
                    </w:rPr>
                  </w:pPr>
                  <w:r>
                    <w:rPr>
                      <w:rFonts w:hint="eastAsia" w:cs="Times New Roman"/>
                      <w:color w:val="auto"/>
                      <w:highlight w:val="none"/>
                      <w:lang w:val="en-US" w:eastAsia="zh-CN"/>
                    </w:rPr>
                    <w:t>46</w:t>
                  </w:r>
                </w:p>
              </w:tc>
              <w:tc>
                <w:tcPr>
                  <w:tcW w:w="613" w:type="dxa"/>
                  <w:shd w:val="clear" w:color="auto" w:fill="auto"/>
                  <w:noWrap w:val="0"/>
                  <w:vAlign w:val="center"/>
                </w:tcPr>
                <w:p w14:paraId="5CD14075">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70</w:t>
                  </w:r>
                </w:p>
              </w:tc>
              <w:tc>
                <w:tcPr>
                  <w:tcW w:w="602" w:type="dxa"/>
                  <w:shd w:val="clear" w:color="auto" w:fill="auto"/>
                  <w:noWrap w:val="0"/>
                  <w:vAlign w:val="center"/>
                </w:tcPr>
                <w:p w14:paraId="53E8C7EC">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5</w:t>
                  </w:r>
                  <w:r>
                    <w:rPr>
                      <w:rFonts w:hint="eastAsia" w:cs="Times New Roman"/>
                      <w:bCs/>
                      <w:color w:val="auto"/>
                      <w:sz w:val="21"/>
                      <w:szCs w:val="21"/>
                      <w:lang w:val="en-US" w:eastAsia="zh-CN"/>
                    </w:rPr>
                    <w:t>5</w:t>
                  </w:r>
                </w:p>
              </w:tc>
              <w:tc>
                <w:tcPr>
                  <w:tcW w:w="597" w:type="dxa"/>
                  <w:shd w:val="clear" w:color="auto" w:fill="auto"/>
                  <w:noWrap w:val="0"/>
                  <w:vAlign w:val="center"/>
                </w:tcPr>
                <w:p w14:paraId="150B51AB">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达标</w:t>
                  </w:r>
                </w:p>
              </w:tc>
              <w:tc>
                <w:tcPr>
                  <w:tcW w:w="378" w:type="pct"/>
                  <w:shd w:val="clear" w:color="auto" w:fill="auto"/>
                  <w:noWrap w:val="0"/>
                  <w:vAlign w:val="center"/>
                </w:tcPr>
                <w:p w14:paraId="357F4EC6">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达标</w:t>
                  </w:r>
                </w:p>
              </w:tc>
            </w:tr>
            <w:tr w14:paraId="3B9F7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3" w:hRule="atLeast"/>
              </w:trPr>
              <w:tc>
                <w:tcPr>
                  <w:tcW w:w="279" w:type="pct"/>
                  <w:noWrap w:val="0"/>
                  <w:vAlign w:val="center"/>
                </w:tcPr>
                <w:p w14:paraId="1DCEB1F8">
                  <w:pPr>
                    <w:widowControl w:val="0"/>
                    <w:snapToGrid w:val="0"/>
                    <w:spacing w:line="240" w:lineRule="auto"/>
                    <w:ind w:firstLine="0" w:firstLineChars="0"/>
                    <w:jc w:val="center"/>
                    <w:rPr>
                      <w:rFonts w:hint="default" w:cs="Times New Roman"/>
                      <w:bCs/>
                      <w:color w:val="auto"/>
                      <w:sz w:val="21"/>
                      <w:szCs w:val="21"/>
                      <w:lang w:val="en-US" w:eastAsia="zh-CN"/>
                    </w:rPr>
                  </w:pPr>
                  <w:r>
                    <w:rPr>
                      <w:rFonts w:hint="eastAsia" w:cs="Times New Roman"/>
                      <w:bCs/>
                      <w:color w:val="auto"/>
                      <w:sz w:val="21"/>
                      <w:szCs w:val="21"/>
                      <w:lang w:val="en-US" w:eastAsia="zh-CN"/>
                    </w:rPr>
                    <w:t>4</w:t>
                  </w:r>
                </w:p>
              </w:tc>
              <w:tc>
                <w:tcPr>
                  <w:tcW w:w="811" w:type="pct"/>
                  <w:shd w:val="clear" w:color="auto" w:fill="auto"/>
                  <w:noWrap w:val="0"/>
                  <w:vAlign w:val="center"/>
                </w:tcPr>
                <w:p w14:paraId="08DDC3E8">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厂界北侧</w:t>
                  </w:r>
                </w:p>
              </w:tc>
              <w:tc>
                <w:tcPr>
                  <w:tcW w:w="587" w:type="dxa"/>
                  <w:shd w:val="clear" w:color="auto" w:fill="auto"/>
                  <w:noWrap w:val="0"/>
                  <w:vAlign w:val="center"/>
                </w:tcPr>
                <w:p w14:paraId="6B37B1E5">
                  <w:pPr>
                    <w:pStyle w:val="30"/>
                    <w:widowControl w:val="0"/>
                    <w:bidi w:val="0"/>
                    <w:rPr>
                      <w:rFonts w:hint="eastAsia" w:cs="Times New Roman"/>
                      <w:color w:val="auto"/>
                      <w:highlight w:val="none"/>
                      <w:lang w:val="en-US" w:eastAsia="zh-CN"/>
                    </w:rPr>
                  </w:pPr>
                  <w:r>
                    <w:rPr>
                      <w:rFonts w:hint="eastAsia" w:cs="Times New Roman"/>
                      <w:color w:val="auto"/>
                      <w:highlight w:val="none"/>
                      <w:lang w:val="en-US" w:eastAsia="zh-CN"/>
                    </w:rPr>
                    <w:t>53</w:t>
                  </w:r>
                </w:p>
              </w:tc>
              <w:tc>
                <w:tcPr>
                  <w:tcW w:w="850" w:type="dxa"/>
                  <w:shd w:val="clear" w:color="auto" w:fill="auto"/>
                  <w:noWrap w:val="0"/>
                  <w:vAlign w:val="center"/>
                </w:tcPr>
                <w:p w14:paraId="4B944D30">
                  <w:pPr>
                    <w:pStyle w:val="30"/>
                    <w:widowControl w:val="0"/>
                    <w:bidi w:val="0"/>
                    <w:rPr>
                      <w:rFonts w:hint="eastAsia" w:cs="Times New Roman"/>
                      <w:color w:val="auto"/>
                      <w:highlight w:val="none"/>
                      <w:lang w:val="en-US" w:eastAsia="zh-CN"/>
                    </w:rPr>
                  </w:pPr>
                  <w:r>
                    <w:rPr>
                      <w:rFonts w:hint="eastAsia" w:cs="Times New Roman"/>
                      <w:color w:val="auto"/>
                      <w:highlight w:val="none"/>
                      <w:lang w:val="en-US" w:eastAsia="zh-CN"/>
                    </w:rPr>
                    <w:t>44</w:t>
                  </w:r>
                </w:p>
              </w:tc>
              <w:tc>
                <w:tcPr>
                  <w:tcW w:w="408" w:type="pct"/>
                  <w:shd w:val="clear" w:color="auto" w:fill="auto"/>
                  <w:noWrap w:val="0"/>
                  <w:vAlign w:val="center"/>
                </w:tcPr>
                <w:p w14:paraId="2428E1A2">
                  <w:pPr>
                    <w:widowControl w:val="0"/>
                    <w:snapToGrid w:val="0"/>
                    <w:spacing w:line="240" w:lineRule="auto"/>
                    <w:ind w:firstLine="0" w:firstLineChars="0"/>
                    <w:jc w:val="center"/>
                    <w:rPr>
                      <w:rFonts w:hint="default" w:cs="Times New Roman"/>
                      <w:bCs/>
                      <w:color w:val="auto"/>
                      <w:sz w:val="21"/>
                      <w:szCs w:val="21"/>
                      <w:highlight w:val="none"/>
                      <w:lang w:val="en-US" w:eastAsia="zh-CN"/>
                    </w:rPr>
                  </w:pPr>
                  <w:r>
                    <w:rPr>
                      <w:rFonts w:hint="eastAsia" w:cs="Times New Roman"/>
                      <w:bCs/>
                      <w:color w:val="auto"/>
                      <w:sz w:val="21"/>
                      <w:szCs w:val="21"/>
                      <w:highlight w:val="none"/>
                      <w:lang w:val="en-US" w:eastAsia="zh-CN"/>
                    </w:rPr>
                    <w:t>30</w:t>
                  </w:r>
                </w:p>
              </w:tc>
              <w:tc>
                <w:tcPr>
                  <w:tcW w:w="355" w:type="pct"/>
                  <w:shd w:val="clear" w:color="auto" w:fill="auto"/>
                  <w:noWrap w:val="0"/>
                  <w:vAlign w:val="center"/>
                </w:tcPr>
                <w:p w14:paraId="2DD7D75B">
                  <w:pPr>
                    <w:widowControl w:val="0"/>
                    <w:snapToGrid w:val="0"/>
                    <w:spacing w:line="240" w:lineRule="auto"/>
                    <w:ind w:firstLine="0" w:firstLineChars="0"/>
                    <w:jc w:val="center"/>
                    <w:rPr>
                      <w:rFonts w:hint="default" w:cs="Times New Roman"/>
                      <w:bCs/>
                      <w:color w:val="auto"/>
                      <w:sz w:val="21"/>
                      <w:szCs w:val="21"/>
                      <w:highlight w:val="none"/>
                      <w:lang w:val="en-US" w:eastAsia="zh-CN"/>
                    </w:rPr>
                  </w:pPr>
                  <w:r>
                    <w:rPr>
                      <w:rFonts w:hint="eastAsia" w:cs="Times New Roman"/>
                      <w:bCs/>
                      <w:color w:val="auto"/>
                      <w:sz w:val="21"/>
                      <w:szCs w:val="21"/>
                      <w:highlight w:val="none"/>
                      <w:lang w:val="en-US" w:eastAsia="zh-CN"/>
                    </w:rPr>
                    <w:t>30</w:t>
                  </w:r>
                </w:p>
              </w:tc>
              <w:tc>
                <w:tcPr>
                  <w:tcW w:w="694" w:type="dxa"/>
                  <w:shd w:val="clear" w:color="auto" w:fill="auto"/>
                  <w:noWrap w:val="0"/>
                  <w:vAlign w:val="center"/>
                </w:tcPr>
                <w:p w14:paraId="70857694">
                  <w:pPr>
                    <w:pStyle w:val="30"/>
                    <w:widowControl w:val="0"/>
                    <w:bidi w:val="0"/>
                    <w:rPr>
                      <w:rFonts w:hint="eastAsia" w:cs="Times New Roman"/>
                      <w:color w:val="auto"/>
                      <w:highlight w:val="none"/>
                      <w:lang w:val="en-US" w:eastAsia="zh-CN"/>
                    </w:rPr>
                  </w:pPr>
                  <w:r>
                    <w:rPr>
                      <w:rFonts w:hint="eastAsia" w:cs="Times New Roman"/>
                      <w:color w:val="auto"/>
                      <w:highlight w:val="none"/>
                      <w:lang w:val="en-US" w:eastAsia="zh-CN"/>
                    </w:rPr>
                    <w:t>53</w:t>
                  </w:r>
                </w:p>
              </w:tc>
              <w:tc>
                <w:tcPr>
                  <w:tcW w:w="603" w:type="dxa"/>
                  <w:shd w:val="clear" w:color="auto" w:fill="auto"/>
                  <w:noWrap w:val="0"/>
                  <w:vAlign w:val="center"/>
                </w:tcPr>
                <w:p w14:paraId="6BE734E1">
                  <w:pPr>
                    <w:pStyle w:val="30"/>
                    <w:widowControl w:val="0"/>
                    <w:bidi w:val="0"/>
                    <w:rPr>
                      <w:rFonts w:hint="eastAsia" w:cs="Times New Roman"/>
                      <w:color w:val="auto"/>
                      <w:highlight w:val="none"/>
                      <w:lang w:val="en-US" w:eastAsia="zh-CN"/>
                    </w:rPr>
                  </w:pPr>
                  <w:r>
                    <w:rPr>
                      <w:rFonts w:hint="eastAsia" w:cs="Times New Roman"/>
                      <w:color w:val="auto"/>
                      <w:highlight w:val="none"/>
                      <w:lang w:val="en-US" w:eastAsia="zh-CN"/>
                    </w:rPr>
                    <w:t>44</w:t>
                  </w:r>
                </w:p>
              </w:tc>
              <w:tc>
                <w:tcPr>
                  <w:tcW w:w="613" w:type="dxa"/>
                  <w:shd w:val="clear" w:color="auto" w:fill="auto"/>
                  <w:noWrap w:val="0"/>
                  <w:vAlign w:val="center"/>
                </w:tcPr>
                <w:p w14:paraId="5A34D22B">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70</w:t>
                  </w:r>
                </w:p>
              </w:tc>
              <w:tc>
                <w:tcPr>
                  <w:tcW w:w="602" w:type="dxa"/>
                  <w:shd w:val="clear" w:color="auto" w:fill="auto"/>
                  <w:noWrap w:val="0"/>
                  <w:vAlign w:val="center"/>
                </w:tcPr>
                <w:p w14:paraId="1A2859E8">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5</w:t>
                  </w:r>
                  <w:r>
                    <w:rPr>
                      <w:rFonts w:hint="eastAsia" w:cs="Times New Roman"/>
                      <w:bCs/>
                      <w:color w:val="auto"/>
                      <w:sz w:val="21"/>
                      <w:szCs w:val="21"/>
                      <w:lang w:val="en-US" w:eastAsia="zh-CN"/>
                    </w:rPr>
                    <w:t>5</w:t>
                  </w:r>
                </w:p>
              </w:tc>
              <w:tc>
                <w:tcPr>
                  <w:tcW w:w="597" w:type="dxa"/>
                  <w:shd w:val="clear" w:color="auto" w:fill="auto"/>
                  <w:noWrap w:val="0"/>
                  <w:vAlign w:val="center"/>
                </w:tcPr>
                <w:p w14:paraId="7F369F0B">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达标</w:t>
                  </w:r>
                </w:p>
              </w:tc>
              <w:tc>
                <w:tcPr>
                  <w:tcW w:w="378" w:type="pct"/>
                  <w:shd w:val="clear" w:color="auto" w:fill="auto"/>
                  <w:noWrap w:val="0"/>
                  <w:vAlign w:val="center"/>
                </w:tcPr>
                <w:p w14:paraId="74EF28DE">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达标</w:t>
                  </w:r>
                </w:p>
              </w:tc>
            </w:tr>
          </w:tbl>
          <w:p w14:paraId="61FCC5DC">
            <w:pPr>
              <w:pStyle w:val="31"/>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lang w:val="en-US" w:eastAsia="zh-CN"/>
              </w:rPr>
              <w:t>根据预测结果，本项目厂界</w:t>
            </w:r>
            <w:r>
              <w:rPr>
                <w:rFonts w:hint="eastAsia" w:cs="Times New Roman"/>
                <w:color w:val="auto"/>
                <w:lang w:val="en-US" w:eastAsia="zh-CN"/>
              </w:rPr>
              <w:t>东侧</w:t>
            </w:r>
            <w:r>
              <w:rPr>
                <w:rFonts w:hint="default" w:ascii="Times New Roman" w:hAnsi="Times New Roman" w:cs="Times New Roman"/>
                <w:color w:val="auto"/>
                <w:lang w:val="en-US" w:eastAsia="zh-CN"/>
              </w:rPr>
              <w:t>噪声</w:t>
            </w:r>
            <w:r>
              <w:rPr>
                <w:rFonts w:hint="eastAsia" w:cs="Times New Roman"/>
                <w:color w:val="auto"/>
                <w:lang w:val="en-US" w:eastAsia="zh-CN"/>
              </w:rPr>
              <w:t>预测</w:t>
            </w:r>
            <w:r>
              <w:rPr>
                <w:rFonts w:hint="default" w:ascii="Times New Roman" w:hAnsi="Times New Roman" w:cs="Times New Roman"/>
                <w:color w:val="auto"/>
                <w:lang w:val="en-US" w:eastAsia="zh-CN"/>
              </w:rPr>
              <w:t>值均能满足《</w:t>
            </w:r>
            <w:r>
              <w:rPr>
                <w:rFonts w:hint="default" w:ascii="Times New Roman" w:hAnsi="Times New Roman" w:cs="Times New Roman"/>
                <w:color w:val="auto"/>
                <w:lang w:val="en-US" w:eastAsia="zh-CN"/>
              </w:rPr>
              <w:fldChar w:fldCharType="begin"/>
            </w:r>
            <w:r>
              <w:rPr>
                <w:rFonts w:hint="default" w:ascii="Times New Roman" w:hAnsi="Times New Roman" w:cs="Times New Roman"/>
                <w:color w:val="auto"/>
                <w:lang w:val="en-US" w:eastAsia="zh-CN"/>
              </w:rPr>
              <w:instrText xml:space="preserve"> HYPERLINK "https://www.mee.gov.cn/ywgz/fgbz/bz/bzwb/wlhj/hjzspfbz/200809/W020161230342919235970.pdf" </w:instrText>
            </w:r>
            <w:r>
              <w:rPr>
                <w:rFonts w:hint="default" w:ascii="Times New Roman" w:hAnsi="Times New Roman" w:cs="Times New Roman"/>
                <w:color w:val="auto"/>
                <w:lang w:val="en-US" w:eastAsia="zh-CN"/>
              </w:rPr>
              <w:fldChar w:fldCharType="separate"/>
            </w:r>
            <w:r>
              <w:rPr>
                <w:rFonts w:hint="default" w:ascii="Times New Roman" w:hAnsi="Times New Roman" w:cs="Times New Roman"/>
                <w:color w:val="auto"/>
                <w:lang w:val="en-US" w:eastAsia="zh-CN"/>
              </w:rPr>
              <w:t>工业企业厂界环境噪声排放标准</w:t>
            </w:r>
            <w:r>
              <w:rPr>
                <w:rFonts w:hint="default" w:ascii="Times New Roman" w:hAnsi="Times New Roman" w:cs="Times New Roman"/>
                <w:color w:val="auto"/>
                <w:lang w:val="en-US" w:eastAsia="zh-CN"/>
              </w:rPr>
              <w:fldChar w:fldCharType="end"/>
            </w:r>
            <w:r>
              <w:rPr>
                <w:rFonts w:hint="default" w:ascii="Times New Roman" w:hAnsi="Times New Roman" w:cs="Times New Roman"/>
                <w:color w:val="auto"/>
                <w:lang w:val="en-US" w:eastAsia="zh-CN"/>
              </w:rPr>
              <w:t>》（GB12348-2008）中2类标准限值，厂界</w:t>
            </w:r>
            <w:r>
              <w:rPr>
                <w:rFonts w:hint="default" w:ascii="Times New Roman" w:hAnsi="Times New Roman" w:cs="Times New Roman"/>
                <w:color w:val="auto"/>
                <w:highlight w:val="none"/>
                <w:lang w:val="en-US" w:eastAsia="zh-CN"/>
              </w:rPr>
              <w:t>南侧</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西侧与北侧</w:t>
            </w:r>
            <w:r>
              <w:rPr>
                <w:rFonts w:hint="default" w:ascii="Times New Roman" w:hAnsi="Times New Roman" w:cs="Times New Roman"/>
                <w:color w:val="auto"/>
                <w:lang w:val="en-US" w:eastAsia="zh-CN"/>
              </w:rPr>
              <w:t>噪声</w:t>
            </w:r>
            <w:r>
              <w:rPr>
                <w:rFonts w:hint="eastAsia" w:cs="Times New Roman"/>
                <w:color w:val="auto"/>
                <w:lang w:val="en-US" w:eastAsia="zh-CN"/>
              </w:rPr>
              <w:t>预测</w:t>
            </w:r>
            <w:r>
              <w:rPr>
                <w:rFonts w:hint="default" w:ascii="Times New Roman" w:hAnsi="Times New Roman" w:cs="Times New Roman"/>
                <w:color w:val="auto"/>
                <w:lang w:val="en-US" w:eastAsia="zh-CN"/>
              </w:rPr>
              <w:t>值满足《</w:t>
            </w:r>
            <w:r>
              <w:rPr>
                <w:rFonts w:hint="default" w:ascii="Times New Roman" w:hAnsi="Times New Roman" w:cs="Times New Roman"/>
                <w:color w:val="auto"/>
                <w:lang w:val="en-US" w:eastAsia="zh-CN"/>
              </w:rPr>
              <w:fldChar w:fldCharType="begin"/>
            </w:r>
            <w:r>
              <w:rPr>
                <w:rFonts w:hint="default" w:ascii="Times New Roman" w:hAnsi="Times New Roman" w:cs="Times New Roman"/>
                <w:color w:val="auto"/>
                <w:lang w:val="en-US" w:eastAsia="zh-CN"/>
              </w:rPr>
              <w:instrText xml:space="preserve"> HYPERLINK "https://www.mee.gov.cn/ywgz/fgbz/bz/bzwb/wlhj/hjzspfbz/200809/W020161230342919235970.pdf" </w:instrText>
            </w:r>
            <w:r>
              <w:rPr>
                <w:rFonts w:hint="default" w:ascii="Times New Roman" w:hAnsi="Times New Roman" w:cs="Times New Roman"/>
                <w:color w:val="auto"/>
                <w:lang w:val="en-US" w:eastAsia="zh-CN"/>
              </w:rPr>
              <w:fldChar w:fldCharType="separate"/>
            </w:r>
            <w:r>
              <w:rPr>
                <w:rFonts w:hint="default" w:ascii="Times New Roman" w:hAnsi="Times New Roman" w:cs="Times New Roman"/>
                <w:color w:val="auto"/>
                <w:lang w:val="en-US" w:eastAsia="zh-CN"/>
              </w:rPr>
              <w:t>工业企业厂界环境噪声排放标准</w:t>
            </w:r>
            <w:r>
              <w:rPr>
                <w:rFonts w:hint="default" w:ascii="Times New Roman" w:hAnsi="Times New Roman" w:cs="Times New Roman"/>
                <w:color w:val="auto"/>
                <w:lang w:val="en-US" w:eastAsia="zh-CN"/>
              </w:rPr>
              <w:fldChar w:fldCharType="end"/>
            </w:r>
            <w:r>
              <w:rPr>
                <w:rFonts w:hint="default" w:ascii="Times New Roman" w:hAnsi="Times New Roman" w:cs="Times New Roman"/>
                <w:color w:val="auto"/>
                <w:lang w:val="en-US" w:eastAsia="zh-CN"/>
              </w:rPr>
              <w:t>》（GB12348-2008）中4类标准限值；声环境保护目标</w:t>
            </w:r>
            <w:r>
              <w:rPr>
                <w:rFonts w:hint="default" w:ascii="Times New Roman" w:hAnsi="Times New Roman" w:cs="Times New Roman"/>
                <w:color w:val="auto"/>
                <w:lang w:eastAsia="zh-CN"/>
              </w:rPr>
              <w:t>噪声</w:t>
            </w:r>
            <w:r>
              <w:rPr>
                <w:rFonts w:hint="default" w:ascii="Times New Roman" w:hAnsi="Times New Roman" w:cs="Times New Roman"/>
                <w:color w:val="auto"/>
                <w:lang w:val="en-US" w:eastAsia="zh-CN"/>
              </w:rPr>
              <w:t>预测值能满足《声环境质量标准》（GB3096-2008）中2类标准限值。</w:t>
            </w:r>
          </w:p>
          <w:p w14:paraId="67B25331">
            <w:pPr>
              <w:pStyle w:val="4"/>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val="en-US" w:eastAsia="zh-CN"/>
              </w:rPr>
              <w:t>4.</w:t>
            </w:r>
            <w:r>
              <w:rPr>
                <w:rFonts w:hint="eastAsia" w:cs="Times New Roman"/>
                <w:color w:val="auto"/>
                <w:highlight w:val="none"/>
                <w:lang w:val="en-US" w:eastAsia="zh-CN"/>
              </w:rPr>
              <w:t>7</w:t>
            </w:r>
            <w:r>
              <w:rPr>
                <w:rFonts w:hint="default" w:ascii="Times New Roman" w:hAnsi="Times New Roman" w:cs="Times New Roman"/>
                <w:color w:val="auto"/>
                <w:highlight w:val="none"/>
                <w:lang w:val="en-US" w:eastAsia="zh-CN"/>
              </w:rPr>
              <w:t>.3外部</w:t>
            </w:r>
            <w:r>
              <w:rPr>
                <w:rFonts w:hint="default" w:ascii="Times New Roman" w:hAnsi="Times New Roman" w:cs="Times New Roman"/>
                <w:color w:val="auto"/>
                <w:highlight w:val="none"/>
                <w:lang w:eastAsia="zh-CN"/>
              </w:rPr>
              <w:t>噪声影响分析</w:t>
            </w:r>
          </w:p>
          <w:p w14:paraId="12441E84">
            <w:pPr>
              <w:pStyle w:val="31"/>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本项目外部噪声影响主要为项目</w:t>
            </w:r>
            <w:r>
              <w:rPr>
                <w:rFonts w:hint="eastAsia" w:cs="Times New Roman"/>
                <w:color w:val="auto"/>
                <w:highlight w:val="none"/>
                <w:lang w:val="en-US" w:eastAsia="zh-CN"/>
              </w:rPr>
              <w:t>西</w:t>
            </w:r>
            <w:r>
              <w:rPr>
                <w:rFonts w:hint="default" w:ascii="Times New Roman" w:hAnsi="Times New Roman" w:cs="Times New Roman"/>
                <w:color w:val="auto"/>
                <w:highlight w:val="none"/>
                <w:lang w:val="en-US" w:eastAsia="zh-CN"/>
              </w:rPr>
              <w:t>侧道路，来往行驶车辆所产生的噪声，本项目在采用加装隔声玻璃措施后，来往行驶车辆所产生的噪声对本项目影响较小。</w:t>
            </w:r>
          </w:p>
          <w:p w14:paraId="1439B744">
            <w:pPr>
              <w:pStyle w:val="4"/>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val="en-US" w:eastAsia="zh-CN"/>
              </w:rPr>
              <w:t>4.</w:t>
            </w:r>
            <w:r>
              <w:rPr>
                <w:rFonts w:hint="eastAsia" w:cs="Times New Roman"/>
                <w:color w:val="auto"/>
                <w:highlight w:val="none"/>
                <w:lang w:val="en-US" w:eastAsia="zh-CN"/>
              </w:rPr>
              <w:t>7</w:t>
            </w:r>
            <w:r>
              <w:rPr>
                <w:rFonts w:hint="default" w:ascii="Times New Roman" w:hAnsi="Times New Roman" w:cs="Times New Roman"/>
                <w:color w:val="auto"/>
                <w:highlight w:val="none"/>
                <w:lang w:val="en-US" w:eastAsia="zh-CN"/>
              </w:rPr>
              <w:t>.4</w:t>
            </w:r>
            <w:r>
              <w:rPr>
                <w:rFonts w:hint="default" w:ascii="Times New Roman" w:hAnsi="Times New Roman" w:cs="Times New Roman"/>
                <w:color w:val="auto"/>
                <w:highlight w:val="none"/>
                <w:lang w:eastAsia="zh-CN"/>
              </w:rPr>
              <w:t>监测计划</w:t>
            </w:r>
          </w:p>
          <w:p w14:paraId="27FCCA89">
            <w:pPr>
              <w:pStyle w:val="31"/>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按照《排污单位自行监测技术指南 总则》（HJ819-2017）中的监测要求，投产后本项目噪声例行监测计划内容如下4-1</w:t>
            </w:r>
            <w:r>
              <w:rPr>
                <w:rFonts w:hint="eastAsia" w:cs="Times New Roman"/>
                <w:color w:val="auto"/>
                <w:highlight w:val="none"/>
                <w:lang w:val="en-US" w:eastAsia="zh-CN"/>
              </w:rPr>
              <w:t>2</w:t>
            </w:r>
            <w:r>
              <w:rPr>
                <w:rFonts w:hint="default" w:ascii="Times New Roman" w:hAnsi="Times New Roman" w:cs="Times New Roman"/>
                <w:color w:val="auto"/>
                <w:highlight w:val="none"/>
                <w:lang w:eastAsia="zh-CN"/>
              </w:rPr>
              <w:t>。</w:t>
            </w:r>
          </w:p>
          <w:p w14:paraId="4F0A9838">
            <w:pPr>
              <w:pStyle w:val="29"/>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表4-1</w:t>
            </w:r>
            <w:r>
              <w:rPr>
                <w:rFonts w:hint="eastAsia" w:cs="Times New Roman"/>
                <w:color w:val="auto"/>
                <w:highlight w:val="none"/>
                <w:lang w:val="en-US" w:eastAsia="zh-CN"/>
              </w:rPr>
              <w:t>2</w:t>
            </w:r>
            <w:r>
              <w:rPr>
                <w:rFonts w:hint="default" w:ascii="Times New Roman" w:hAnsi="Times New Roman" w:cs="Times New Roman"/>
                <w:color w:val="auto"/>
                <w:highlight w:val="none"/>
                <w:lang w:eastAsia="zh-CN"/>
              </w:rPr>
              <w:t xml:space="preserve">    噪声监测计划一览表</w:t>
            </w:r>
          </w:p>
          <w:tbl>
            <w:tblPr>
              <w:tblStyle w:val="18"/>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653"/>
              <w:gridCol w:w="915"/>
              <w:gridCol w:w="1078"/>
              <w:gridCol w:w="2104"/>
              <w:gridCol w:w="3477"/>
            </w:tblGrid>
            <w:tr w14:paraId="76DC38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38" w:hRule="atLeast"/>
                <w:jc w:val="center"/>
              </w:trPr>
              <w:tc>
                <w:tcPr>
                  <w:tcW w:w="397" w:type="pct"/>
                  <w:tcBorders>
                    <w:bottom w:val="single" w:color="auto" w:sz="12" w:space="0"/>
                  </w:tcBorders>
                  <w:noWrap w:val="0"/>
                  <w:vAlign w:val="center"/>
                </w:tcPr>
                <w:p w14:paraId="0D16C134">
                  <w:pPr>
                    <w:snapToGrid w:val="0"/>
                    <w:spacing w:line="240" w:lineRule="auto"/>
                    <w:ind w:firstLine="0" w:firstLineChars="0"/>
                    <w:jc w:val="center"/>
                    <w:textAlignment w:val="center"/>
                    <w:rPr>
                      <w:rFonts w:hint="default" w:ascii="Times New Roman" w:hAnsi="Times New Roman" w:cs="Times New Roman"/>
                      <w:b/>
                      <w:bCs/>
                      <w:color w:val="auto"/>
                      <w:sz w:val="21"/>
                      <w:szCs w:val="21"/>
                      <w:highlight w:val="none"/>
                      <w:lang w:eastAsia="zh-CN"/>
                    </w:rPr>
                  </w:pPr>
                  <w:r>
                    <w:rPr>
                      <w:rFonts w:hint="default" w:ascii="Times New Roman" w:hAnsi="Times New Roman" w:cs="Times New Roman"/>
                      <w:b/>
                      <w:bCs/>
                      <w:color w:val="auto"/>
                      <w:sz w:val="21"/>
                      <w:szCs w:val="21"/>
                      <w:highlight w:val="none"/>
                      <w:lang w:eastAsia="zh-CN"/>
                    </w:rPr>
                    <w:t>监测对象</w:t>
                  </w:r>
                </w:p>
              </w:tc>
              <w:tc>
                <w:tcPr>
                  <w:tcW w:w="556" w:type="pct"/>
                  <w:tcBorders>
                    <w:bottom w:val="single" w:color="auto" w:sz="12" w:space="0"/>
                    <w:right w:val="single" w:color="auto" w:sz="2" w:space="0"/>
                  </w:tcBorders>
                  <w:noWrap w:val="0"/>
                  <w:vAlign w:val="center"/>
                </w:tcPr>
                <w:p w14:paraId="3E419B9E">
                  <w:pPr>
                    <w:snapToGrid w:val="0"/>
                    <w:spacing w:line="240" w:lineRule="auto"/>
                    <w:ind w:firstLine="0" w:firstLineChars="0"/>
                    <w:jc w:val="center"/>
                    <w:textAlignment w:val="center"/>
                    <w:rPr>
                      <w:rFonts w:hint="default" w:ascii="Times New Roman" w:hAnsi="Times New Roman" w:cs="Times New Roman"/>
                      <w:b/>
                      <w:bCs/>
                      <w:color w:val="auto"/>
                      <w:sz w:val="21"/>
                      <w:szCs w:val="21"/>
                      <w:highlight w:val="none"/>
                      <w:lang w:eastAsia="zh-CN"/>
                    </w:rPr>
                  </w:pPr>
                  <w:r>
                    <w:rPr>
                      <w:rFonts w:hint="default" w:ascii="Times New Roman" w:hAnsi="Times New Roman" w:cs="Times New Roman"/>
                      <w:b/>
                      <w:bCs/>
                      <w:color w:val="auto"/>
                      <w:sz w:val="21"/>
                      <w:szCs w:val="21"/>
                      <w:highlight w:val="none"/>
                      <w:lang w:eastAsia="zh-CN"/>
                    </w:rPr>
                    <w:t>监测项目</w:t>
                  </w:r>
                </w:p>
              </w:tc>
              <w:tc>
                <w:tcPr>
                  <w:tcW w:w="655" w:type="pct"/>
                  <w:tcBorders>
                    <w:left w:val="single" w:color="auto" w:sz="2" w:space="0"/>
                    <w:bottom w:val="single" w:color="auto" w:sz="12" w:space="0"/>
                  </w:tcBorders>
                  <w:noWrap w:val="0"/>
                  <w:vAlign w:val="center"/>
                </w:tcPr>
                <w:p w14:paraId="37D2D1C4">
                  <w:pPr>
                    <w:snapToGrid w:val="0"/>
                    <w:spacing w:line="240" w:lineRule="auto"/>
                    <w:ind w:firstLine="0" w:firstLineChars="0"/>
                    <w:jc w:val="center"/>
                    <w:textAlignment w:val="center"/>
                    <w:rPr>
                      <w:rFonts w:hint="default" w:ascii="Times New Roman" w:hAnsi="Times New Roman" w:cs="Times New Roman"/>
                      <w:b/>
                      <w:bCs/>
                      <w:color w:val="auto"/>
                      <w:sz w:val="21"/>
                      <w:szCs w:val="21"/>
                      <w:highlight w:val="none"/>
                      <w:lang w:eastAsia="zh-CN"/>
                    </w:rPr>
                  </w:pPr>
                  <w:r>
                    <w:rPr>
                      <w:rFonts w:hint="default" w:ascii="Times New Roman" w:hAnsi="Times New Roman" w:cs="Times New Roman"/>
                      <w:b/>
                      <w:bCs/>
                      <w:color w:val="auto"/>
                      <w:sz w:val="21"/>
                      <w:szCs w:val="21"/>
                      <w:highlight w:val="none"/>
                      <w:lang w:eastAsia="zh-CN"/>
                    </w:rPr>
                    <w:t>监测频次</w:t>
                  </w:r>
                </w:p>
              </w:tc>
              <w:tc>
                <w:tcPr>
                  <w:tcW w:w="1278" w:type="pct"/>
                  <w:tcBorders>
                    <w:bottom w:val="single" w:color="auto" w:sz="12" w:space="0"/>
                  </w:tcBorders>
                  <w:noWrap w:val="0"/>
                  <w:vAlign w:val="center"/>
                </w:tcPr>
                <w:p w14:paraId="29EA444C">
                  <w:pPr>
                    <w:snapToGrid w:val="0"/>
                    <w:spacing w:line="240" w:lineRule="auto"/>
                    <w:ind w:firstLine="0" w:firstLineChars="0"/>
                    <w:jc w:val="center"/>
                    <w:textAlignment w:val="center"/>
                    <w:rPr>
                      <w:rFonts w:hint="default" w:ascii="Times New Roman" w:hAnsi="Times New Roman" w:cs="Times New Roman"/>
                      <w:b/>
                      <w:bCs/>
                      <w:color w:val="auto"/>
                      <w:sz w:val="21"/>
                      <w:szCs w:val="21"/>
                      <w:highlight w:val="none"/>
                      <w:lang w:eastAsia="zh-CN"/>
                    </w:rPr>
                  </w:pPr>
                  <w:r>
                    <w:rPr>
                      <w:rFonts w:hint="default" w:ascii="Times New Roman" w:hAnsi="Times New Roman" w:cs="Times New Roman"/>
                      <w:b/>
                      <w:bCs/>
                      <w:color w:val="auto"/>
                      <w:sz w:val="21"/>
                      <w:szCs w:val="21"/>
                      <w:highlight w:val="none"/>
                      <w:lang w:eastAsia="zh-CN"/>
                    </w:rPr>
                    <w:t>监测点位</w:t>
                  </w:r>
                </w:p>
              </w:tc>
              <w:tc>
                <w:tcPr>
                  <w:tcW w:w="2112" w:type="pct"/>
                  <w:tcBorders>
                    <w:bottom w:val="single" w:color="auto" w:sz="12" w:space="0"/>
                  </w:tcBorders>
                  <w:noWrap w:val="0"/>
                  <w:vAlign w:val="center"/>
                </w:tcPr>
                <w:p w14:paraId="118EA321">
                  <w:pPr>
                    <w:snapToGrid w:val="0"/>
                    <w:spacing w:line="240" w:lineRule="auto"/>
                    <w:ind w:firstLine="0" w:firstLineChars="0"/>
                    <w:jc w:val="center"/>
                    <w:textAlignment w:val="center"/>
                    <w:rPr>
                      <w:rFonts w:hint="default" w:ascii="Times New Roman" w:hAnsi="Times New Roman" w:cs="Times New Roman"/>
                      <w:b/>
                      <w:bCs/>
                      <w:color w:val="auto"/>
                      <w:sz w:val="21"/>
                      <w:szCs w:val="21"/>
                      <w:highlight w:val="none"/>
                      <w:lang w:eastAsia="zh-CN"/>
                    </w:rPr>
                  </w:pPr>
                  <w:r>
                    <w:rPr>
                      <w:rFonts w:hint="default" w:ascii="Times New Roman" w:hAnsi="Times New Roman" w:cs="Times New Roman"/>
                      <w:b/>
                      <w:bCs/>
                      <w:color w:val="auto"/>
                      <w:sz w:val="21"/>
                      <w:szCs w:val="21"/>
                      <w:highlight w:val="none"/>
                      <w:lang w:eastAsia="zh-CN"/>
                    </w:rPr>
                    <w:t>执行标准</w:t>
                  </w:r>
                </w:p>
              </w:tc>
            </w:tr>
            <w:tr w14:paraId="0760C5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740" w:hRule="atLeast"/>
                <w:jc w:val="center"/>
              </w:trPr>
              <w:tc>
                <w:tcPr>
                  <w:tcW w:w="397" w:type="pct"/>
                  <w:vMerge w:val="restart"/>
                  <w:noWrap w:val="0"/>
                  <w:vAlign w:val="center"/>
                </w:tcPr>
                <w:p w14:paraId="36052BBB">
                  <w:pPr>
                    <w:adjustRightInd w:val="0"/>
                    <w:snapToGrid w:val="0"/>
                    <w:spacing w:line="240" w:lineRule="auto"/>
                    <w:ind w:firstLine="0" w:firstLineChars="0"/>
                    <w:jc w:val="center"/>
                    <w:rPr>
                      <w:rFonts w:hint="default" w:ascii="Times New Roman" w:hAnsi="Times New Roman" w:cs="Times New Roman"/>
                      <w:bCs/>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厂界</w:t>
                  </w:r>
                </w:p>
              </w:tc>
              <w:tc>
                <w:tcPr>
                  <w:tcW w:w="556" w:type="pct"/>
                  <w:vMerge w:val="restart"/>
                  <w:noWrap w:val="0"/>
                  <w:vAlign w:val="center"/>
                </w:tcPr>
                <w:p w14:paraId="19CAA976">
                  <w:pPr>
                    <w:snapToGrid w:val="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Leq</w:t>
                  </w:r>
                  <w:r>
                    <w:rPr>
                      <w:rFonts w:hint="eastAsia" w:ascii="宋体" w:hAnsi="宋体" w:eastAsia="宋体"/>
                      <w:color w:val="auto"/>
                      <w:sz w:val="21"/>
                      <w:szCs w:val="24"/>
                    </w:rPr>
                    <w:t>（</w:t>
                  </w:r>
                  <w:r>
                    <w:rPr>
                      <w:rFonts w:hint="default" w:ascii="Times New Roman" w:hAnsi="Times New Roman" w:eastAsia="宋体" w:cs="Times New Roman"/>
                      <w:color w:val="auto"/>
                      <w:sz w:val="21"/>
                      <w:szCs w:val="21"/>
                      <w:highlight w:val="none"/>
                    </w:rPr>
                    <w:t>A）</w:t>
                  </w:r>
                </w:p>
              </w:tc>
              <w:tc>
                <w:tcPr>
                  <w:tcW w:w="655" w:type="pct"/>
                  <w:vMerge w:val="restart"/>
                  <w:tcBorders>
                    <w:top w:val="single" w:color="auto" w:sz="4" w:space="0"/>
                    <w:right w:val="single" w:color="auto" w:sz="2" w:space="0"/>
                  </w:tcBorders>
                  <w:noWrap w:val="0"/>
                  <w:vAlign w:val="center"/>
                </w:tcPr>
                <w:p w14:paraId="14AD7439">
                  <w:pPr>
                    <w:snapToGrid w:val="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1次/季度</w:t>
                  </w:r>
                </w:p>
              </w:tc>
              <w:tc>
                <w:tcPr>
                  <w:tcW w:w="1278" w:type="pct"/>
                  <w:tcBorders>
                    <w:top w:val="single" w:color="auto" w:sz="4" w:space="0"/>
                    <w:left w:val="single" w:color="auto" w:sz="2" w:space="0"/>
                    <w:bottom w:val="single" w:color="auto" w:sz="4" w:space="0"/>
                    <w:right w:val="single" w:color="auto" w:sz="4" w:space="0"/>
                  </w:tcBorders>
                  <w:noWrap w:val="0"/>
                  <w:vAlign w:val="center"/>
                </w:tcPr>
                <w:p w14:paraId="2CD8DDEF">
                  <w:pPr>
                    <w:adjustRightInd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厂界</w:t>
                  </w:r>
                  <w:r>
                    <w:rPr>
                      <w:rFonts w:hint="eastAsia" w:cs="Times New Roman"/>
                      <w:color w:val="auto"/>
                      <w:sz w:val="21"/>
                      <w:szCs w:val="21"/>
                      <w:highlight w:val="none"/>
                      <w:lang w:val="en-US" w:eastAsia="zh-CN"/>
                    </w:rPr>
                    <w:t>东侧</w:t>
                  </w:r>
                </w:p>
              </w:tc>
              <w:tc>
                <w:tcPr>
                  <w:tcW w:w="2112" w:type="pct"/>
                  <w:tcBorders>
                    <w:top w:val="single" w:color="auto" w:sz="4" w:space="0"/>
                    <w:left w:val="single" w:color="auto" w:sz="2" w:space="0"/>
                    <w:bottom w:val="single" w:color="auto" w:sz="4" w:space="0"/>
                  </w:tcBorders>
                  <w:noWrap w:val="0"/>
                  <w:vAlign w:val="center"/>
                </w:tcPr>
                <w:p w14:paraId="3D6C76C4">
                  <w:pPr>
                    <w:adjustRightInd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《工业企业厂界环境噪声排放标准》（GB12348-2008）中2类标准限值</w:t>
                  </w:r>
                </w:p>
              </w:tc>
            </w:tr>
            <w:tr w14:paraId="4774D6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89" w:hRule="atLeast"/>
                <w:jc w:val="center"/>
              </w:trPr>
              <w:tc>
                <w:tcPr>
                  <w:tcW w:w="397" w:type="pct"/>
                  <w:vMerge w:val="continue"/>
                  <w:noWrap w:val="0"/>
                  <w:vAlign w:val="center"/>
                </w:tcPr>
                <w:p w14:paraId="2356115D">
                  <w:pPr>
                    <w:adjustRightInd w:val="0"/>
                    <w:snapToGrid w:val="0"/>
                    <w:spacing w:line="240" w:lineRule="auto"/>
                    <w:ind w:firstLine="0" w:firstLineChars="0"/>
                    <w:jc w:val="center"/>
                    <w:rPr>
                      <w:rFonts w:hint="default" w:ascii="Times New Roman" w:hAnsi="Times New Roman" w:cs="Times New Roman"/>
                      <w:bCs/>
                      <w:color w:val="auto"/>
                      <w:sz w:val="21"/>
                      <w:szCs w:val="21"/>
                      <w:highlight w:val="none"/>
                      <w:lang w:val="en-US" w:eastAsia="zh-CN"/>
                    </w:rPr>
                  </w:pPr>
                </w:p>
              </w:tc>
              <w:tc>
                <w:tcPr>
                  <w:tcW w:w="556" w:type="pct"/>
                  <w:vMerge w:val="continue"/>
                  <w:noWrap w:val="0"/>
                  <w:vAlign w:val="center"/>
                </w:tcPr>
                <w:p w14:paraId="31A67AE3">
                  <w:pPr>
                    <w:snapToGrid w:val="0"/>
                    <w:jc w:val="center"/>
                    <w:rPr>
                      <w:rFonts w:hint="default" w:ascii="Times New Roman" w:hAnsi="Times New Roman" w:eastAsia="宋体" w:cs="Times New Roman"/>
                      <w:color w:val="auto"/>
                      <w:sz w:val="21"/>
                      <w:szCs w:val="21"/>
                      <w:highlight w:val="none"/>
                    </w:rPr>
                  </w:pPr>
                </w:p>
              </w:tc>
              <w:tc>
                <w:tcPr>
                  <w:tcW w:w="655" w:type="pct"/>
                  <w:vMerge w:val="continue"/>
                  <w:tcBorders>
                    <w:bottom w:val="single" w:color="auto" w:sz="4" w:space="0"/>
                    <w:right w:val="single" w:color="auto" w:sz="2" w:space="0"/>
                  </w:tcBorders>
                  <w:noWrap w:val="0"/>
                  <w:vAlign w:val="center"/>
                </w:tcPr>
                <w:p w14:paraId="72E3C632">
                  <w:pPr>
                    <w:snapToGrid w:val="0"/>
                    <w:jc w:val="center"/>
                    <w:rPr>
                      <w:rFonts w:hint="default" w:ascii="Times New Roman" w:hAnsi="Times New Roman" w:eastAsia="宋体" w:cs="Times New Roman"/>
                      <w:color w:val="auto"/>
                      <w:sz w:val="21"/>
                      <w:szCs w:val="21"/>
                      <w:highlight w:val="none"/>
                    </w:rPr>
                  </w:pPr>
                </w:p>
              </w:tc>
              <w:tc>
                <w:tcPr>
                  <w:tcW w:w="1278" w:type="pct"/>
                  <w:tcBorders>
                    <w:top w:val="single" w:color="auto" w:sz="4" w:space="0"/>
                    <w:left w:val="single" w:color="auto" w:sz="2" w:space="0"/>
                    <w:bottom w:val="single" w:color="auto" w:sz="4" w:space="0"/>
                    <w:right w:val="single" w:color="auto" w:sz="4" w:space="0"/>
                  </w:tcBorders>
                  <w:noWrap w:val="0"/>
                  <w:vAlign w:val="center"/>
                </w:tcPr>
                <w:p w14:paraId="7B0566D8">
                  <w:pPr>
                    <w:adjustRightInd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厂界</w:t>
                  </w:r>
                  <w:r>
                    <w:rPr>
                      <w:rFonts w:hint="eastAsia" w:cs="Times New Roman"/>
                      <w:color w:val="auto"/>
                      <w:sz w:val="21"/>
                      <w:szCs w:val="21"/>
                      <w:highlight w:val="none"/>
                      <w:lang w:val="en-US" w:eastAsia="zh-CN"/>
                    </w:rPr>
                    <w:t>南</w:t>
                  </w:r>
                  <w:r>
                    <w:rPr>
                      <w:rFonts w:hint="default" w:ascii="Times New Roman" w:hAnsi="Times New Roman" w:cs="Times New Roman"/>
                      <w:color w:val="auto"/>
                      <w:sz w:val="21"/>
                      <w:szCs w:val="21"/>
                      <w:highlight w:val="none"/>
                      <w:lang w:val="en-US" w:eastAsia="zh-CN"/>
                    </w:rPr>
                    <w:t>侧</w:t>
                  </w:r>
                  <w:r>
                    <w:rPr>
                      <w:rFonts w:hint="eastAsia" w:cs="Times New Roman"/>
                      <w:color w:val="auto"/>
                      <w:sz w:val="21"/>
                      <w:szCs w:val="21"/>
                      <w:highlight w:val="none"/>
                      <w:lang w:val="en-US" w:eastAsia="zh-CN"/>
                    </w:rPr>
                    <w:t>、西</w:t>
                  </w:r>
                  <w:r>
                    <w:rPr>
                      <w:rFonts w:hint="default" w:ascii="Times New Roman" w:hAnsi="Times New Roman" w:cs="Times New Roman"/>
                      <w:color w:val="auto"/>
                      <w:sz w:val="21"/>
                      <w:szCs w:val="21"/>
                      <w:highlight w:val="none"/>
                      <w:lang w:val="en-US" w:eastAsia="zh-CN"/>
                    </w:rPr>
                    <w:t>侧与</w:t>
                  </w:r>
                  <w:r>
                    <w:rPr>
                      <w:rFonts w:hint="eastAsia" w:cs="Times New Roman"/>
                      <w:color w:val="auto"/>
                      <w:sz w:val="21"/>
                      <w:szCs w:val="21"/>
                      <w:highlight w:val="none"/>
                      <w:lang w:val="en-US" w:eastAsia="zh-CN"/>
                    </w:rPr>
                    <w:t>北</w:t>
                  </w:r>
                  <w:r>
                    <w:rPr>
                      <w:rFonts w:hint="default" w:ascii="Times New Roman" w:hAnsi="Times New Roman" w:cs="Times New Roman"/>
                      <w:color w:val="auto"/>
                      <w:sz w:val="21"/>
                      <w:szCs w:val="21"/>
                      <w:highlight w:val="none"/>
                      <w:lang w:val="en-US" w:eastAsia="zh-CN"/>
                    </w:rPr>
                    <w:t>侧</w:t>
                  </w:r>
                </w:p>
              </w:tc>
              <w:tc>
                <w:tcPr>
                  <w:tcW w:w="2112" w:type="pct"/>
                  <w:tcBorders>
                    <w:top w:val="single" w:color="auto" w:sz="4" w:space="0"/>
                    <w:left w:val="single" w:color="auto" w:sz="2" w:space="0"/>
                    <w:bottom w:val="single" w:color="auto" w:sz="4" w:space="0"/>
                  </w:tcBorders>
                  <w:noWrap w:val="0"/>
                  <w:vAlign w:val="center"/>
                </w:tcPr>
                <w:p w14:paraId="2E20EC44">
                  <w:pPr>
                    <w:adjustRightInd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《工业企业厂界环境噪声排放标准》（GB12348-2008）中4类标准限值</w:t>
                  </w:r>
                </w:p>
              </w:tc>
            </w:tr>
            <w:tr w14:paraId="766B0B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89" w:hRule="atLeast"/>
                <w:jc w:val="center"/>
              </w:trPr>
              <w:tc>
                <w:tcPr>
                  <w:tcW w:w="397" w:type="pct"/>
                  <w:tcBorders>
                    <w:bottom w:val="single" w:color="auto" w:sz="12" w:space="0"/>
                  </w:tcBorders>
                  <w:noWrap w:val="0"/>
                  <w:vAlign w:val="center"/>
                </w:tcPr>
                <w:p w14:paraId="75654803">
                  <w:pPr>
                    <w:adjustRightInd w:val="0"/>
                    <w:snapToGrid w:val="0"/>
                    <w:spacing w:line="240" w:lineRule="auto"/>
                    <w:ind w:firstLine="0" w:firstLineChars="0"/>
                    <w:jc w:val="center"/>
                    <w:rPr>
                      <w:rFonts w:hint="default" w:ascii="Times New Roman" w:hAnsi="Times New Roman"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敏感目标</w:t>
                  </w:r>
                </w:p>
              </w:tc>
              <w:tc>
                <w:tcPr>
                  <w:tcW w:w="556" w:type="pct"/>
                  <w:noWrap w:val="0"/>
                  <w:vAlign w:val="center"/>
                </w:tcPr>
                <w:p w14:paraId="32187A6D">
                  <w:pPr>
                    <w:snapToGrid w:val="0"/>
                    <w:ind w:firstLine="0" w:firstLineChars="0"/>
                    <w:jc w:val="center"/>
                    <w:rPr>
                      <w:rFonts w:hint="default" w:ascii="Times New Roman" w:hAnsi="Times New Roman" w:eastAsia="宋体" w:cs="Times New Roman"/>
                      <w:color w:val="auto"/>
                      <w:sz w:val="21"/>
                      <w:szCs w:val="21"/>
                      <w:highlight w:val="none"/>
                    </w:rPr>
                  </w:pPr>
                  <w:r>
                    <w:rPr>
                      <w:rFonts w:hint="eastAsia" w:ascii="TimesNewRomanPSMT" w:hAnsi="TimesNewRomanPSMT" w:eastAsia="TimesNewRomanPSMT"/>
                      <w:color w:val="auto"/>
                      <w:sz w:val="21"/>
                      <w:szCs w:val="24"/>
                    </w:rPr>
                    <w:t>Leq</w:t>
                  </w:r>
                  <w:r>
                    <w:rPr>
                      <w:rFonts w:hint="eastAsia" w:ascii="宋体" w:hAnsi="宋体" w:eastAsia="宋体"/>
                      <w:color w:val="auto"/>
                      <w:sz w:val="21"/>
                      <w:szCs w:val="24"/>
                    </w:rPr>
                    <w:t>（</w:t>
                  </w:r>
                  <w:r>
                    <w:rPr>
                      <w:rFonts w:hint="eastAsia" w:ascii="TimesNewRomanPSMT" w:hAnsi="TimesNewRomanPSMT" w:eastAsia="TimesNewRomanPSMT"/>
                      <w:color w:val="auto"/>
                      <w:sz w:val="21"/>
                      <w:szCs w:val="24"/>
                    </w:rPr>
                    <w:t>A</w:t>
                  </w:r>
                  <w:r>
                    <w:rPr>
                      <w:rFonts w:hint="eastAsia" w:ascii="宋体" w:hAnsi="宋体" w:eastAsia="宋体"/>
                      <w:color w:val="auto"/>
                      <w:sz w:val="21"/>
                      <w:szCs w:val="24"/>
                    </w:rPr>
                    <w:t>）</w:t>
                  </w:r>
                </w:p>
              </w:tc>
              <w:tc>
                <w:tcPr>
                  <w:tcW w:w="655" w:type="pct"/>
                  <w:tcBorders>
                    <w:top w:val="single" w:color="auto" w:sz="4" w:space="0"/>
                    <w:right w:val="single" w:color="auto" w:sz="2" w:space="0"/>
                  </w:tcBorders>
                  <w:noWrap w:val="0"/>
                  <w:vAlign w:val="center"/>
                </w:tcPr>
                <w:p w14:paraId="1D4290E7">
                  <w:pPr>
                    <w:snapToGrid w:val="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1次/季度</w:t>
                  </w:r>
                </w:p>
              </w:tc>
              <w:tc>
                <w:tcPr>
                  <w:tcW w:w="1278" w:type="pct"/>
                  <w:tcBorders>
                    <w:top w:val="single" w:color="auto" w:sz="4" w:space="0"/>
                    <w:left w:val="single" w:color="auto" w:sz="2" w:space="0"/>
                    <w:right w:val="single" w:color="auto" w:sz="4" w:space="0"/>
                  </w:tcBorders>
                  <w:noWrap w:val="0"/>
                  <w:vAlign w:val="center"/>
                </w:tcPr>
                <w:p w14:paraId="7451C0E5">
                  <w:pPr>
                    <w:keepNext w:val="0"/>
                    <w:keepLines w:val="0"/>
                    <w:pageBreakBefore w:val="0"/>
                    <w:widowControl/>
                    <w:kinsoku w:val="0"/>
                    <w:wordWrap/>
                    <w:overflowPunct/>
                    <w:topLinePunct w:val="0"/>
                    <w:autoSpaceDE w:val="0"/>
                    <w:autoSpaceDN w:val="0"/>
                    <w:bidi w:val="0"/>
                    <w:adjustRightInd/>
                    <w:snapToGrid w:val="0"/>
                    <w:spacing w:line="240" w:lineRule="auto"/>
                    <w:jc w:val="center"/>
                    <w:textAlignment w:val="baseline"/>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丝路华庭11号楼、</w:t>
                  </w:r>
                  <w:r>
                    <w:rPr>
                      <w:rFonts w:hint="default" w:ascii="Times New Roman" w:hAnsi="Times New Roman" w:eastAsia="宋体" w:cs="Times New Roman"/>
                      <w:color w:val="auto"/>
                      <w:sz w:val="21"/>
                      <w:szCs w:val="21"/>
                      <w:highlight w:val="none"/>
                      <w:lang w:val="en-US" w:eastAsia="zh-CN"/>
                    </w:rPr>
                    <w:t>丝路华庭1</w:t>
                  </w:r>
                  <w:r>
                    <w:rPr>
                      <w:rFonts w:hint="eastAsia"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lang w:val="en-US" w:eastAsia="zh-CN"/>
                    </w:rPr>
                    <w:t>号楼</w:t>
                  </w:r>
                </w:p>
              </w:tc>
              <w:tc>
                <w:tcPr>
                  <w:tcW w:w="2112" w:type="pct"/>
                  <w:tcBorders>
                    <w:top w:val="single" w:color="auto" w:sz="4" w:space="0"/>
                    <w:left w:val="single" w:color="auto" w:sz="2" w:space="0"/>
                  </w:tcBorders>
                  <w:noWrap w:val="0"/>
                  <w:vAlign w:val="center"/>
                </w:tcPr>
                <w:p w14:paraId="5B6296AA">
                  <w:pPr>
                    <w:adjustRightInd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《声环境质量标准》（GB3096-2008）中2类标准要求</w:t>
                  </w:r>
                </w:p>
              </w:tc>
            </w:tr>
          </w:tbl>
          <w:p w14:paraId="4B3463BC">
            <w:pPr>
              <w:pStyle w:val="3"/>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val="en-US" w:eastAsia="zh-CN"/>
              </w:rPr>
              <w:t>4.</w:t>
            </w:r>
            <w:r>
              <w:rPr>
                <w:rFonts w:hint="eastAsia" w:cs="Times New Roman"/>
                <w:color w:val="auto"/>
                <w:highlight w:val="none"/>
                <w:lang w:val="en-US" w:eastAsia="zh-CN"/>
              </w:rPr>
              <w:t>8</w:t>
            </w:r>
            <w:r>
              <w:rPr>
                <w:rFonts w:hint="default" w:ascii="Times New Roman" w:hAnsi="Times New Roman" w:cs="Times New Roman"/>
                <w:color w:val="auto"/>
                <w:highlight w:val="none"/>
                <w:lang w:eastAsia="zh-CN"/>
              </w:rPr>
              <w:t>、固体废物</w:t>
            </w:r>
          </w:p>
          <w:p w14:paraId="23289100">
            <w:pPr>
              <w:pStyle w:val="4"/>
              <w:bidi w:val="0"/>
              <w:rPr>
                <w:rFonts w:hint="default" w:ascii="Times New Roman" w:hAnsi="Times New Roman" w:cs="Times New Roman"/>
                <w:color w:val="auto"/>
                <w:highlight w:val="none"/>
              </w:rPr>
            </w:pPr>
            <w:bookmarkStart w:id="41" w:name="OLE_LINK55"/>
            <w:r>
              <w:rPr>
                <w:rFonts w:hint="default" w:ascii="Times New Roman" w:hAnsi="Times New Roman" w:cs="Times New Roman"/>
                <w:color w:val="auto"/>
                <w:highlight w:val="none"/>
                <w:lang w:val="en-US" w:eastAsia="zh-CN"/>
              </w:rPr>
              <w:t>4.</w:t>
            </w:r>
            <w:r>
              <w:rPr>
                <w:rFonts w:hint="eastAsia" w:cs="Times New Roman"/>
                <w:color w:val="auto"/>
                <w:highlight w:val="none"/>
                <w:lang w:val="en-US" w:eastAsia="zh-CN"/>
              </w:rPr>
              <w:t>8</w:t>
            </w:r>
            <w:r>
              <w:rPr>
                <w:rFonts w:hint="default" w:ascii="Times New Roman" w:hAnsi="Times New Roman" w:cs="Times New Roman"/>
                <w:color w:val="auto"/>
                <w:highlight w:val="none"/>
                <w:lang w:val="en-US" w:eastAsia="zh-CN"/>
              </w:rPr>
              <w:t>.1</w:t>
            </w:r>
            <w:r>
              <w:rPr>
                <w:rFonts w:hint="default" w:ascii="Times New Roman" w:hAnsi="Times New Roman" w:cs="Times New Roman"/>
                <w:color w:val="auto"/>
                <w:highlight w:val="none"/>
                <w:lang w:eastAsia="zh-CN"/>
              </w:rPr>
              <w:t>固废产生及处置情况</w:t>
            </w:r>
          </w:p>
          <w:bookmarkEnd w:id="41"/>
          <w:p w14:paraId="31B1550D">
            <w:pPr>
              <w:pStyle w:val="31"/>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项目运营</w:t>
            </w:r>
            <w:r>
              <w:rPr>
                <w:rFonts w:hint="default" w:ascii="Times New Roman" w:hAnsi="Times New Roman" w:cs="Times New Roman"/>
                <w:color w:val="auto"/>
                <w:highlight w:val="none"/>
                <w:lang w:val="en-US" w:eastAsia="zh-CN"/>
              </w:rPr>
              <w:t>期</w:t>
            </w:r>
            <w:r>
              <w:rPr>
                <w:rFonts w:hint="default" w:ascii="Times New Roman" w:hAnsi="Times New Roman" w:cs="Times New Roman"/>
                <w:color w:val="auto"/>
                <w:highlight w:val="none"/>
              </w:rPr>
              <w:t>产生的固体废物</w:t>
            </w:r>
            <w:bookmarkStart w:id="42" w:name="OLE_LINK91"/>
            <w:r>
              <w:rPr>
                <w:rFonts w:hint="default" w:ascii="Times New Roman" w:hAnsi="Times New Roman" w:cs="Times New Roman"/>
                <w:color w:val="auto"/>
                <w:highlight w:val="none"/>
              </w:rPr>
              <w:t>主要为生活垃圾、一般固废和危险废物</w:t>
            </w:r>
            <w:bookmarkEnd w:id="42"/>
            <w:r>
              <w:rPr>
                <w:rFonts w:hint="default" w:ascii="Times New Roman" w:hAnsi="Times New Roman" w:cs="Times New Roman"/>
                <w:color w:val="auto"/>
                <w:highlight w:val="none"/>
              </w:rPr>
              <w:t>。</w:t>
            </w:r>
          </w:p>
          <w:p w14:paraId="3C1DC7EE">
            <w:pPr>
              <w:pStyle w:val="31"/>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（1）</w:t>
            </w:r>
            <w:r>
              <w:rPr>
                <w:rFonts w:hint="default" w:ascii="Times New Roman" w:hAnsi="Times New Roman" w:cs="Times New Roman"/>
                <w:color w:val="auto"/>
                <w:highlight w:val="none"/>
                <w:lang w:val="en-US" w:eastAsia="zh-CN"/>
              </w:rPr>
              <w:t>生活垃圾</w:t>
            </w:r>
          </w:p>
          <w:p w14:paraId="7B3B397A">
            <w:pPr>
              <w:pStyle w:val="31"/>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项目工作人员约</w:t>
            </w:r>
            <w:r>
              <w:rPr>
                <w:rFonts w:hint="eastAsia" w:cs="Times New Roman"/>
                <w:color w:val="auto"/>
                <w:highlight w:val="none"/>
                <w:lang w:val="en-US" w:eastAsia="zh-CN"/>
              </w:rPr>
              <w:t>6</w:t>
            </w:r>
            <w:r>
              <w:rPr>
                <w:rFonts w:hint="default" w:ascii="Times New Roman" w:hAnsi="Times New Roman" w:cs="Times New Roman"/>
                <w:color w:val="auto"/>
                <w:highlight w:val="none"/>
                <w:lang w:val="en-US" w:eastAsia="zh-CN"/>
              </w:rPr>
              <w:t>人，年工作时间365天，按每人每天平均产生0.5kg垃圾计，则日产生活垃圾量约为</w:t>
            </w:r>
            <w:r>
              <w:rPr>
                <w:rFonts w:hint="eastAsia" w:cs="Times New Roman"/>
                <w:color w:val="auto"/>
                <w:highlight w:val="none"/>
                <w:lang w:val="en-US" w:eastAsia="zh-CN"/>
              </w:rPr>
              <w:t>3</w:t>
            </w:r>
            <w:r>
              <w:rPr>
                <w:rFonts w:hint="default" w:ascii="Times New Roman" w:hAnsi="Times New Roman" w:cs="Times New Roman"/>
                <w:color w:val="auto"/>
                <w:highlight w:val="none"/>
                <w:lang w:val="en-US" w:eastAsia="zh-CN"/>
              </w:rPr>
              <w:t>kg/d，年产生活垃圾量为</w:t>
            </w:r>
            <w:r>
              <w:rPr>
                <w:rFonts w:hint="eastAsia" w:cs="Times New Roman"/>
                <w:color w:val="auto"/>
                <w:highlight w:val="none"/>
                <w:lang w:val="en-US" w:eastAsia="zh-CN"/>
              </w:rPr>
              <w:t>1.095</w:t>
            </w:r>
            <w:r>
              <w:rPr>
                <w:rFonts w:hint="default" w:ascii="Times New Roman" w:hAnsi="Times New Roman" w:cs="Times New Roman"/>
                <w:color w:val="auto"/>
                <w:highlight w:val="none"/>
                <w:lang w:val="en-US" w:eastAsia="zh-CN"/>
              </w:rPr>
              <w:t>t/a。生活垃圾堆存于带盖垃圾箱内，由环卫部门定期收集外运处置。</w:t>
            </w:r>
          </w:p>
          <w:p w14:paraId="64E67298">
            <w:pPr>
              <w:pStyle w:val="31"/>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（2）</w:t>
            </w:r>
            <w:r>
              <w:rPr>
                <w:rFonts w:hint="default" w:ascii="Times New Roman" w:hAnsi="Times New Roman" w:cs="Times New Roman"/>
                <w:color w:val="auto"/>
                <w:highlight w:val="none"/>
                <w:lang w:val="en-US" w:eastAsia="zh-CN"/>
              </w:rPr>
              <w:t>一般固废</w:t>
            </w:r>
          </w:p>
          <w:p w14:paraId="69A4DF43">
            <w:pPr>
              <w:pStyle w:val="31"/>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①</w:t>
            </w:r>
            <w:bookmarkStart w:id="43" w:name="OLE_LINK92"/>
            <w:r>
              <w:rPr>
                <w:rFonts w:hint="default" w:ascii="Times New Roman" w:hAnsi="Times New Roman" w:cs="Times New Roman"/>
                <w:color w:val="auto"/>
                <w:highlight w:val="none"/>
              </w:rPr>
              <w:t>拆包过程产生的废包装物、</w:t>
            </w:r>
            <w:bookmarkStart w:id="44" w:name="OLE_LINK103"/>
            <w:r>
              <w:rPr>
                <w:rFonts w:hint="default" w:ascii="Times New Roman" w:hAnsi="Times New Roman" w:cs="Times New Roman"/>
                <w:color w:val="auto"/>
                <w:highlight w:val="none"/>
              </w:rPr>
              <w:t>输液瓶（袋）</w:t>
            </w:r>
            <w:bookmarkEnd w:id="43"/>
            <w:bookmarkEnd w:id="44"/>
          </w:p>
          <w:p w14:paraId="164F9724">
            <w:pPr>
              <w:pStyle w:val="31"/>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本项目运营期产生的废包装物主要为药品、医疗耗材脱外包装等</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输液瓶（袋）</w:t>
            </w:r>
            <w:r>
              <w:rPr>
                <w:rFonts w:hint="default" w:ascii="Times New Roman" w:hAnsi="Times New Roman" w:cs="Times New Roman"/>
                <w:color w:val="auto"/>
                <w:highlight w:val="none"/>
                <w:lang w:val="en-US" w:eastAsia="zh-CN"/>
              </w:rPr>
              <w:t>为</w:t>
            </w:r>
            <w:r>
              <w:rPr>
                <w:rFonts w:hint="default" w:ascii="Times New Roman" w:hAnsi="Times New Roman" w:cs="Times New Roman"/>
                <w:color w:val="auto"/>
                <w:highlight w:val="none"/>
                <w:lang w:eastAsia="zh-CN"/>
              </w:rPr>
              <w:t>治疗过</w:t>
            </w:r>
            <w:r>
              <w:rPr>
                <w:rFonts w:hint="eastAsia" w:cs="Times New Roman"/>
                <w:color w:val="auto"/>
                <w:highlight w:val="none"/>
                <w:lang w:eastAsia="zh-CN"/>
              </w:rPr>
              <w:t>程中</w:t>
            </w:r>
            <w:r>
              <w:rPr>
                <w:rFonts w:hint="default" w:ascii="Times New Roman" w:hAnsi="Times New Roman" w:cs="Times New Roman"/>
                <w:color w:val="auto"/>
                <w:highlight w:val="none"/>
                <w:lang w:eastAsia="zh-CN"/>
              </w:rPr>
              <w:t>产生的</w:t>
            </w:r>
            <w:r>
              <w:rPr>
                <w:rFonts w:hint="default" w:ascii="Times New Roman" w:hAnsi="Times New Roman" w:cs="Times New Roman"/>
                <w:color w:val="auto"/>
                <w:highlight w:val="none"/>
                <w:lang w:val="en-US" w:eastAsia="zh-CN"/>
              </w:rPr>
              <w:t>未被污染的输液瓶（袋）。</w:t>
            </w:r>
            <w:r>
              <w:rPr>
                <w:rFonts w:hint="default" w:ascii="Times New Roman" w:hAnsi="Times New Roman" w:cs="Times New Roman"/>
                <w:color w:val="auto"/>
                <w:highlight w:val="none"/>
              </w:rPr>
              <w:t>根据建设单位提供的资料，拆包过</w:t>
            </w:r>
            <w:r>
              <w:rPr>
                <w:rFonts w:hint="eastAsia" w:cs="Times New Roman"/>
                <w:color w:val="auto"/>
                <w:highlight w:val="none"/>
                <w:lang w:eastAsia="zh-CN"/>
              </w:rPr>
              <w:t>程中</w:t>
            </w:r>
            <w:r>
              <w:rPr>
                <w:rFonts w:hint="default" w:ascii="Times New Roman" w:hAnsi="Times New Roman" w:cs="Times New Roman"/>
                <w:color w:val="auto"/>
                <w:highlight w:val="none"/>
              </w:rPr>
              <w:t>产生的废包装物</w:t>
            </w:r>
            <w:r>
              <w:rPr>
                <w:rFonts w:hint="default" w:ascii="Times New Roman" w:hAnsi="Times New Roman" w:cs="Times New Roman"/>
                <w:color w:val="auto"/>
                <w:highlight w:val="none"/>
                <w:lang w:val="en-US" w:eastAsia="zh-CN"/>
              </w:rPr>
              <w:t>及</w:t>
            </w:r>
            <w:r>
              <w:rPr>
                <w:rFonts w:hint="default" w:ascii="Times New Roman" w:hAnsi="Times New Roman" w:cs="Times New Roman"/>
                <w:color w:val="auto"/>
                <w:highlight w:val="none"/>
              </w:rPr>
              <w:t>输液瓶（袋）产生量</w:t>
            </w:r>
            <w:r>
              <w:rPr>
                <w:rFonts w:hint="default" w:ascii="Times New Roman" w:hAnsi="Times New Roman" w:cs="Times New Roman"/>
                <w:color w:val="auto"/>
                <w:highlight w:val="none"/>
                <w:lang w:val="en-US" w:eastAsia="zh-CN"/>
              </w:rPr>
              <w:t>约</w:t>
            </w:r>
            <w:r>
              <w:rPr>
                <w:rFonts w:hint="default" w:ascii="Times New Roman" w:hAnsi="Times New Roman" w:cs="Times New Roman"/>
                <w:color w:val="auto"/>
                <w:highlight w:val="none"/>
              </w:rPr>
              <w:t>为</w:t>
            </w:r>
            <w:r>
              <w:rPr>
                <w:rFonts w:hint="default" w:ascii="Times New Roman" w:hAnsi="Times New Roman" w:cs="Times New Roman"/>
                <w:color w:val="auto"/>
                <w:highlight w:val="none"/>
                <w:lang w:val="en-US" w:eastAsia="zh-CN"/>
              </w:rPr>
              <w:t>0.0</w:t>
            </w:r>
            <w:r>
              <w:rPr>
                <w:rFonts w:hint="eastAsia" w:cs="Times New Roman"/>
                <w:color w:val="auto"/>
                <w:highlight w:val="none"/>
                <w:lang w:val="en-US" w:eastAsia="zh-CN"/>
              </w:rPr>
              <w:t>2</w:t>
            </w:r>
            <w:r>
              <w:rPr>
                <w:rFonts w:hint="default" w:ascii="Times New Roman" w:hAnsi="Times New Roman" w:cs="Times New Roman"/>
                <w:color w:val="auto"/>
                <w:highlight w:val="none"/>
                <w:lang w:val="en-US" w:eastAsia="zh-CN"/>
              </w:rPr>
              <w:t>t/a</w:t>
            </w:r>
            <w:r>
              <w:rPr>
                <w:rFonts w:hint="default" w:ascii="Times New Roman" w:hAnsi="Times New Roman" w:cs="Times New Roman"/>
                <w:color w:val="auto"/>
                <w:highlight w:val="none"/>
              </w:rPr>
              <w:t>，集中收集后交由</w:t>
            </w:r>
            <w:r>
              <w:rPr>
                <w:rFonts w:hint="default" w:ascii="Times New Roman" w:hAnsi="Times New Roman" w:cs="Times New Roman"/>
                <w:color w:val="auto"/>
                <w:highlight w:val="none"/>
                <w:lang w:val="en-US" w:eastAsia="zh-CN"/>
              </w:rPr>
              <w:t>再生资源回收单位</w:t>
            </w:r>
            <w:r>
              <w:rPr>
                <w:rFonts w:hint="default" w:ascii="Times New Roman" w:hAnsi="Times New Roman" w:cs="Times New Roman"/>
                <w:color w:val="auto"/>
                <w:highlight w:val="none"/>
              </w:rPr>
              <w:t>处置</w:t>
            </w:r>
            <w:r>
              <w:rPr>
                <w:rFonts w:hint="default" w:ascii="Times New Roman" w:hAnsi="Times New Roman" w:cs="Times New Roman"/>
                <w:color w:val="auto"/>
                <w:highlight w:val="none"/>
                <w:lang w:eastAsia="zh-CN"/>
              </w:rPr>
              <w:t>。</w:t>
            </w:r>
          </w:p>
          <w:p w14:paraId="39644F1E">
            <w:pPr>
              <w:pStyle w:val="31"/>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②宠物毛发</w:t>
            </w:r>
          </w:p>
          <w:p w14:paraId="17330396">
            <w:pPr>
              <w:pStyle w:val="31"/>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本项目宠物毛发来源于对其进行毛发修剪及洗浴冲洗时产生的</w:t>
            </w:r>
            <w:r>
              <w:rPr>
                <w:rFonts w:hint="default" w:ascii="Times New Roman" w:hAnsi="Times New Roman" w:cs="Times New Roman"/>
                <w:color w:val="auto"/>
                <w:highlight w:val="none"/>
              </w:rPr>
              <w:t>（包括洗浴废水过滤后产生的废毛）</w:t>
            </w:r>
            <w:r>
              <w:rPr>
                <w:rFonts w:hint="default" w:ascii="Times New Roman" w:hAnsi="Times New Roman" w:cs="Times New Roman"/>
                <w:color w:val="auto"/>
                <w:highlight w:val="none"/>
                <w:lang w:val="en-US" w:eastAsia="zh-CN"/>
              </w:rPr>
              <w:t>，根据建设单位提供资料，毛发产生量约为0.0</w:t>
            </w:r>
            <w:r>
              <w:rPr>
                <w:rFonts w:hint="eastAsia" w:cs="Times New Roman"/>
                <w:color w:val="auto"/>
                <w:highlight w:val="none"/>
                <w:lang w:val="en-US" w:eastAsia="zh-CN"/>
              </w:rPr>
              <w:t>4</w:t>
            </w:r>
            <w:r>
              <w:rPr>
                <w:rFonts w:hint="default" w:ascii="Times New Roman" w:hAnsi="Times New Roman" w:cs="Times New Roman"/>
                <w:color w:val="auto"/>
                <w:highlight w:val="none"/>
                <w:lang w:val="en-US" w:eastAsia="zh-CN"/>
              </w:rPr>
              <w:t>t/a，作为一般固废与生活垃圾一起交由环卫部门处理。</w:t>
            </w:r>
          </w:p>
          <w:p w14:paraId="198AA62A">
            <w:pPr>
              <w:pStyle w:val="31"/>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③</w:t>
            </w:r>
            <w:bookmarkStart w:id="45" w:name="OLE_LINK72"/>
            <w:r>
              <w:rPr>
                <w:rFonts w:hint="default" w:ascii="Times New Roman" w:hAnsi="Times New Roman" w:cs="Times New Roman"/>
                <w:color w:val="auto"/>
                <w:highlight w:val="none"/>
                <w:lang w:val="en-US" w:eastAsia="zh-CN"/>
              </w:rPr>
              <w:t>宠物粪便及猫砂</w:t>
            </w:r>
            <w:bookmarkEnd w:id="45"/>
          </w:p>
          <w:p w14:paraId="297EC654">
            <w:pPr>
              <w:pStyle w:val="31"/>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本项目宠物产生的</w:t>
            </w:r>
            <w:r>
              <w:rPr>
                <w:rFonts w:hint="default" w:ascii="Times New Roman" w:hAnsi="Times New Roman" w:cs="Times New Roman"/>
                <w:color w:val="auto"/>
                <w:highlight w:val="none"/>
                <w:lang w:val="en-US" w:eastAsia="zh-CN"/>
              </w:rPr>
              <w:t>粪便</w:t>
            </w:r>
            <w:r>
              <w:rPr>
                <w:rFonts w:hint="default" w:ascii="Times New Roman" w:hAnsi="Times New Roman" w:cs="Times New Roman"/>
                <w:color w:val="auto"/>
                <w:highlight w:val="none"/>
              </w:rPr>
              <w:t>及猫砂，</w:t>
            </w:r>
            <w:r>
              <w:rPr>
                <w:rFonts w:hint="default" w:ascii="Times New Roman" w:hAnsi="Times New Roman" w:cs="Times New Roman"/>
                <w:color w:val="auto"/>
                <w:highlight w:val="none"/>
                <w:lang w:val="en-US" w:eastAsia="zh-CN"/>
              </w:rPr>
              <w:t>根据建设单位提供资料，粪便及猫砂</w:t>
            </w:r>
            <w:r>
              <w:rPr>
                <w:rFonts w:hint="default" w:ascii="Times New Roman" w:hAnsi="Times New Roman" w:cs="Times New Roman"/>
                <w:color w:val="auto"/>
                <w:highlight w:val="none"/>
              </w:rPr>
              <w:t>产生量</w:t>
            </w:r>
            <w:r>
              <w:rPr>
                <w:rFonts w:hint="default" w:ascii="Times New Roman" w:hAnsi="Times New Roman" w:cs="Times New Roman"/>
                <w:color w:val="auto"/>
                <w:highlight w:val="none"/>
                <w:lang w:val="en-US" w:eastAsia="zh-CN"/>
              </w:rPr>
              <w:t>约为0.</w:t>
            </w:r>
            <w:r>
              <w:rPr>
                <w:rFonts w:hint="eastAsia" w:cs="Times New Roman"/>
                <w:color w:val="auto"/>
                <w:highlight w:val="none"/>
                <w:lang w:val="en-US" w:eastAsia="zh-CN"/>
              </w:rPr>
              <w:t>3</w:t>
            </w:r>
            <w:r>
              <w:rPr>
                <w:rFonts w:hint="default" w:ascii="Times New Roman" w:hAnsi="Times New Roman" w:cs="Times New Roman"/>
                <w:color w:val="auto"/>
                <w:highlight w:val="none"/>
                <w:lang w:val="en-US" w:eastAsia="zh-CN"/>
              </w:rPr>
              <w:t>t/a，</w:t>
            </w:r>
            <w:r>
              <w:rPr>
                <w:rFonts w:hint="default" w:ascii="Times New Roman" w:hAnsi="Times New Roman" w:cs="Times New Roman"/>
                <w:color w:val="auto"/>
                <w:highlight w:val="none"/>
              </w:rPr>
              <w:t>采用专用包装袋收集后统一由环卫部门定期</w:t>
            </w:r>
            <w:r>
              <w:rPr>
                <w:rFonts w:hint="default" w:ascii="Times New Roman" w:hAnsi="Times New Roman" w:cs="Times New Roman"/>
                <w:color w:val="auto"/>
                <w:highlight w:val="none"/>
                <w:lang w:val="en-US" w:eastAsia="zh-CN"/>
              </w:rPr>
              <w:t>外运处置。</w:t>
            </w:r>
          </w:p>
          <w:p w14:paraId="731568D1">
            <w:pPr>
              <w:pStyle w:val="31"/>
              <w:bidi w:val="0"/>
              <w:rPr>
                <w:rFonts w:hint="eastAsia"/>
                <w:color w:val="auto"/>
                <w:lang w:val="en-US" w:eastAsia="zh-CN"/>
              </w:rPr>
            </w:pPr>
            <w:r>
              <w:rPr>
                <w:rFonts w:hint="eastAsia"/>
                <w:color w:val="auto"/>
                <w:lang w:val="en-US" w:eastAsia="zh-CN"/>
              </w:rPr>
              <w:t>④动物尸体</w:t>
            </w:r>
          </w:p>
          <w:p w14:paraId="6D8D1A83">
            <w:pPr>
              <w:pStyle w:val="31"/>
              <w:bidi w:val="0"/>
              <w:rPr>
                <w:rFonts w:hint="eastAsia"/>
                <w:color w:val="auto"/>
                <w:lang w:val="en-US" w:eastAsia="zh-CN"/>
              </w:rPr>
            </w:pPr>
            <w:r>
              <w:rPr>
                <w:rFonts w:hint="eastAsia"/>
                <w:color w:val="auto"/>
                <w:lang w:val="en-US" w:eastAsia="zh-CN"/>
              </w:rPr>
              <w:t>根据建设单位提供的资料，动物医院平均每个月产生的动物尸体为2kg，则一年产生0.024t动物尸体。本项目运营过程中不负责处理动物尸体，由客户自行带走依法处置。</w:t>
            </w:r>
          </w:p>
          <w:p w14:paraId="6EDA2383">
            <w:pPr>
              <w:pStyle w:val="31"/>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本项目一般固废处理方式采取项目区内设分类垃圾篓（箱），各类垃圾袋装分类收集后，由清洁人员每日收集后，送至附近的垃圾收集站，由环卫部门统一处理，日产日清，确保清运率达到100%。</w:t>
            </w:r>
          </w:p>
          <w:p w14:paraId="662FE45A">
            <w:pPr>
              <w:pStyle w:val="31"/>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（3）危险废物</w:t>
            </w:r>
          </w:p>
          <w:p w14:paraId="4DEF459C">
            <w:pPr>
              <w:pStyle w:val="31"/>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①医疗废物</w:t>
            </w:r>
          </w:p>
          <w:p w14:paraId="53D85A5A">
            <w:pPr>
              <w:pStyle w:val="31"/>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根据《国家危险废物名录》（202</w:t>
            </w:r>
            <w:r>
              <w:rPr>
                <w:rFonts w:hint="default" w:ascii="Times New Roman" w:hAnsi="Times New Roman" w:cs="Times New Roman"/>
                <w:color w:val="auto"/>
                <w:highlight w:val="none"/>
                <w:lang w:val="en-US" w:eastAsia="zh-CN"/>
              </w:rPr>
              <w:t>5</w:t>
            </w:r>
            <w:r>
              <w:rPr>
                <w:rFonts w:hint="default" w:ascii="Times New Roman" w:hAnsi="Times New Roman" w:cs="Times New Roman"/>
                <w:color w:val="auto"/>
                <w:highlight w:val="none"/>
              </w:rPr>
              <w:t>年版），废检测试剂盒、一次性输液管、针管等属于感染性废物，危废代码</w:t>
            </w:r>
            <w:r>
              <w:rPr>
                <w:rFonts w:hint="eastAsia" w:cs="Times New Roman"/>
                <w:color w:val="auto"/>
                <w:highlight w:val="none"/>
                <w:lang w:eastAsia="zh-CN"/>
              </w:rPr>
              <w:t>“</w:t>
            </w:r>
            <w:r>
              <w:rPr>
                <w:rFonts w:hint="default" w:ascii="Times New Roman" w:hAnsi="Times New Roman" w:cs="Times New Roman"/>
                <w:color w:val="auto"/>
                <w:highlight w:val="none"/>
              </w:rPr>
              <w:t>HW01-841-001-01</w:t>
            </w:r>
            <w:r>
              <w:rPr>
                <w:rFonts w:hint="eastAsia" w:cs="Times New Roman"/>
                <w:color w:val="auto"/>
                <w:highlight w:val="none"/>
                <w:lang w:eastAsia="zh-CN"/>
              </w:rPr>
              <w:t>”</w:t>
            </w:r>
            <w:r>
              <w:rPr>
                <w:rFonts w:hint="default" w:ascii="Times New Roman" w:hAnsi="Times New Roman" w:cs="Times New Roman"/>
                <w:color w:val="auto"/>
                <w:highlight w:val="none"/>
              </w:rPr>
              <w:t>；针头等属于损伤性废物，危废代码</w:t>
            </w:r>
            <w:r>
              <w:rPr>
                <w:rFonts w:hint="eastAsia" w:cs="Times New Roman"/>
                <w:color w:val="auto"/>
                <w:highlight w:val="none"/>
                <w:lang w:eastAsia="zh-CN"/>
              </w:rPr>
              <w:t>“</w:t>
            </w:r>
            <w:r>
              <w:rPr>
                <w:rFonts w:hint="default" w:ascii="Times New Roman" w:hAnsi="Times New Roman" w:cs="Times New Roman"/>
                <w:color w:val="auto"/>
                <w:highlight w:val="none"/>
              </w:rPr>
              <w:t>HW01-841-002-01</w:t>
            </w:r>
            <w:r>
              <w:rPr>
                <w:rFonts w:hint="eastAsia" w:cs="Times New Roman"/>
                <w:color w:val="auto"/>
                <w:highlight w:val="none"/>
                <w:lang w:eastAsia="zh-CN"/>
              </w:rPr>
              <w:t>”</w:t>
            </w:r>
            <w:r>
              <w:rPr>
                <w:rFonts w:hint="default" w:ascii="Times New Roman" w:hAnsi="Times New Roman" w:cs="Times New Roman"/>
                <w:color w:val="auto"/>
                <w:highlight w:val="none"/>
              </w:rPr>
              <w:t>；手术废弃组织属于病理性废物，危废代码</w:t>
            </w:r>
            <w:r>
              <w:rPr>
                <w:rFonts w:hint="eastAsia" w:cs="Times New Roman"/>
                <w:color w:val="auto"/>
                <w:highlight w:val="none"/>
                <w:lang w:eastAsia="zh-CN"/>
              </w:rPr>
              <w:t>“</w:t>
            </w:r>
            <w:r>
              <w:rPr>
                <w:rFonts w:hint="default" w:ascii="Times New Roman" w:hAnsi="Times New Roman" w:cs="Times New Roman"/>
                <w:color w:val="auto"/>
                <w:highlight w:val="none"/>
              </w:rPr>
              <w:t>HW01-841-003-01</w:t>
            </w:r>
            <w:r>
              <w:rPr>
                <w:rFonts w:hint="eastAsia" w:cs="Times New Roman"/>
                <w:color w:val="auto"/>
                <w:highlight w:val="none"/>
                <w:lang w:eastAsia="zh-CN"/>
              </w:rPr>
              <w:t>”</w:t>
            </w:r>
            <w:r>
              <w:rPr>
                <w:rFonts w:hint="default" w:ascii="Times New Roman" w:hAnsi="Times New Roman" w:cs="Times New Roman"/>
                <w:color w:val="auto"/>
                <w:highlight w:val="none"/>
              </w:rPr>
              <w:t>，废弃或过期药品属于药物性废物，危废代码</w:t>
            </w:r>
            <w:r>
              <w:rPr>
                <w:rFonts w:hint="eastAsia" w:cs="Times New Roman"/>
                <w:color w:val="auto"/>
                <w:highlight w:val="none"/>
                <w:lang w:eastAsia="zh-CN"/>
              </w:rPr>
              <w:t>“</w:t>
            </w:r>
            <w:r>
              <w:rPr>
                <w:rFonts w:hint="default" w:ascii="Times New Roman" w:hAnsi="Times New Roman" w:cs="Times New Roman"/>
                <w:color w:val="auto"/>
                <w:highlight w:val="none"/>
              </w:rPr>
              <w:t>HW01-841-005-01</w:t>
            </w:r>
            <w:r>
              <w:rPr>
                <w:rFonts w:hint="eastAsia" w:cs="Times New Roman"/>
                <w:color w:val="auto"/>
                <w:highlight w:val="none"/>
                <w:lang w:eastAsia="zh-CN"/>
              </w:rPr>
              <w:t>”</w:t>
            </w:r>
            <w:r>
              <w:rPr>
                <w:rFonts w:hint="default" w:ascii="Times New Roman" w:hAnsi="Times New Roman" w:cs="Times New Roman"/>
                <w:color w:val="auto"/>
                <w:highlight w:val="none"/>
              </w:rPr>
              <w:t>，废化验试剂及化验过程产生的医疗废</w:t>
            </w:r>
            <w:r>
              <w:rPr>
                <w:rFonts w:hint="default" w:ascii="Times New Roman" w:hAnsi="Times New Roman" w:cs="Times New Roman"/>
                <w:color w:val="auto"/>
                <w:highlight w:val="none"/>
                <w:lang w:val="en-US" w:eastAsia="zh-CN"/>
              </w:rPr>
              <w:t>物</w:t>
            </w:r>
            <w:r>
              <w:rPr>
                <w:rFonts w:hint="eastAsia" w:cs="Times New Roman"/>
                <w:color w:val="auto"/>
                <w:highlight w:val="none"/>
                <w:lang w:val="en-US" w:eastAsia="zh-CN"/>
              </w:rPr>
              <w:t>（</w:t>
            </w:r>
            <w:r>
              <w:rPr>
                <w:rFonts w:hint="default" w:ascii="Times New Roman" w:hAnsi="Times New Roman" w:cs="Times New Roman"/>
                <w:color w:val="auto"/>
                <w:highlight w:val="none"/>
              </w:rPr>
              <w:t>液</w:t>
            </w:r>
            <w:r>
              <w:rPr>
                <w:rFonts w:hint="eastAsia" w:cs="Times New Roman"/>
                <w:color w:val="auto"/>
                <w:highlight w:val="none"/>
                <w:lang w:eastAsia="zh-CN"/>
              </w:rPr>
              <w:t>）</w:t>
            </w:r>
            <w:r>
              <w:rPr>
                <w:rFonts w:hint="default" w:ascii="Times New Roman" w:hAnsi="Times New Roman" w:cs="Times New Roman"/>
                <w:color w:val="auto"/>
                <w:highlight w:val="none"/>
              </w:rPr>
              <w:t>属于化学系废物，废物代码为</w:t>
            </w:r>
            <w:r>
              <w:rPr>
                <w:rFonts w:hint="eastAsia" w:cs="Times New Roman"/>
                <w:color w:val="auto"/>
                <w:highlight w:val="none"/>
                <w:lang w:eastAsia="zh-CN"/>
              </w:rPr>
              <w:t>“</w:t>
            </w:r>
            <w:r>
              <w:rPr>
                <w:rFonts w:hint="default" w:ascii="Times New Roman" w:hAnsi="Times New Roman" w:cs="Times New Roman"/>
                <w:color w:val="auto"/>
                <w:highlight w:val="none"/>
              </w:rPr>
              <w:t>HW01-841-004-01</w:t>
            </w:r>
            <w:r>
              <w:rPr>
                <w:rFonts w:hint="eastAsia" w:cs="Times New Roman"/>
                <w:color w:val="auto"/>
                <w:highlight w:val="none"/>
                <w:lang w:eastAsia="zh-CN"/>
              </w:rPr>
              <w:t>”</w:t>
            </w:r>
            <w:r>
              <w:rPr>
                <w:rFonts w:hint="default" w:ascii="Times New Roman" w:hAnsi="Times New Roman" w:cs="Times New Roman"/>
                <w:color w:val="auto"/>
                <w:highlight w:val="none"/>
              </w:rPr>
              <w:t>。</w:t>
            </w:r>
          </w:p>
          <w:p w14:paraId="63D20BFD">
            <w:pPr>
              <w:pStyle w:val="31"/>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参考《医疗废物排放统计变量的选择及排放系数的确定》中相关数据，产生量0.055kg/例计，项目医疗、住院</w:t>
            </w:r>
            <w:r>
              <w:rPr>
                <w:rFonts w:hint="eastAsia" w:cs="Times New Roman"/>
                <w:color w:val="auto"/>
                <w:highlight w:val="none"/>
                <w:lang w:eastAsia="zh-CN"/>
              </w:rPr>
              <w:t>、</w:t>
            </w:r>
            <w:r>
              <w:rPr>
                <w:rFonts w:hint="eastAsia" w:cs="Times New Roman"/>
                <w:color w:val="auto"/>
                <w:highlight w:val="none"/>
                <w:lang w:val="en-US" w:eastAsia="zh-CN"/>
              </w:rPr>
              <w:t>手术</w:t>
            </w:r>
            <w:r>
              <w:rPr>
                <w:rFonts w:hint="default" w:ascii="Times New Roman" w:hAnsi="Times New Roman" w:cs="Times New Roman"/>
                <w:color w:val="auto"/>
                <w:highlight w:val="none"/>
              </w:rPr>
              <w:t>接诊规模</w:t>
            </w:r>
            <w:r>
              <w:rPr>
                <w:rFonts w:hint="eastAsia" w:cs="Times New Roman"/>
                <w:color w:val="auto"/>
                <w:highlight w:val="none"/>
                <w:lang w:val="en-US" w:eastAsia="zh-CN"/>
              </w:rPr>
              <w:t>2920</w:t>
            </w:r>
            <w:r>
              <w:rPr>
                <w:rFonts w:hint="default" w:ascii="Times New Roman" w:hAnsi="Times New Roman" w:cs="Times New Roman"/>
                <w:color w:val="auto"/>
                <w:highlight w:val="none"/>
              </w:rPr>
              <w:t>例/年，则医疗废物产生量为0.1</w:t>
            </w:r>
            <w:r>
              <w:rPr>
                <w:rFonts w:hint="eastAsia" w:cs="Times New Roman"/>
                <w:color w:val="auto"/>
                <w:highlight w:val="none"/>
                <w:lang w:val="en-US" w:eastAsia="zh-CN"/>
              </w:rPr>
              <w:t>61</w:t>
            </w:r>
            <w:r>
              <w:rPr>
                <w:rFonts w:hint="default" w:ascii="Times New Roman" w:hAnsi="Times New Roman" w:cs="Times New Roman"/>
                <w:color w:val="auto"/>
                <w:highlight w:val="none"/>
              </w:rPr>
              <w:t>t/a，分类暂存于</w:t>
            </w:r>
            <w:r>
              <w:rPr>
                <w:rFonts w:hint="default" w:ascii="Times New Roman" w:hAnsi="Times New Roman" w:cs="Times New Roman"/>
                <w:color w:val="auto"/>
                <w:highlight w:val="none"/>
                <w:lang w:eastAsia="zh-CN"/>
              </w:rPr>
              <w:t>医疗废物贮存间</w:t>
            </w:r>
            <w:r>
              <w:rPr>
                <w:rFonts w:hint="default" w:ascii="Times New Roman" w:hAnsi="Times New Roman" w:cs="Times New Roman"/>
                <w:color w:val="auto"/>
                <w:highlight w:val="none"/>
              </w:rPr>
              <w:t>，并加贴危险标志，委托有资质的单位定期</w:t>
            </w:r>
            <w:r>
              <w:rPr>
                <w:rFonts w:hint="default" w:ascii="Times New Roman" w:hAnsi="Times New Roman" w:cs="Times New Roman"/>
                <w:color w:val="auto"/>
                <w:highlight w:val="none"/>
                <w:lang w:val="en-US" w:eastAsia="zh-CN"/>
              </w:rPr>
              <w:t>上门回收</w:t>
            </w:r>
            <w:r>
              <w:rPr>
                <w:rFonts w:hint="default" w:ascii="Times New Roman" w:hAnsi="Times New Roman" w:cs="Times New Roman"/>
                <w:color w:val="auto"/>
                <w:highlight w:val="none"/>
              </w:rPr>
              <w:t>处置。</w:t>
            </w:r>
          </w:p>
          <w:p w14:paraId="76DFF745">
            <w:pPr>
              <w:pStyle w:val="31"/>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②</w:t>
            </w:r>
            <w:bookmarkStart w:id="46" w:name="OLE_LINK47"/>
            <w:r>
              <w:rPr>
                <w:rFonts w:hint="default" w:ascii="Times New Roman" w:hAnsi="Times New Roman" w:cs="Times New Roman"/>
                <w:color w:val="auto"/>
                <w:highlight w:val="none"/>
                <w:lang w:val="en-US" w:eastAsia="zh-CN"/>
              </w:rPr>
              <w:t>患病宠物排泄物及猫砂</w:t>
            </w:r>
          </w:p>
          <w:bookmarkEnd w:id="46"/>
          <w:p w14:paraId="6D396EFB">
            <w:pPr>
              <w:pStyle w:val="31"/>
              <w:bidi w:val="0"/>
              <w:rPr>
                <w:rFonts w:hint="default" w:ascii="Times New Roman" w:hAnsi="Times New Roman" w:cs="Times New Roman"/>
                <w:color w:val="auto"/>
                <w:highlight w:val="none"/>
                <w:lang w:val="en-US" w:eastAsia="zh-CN"/>
              </w:rPr>
            </w:pPr>
            <w:r>
              <w:rPr>
                <w:rFonts w:hint="default" w:ascii="Times New Roman" w:hAnsi="Times New Roman" w:eastAsia="宋体" w:cs="Times New Roman"/>
                <w:color w:val="auto"/>
                <w:sz w:val="24"/>
                <w:szCs w:val="24"/>
              </w:rPr>
              <w:t>本项目年门诊接诊约</w:t>
            </w:r>
            <w:r>
              <w:rPr>
                <w:rFonts w:hint="eastAsia" w:cs="Times New Roman"/>
                <w:color w:val="auto"/>
                <w:sz w:val="24"/>
                <w:szCs w:val="24"/>
                <w:lang w:val="en-US" w:eastAsia="zh-CN"/>
              </w:rPr>
              <w:t>2920</w:t>
            </w:r>
            <w:r>
              <w:rPr>
                <w:rFonts w:hint="default" w:ascii="Times New Roman" w:hAnsi="Times New Roman" w:eastAsia="宋体" w:cs="Times New Roman"/>
                <w:color w:val="auto"/>
                <w:sz w:val="24"/>
                <w:szCs w:val="24"/>
              </w:rPr>
              <w:t>只，其中</w:t>
            </w:r>
            <w:r>
              <w:rPr>
                <w:rFonts w:hint="eastAsia" w:ascii="Times New Roman" w:hAnsi="Times New Roman" w:cs="Times New Roman"/>
                <w:color w:val="auto"/>
                <w:sz w:val="24"/>
                <w:szCs w:val="24"/>
                <w:lang w:val="en-US" w:eastAsia="zh-CN"/>
              </w:rPr>
              <w:t>患病</w:t>
            </w:r>
            <w:r>
              <w:rPr>
                <w:rFonts w:hint="default" w:ascii="Times New Roman" w:hAnsi="Times New Roman" w:eastAsia="宋体" w:cs="Times New Roman"/>
                <w:color w:val="auto"/>
                <w:sz w:val="24"/>
                <w:szCs w:val="24"/>
              </w:rPr>
              <w:t>治疗</w:t>
            </w:r>
            <w:r>
              <w:rPr>
                <w:rFonts w:hint="eastAsia" w:ascii="Times New Roman" w:hAnsi="Times New Roman" w:cs="Times New Roman"/>
                <w:color w:val="auto"/>
                <w:sz w:val="24"/>
                <w:szCs w:val="24"/>
                <w:lang w:val="en-US" w:eastAsia="zh-CN"/>
              </w:rPr>
              <w:t>/</w:t>
            </w:r>
            <w:r>
              <w:rPr>
                <w:rFonts w:hint="default" w:ascii="Times New Roman" w:hAnsi="Times New Roman" w:eastAsia="宋体" w:cs="Times New Roman"/>
                <w:color w:val="auto"/>
                <w:sz w:val="24"/>
                <w:szCs w:val="24"/>
              </w:rPr>
              <w:t>住院观察的动物按</w:t>
            </w:r>
            <w:r>
              <w:rPr>
                <w:rFonts w:hint="default" w:ascii="Times New Roman" w:hAnsi="Times New Roman" w:eastAsia="宋体" w:cs="Times New Roman"/>
                <w:color w:val="auto"/>
                <w:sz w:val="24"/>
                <w:szCs w:val="24"/>
                <w:lang w:val="en-US" w:eastAsia="zh-CN"/>
              </w:rPr>
              <w:t>50</w:t>
            </w:r>
            <w:r>
              <w:rPr>
                <w:rFonts w:hint="default" w:ascii="Times New Roman" w:hAnsi="Times New Roman" w:eastAsia="宋体" w:cs="Times New Roman"/>
                <w:color w:val="auto"/>
                <w:sz w:val="24"/>
                <w:szCs w:val="24"/>
              </w:rPr>
              <w:t>%</w:t>
            </w:r>
            <w:r>
              <w:rPr>
                <w:rFonts w:hint="eastAsia" w:ascii="Times New Roman" w:hAnsi="Times New Roman" w:cs="Times New Roman"/>
                <w:color w:val="auto"/>
                <w:sz w:val="24"/>
                <w:szCs w:val="24"/>
                <w:lang w:val="en-US" w:eastAsia="zh-CN"/>
              </w:rPr>
              <w:t>计</w:t>
            </w:r>
            <w:r>
              <w:rPr>
                <w:rFonts w:hint="default" w:ascii="Times New Roman" w:hAnsi="Times New Roman" w:cs="Times New Roman"/>
                <w:color w:val="auto"/>
                <w:sz w:val="24"/>
                <w:szCs w:val="24"/>
                <w:lang w:val="en-US" w:eastAsia="zh-CN"/>
              </w:rPr>
              <w:t>为</w:t>
            </w:r>
            <w:r>
              <w:rPr>
                <w:rFonts w:hint="eastAsia" w:cs="Times New Roman"/>
                <w:color w:val="auto"/>
                <w:sz w:val="24"/>
                <w:szCs w:val="24"/>
                <w:lang w:val="en-US" w:eastAsia="zh-CN"/>
              </w:rPr>
              <w:t>1460</w:t>
            </w:r>
            <w:r>
              <w:rPr>
                <w:rFonts w:hint="default" w:ascii="Times New Roman" w:hAnsi="Times New Roman" w:cs="Times New Roman"/>
                <w:color w:val="auto"/>
                <w:sz w:val="24"/>
                <w:szCs w:val="24"/>
                <w:lang w:val="en-US" w:eastAsia="zh-CN"/>
              </w:rPr>
              <w:t>只</w:t>
            </w:r>
            <w:r>
              <w:rPr>
                <w:rFonts w:hint="default" w:ascii="Times New Roman" w:hAnsi="Times New Roman" w:eastAsia="宋体" w:cs="Times New Roman"/>
                <w:color w:val="auto"/>
                <w:sz w:val="24"/>
                <w:szCs w:val="24"/>
              </w:rPr>
              <w:t>，</w:t>
            </w:r>
            <w:r>
              <w:rPr>
                <w:rFonts w:hint="default" w:ascii="Times New Roman" w:hAnsi="Times New Roman" w:cs="Times New Roman"/>
                <w:color w:val="auto"/>
                <w:lang w:val="en-US" w:eastAsia="zh-CN"/>
              </w:rPr>
              <w:t>患病宠物产生的排泄物及猫砂产生量按照0.01千克/只宠物进行计算，</w:t>
            </w:r>
            <w:r>
              <w:rPr>
                <w:rFonts w:hint="eastAsia" w:ascii="Times New Roman" w:hAnsi="Times New Roman" w:cs="Times New Roman"/>
                <w:color w:val="auto"/>
                <w:lang w:val="en-US" w:eastAsia="zh-CN"/>
              </w:rPr>
              <w:t>则</w:t>
            </w:r>
            <w:r>
              <w:rPr>
                <w:rFonts w:hint="default" w:ascii="Times New Roman" w:hAnsi="Times New Roman" w:cs="Times New Roman"/>
                <w:color w:val="auto"/>
                <w:lang w:val="en-US" w:eastAsia="zh-CN"/>
              </w:rPr>
              <w:t>患病宠物产生的排泄物及猫砂</w:t>
            </w:r>
            <w:r>
              <w:rPr>
                <w:rFonts w:hint="eastAsia" w:cs="Times New Roman"/>
                <w:color w:val="auto"/>
                <w:lang w:val="en-US" w:eastAsia="zh-CN"/>
              </w:rPr>
              <w:t>0.0146</w:t>
            </w:r>
            <w:r>
              <w:rPr>
                <w:rFonts w:hint="default" w:ascii="Times New Roman" w:hAnsi="Times New Roman" w:cs="Times New Roman"/>
                <w:color w:val="auto"/>
                <w:lang w:val="en-US" w:eastAsia="zh-CN"/>
              </w:rPr>
              <w:t>吨/年。</w:t>
            </w:r>
            <w:r>
              <w:rPr>
                <w:rFonts w:hint="default" w:ascii="Times New Roman" w:hAnsi="Times New Roman" w:cs="Times New Roman"/>
                <w:color w:val="auto"/>
                <w:highlight w:val="none"/>
                <w:lang w:val="en-US" w:eastAsia="zh-CN"/>
              </w:rPr>
              <w:t>根据《国家危险废物名录（2025版）》，该危废属于HW01，危废代码</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841-001-01</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，患病宠物产生的排泄物及猫砂采用专用包装袋收集、消毒后暂存于医疗废物贮存间内，定期委托有资质的单位综合处置。</w:t>
            </w:r>
          </w:p>
          <w:p w14:paraId="223AF3D0">
            <w:pPr>
              <w:pStyle w:val="31"/>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③废紫外线灯管</w:t>
            </w:r>
          </w:p>
          <w:p w14:paraId="03FD3434">
            <w:pPr>
              <w:pStyle w:val="31"/>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项目区用紫外线灯管对空气进行消毒将产生废紫外线灯管。类比其他宠物医院，其废紫外线灯管产生量约为0.0</w:t>
            </w:r>
            <w:r>
              <w:rPr>
                <w:rFonts w:hint="eastAsia" w:cs="Times New Roman"/>
                <w:color w:val="auto"/>
                <w:highlight w:val="none"/>
                <w:lang w:val="en-US" w:eastAsia="zh-CN"/>
              </w:rPr>
              <w:t>02</w:t>
            </w:r>
            <w:r>
              <w:rPr>
                <w:rFonts w:hint="default" w:ascii="Times New Roman" w:hAnsi="Times New Roman" w:cs="Times New Roman"/>
                <w:color w:val="auto"/>
                <w:highlight w:val="none"/>
                <w:lang w:val="en-US" w:eastAsia="zh-CN"/>
              </w:rPr>
              <w:t>吨/年。根据《国家危险废物名录（2025版）》，废紫外线灯管属于HW29，危险废物代码900-023-29。根据建设单位提供资料，废紫外线灯管集中贮存在医疗废物贮存间，委托有资质单位上门回收处置。</w:t>
            </w:r>
          </w:p>
          <w:p w14:paraId="32DF4C3A">
            <w:pPr>
              <w:pStyle w:val="31"/>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④</w:t>
            </w:r>
            <w:bookmarkStart w:id="47" w:name="OLE_LINK70"/>
            <w:r>
              <w:rPr>
                <w:rFonts w:hint="default" w:ascii="Times New Roman" w:hAnsi="Times New Roman" w:cs="Times New Roman"/>
                <w:color w:val="auto"/>
                <w:highlight w:val="none"/>
                <w:lang w:val="en-US" w:eastAsia="zh-CN"/>
              </w:rPr>
              <w:t>医疗废水处理设施</w:t>
            </w:r>
            <w:r>
              <w:rPr>
                <w:rFonts w:hint="eastAsia" w:cs="Times New Roman"/>
                <w:color w:val="auto"/>
                <w:highlight w:val="none"/>
                <w:lang w:val="en-US" w:eastAsia="zh-CN"/>
              </w:rPr>
              <w:t>废渣</w:t>
            </w:r>
          </w:p>
          <w:bookmarkEnd w:id="47"/>
          <w:p w14:paraId="6BE7D0B0">
            <w:pPr>
              <w:pStyle w:val="31"/>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医疗废水处理设施采取</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一体化污水处理设施</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处理工艺，会产生少量的</w:t>
            </w:r>
            <w:r>
              <w:rPr>
                <w:rFonts w:hint="eastAsia" w:cs="Times New Roman"/>
                <w:color w:val="auto"/>
                <w:highlight w:val="none"/>
                <w:lang w:val="en-US" w:eastAsia="zh-CN"/>
              </w:rPr>
              <w:t>格栅废渣</w:t>
            </w:r>
            <w:r>
              <w:rPr>
                <w:rFonts w:hint="default" w:ascii="Times New Roman" w:hAnsi="Times New Roman" w:cs="Times New Roman"/>
                <w:color w:val="auto"/>
                <w:highlight w:val="none"/>
                <w:lang w:val="en-US" w:eastAsia="zh-CN"/>
              </w:rPr>
              <w:t>，</w:t>
            </w:r>
            <w:bookmarkStart w:id="48" w:name="OLE_LINK20"/>
            <w:r>
              <w:rPr>
                <w:rFonts w:hint="default" w:ascii="Times New Roman" w:hAnsi="Times New Roman" w:cs="Times New Roman"/>
                <w:color w:val="auto"/>
                <w:highlight w:val="none"/>
                <w:lang w:val="en-US" w:eastAsia="zh-CN"/>
              </w:rPr>
              <w:t>根据《国家危险废物名录（2025版）》，属于HW01感染性</w:t>
            </w:r>
            <w:r>
              <w:rPr>
                <w:rFonts w:hint="eastAsia" w:cs="Times New Roman"/>
                <w:color w:val="auto"/>
                <w:highlight w:val="none"/>
                <w:lang w:val="en-US" w:eastAsia="zh-CN"/>
              </w:rPr>
              <w:t>医疗废物</w:t>
            </w:r>
            <w:r>
              <w:rPr>
                <w:rFonts w:hint="default" w:ascii="Times New Roman" w:hAnsi="Times New Roman" w:cs="Times New Roman"/>
                <w:color w:val="auto"/>
                <w:highlight w:val="none"/>
                <w:lang w:val="en-US" w:eastAsia="zh-CN"/>
              </w:rPr>
              <w:t>，危险废物代码841-001-01。</w:t>
            </w:r>
            <w:bookmarkEnd w:id="48"/>
            <w:r>
              <w:rPr>
                <w:rFonts w:hint="default" w:ascii="Times New Roman" w:hAnsi="Times New Roman" w:cs="Times New Roman"/>
                <w:color w:val="auto"/>
                <w:highlight w:val="none"/>
                <w:lang w:val="en-US" w:eastAsia="zh-CN"/>
              </w:rPr>
              <w:t>医疗废水处理量为</w:t>
            </w:r>
            <w:r>
              <w:rPr>
                <w:rFonts w:hint="eastAsia" w:cs="Times New Roman"/>
                <w:color w:val="auto"/>
                <w:highlight w:val="none"/>
                <w:lang w:val="en-US" w:eastAsia="zh-CN"/>
              </w:rPr>
              <w:t>42.632</w:t>
            </w:r>
            <w:r>
              <w:rPr>
                <w:rFonts w:hint="default" w:ascii="Times New Roman" w:hAnsi="Times New Roman" w:cs="Times New Roman"/>
                <w:color w:val="auto"/>
                <w:highlight w:val="none"/>
                <w:lang w:val="en-US" w:eastAsia="zh-CN"/>
              </w:rPr>
              <w:t>t/a，</w:t>
            </w:r>
            <w:r>
              <w:rPr>
                <w:rFonts w:hint="eastAsia" w:cs="Times New Roman"/>
                <w:color w:val="auto"/>
                <w:highlight w:val="none"/>
                <w:lang w:val="en-US" w:eastAsia="zh-CN"/>
              </w:rPr>
              <w:t>废渣</w:t>
            </w:r>
            <w:r>
              <w:rPr>
                <w:rFonts w:hint="default" w:ascii="Times New Roman" w:hAnsi="Times New Roman" w:cs="Times New Roman"/>
                <w:color w:val="auto"/>
                <w:highlight w:val="none"/>
                <w:lang w:val="en-US" w:eastAsia="zh-CN"/>
              </w:rPr>
              <w:t>产生系数按照0.1kg</w:t>
            </w:r>
            <w:r>
              <w:rPr>
                <w:rFonts w:hint="eastAsia" w:cs="Times New Roman"/>
                <w:color w:val="auto"/>
                <w:highlight w:val="none"/>
                <w:lang w:val="en-US" w:eastAsia="zh-CN"/>
              </w:rPr>
              <w:t>废渣</w:t>
            </w:r>
            <w:r>
              <w:rPr>
                <w:rFonts w:hint="default" w:ascii="Times New Roman" w:hAnsi="Times New Roman" w:cs="Times New Roman"/>
                <w:color w:val="auto"/>
                <w:highlight w:val="none"/>
                <w:lang w:val="en-US" w:eastAsia="zh-CN"/>
              </w:rPr>
              <w:t>泥/t废水计，则医疗废水</w:t>
            </w:r>
            <w:r>
              <w:rPr>
                <w:rFonts w:hint="eastAsia"/>
                <w:color w:val="auto"/>
                <w:lang w:val="en-US" w:eastAsia="zh-CN"/>
              </w:rPr>
              <w:t>废渣</w:t>
            </w:r>
            <w:r>
              <w:rPr>
                <w:rFonts w:hint="default" w:ascii="Times New Roman" w:hAnsi="Times New Roman" w:cs="Times New Roman"/>
                <w:color w:val="auto"/>
                <w:highlight w:val="none"/>
                <w:lang w:val="en-US" w:eastAsia="zh-CN"/>
              </w:rPr>
              <w:t>产生量约为0.00</w:t>
            </w:r>
            <w:r>
              <w:rPr>
                <w:rFonts w:hint="eastAsia" w:cs="Times New Roman"/>
                <w:color w:val="auto"/>
                <w:highlight w:val="none"/>
                <w:lang w:val="en-US" w:eastAsia="zh-CN"/>
              </w:rPr>
              <w:t>426</w:t>
            </w:r>
            <w:r>
              <w:rPr>
                <w:rFonts w:hint="default" w:ascii="Times New Roman" w:hAnsi="Times New Roman" w:cs="Times New Roman"/>
                <w:color w:val="auto"/>
                <w:highlight w:val="none"/>
                <w:lang w:val="en-US" w:eastAsia="zh-CN"/>
              </w:rPr>
              <w:t>t/a，委托有资质单位定期清捞与处置，不在项目区贮存。</w:t>
            </w:r>
          </w:p>
          <w:p w14:paraId="03FFD61C">
            <w:pPr>
              <w:pStyle w:val="31"/>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项目在运营过程中产生的一般固体废物的产生情况见表4-1</w:t>
            </w:r>
            <w:r>
              <w:rPr>
                <w:rFonts w:hint="eastAsia" w:cs="Times New Roman"/>
                <w:color w:val="auto"/>
                <w:highlight w:val="none"/>
                <w:lang w:val="en-US" w:eastAsia="zh-CN"/>
              </w:rPr>
              <w:t>3</w:t>
            </w:r>
            <w:r>
              <w:rPr>
                <w:rFonts w:hint="default" w:ascii="Times New Roman" w:hAnsi="Times New Roman" w:cs="Times New Roman"/>
                <w:color w:val="auto"/>
                <w:highlight w:val="none"/>
                <w:lang w:val="en-US" w:eastAsia="zh-CN"/>
              </w:rPr>
              <w:t>。</w:t>
            </w:r>
          </w:p>
          <w:p w14:paraId="5E48BEA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kern w:val="0"/>
                <w:sz w:val="21"/>
                <w:szCs w:val="21"/>
                <w:highlight w:val="none"/>
                <w:lang w:val="en-US" w:eastAsia="zh-CN" w:bidi="ar"/>
              </w:rPr>
            </w:pPr>
            <w:r>
              <w:rPr>
                <w:rFonts w:hint="default" w:ascii="Times New Roman" w:hAnsi="Times New Roman" w:eastAsia="宋体" w:cs="Times New Roman"/>
                <w:b/>
                <w:bCs/>
                <w:color w:val="auto"/>
                <w:kern w:val="0"/>
                <w:sz w:val="21"/>
                <w:szCs w:val="21"/>
                <w:highlight w:val="none"/>
                <w:lang w:val="en-US" w:eastAsia="zh-CN" w:bidi="ar"/>
              </w:rPr>
              <w:t>表4-1</w:t>
            </w:r>
            <w:r>
              <w:rPr>
                <w:rFonts w:hint="eastAsia" w:cs="Times New Roman"/>
                <w:b/>
                <w:bCs/>
                <w:color w:val="auto"/>
                <w:kern w:val="0"/>
                <w:sz w:val="21"/>
                <w:szCs w:val="21"/>
                <w:highlight w:val="none"/>
                <w:lang w:val="en-US" w:eastAsia="zh-CN" w:bidi="ar"/>
              </w:rPr>
              <w:t>3</w:t>
            </w:r>
            <w:r>
              <w:rPr>
                <w:rFonts w:hint="default" w:ascii="Times New Roman" w:hAnsi="Times New Roman" w:eastAsia="宋体" w:cs="Times New Roman"/>
                <w:b/>
                <w:bCs/>
                <w:color w:val="auto"/>
                <w:kern w:val="0"/>
                <w:sz w:val="21"/>
                <w:szCs w:val="21"/>
                <w:highlight w:val="none"/>
                <w:lang w:val="en-US" w:eastAsia="zh-CN" w:bidi="ar"/>
              </w:rPr>
              <w:t xml:space="preserve">  一般固体废物产生及处置情况（t/a）</w:t>
            </w:r>
          </w:p>
          <w:tbl>
            <w:tblPr>
              <w:tblStyle w:val="19"/>
              <w:tblW w:w="82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3"/>
              <w:gridCol w:w="2429"/>
              <w:gridCol w:w="1532"/>
              <w:gridCol w:w="769"/>
              <w:gridCol w:w="2747"/>
            </w:tblGrid>
            <w:tr w14:paraId="7BF54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3" w:type="dxa"/>
                  <w:noWrap w:val="0"/>
                  <w:vAlign w:val="center"/>
                </w:tcPr>
                <w:p w14:paraId="26F2AE17">
                  <w:pPr>
                    <w:widowControl w:val="0"/>
                    <w:snapToGrid w:val="0"/>
                    <w:spacing w:line="240" w:lineRule="auto"/>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类别</w:t>
                  </w:r>
                </w:p>
              </w:tc>
              <w:tc>
                <w:tcPr>
                  <w:tcW w:w="2429" w:type="dxa"/>
                  <w:noWrap w:val="0"/>
                  <w:vAlign w:val="center"/>
                </w:tcPr>
                <w:p w14:paraId="29F5C584">
                  <w:pPr>
                    <w:widowControl w:val="0"/>
                    <w:snapToGrid w:val="0"/>
                    <w:spacing w:line="240" w:lineRule="auto"/>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废物名称</w:t>
                  </w:r>
                </w:p>
              </w:tc>
              <w:tc>
                <w:tcPr>
                  <w:tcW w:w="1532" w:type="dxa"/>
                  <w:noWrap w:val="0"/>
                  <w:vAlign w:val="center"/>
                </w:tcPr>
                <w:p w14:paraId="66F424DE">
                  <w:pPr>
                    <w:widowControl w:val="0"/>
                    <w:snapToGrid w:val="0"/>
                    <w:spacing w:line="240" w:lineRule="auto"/>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废物类别及代码</w:t>
                  </w:r>
                </w:p>
              </w:tc>
              <w:tc>
                <w:tcPr>
                  <w:tcW w:w="769" w:type="dxa"/>
                  <w:noWrap w:val="0"/>
                  <w:vAlign w:val="center"/>
                </w:tcPr>
                <w:p w14:paraId="7B77356D">
                  <w:pPr>
                    <w:widowControl w:val="0"/>
                    <w:snapToGrid w:val="0"/>
                    <w:spacing w:line="240" w:lineRule="auto"/>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产生量</w:t>
                  </w:r>
                </w:p>
              </w:tc>
              <w:tc>
                <w:tcPr>
                  <w:tcW w:w="2747" w:type="dxa"/>
                  <w:noWrap w:val="0"/>
                  <w:vAlign w:val="center"/>
                </w:tcPr>
                <w:p w14:paraId="247E1699">
                  <w:pPr>
                    <w:widowControl w:val="0"/>
                    <w:snapToGrid w:val="0"/>
                    <w:spacing w:line="240" w:lineRule="auto"/>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处置措施</w:t>
                  </w:r>
                </w:p>
              </w:tc>
            </w:tr>
            <w:tr w14:paraId="6415E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3" w:type="dxa"/>
                  <w:vMerge w:val="restart"/>
                  <w:noWrap w:val="0"/>
                  <w:vAlign w:val="center"/>
                </w:tcPr>
                <w:p w14:paraId="415B5010">
                  <w:pPr>
                    <w:widowControl w:val="0"/>
                    <w:snapToGrid w:val="0"/>
                    <w:spacing w:line="240" w:lineRule="auto"/>
                    <w:jc w:val="center"/>
                    <w:rPr>
                      <w:rFonts w:hint="default" w:ascii="Times New Roman" w:hAnsi="Times New Roman" w:eastAsia="宋体" w:cs="Times New Roman"/>
                      <w:color w:val="auto"/>
                      <w:sz w:val="21"/>
                      <w:szCs w:val="21"/>
                      <w:highlight w:val="none"/>
                      <w:lang w:val="en-US" w:eastAsia="zh-CN"/>
                    </w:rPr>
                  </w:pPr>
                  <w:bookmarkStart w:id="49" w:name="OLE_LINK13" w:colFirst="3" w:colLast="3"/>
                  <w:bookmarkStart w:id="50" w:name="OLE_LINK76" w:colFirst="2" w:colLast="2"/>
                  <w:bookmarkStart w:id="51" w:name="OLE_LINK74" w:colFirst="1" w:colLast="1"/>
                  <w:r>
                    <w:rPr>
                      <w:rFonts w:hint="default" w:ascii="Times New Roman" w:hAnsi="Times New Roman" w:eastAsia="宋体" w:cs="Times New Roman"/>
                      <w:color w:val="auto"/>
                      <w:sz w:val="21"/>
                      <w:szCs w:val="21"/>
                      <w:highlight w:val="none"/>
                      <w:lang w:val="en-US" w:eastAsia="zh-CN"/>
                    </w:rPr>
                    <w:t>一般固废</w:t>
                  </w:r>
                </w:p>
              </w:tc>
              <w:tc>
                <w:tcPr>
                  <w:tcW w:w="2429" w:type="dxa"/>
                  <w:noWrap w:val="0"/>
                  <w:vAlign w:val="center"/>
                </w:tcPr>
                <w:p w14:paraId="3E0FDC11">
                  <w:pPr>
                    <w:widowControl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拆包过程产生的</w:t>
                  </w:r>
                  <w:bookmarkStart w:id="52" w:name="OLE_LINK60"/>
                  <w:r>
                    <w:rPr>
                      <w:rFonts w:hint="default" w:ascii="Times New Roman" w:hAnsi="Times New Roman" w:eastAsia="宋体" w:cs="Times New Roman"/>
                      <w:color w:val="auto"/>
                      <w:sz w:val="21"/>
                      <w:szCs w:val="21"/>
                      <w:highlight w:val="none"/>
                      <w:lang w:val="en-US" w:eastAsia="zh-CN"/>
                    </w:rPr>
                    <w:t>废包装物、</w:t>
                  </w:r>
                  <w:bookmarkEnd w:id="52"/>
                  <w:r>
                    <w:rPr>
                      <w:rFonts w:hint="default" w:ascii="Times New Roman" w:hAnsi="Times New Roman" w:eastAsia="宋体" w:cs="Times New Roman"/>
                      <w:color w:val="auto"/>
                      <w:sz w:val="21"/>
                      <w:szCs w:val="21"/>
                      <w:highlight w:val="none"/>
                      <w:lang w:val="en-US" w:eastAsia="zh-CN"/>
                    </w:rPr>
                    <w:t>输液瓶（袋）</w:t>
                  </w:r>
                </w:p>
              </w:tc>
              <w:tc>
                <w:tcPr>
                  <w:tcW w:w="1532" w:type="dxa"/>
                  <w:noWrap w:val="0"/>
                  <w:vAlign w:val="center"/>
                </w:tcPr>
                <w:p w14:paraId="0548E9E5">
                  <w:pPr>
                    <w:widowControl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bookmarkStart w:id="53" w:name="OLE_LINK37"/>
                  <w:r>
                    <w:rPr>
                      <w:rFonts w:hint="default" w:ascii="Times New Roman" w:hAnsi="Times New Roman" w:eastAsia="宋体" w:cs="Times New Roman"/>
                      <w:color w:val="auto"/>
                      <w:sz w:val="21"/>
                      <w:szCs w:val="21"/>
                      <w:highlight w:val="none"/>
                      <w:lang w:val="en-US" w:eastAsia="zh-CN"/>
                    </w:rPr>
                    <w:t>SW62</w:t>
                  </w:r>
                </w:p>
                <w:p w14:paraId="190CBB36">
                  <w:pPr>
                    <w:widowControl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900-004-S62</w:t>
                  </w:r>
                  <w:bookmarkEnd w:id="53"/>
                  <w:r>
                    <w:rPr>
                      <w:rFonts w:hint="default" w:ascii="Times New Roman" w:hAnsi="Times New Roman" w:eastAsia="宋体" w:cs="Times New Roman"/>
                      <w:color w:val="auto"/>
                      <w:sz w:val="21"/>
                      <w:szCs w:val="21"/>
                      <w:highlight w:val="none"/>
                      <w:lang w:val="en-US" w:eastAsia="zh-CN"/>
                    </w:rPr>
                    <w:t>/</w:t>
                  </w:r>
                </w:p>
                <w:p w14:paraId="661CFB94">
                  <w:pPr>
                    <w:widowControl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900-002-S62</w:t>
                  </w:r>
                </w:p>
              </w:tc>
              <w:tc>
                <w:tcPr>
                  <w:tcW w:w="769" w:type="dxa"/>
                  <w:noWrap w:val="0"/>
                  <w:vAlign w:val="center"/>
                </w:tcPr>
                <w:p w14:paraId="37CD5368">
                  <w:pPr>
                    <w:widowControl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w:t>
                  </w:r>
                  <w:r>
                    <w:rPr>
                      <w:rFonts w:hint="eastAsia" w:cs="Times New Roman"/>
                      <w:color w:val="auto"/>
                      <w:sz w:val="21"/>
                      <w:szCs w:val="21"/>
                      <w:highlight w:val="none"/>
                      <w:lang w:val="en-US" w:eastAsia="zh-CN"/>
                    </w:rPr>
                    <w:t>2</w:t>
                  </w:r>
                </w:p>
              </w:tc>
              <w:tc>
                <w:tcPr>
                  <w:tcW w:w="2747" w:type="dxa"/>
                  <w:noWrap w:val="0"/>
                  <w:vAlign w:val="center"/>
                </w:tcPr>
                <w:p w14:paraId="5CBF3CC2">
                  <w:pPr>
                    <w:widowControl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收集暂存，交由再生资源回收单位处置。</w:t>
                  </w:r>
                </w:p>
              </w:tc>
            </w:tr>
            <w:tr w14:paraId="435A0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3" w:type="dxa"/>
                  <w:vMerge w:val="continue"/>
                  <w:noWrap w:val="0"/>
                  <w:vAlign w:val="center"/>
                </w:tcPr>
                <w:p w14:paraId="2F9C1EB0">
                  <w:pPr>
                    <w:widowControl w:val="0"/>
                    <w:snapToGrid w:val="0"/>
                    <w:spacing w:line="240" w:lineRule="auto"/>
                    <w:jc w:val="center"/>
                    <w:rPr>
                      <w:rFonts w:hint="default" w:ascii="Times New Roman" w:hAnsi="Times New Roman" w:eastAsia="宋体" w:cs="Times New Roman"/>
                      <w:color w:val="auto"/>
                      <w:sz w:val="21"/>
                      <w:szCs w:val="21"/>
                      <w:highlight w:val="none"/>
                      <w:lang w:val="en-US" w:eastAsia="zh-CN"/>
                    </w:rPr>
                  </w:pPr>
                </w:p>
              </w:tc>
              <w:tc>
                <w:tcPr>
                  <w:tcW w:w="2429" w:type="dxa"/>
                  <w:noWrap w:val="0"/>
                  <w:vAlign w:val="center"/>
                </w:tcPr>
                <w:p w14:paraId="4563BC9C">
                  <w:pPr>
                    <w:widowControl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宠物毛发</w:t>
                  </w:r>
                </w:p>
              </w:tc>
              <w:tc>
                <w:tcPr>
                  <w:tcW w:w="1532" w:type="dxa"/>
                  <w:vMerge w:val="restart"/>
                  <w:noWrap w:val="0"/>
                  <w:vAlign w:val="center"/>
                </w:tcPr>
                <w:p w14:paraId="7A9D8D27">
                  <w:pPr>
                    <w:widowControl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SW64</w:t>
                  </w:r>
                </w:p>
                <w:p w14:paraId="23E419A2">
                  <w:pPr>
                    <w:widowControl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900-099-S64</w:t>
                  </w:r>
                </w:p>
              </w:tc>
              <w:tc>
                <w:tcPr>
                  <w:tcW w:w="769" w:type="dxa"/>
                  <w:noWrap w:val="0"/>
                  <w:vAlign w:val="center"/>
                </w:tcPr>
                <w:p w14:paraId="2ABCFCCF">
                  <w:pPr>
                    <w:widowControl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w:t>
                  </w:r>
                  <w:r>
                    <w:rPr>
                      <w:rFonts w:hint="eastAsia" w:cs="Times New Roman"/>
                      <w:color w:val="auto"/>
                      <w:sz w:val="21"/>
                      <w:szCs w:val="21"/>
                      <w:highlight w:val="none"/>
                      <w:lang w:val="en-US" w:eastAsia="zh-CN"/>
                    </w:rPr>
                    <w:t>4</w:t>
                  </w:r>
                </w:p>
              </w:tc>
              <w:tc>
                <w:tcPr>
                  <w:tcW w:w="2747" w:type="dxa"/>
                  <w:noWrap w:val="0"/>
                  <w:vAlign w:val="center"/>
                </w:tcPr>
                <w:p w14:paraId="261FBA33">
                  <w:pPr>
                    <w:widowControl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交由环卫部门处置。</w:t>
                  </w:r>
                </w:p>
              </w:tc>
            </w:tr>
            <w:tr w14:paraId="1824D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3" w:type="dxa"/>
                  <w:vMerge w:val="continue"/>
                  <w:noWrap w:val="0"/>
                  <w:vAlign w:val="center"/>
                </w:tcPr>
                <w:p w14:paraId="6C8F5171">
                  <w:pPr>
                    <w:widowControl w:val="0"/>
                    <w:snapToGrid w:val="0"/>
                    <w:spacing w:line="240" w:lineRule="auto"/>
                    <w:jc w:val="center"/>
                    <w:rPr>
                      <w:rFonts w:hint="default" w:ascii="Times New Roman" w:hAnsi="Times New Roman" w:eastAsia="宋体" w:cs="Times New Roman"/>
                      <w:color w:val="auto"/>
                      <w:sz w:val="21"/>
                      <w:szCs w:val="21"/>
                      <w:highlight w:val="none"/>
                      <w:lang w:val="en-US" w:eastAsia="zh-CN"/>
                    </w:rPr>
                  </w:pPr>
                </w:p>
              </w:tc>
              <w:tc>
                <w:tcPr>
                  <w:tcW w:w="2429" w:type="dxa"/>
                  <w:noWrap w:val="0"/>
                  <w:vAlign w:val="center"/>
                </w:tcPr>
                <w:p w14:paraId="7EF67EF8">
                  <w:pPr>
                    <w:widowControl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宠物粪便及猫砂</w:t>
                  </w:r>
                </w:p>
              </w:tc>
              <w:tc>
                <w:tcPr>
                  <w:tcW w:w="1532" w:type="dxa"/>
                  <w:vMerge w:val="continue"/>
                  <w:noWrap w:val="0"/>
                  <w:vAlign w:val="center"/>
                </w:tcPr>
                <w:p w14:paraId="4DF1CBFC">
                  <w:pPr>
                    <w:widowControl w:val="0"/>
                    <w:snapToGrid w:val="0"/>
                    <w:spacing w:line="240" w:lineRule="auto"/>
                    <w:jc w:val="center"/>
                    <w:rPr>
                      <w:rFonts w:hint="default" w:ascii="Times New Roman" w:hAnsi="Times New Roman" w:eastAsia="宋体" w:cs="Times New Roman"/>
                      <w:color w:val="auto"/>
                      <w:sz w:val="21"/>
                      <w:szCs w:val="21"/>
                      <w:highlight w:val="none"/>
                      <w:lang w:val="en-US" w:eastAsia="zh-CN"/>
                    </w:rPr>
                  </w:pPr>
                </w:p>
              </w:tc>
              <w:tc>
                <w:tcPr>
                  <w:tcW w:w="769" w:type="dxa"/>
                  <w:noWrap w:val="0"/>
                  <w:vAlign w:val="center"/>
                </w:tcPr>
                <w:p w14:paraId="064080AF">
                  <w:pPr>
                    <w:widowControl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w:t>
                  </w:r>
                  <w:r>
                    <w:rPr>
                      <w:rFonts w:hint="eastAsia" w:cs="Times New Roman"/>
                      <w:color w:val="auto"/>
                      <w:sz w:val="21"/>
                      <w:szCs w:val="21"/>
                      <w:highlight w:val="none"/>
                      <w:lang w:val="en-US" w:eastAsia="zh-CN"/>
                    </w:rPr>
                    <w:t>3</w:t>
                  </w:r>
                </w:p>
              </w:tc>
              <w:tc>
                <w:tcPr>
                  <w:tcW w:w="2747" w:type="dxa"/>
                  <w:noWrap w:val="0"/>
                  <w:vAlign w:val="center"/>
                </w:tcPr>
                <w:p w14:paraId="18387CBD">
                  <w:pPr>
                    <w:widowControl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采用专用包装袋收集后统一由环卫部门处置</w:t>
                  </w:r>
                </w:p>
              </w:tc>
            </w:tr>
            <w:tr w14:paraId="52901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3" w:type="dxa"/>
                  <w:vMerge w:val="continue"/>
                  <w:noWrap w:val="0"/>
                  <w:vAlign w:val="center"/>
                </w:tcPr>
                <w:p w14:paraId="0F3375EB">
                  <w:pPr>
                    <w:widowControl w:val="0"/>
                    <w:snapToGrid w:val="0"/>
                    <w:spacing w:line="240" w:lineRule="auto"/>
                    <w:jc w:val="center"/>
                    <w:rPr>
                      <w:rFonts w:hint="default" w:ascii="Times New Roman" w:hAnsi="Times New Roman" w:eastAsia="宋体" w:cs="Times New Roman"/>
                      <w:color w:val="auto"/>
                      <w:sz w:val="21"/>
                      <w:szCs w:val="21"/>
                      <w:highlight w:val="none"/>
                      <w:lang w:val="en-US" w:eastAsia="zh-CN"/>
                    </w:rPr>
                  </w:pPr>
                </w:p>
              </w:tc>
              <w:tc>
                <w:tcPr>
                  <w:tcW w:w="2429" w:type="dxa"/>
                  <w:noWrap w:val="0"/>
                  <w:vAlign w:val="center"/>
                </w:tcPr>
                <w:p w14:paraId="5EFE75B9">
                  <w:pPr>
                    <w:widowControl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生活垃圾</w:t>
                  </w:r>
                </w:p>
              </w:tc>
              <w:tc>
                <w:tcPr>
                  <w:tcW w:w="1532" w:type="dxa"/>
                  <w:vMerge w:val="continue"/>
                  <w:noWrap w:val="0"/>
                  <w:vAlign w:val="center"/>
                </w:tcPr>
                <w:p w14:paraId="63616841">
                  <w:pPr>
                    <w:widowControl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p>
              </w:tc>
              <w:tc>
                <w:tcPr>
                  <w:tcW w:w="769" w:type="dxa"/>
                  <w:noWrap w:val="0"/>
                  <w:vAlign w:val="center"/>
                </w:tcPr>
                <w:p w14:paraId="7F8B8348">
                  <w:pPr>
                    <w:widowControl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1.095</w:t>
                  </w:r>
                </w:p>
              </w:tc>
              <w:tc>
                <w:tcPr>
                  <w:tcW w:w="2747" w:type="dxa"/>
                  <w:noWrap w:val="0"/>
                  <w:vAlign w:val="center"/>
                </w:tcPr>
                <w:p w14:paraId="62A6BF4F">
                  <w:pPr>
                    <w:widowControl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集中收集至垃圾桶后，由环卫部门统一收运处置。</w:t>
                  </w:r>
                </w:p>
              </w:tc>
            </w:tr>
            <w:tr w14:paraId="3FF01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3" w:type="dxa"/>
                  <w:vMerge w:val="continue"/>
                  <w:noWrap w:val="0"/>
                  <w:vAlign w:val="center"/>
                </w:tcPr>
                <w:p w14:paraId="5327C338">
                  <w:pPr>
                    <w:widowControl w:val="0"/>
                    <w:snapToGrid w:val="0"/>
                    <w:spacing w:line="240" w:lineRule="auto"/>
                    <w:jc w:val="center"/>
                    <w:rPr>
                      <w:rFonts w:hint="default" w:ascii="Times New Roman" w:hAnsi="Times New Roman" w:eastAsia="宋体" w:cs="Times New Roman"/>
                      <w:color w:val="auto"/>
                      <w:sz w:val="21"/>
                      <w:szCs w:val="21"/>
                      <w:highlight w:val="none"/>
                      <w:lang w:val="en-US" w:eastAsia="zh-CN"/>
                    </w:rPr>
                  </w:pPr>
                </w:p>
              </w:tc>
              <w:tc>
                <w:tcPr>
                  <w:tcW w:w="2429" w:type="dxa"/>
                  <w:noWrap w:val="0"/>
                  <w:vAlign w:val="center"/>
                </w:tcPr>
                <w:p w14:paraId="292FA7B4">
                  <w:pPr>
                    <w:widowControl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动物尸体</w:t>
                  </w:r>
                </w:p>
              </w:tc>
              <w:tc>
                <w:tcPr>
                  <w:tcW w:w="1532" w:type="dxa"/>
                  <w:noWrap w:val="0"/>
                  <w:vAlign w:val="center"/>
                </w:tcPr>
                <w:p w14:paraId="6678C66E">
                  <w:pPr>
                    <w:widowControl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769" w:type="dxa"/>
                  <w:noWrap w:val="0"/>
                  <w:vAlign w:val="center"/>
                </w:tcPr>
                <w:p w14:paraId="18350AF8">
                  <w:pPr>
                    <w:widowControl w:val="0"/>
                    <w:snapToGrid w:val="0"/>
                    <w:spacing w:line="240" w:lineRule="auto"/>
                    <w:ind w:firstLine="0" w:firstLineChars="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0.024</w:t>
                  </w:r>
                </w:p>
              </w:tc>
              <w:tc>
                <w:tcPr>
                  <w:tcW w:w="2747" w:type="dxa"/>
                  <w:noWrap w:val="0"/>
                  <w:vAlign w:val="center"/>
                </w:tcPr>
                <w:p w14:paraId="17A28427">
                  <w:pPr>
                    <w:widowControl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本项目运营过程中不负责处理动物尸体，由客户自行带走</w:t>
                  </w:r>
                  <w:r>
                    <w:rPr>
                      <w:rFonts w:hint="eastAsia" w:cs="Times New Roman"/>
                      <w:color w:val="auto"/>
                      <w:sz w:val="21"/>
                      <w:szCs w:val="21"/>
                      <w:highlight w:val="none"/>
                      <w:lang w:val="en-US" w:eastAsia="zh-CN"/>
                    </w:rPr>
                    <w:t>依法</w:t>
                  </w:r>
                  <w:r>
                    <w:rPr>
                      <w:rFonts w:hint="default" w:ascii="Times New Roman" w:hAnsi="Times New Roman" w:eastAsia="宋体" w:cs="Times New Roman"/>
                      <w:color w:val="auto"/>
                      <w:sz w:val="21"/>
                      <w:szCs w:val="21"/>
                      <w:highlight w:val="none"/>
                      <w:lang w:val="en-US" w:eastAsia="zh-CN"/>
                    </w:rPr>
                    <w:t>处置。</w:t>
                  </w:r>
                </w:p>
              </w:tc>
            </w:tr>
            <w:bookmarkEnd w:id="49"/>
            <w:bookmarkEnd w:id="50"/>
            <w:bookmarkEnd w:id="51"/>
          </w:tbl>
          <w:p w14:paraId="1D281560">
            <w:pPr>
              <w:keepNext w:val="0"/>
              <w:keepLines w:val="0"/>
              <w:pageBreakBefore w:val="0"/>
              <w:kinsoku/>
              <w:wordWrap/>
              <w:overflowPunct/>
              <w:topLinePunct w:val="0"/>
              <w:autoSpaceDE/>
              <w:autoSpaceDN/>
              <w:bidi w:val="0"/>
              <w:adjustRightInd/>
              <w:snapToGrid/>
              <w:ind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根据《建设项目危险废物环境影响评价指南》（环境保护部〔2017〕43号）要求，本项目危险废物基本情况见表4-</w:t>
            </w:r>
            <w:r>
              <w:rPr>
                <w:rFonts w:hint="default" w:ascii="Times New Roman" w:hAnsi="Times New Roman" w:cs="Times New Roman"/>
                <w:color w:val="auto"/>
                <w:highlight w:val="none"/>
                <w:lang w:val="en-US" w:eastAsia="zh-CN"/>
              </w:rPr>
              <w:t>1</w:t>
            </w:r>
            <w:r>
              <w:rPr>
                <w:rFonts w:hint="eastAsia" w:cs="Times New Roman"/>
                <w:color w:val="auto"/>
                <w:highlight w:val="none"/>
                <w:lang w:val="en-US" w:eastAsia="zh-CN"/>
              </w:rPr>
              <w:t>4</w:t>
            </w:r>
            <w:r>
              <w:rPr>
                <w:rFonts w:hint="default" w:ascii="Times New Roman" w:hAnsi="Times New Roman" w:eastAsia="宋体" w:cs="Times New Roman"/>
                <w:color w:val="auto"/>
                <w:highlight w:val="none"/>
                <w:lang w:val="en-US" w:eastAsia="zh-CN"/>
              </w:rPr>
              <w:t>。</w:t>
            </w:r>
          </w:p>
          <w:p w14:paraId="27C0285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kern w:val="0"/>
                <w:sz w:val="21"/>
                <w:szCs w:val="21"/>
                <w:highlight w:val="none"/>
                <w:lang w:val="en-US" w:eastAsia="zh-CN" w:bidi="ar"/>
              </w:rPr>
            </w:pPr>
            <w:r>
              <w:rPr>
                <w:rFonts w:hint="default" w:ascii="Times New Roman" w:hAnsi="Times New Roman" w:eastAsia="宋体" w:cs="Times New Roman"/>
                <w:b/>
                <w:bCs/>
                <w:color w:val="auto"/>
                <w:kern w:val="0"/>
                <w:sz w:val="21"/>
                <w:szCs w:val="21"/>
                <w:highlight w:val="none"/>
                <w:lang w:val="en-US" w:eastAsia="zh-CN" w:bidi="ar"/>
              </w:rPr>
              <w:t>表4-1</w:t>
            </w:r>
            <w:r>
              <w:rPr>
                <w:rFonts w:hint="eastAsia" w:cs="Times New Roman"/>
                <w:b/>
                <w:bCs/>
                <w:color w:val="auto"/>
                <w:kern w:val="0"/>
                <w:sz w:val="21"/>
                <w:szCs w:val="21"/>
                <w:highlight w:val="none"/>
                <w:lang w:val="en-US" w:eastAsia="zh-CN" w:bidi="ar"/>
              </w:rPr>
              <w:t>4</w:t>
            </w:r>
            <w:r>
              <w:rPr>
                <w:rFonts w:hint="default" w:ascii="Times New Roman" w:hAnsi="Times New Roman" w:eastAsia="宋体" w:cs="Times New Roman"/>
                <w:b/>
                <w:bCs/>
                <w:color w:val="auto"/>
                <w:kern w:val="0"/>
                <w:sz w:val="21"/>
                <w:szCs w:val="21"/>
                <w:highlight w:val="none"/>
                <w:lang w:val="en-US" w:eastAsia="zh-CN" w:bidi="ar"/>
              </w:rPr>
              <w:t xml:space="preserve">  项目危险废物产生及处置情况（t/a）</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41"/>
              <w:gridCol w:w="513"/>
              <w:gridCol w:w="865"/>
              <w:gridCol w:w="800"/>
              <w:gridCol w:w="1183"/>
              <w:gridCol w:w="1351"/>
              <w:gridCol w:w="816"/>
              <w:gridCol w:w="716"/>
              <w:gridCol w:w="1535"/>
            </w:tblGrid>
            <w:tr w14:paraId="104FF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68" w:type="pct"/>
                  <w:noWrap w:val="0"/>
                  <w:vAlign w:val="center"/>
                </w:tcPr>
                <w:p w14:paraId="45B016C1">
                  <w:pPr>
                    <w:widowControl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序号</w:t>
                  </w:r>
                </w:p>
              </w:tc>
              <w:tc>
                <w:tcPr>
                  <w:tcW w:w="838" w:type="pct"/>
                  <w:gridSpan w:val="2"/>
                  <w:noWrap w:val="0"/>
                  <w:vAlign w:val="center"/>
                </w:tcPr>
                <w:p w14:paraId="0D650D96">
                  <w:pPr>
                    <w:widowControl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名称</w:t>
                  </w:r>
                </w:p>
              </w:tc>
              <w:tc>
                <w:tcPr>
                  <w:tcW w:w="486" w:type="pct"/>
                  <w:noWrap w:val="0"/>
                  <w:vAlign w:val="center"/>
                </w:tcPr>
                <w:p w14:paraId="0E557A23">
                  <w:pPr>
                    <w:widowControl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危险废物类别</w:t>
                  </w:r>
                </w:p>
              </w:tc>
              <w:tc>
                <w:tcPr>
                  <w:tcW w:w="719" w:type="pct"/>
                  <w:noWrap w:val="0"/>
                  <w:vAlign w:val="center"/>
                </w:tcPr>
                <w:p w14:paraId="09476146">
                  <w:pPr>
                    <w:widowControl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危险废物代码</w:t>
                  </w:r>
                </w:p>
              </w:tc>
              <w:tc>
                <w:tcPr>
                  <w:tcW w:w="821" w:type="pct"/>
                  <w:noWrap w:val="0"/>
                  <w:vAlign w:val="center"/>
                </w:tcPr>
                <w:p w14:paraId="1521AD2E">
                  <w:pPr>
                    <w:widowControl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主要有毒有害物质名称</w:t>
                  </w:r>
                </w:p>
              </w:tc>
              <w:tc>
                <w:tcPr>
                  <w:tcW w:w="496" w:type="pct"/>
                  <w:noWrap w:val="0"/>
                  <w:vAlign w:val="center"/>
                </w:tcPr>
                <w:p w14:paraId="3BB42014">
                  <w:pPr>
                    <w:widowControl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环境危险特性</w:t>
                  </w:r>
                </w:p>
              </w:tc>
              <w:tc>
                <w:tcPr>
                  <w:tcW w:w="435" w:type="pct"/>
                  <w:noWrap w:val="0"/>
                  <w:vAlign w:val="center"/>
                </w:tcPr>
                <w:p w14:paraId="2D66AAE3">
                  <w:pPr>
                    <w:widowControl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产生量</w:t>
                  </w:r>
                </w:p>
              </w:tc>
              <w:tc>
                <w:tcPr>
                  <w:tcW w:w="933" w:type="pct"/>
                  <w:noWrap w:val="0"/>
                  <w:vAlign w:val="center"/>
                </w:tcPr>
                <w:p w14:paraId="67F0D9AC">
                  <w:pPr>
                    <w:widowControl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环境管理要求</w:t>
                  </w:r>
                </w:p>
              </w:tc>
            </w:tr>
            <w:tr w14:paraId="05CA3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68" w:type="pct"/>
                  <w:vMerge w:val="restart"/>
                  <w:noWrap w:val="0"/>
                  <w:vAlign w:val="center"/>
                </w:tcPr>
                <w:p w14:paraId="38EB5761">
                  <w:pPr>
                    <w:widowControl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p>
              </w:tc>
              <w:tc>
                <w:tcPr>
                  <w:tcW w:w="312" w:type="pct"/>
                  <w:vMerge w:val="restart"/>
                  <w:noWrap w:val="0"/>
                  <w:vAlign w:val="center"/>
                </w:tcPr>
                <w:p w14:paraId="204F02C4">
                  <w:pPr>
                    <w:widowControl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医疗废物</w:t>
                  </w:r>
                </w:p>
              </w:tc>
              <w:tc>
                <w:tcPr>
                  <w:tcW w:w="526" w:type="pct"/>
                  <w:noWrap w:val="0"/>
                  <w:vAlign w:val="center"/>
                </w:tcPr>
                <w:p w14:paraId="266011E4">
                  <w:pPr>
                    <w:widowControl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感染性</w:t>
                  </w:r>
                </w:p>
              </w:tc>
              <w:tc>
                <w:tcPr>
                  <w:tcW w:w="486" w:type="pct"/>
                  <w:vMerge w:val="restart"/>
                  <w:noWrap w:val="0"/>
                  <w:vAlign w:val="center"/>
                </w:tcPr>
                <w:p w14:paraId="4AE59998">
                  <w:pPr>
                    <w:widowControl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HW01</w:t>
                  </w:r>
                </w:p>
              </w:tc>
              <w:tc>
                <w:tcPr>
                  <w:tcW w:w="719" w:type="pct"/>
                  <w:noWrap w:val="0"/>
                  <w:vAlign w:val="center"/>
                </w:tcPr>
                <w:p w14:paraId="6A8F14B4">
                  <w:pPr>
                    <w:widowControl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841-001-01</w:t>
                  </w:r>
                </w:p>
              </w:tc>
              <w:tc>
                <w:tcPr>
                  <w:tcW w:w="821" w:type="pct"/>
                  <w:vMerge w:val="restart"/>
                  <w:noWrap w:val="0"/>
                  <w:vAlign w:val="center"/>
                </w:tcPr>
                <w:p w14:paraId="658B47FA">
                  <w:pPr>
                    <w:widowControl w:val="0"/>
                    <w:snapToGrid w:val="0"/>
                    <w:spacing w:line="240" w:lineRule="auto"/>
                    <w:jc w:val="center"/>
                    <w:rPr>
                      <w:rFonts w:hint="default" w:ascii="Times New Roman" w:hAnsi="Times New Roman" w:eastAsia="宋体" w:cs="Times New Roman"/>
                      <w:color w:val="auto"/>
                      <w:sz w:val="21"/>
                      <w:szCs w:val="21"/>
                      <w:highlight w:val="none"/>
                      <w:lang w:val="en-US" w:eastAsia="zh-CN"/>
                    </w:rPr>
                  </w:pPr>
                  <w:bookmarkStart w:id="54" w:name="OLE_LINK52"/>
                  <w:r>
                    <w:rPr>
                      <w:rFonts w:hint="default" w:ascii="Times New Roman" w:hAnsi="Times New Roman" w:eastAsia="宋体" w:cs="Times New Roman"/>
                      <w:color w:val="auto"/>
                      <w:sz w:val="21"/>
                      <w:szCs w:val="21"/>
                      <w:highlight w:val="none"/>
                      <w:lang w:val="en-US" w:eastAsia="zh-CN"/>
                    </w:rPr>
                    <w:t>含有或沾染的细菌病毒等</w:t>
                  </w:r>
                  <w:bookmarkEnd w:id="54"/>
                </w:p>
              </w:tc>
              <w:tc>
                <w:tcPr>
                  <w:tcW w:w="496" w:type="pct"/>
                  <w:noWrap w:val="0"/>
                  <w:vAlign w:val="center"/>
                </w:tcPr>
                <w:p w14:paraId="20A65821">
                  <w:pPr>
                    <w:widowControl w:val="0"/>
                    <w:snapToGrid w:val="0"/>
                    <w:spacing w:line="240" w:lineRule="auto"/>
                    <w:jc w:val="center"/>
                    <w:rPr>
                      <w:rFonts w:hint="default" w:ascii="Times New Roman" w:hAnsi="Times New Roman" w:eastAsia="宋体" w:cs="Times New Roman"/>
                      <w:color w:val="auto"/>
                      <w:sz w:val="21"/>
                      <w:szCs w:val="21"/>
                      <w:highlight w:val="none"/>
                      <w:lang w:val="en-US" w:eastAsia="zh-CN"/>
                    </w:rPr>
                  </w:pPr>
                  <w:bookmarkStart w:id="55" w:name="OLE_LINK53"/>
                  <w:r>
                    <w:rPr>
                      <w:rFonts w:hint="default" w:ascii="Times New Roman" w:hAnsi="Times New Roman" w:eastAsia="宋体" w:cs="Times New Roman"/>
                      <w:color w:val="auto"/>
                      <w:sz w:val="21"/>
                      <w:szCs w:val="21"/>
                      <w:highlight w:val="none"/>
                      <w:lang w:val="en-US" w:eastAsia="zh-CN"/>
                    </w:rPr>
                    <w:t>In</w:t>
                  </w:r>
                  <w:bookmarkEnd w:id="55"/>
                </w:p>
              </w:tc>
              <w:tc>
                <w:tcPr>
                  <w:tcW w:w="435" w:type="pct"/>
                  <w:vMerge w:val="restart"/>
                  <w:noWrap w:val="0"/>
                  <w:vAlign w:val="center"/>
                </w:tcPr>
                <w:p w14:paraId="39287265">
                  <w:pPr>
                    <w:widowControl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0.161</w:t>
                  </w:r>
                </w:p>
              </w:tc>
              <w:tc>
                <w:tcPr>
                  <w:tcW w:w="933" w:type="pct"/>
                  <w:vMerge w:val="restart"/>
                  <w:noWrap w:val="0"/>
                  <w:vAlign w:val="center"/>
                </w:tcPr>
                <w:p w14:paraId="3BCB44A3">
                  <w:pPr>
                    <w:widowControl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收集消毒后暂存在</w:t>
                  </w:r>
                  <w:r>
                    <w:rPr>
                      <w:rFonts w:hint="default" w:ascii="Times New Roman" w:hAnsi="Times New Roman" w:cs="Times New Roman"/>
                      <w:color w:val="auto"/>
                      <w:sz w:val="21"/>
                      <w:szCs w:val="21"/>
                      <w:highlight w:val="none"/>
                      <w:lang w:val="en-US" w:eastAsia="zh-CN"/>
                    </w:rPr>
                    <w:t>医疗废物贮存间</w:t>
                  </w:r>
                  <w:r>
                    <w:rPr>
                      <w:rFonts w:hint="default" w:ascii="Times New Roman" w:hAnsi="Times New Roman" w:eastAsia="宋体" w:cs="Times New Roman"/>
                      <w:color w:val="auto"/>
                      <w:sz w:val="21"/>
                      <w:szCs w:val="21"/>
                      <w:highlight w:val="none"/>
                      <w:lang w:val="en-US" w:eastAsia="zh-CN"/>
                    </w:rPr>
                    <w:t>，委托有资质单位上门回收处置</w:t>
                  </w:r>
                  <w:r>
                    <w:rPr>
                      <w:rFonts w:hint="eastAsia" w:cs="Times New Roman"/>
                      <w:color w:val="auto"/>
                      <w:sz w:val="21"/>
                      <w:szCs w:val="21"/>
                      <w:highlight w:val="none"/>
                      <w:lang w:val="en-US" w:eastAsia="zh-CN"/>
                    </w:rPr>
                    <w:t>；</w:t>
                  </w:r>
                </w:p>
              </w:tc>
            </w:tr>
            <w:tr w14:paraId="0FB54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68" w:type="pct"/>
                  <w:vMerge w:val="continue"/>
                  <w:noWrap w:val="0"/>
                  <w:vAlign w:val="center"/>
                </w:tcPr>
                <w:p w14:paraId="3A324D5F">
                  <w:pPr>
                    <w:widowControl w:val="0"/>
                    <w:snapToGrid w:val="0"/>
                    <w:spacing w:line="240" w:lineRule="auto"/>
                    <w:jc w:val="center"/>
                    <w:rPr>
                      <w:rFonts w:hint="default" w:ascii="Times New Roman" w:hAnsi="Times New Roman" w:eastAsia="宋体" w:cs="Times New Roman"/>
                      <w:color w:val="auto"/>
                      <w:sz w:val="21"/>
                      <w:szCs w:val="21"/>
                      <w:highlight w:val="none"/>
                      <w:lang w:val="en-US" w:eastAsia="zh-CN"/>
                    </w:rPr>
                  </w:pPr>
                </w:p>
              </w:tc>
              <w:tc>
                <w:tcPr>
                  <w:tcW w:w="312" w:type="pct"/>
                  <w:vMerge w:val="continue"/>
                  <w:noWrap w:val="0"/>
                  <w:vAlign w:val="center"/>
                </w:tcPr>
                <w:p w14:paraId="6A050AB3">
                  <w:pPr>
                    <w:widowControl w:val="0"/>
                    <w:snapToGrid w:val="0"/>
                    <w:spacing w:line="240" w:lineRule="auto"/>
                    <w:jc w:val="center"/>
                    <w:rPr>
                      <w:rFonts w:hint="default" w:ascii="Times New Roman" w:hAnsi="Times New Roman" w:eastAsia="宋体" w:cs="Times New Roman"/>
                      <w:color w:val="auto"/>
                      <w:sz w:val="21"/>
                      <w:szCs w:val="21"/>
                      <w:highlight w:val="none"/>
                      <w:lang w:val="en-US" w:eastAsia="zh-CN"/>
                    </w:rPr>
                  </w:pPr>
                </w:p>
              </w:tc>
              <w:tc>
                <w:tcPr>
                  <w:tcW w:w="526" w:type="pct"/>
                  <w:noWrap w:val="0"/>
                  <w:vAlign w:val="center"/>
                </w:tcPr>
                <w:p w14:paraId="21A7760E">
                  <w:pPr>
                    <w:widowControl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损伤性</w:t>
                  </w:r>
                </w:p>
              </w:tc>
              <w:tc>
                <w:tcPr>
                  <w:tcW w:w="486" w:type="pct"/>
                  <w:vMerge w:val="continue"/>
                  <w:noWrap w:val="0"/>
                  <w:vAlign w:val="center"/>
                </w:tcPr>
                <w:p w14:paraId="285510D2">
                  <w:pPr>
                    <w:widowControl w:val="0"/>
                    <w:snapToGrid w:val="0"/>
                    <w:spacing w:line="240" w:lineRule="auto"/>
                    <w:jc w:val="center"/>
                    <w:rPr>
                      <w:rFonts w:hint="default" w:ascii="Times New Roman" w:hAnsi="Times New Roman" w:eastAsia="宋体" w:cs="Times New Roman"/>
                      <w:color w:val="auto"/>
                      <w:sz w:val="21"/>
                      <w:szCs w:val="21"/>
                      <w:highlight w:val="none"/>
                      <w:lang w:val="en-US" w:eastAsia="zh-CN"/>
                    </w:rPr>
                  </w:pPr>
                </w:p>
              </w:tc>
              <w:tc>
                <w:tcPr>
                  <w:tcW w:w="719" w:type="pct"/>
                  <w:noWrap w:val="0"/>
                  <w:vAlign w:val="center"/>
                </w:tcPr>
                <w:p w14:paraId="6F172F7A">
                  <w:pPr>
                    <w:widowControl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841-002-01</w:t>
                  </w:r>
                </w:p>
              </w:tc>
              <w:tc>
                <w:tcPr>
                  <w:tcW w:w="821" w:type="pct"/>
                  <w:vMerge w:val="continue"/>
                  <w:noWrap w:val="0"/>
                  <w:vAlign w:val="center"/>
                </w:tcPr>
                <w:p w14:paraId="42706661">
                  <w:pPr>
                    <w:widowControl w:val="0"/>
                    <w:snapToGrid w:val="0"/>
                    <w:spacing w:line="240" w:lineRule="auto"/>
                    <w:jc w:val="center"/>
                    <w:rPr>
                      <w:rFonts w:hint="default" w:ascii="Times New Roman" w:hAnsi="Times New Roman" w:eastAsia="宋体" w:cs="Times New Roman"/>
                      <w:color w:val="auto"/>
                      <w:sz w:val="21"/>
                      <w:szCs w:val="21"/>
                      <w:highlight w:val="none"/>
                      <w:lang w:val="en-US" w:eastAsia="zh-CN"/>
                    </w:rPr>
                  </w:pPr>
                </w:p>
              </w:tc>
              <w:tc>
                <w:tcPr>
                  <w:tcW w:w="496" w:type="pct"/>
                  <w:noWrap w:val="0"/>
                  <w:vAlign w:val="center"/>
                </w:tcPr>
                <w:p w14:paraId="7D62A92B">
                  <w:pPr>
                    <w:widowControl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In</w:t>
                  </w:r>
                </w:p>
              </w:tc>
              <w:tc>
                <w:tcPr>
                  <w:tcW w:w="435" w:type="pct"/>
                  <w:vMerge w:val="continue"/>
                  <w:noWrap w:val="0"/>
                  <w:vAlign w:val="center"/>
                </w:tcPr>
                <w:p w14:paraId="3C67F335">
                  <w:pPr>
                    <w:widowControl w:val="0"/>
                    <w:snapToGrid w:val="0"/>
                    <w:spacing w:line="240" w:lineRule="auto"/>
                    <w:jc w:val="center"/>
                    <w:rPr>
                      <w:rFonts w:hint="default" w:ascii="Times New Roman" w:hAnsi="Times New Roman" w:eastAsia="宋体" w:cs="Times New Roman"/>
                      <w:color w:val="auto"/>
                      <w:sz w:val="21"/>
                      <w:szCs w:val="21"/>
                      <w:highlight w:val="none"/>
                      <w:lang w:val="en-US" w:eastAsia="zh-CN"/>
                    </w:rPr>
                  </w:pPr>
                </w:p>
              </w:tc>
              <w:tc>
                <w:tcPr>
                  <w:tcW w:w="933" w:type="pct"/>
                  <w:vMerge w:val="continue"/>
                  <w:noWrap w:val="0"/>
                  <w:vAlign w:val="center"/>
                </w:tcPr>
                <w:p w14:paraId="1DB933E1">
                  <w:pPr>
                    <w:keepNext w:val="0"/>
                    <w:keepLines w:val="0"/>
                    <w:pageBreakBefore w:val="0"/>
                    <w:widowControl w:val="0"/>
                    <w:kinsoku/>
                    <w:wordWrap/>
                    <w:overflowPunct/>
                    <w:topLinePunct w:val="0"/>
                    <w:autoSpaceDE/>
                    <w:autoSpaceDN/>
                    <w:bidi w:val="0"/>
                    <w:adjustRightInd/>
                    <w:snapToGrid/>
                    <w:spacing w:line="240" w:lineRule="auto"/>
                    <w:ind w:left="-120" w:leftChars="-50" w:right="-120" w:rightChars="-50"/>
                    <w:jc w:val="center"/>
                    <w:textAlignment w:val="auto"/>
                    <w:rPr>
                      <w:rFonts w:hint="default" w:ascii="Times New Roman" w:hAnsi="Times New Roman" w:eastAsia="宋体" w:cs="Times New Roman"/>
                      <w:color w:val="auto"/>
                      <w:sz w:val="21"/>
                      <w:szCs w:val="21"/>
                      <w:highlight w:val="none"/>
                      <w:lang w:val="en-US" w:eastAsia="zh-CN"/>
                    </w:rPr>
                  </w:pPr>
                </w:p>
              </w:tc>
            </w:tr>
            <w:tr w14:paraId="7DC59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68" w:type="pct"/>
                  <w:vMerge w:val="continue"/>
                  <w:noWrap w:val="0"/>
                  <w:vAlign w:val="center"/>
                </w:tcPr>
                <w:p w14:paraId="78C43F7B">
                  <w:pPr>
                    <w:widowControl w:val="0"/>
                    <w:snapToGrid w:val="0"/>
                    <w:spacing w:line="240" w:lineRule="auto"/>
                    <w:jc w:val="center"/>
                    <w:rPr>
                      <w:rFonts w:hint="default" w:ascii="Times New Roman" w:hAnsi="Times New Roman" w:eastAsia="宋体" w:cs="Times New Roman"/>
                      <w:color w:val="auto"/>
                      <w:sz w:val="21"/>
                      <w:szCs w:val="21"/>
                      <w:highlight w:val="none"/>
                      <w:lang w:val="en-US" w:eastAsia="zh-CN"/>
                    </w:rPr>
                  </w:pPr>
                </w:p>
              </w:tc>
              <w:tc>
                <w:tcPr>
                  <w:tcW w:w="312" w:type="pct"/>
                  <w:vMerge w:val="continue"/>
                  <w:noWrap w:val="0"/>
                  <w:vAlign w:val="center"/>
                </w:tcPr>
                <w:p w14:paraId="67387D4D">
                  <w:pPr>
                    <w:widowControl w:val="0"/>
                    <w:snapToGrid w:val="0"/>
                    <w:spacing w:line="240" w:lineRule="auto"/>
                    <w:jc w:val="center"/>
                    <w:rPr>
                      <w:rFonts w:hint="default" w:ascii="Times New Roman" w:hAnsi="Times New Roman" w:eastAsia="宋体" w:cs="Times New Roman"/>
                      <w:color w:val="auto"/>
                      <w:sz w:val="21"/>
                      <w:szCs w:val="21"/>
                      <w:highlight w:val="none"/>
                      <w:lang w:val="en-US" w:eastAsia="zh-CN"/>
                    </w:rPr>
                  </w:pPr>
                </w:p>
              </w:tc>
              <w:tc>
                <w:tcPr>
                  <w:tcW w:w="526" w:type="pct"/>
                  <w:noWrap w:val="0"/>
                  <w:vAlign w:val="center"/>
                </w:tcPr>
                <w:p w14:paraId="75D4DB4E">
                  <w:pPr>
                    <w:widowControl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病理性</w:t>
                  </w:r>
                </w:p>
              </w:tc>
              <w:tc>
                <w:tcPr>
                  <w:tcW w:w="486" w:type="pct"/>
                  <w:vMerge w:val="continue"/>
                  <w:noWrap w:val="0"/>
                  <w:vAlign w:val="center"/>
                </w:tcPr>
                <w:p w14:paraId="0247E014">
                  <w:pPr>
                    <w:widowControl w:val="0"/>
                    <w:snapToGrid w:val="0"/>
                    <w:spacing w:line="240" w:lineRule="auto"/>
                    <w:jc w:val="center"/>
                    <w:rPr>
                      <w:rFonts w:hint="default" w:ascii="Times New Roman" w:hAnsi="Times New Roman" w:eastAsia="宋体" w:cs="Times New Roman"/>
                      <w:color w:val="auto"/>
                      <w:sz w:val="21"/>
                      <w:szCs w:val="21"/>
                      <w:highlight w:val="none"/>
                      <w:lang w:val="en-US" w:eastAsia="zh-CN"/>
                    </w:rPr>
                  </w:pPr>
                </w:p>
              </w:tc>
              <w:tc>
                <w:tcPr>
                  <w:tcW w:w="719" w:type="pct"/>
                  <w:noWrap w:val="0"/>
                  <w:vAlign w:val="center"/>
                </w:tcPr>
                <w:p w14:paraId="45BD7810">
                  <w:pPr>
                    <w:widowControl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841-003-01</w:t>
                  </w:r>
                </w:p>
              </w:tc>
              <w:tc>
                <w:tcPr>
                  <w:tcW w:w="821" w:type="pct"/>
                  <w:vMerge w:val="continue"/>
                  <w:noWrap w:val="0"/>
                  <w:vAlign w:val="center"/>
                </w:tcPr>
                <w:p w14:paraId="15D4A9A0">
                  <w:pPr>
                    <w:widowControl w:val="0"/>
                    <w:snapToGrid w:val="0"/>
                    <w:spacing w:line="240" w:lineRule="auto"/>
                    <w:jc w:val="center"/>
                    <w:rPr>
                      <w:rFonts w:hint="default" w:ascii="Times New Roman" w:hAnsi="Times New Roman" w:eastAsia="宋体" w:cs="Times New Roman"/>
                      <w:color w:val="auto"/>
                      <w:sz w:val="21"/>
                      <w:szCs w:val="21"/>
                      <w:highlight w:val="none"/>
                      <w:lang w:val="en-US" w:eastAsia="zh-CN"/>
                    </w:rPr>
                  </w:pPr>
                </w:p>
              </w:tc>
              <w:tc>
                <w:tcPr>
                  <w:tcW w:w="496" w:type="pct"/>
                  <w:noWrap w:val="0"/>
                  <w:vAlign w:val="center"/>
                </w:tcPr>
                <w:p w14:paraId="4ECD40EB">
                  <w:pPr>
                    <w:widowControl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In</w:t>
                  </w:r>
                </w:p>
              </w:tc>
              <w:tc>
                <w:tcPr>
                  <w:tcW w:w="435" w:type="pct"/>
                  <w:vMerge w:val="continue"/>
                  <w:noWrap w:val="0"/>
                  <w:vAlign w:val="center"/>
                </w:tcPr>
                <w:p w14:paraId="57B98FA7">
                  <w:pPr>
                    <w:widowControl w:val="0"/>
                    <w:snapToGrid w:val="0"/>
                    <w:spacing w:line="240" w:lineRule="auto"/>
                    <w:jc w:val="center"/>
                    <w:rPr>
                      <w:rFonts w:hint="default" w:ascii="Times New Roman" w:hAnsi="Times New Roman" w:eastAsia="宋体" w:cs="Times New Roman"/>
                      <w:color w:val="auto"/>
                      <w:sz w:val="21"/>
                      <w:szCs w:val="21"/>
                      <w:highlight w:val="none"/>
                      <w:lang w:val="en-US" w:eastAsia="zh-CN"/>
                    </w:rPr>
                  </w:pPr>
                </w:p>
              </w:tc>
              <w:tc>
                <w:tcPr>
                  <w:tcW w:w="933" w:type="pct"/>
                  <w:vMerge w:val="continue"/>
                  <w:noWrap w:val="0"/>
                  <w:vAlign w:val="center"/>
                </w:tcPr>
                <w:p w14:paraId="09C034E0">
                  <w:pPr>
                    <w:keepNext w:val="0"/>
                    <w:keepLines w:val="0"/>
                    <w:pageBreakBefore w:val="0"/>
                    <w:widowControl w:val="0"/>
                    <w:kinsoku/>
                    <w:wordWrap/>
                    <w:overflowPunct/>
                    <w:topLinePunct w:val="0"/>
                    <w:autoSpaceDE/>
                    <w:autoSpaceDN/>
                    <w:bidi w:val="0"/>
                    <w:adjustRightInd/>
                    <w:snapToGrid/>
                    <w:spacing w:line="240" w:lineRule="auto"/>
                    <w:ind w:left="-120" w:leftChars="-50" w:right="-120" w:rightChars="-50"/>
                    <w:jc w:val="center"/>
                    <w:textAlignment w:val="auto"/>
                    <w:rPr>
                      <w:rFonts w:hint="default" w:ascii="Times New Roman" w:hAnsi="Times New Roman" w:eastAsia="宋体" w:cs="Times New Roman"/>
                      <w:color w:val="auto"/>
                      <w:sz w:val="21"/>
                      <w:szCs w:val="21"/>
                      <w:highlight w:val="none"/>
                      <w:lang w:val="en-US" w:eastAsia="zh-CN"/>
                    </w:rPr>
                  </w:pPr>
                </w:p>
              </w:tc>
            </w:tr>
            <w:tr w14:paraId="676F4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68" w:type="pct"/>
                  <w:vMerge w:val="continue"/>
                  <w:noWrap w:val="0"/>
                  <w:vAlign w:val="center"/>
                </w:tcPr>
                <w:p w14:paraId="3424F99E">
                  <w:pPr>
                    <w:widowControl w:val="0"/>
                    <w:snapToGrid w:val="0"/>
                    <w:spacing w:line="240" w:lineRule="auto"/>
                    <w:jc w:val="center"/>
                    <w:rPr>
                      <w:rFonts w:hint="default" w:ascii="Times New Roman" w:hAnsi="Times New Roman" w:eastAsia="宋体" w:cs="Times New Roman"/>
                      <w:color w:val="auto"/>
                      <w:sz w:val="21"/>
                      <w:szCs w:val="21"/>
                      <w:highlight w:val="none"/>
                      <w:lang w:val="en-US" w:eastAsia="zh-CN"/>
                    </w:rPr>
                  </w:pPr>
                  <w:bookmarkStart w:id="56" w:name="OLE_LINK56" w:colFirst="5" w:colLast="6"/>
                </w:p>
              </w:tc>
              <w:tc>
                <w:tcPr>
                  <w:tcW w:w="312" w:type="pct"/>
                  <w:vMerge w:val="continue"/>
                  <w:noWrap w:val="0"/>
                  <w:vAlign w:val="center"/>
                </w:tcPr>
                <w:p w14:paraId="522BB86E">
                  <w:pPr>
                    <w:widowControl w:val="0"/>
                    <w:snapToGrid w:val="0"/>
                    <w:spacing w:line="240" w:lineRule="auto"/>
                    <w:jc w:val="center"/>
                    <w:rPr>
                      <w:rFonts w:hint="default" w:ascii="Times New Roman" w:hAnsi="Times New Roman" w:eastAsia="宋体" w:cs="Times New Roman"/>
                      <w:color w:val="auto"/>
                      <w:sz w:val="21"/>
                      <w:szCs w:val="21"/>
                      <w:highlight w:val="none"/>
                      <w:lang w:val="en-US" w:eastAsia="zh-CN"/>
                    </w:rPr>
                  </w:pPr>
                </w:p>
              </w:tc>
              <w:tc>
                <w:tcPr>
                  <w:tcW w:w="526" w:type="pct"/>
                  <w:noWrap w:val="0"/>
                  <w:vAlign w:val="center"/>
                </w:tcPr>
                <w:p w14:paraId="18DF3CC2">
                  <w:pPr>
                    <w:widowControl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药物性</w:t>
                  </w:r>
                </w:p>
              </w:tc>
              <w:tc>
                <w:tcPr>
                  <w:tcW w:w="486" w:type="pct"/>
                  <w:vMerge w:val="continue"/>
                  <w:noWrap w:val="0"/>
                  <w:vAlign w:val="center"/>
                </w:tcPr>
                <w:p w14:paraId="6F71142D">
                  <w:pPr>
                    <w:widowControl w:val="0"/>
                    <w:snapToGrid w:val="0"/>
                    <w:spacing w:line="240" w:lineRule="auto"/>
                    <w:jc w:val="center"/>
                    <w:rPr>
                      <w:rFonts w:hint="default" w:ascii="Times New Roman" w:hAnsi="Times New Roman" w:eastAsia="宋体" w:cs="Times New Roman"/>
                      <w:color w:val="auto"/>
                      <w:sz w:val="21"/>
                      <w:szCs w:val="21"/>
                      <w:highlight w:val="none"/>
                      <w:lang w:val="en-US" w:eastAsia="zh-CN"/>
                    </w:rPr>
                  </w:pPr>
                </w:p>
              </w:tc>
              <w:tc>
                <w:tcPr>
                  <w:tcW w:w="719" w:type="pct"/>
                  <w:noWrap w:val="0"/>
                  <w:vAlign w:val="center"/>
                </w:tcPr>
                <w:p w14:paraId="16267B3F">
                  <w:pPr>
                    <w:widowControl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841-005-01</w:t>
                  </w:r>
                </w:p>
              </w:tc>
              <w:tc>
                <w:tcPr>
                  <w:tcW w:w="821" w:type="pct"/>
                  <w:noWrap w:val="0"/>
                  <w:vAlign w:val="center"/>
                </w:tcPr>
                <w:p w14:paraId="7F84DBB8">
                  <w:pPr>
                    <w:widowControl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化学品</w:t>
                  </w:r>
                </w:p>
              </w:tc>
              <w:tc>
                <w:tcPr>
                  <w:tcW w:w="496" w:type="pct"/>
                  <w:noWrap w:val="0"/>
                  <w:vAlign w:val="center"/>
                </w:tcPr>
                <w:p w14:paraId="14E446E4">
                  <w:pPr>
                    <w:widowControl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T</w:t>
                  </w:r>
                </w:p>
              </w:tc>
              <w:tc>
                <w:tcPr>
                  <w:tcW w:w="435" w:type="pct"/>
                  <w:vMerge w:val="continue"/>
                  <w:noWrap w:val="0"/>
                  <w:vAlign w:val="center"/>
                </w:tcPr>
                <w:p w14:paraId="55F3868D">
                  <w:pPr>
                    <w:widowControl w:val="0"/>
                    <w:snapToGrid w:val="0"/>
                    <w:spacing w:line="240" w:lineRule="auto"/>
                    <w:jc w:val="center"/>
                    <w:rPr>
                      <w:rFonts w:hint="default" w:ascii="Times New Roman" w:hAnsi="Times New Roman" w:eastAsia="宋体" w:cs="Times New Roman"/>
                      <w:color w:val="auto"/>
                      <w:sz w:val="21"/>
                      <w:szCs w:val="21"/>
                      <w:highlight w:val="none"/>
                      <w:lang w:val="en-US" w:eastAsia="zh-CN"/>
                    </w:rPr>
                  </w:pPr>
                </w:p>
              </w:tc>
              <w:tc>
                <w:tcPr>
                  <w:tcW w:w="933" w:type="pct"/>
                  <w:vMerge w:val="continue"/>
                  <w:noWrap w:val="0"/>
                  <w:vAlign w:val="center"/>
                </w:tcPr>
                <w:p w14:paraId="74163CFB">
                  <w:pPr>
                    <w:keepNext w:val="0"/>
                    <w:keepLines w:val="0"/>
                    <w:pageBreakBefore w:val="0"/>
                    <w:widowControl w:val="0"/>
                    <w:kinsoku/>
                    <w:wordWrap/>
                    <w:overflowPunct/>
                    <w:topLinePunct w:val="0"/>
                    <w:autoSpaceDE/>
                    <w:autoSpaceDN/>
                    <w:bidi w:val="0"/>
                    <w:adjustRightInd/>
                    <w:snapToGrid/>
                    <w:spacing w:line="240" w:lineRule="auto"/>
                    <w:ind w:left="-120" w:leftChars="-50" w:right="-120" w:rightChars="-50"/>
                    <w:jc w:val="center"/>
                    <w:textAlignment w:val="auto"/>
                    <w:rPr>
                      <w:rFonts w:hint="default" w:ascii="Times New Roman" w:hAnsi="Times New Roman" w:eastAsia="宋体" w:cs="Times New Roman"/>
                      <w:color w:val="auto"/>
                      <w:sz w:val="21"/>
                      <w:szCs w:val="21"/>
                      <w:highlight w:val="none"/>
                      <w:lang w:val="en-US" w:eastAsia="zh-CN"/>
                    </w:rPr>
                  </w:pPr>
                </w:p>
              </w:tc>
            </w:tr>
            <w:bookmarkEnd w:id="56"/>
            <w:tr w14:paraId="2B005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68" w:type="pct"/>
                  <w:vMerge w:val="continue"/>
                  <w:noWrap w:val="0"/>
                  <w:vAlign w:val="center"/>
                </w:tcPr>
                <w:p w14:paraId="1151A759">
                  <w:pPr>
                    <w:widowControl w:val="0"/>
                    <w:snapToGrid w:val="0"/>
                    <w:spacing w:line="240" w:lineRule="auto"/>
                    <w:jc w:val="center"/>
                    <w:rPr>
                      <w:rFonts w:hint="default" w:ascii="Times New Roman" w:hAnsi="Times New Roman" w:eastAsia="宋体" w:cs="Times New Roman"/>
                      <w:color w:val="auto"/>
                      <w:sz w:val="21"/>
                      <w:szCs w:val="21"/>
                      <w:highlight w:val="none"/>
                      <w:lang w:val="en-US" w:eastAsia="zh-CN"/>
                    </w:rPr>
                  </w:pPr>
                </w:p>
              </w:tc>
              <w:tc>
                <w:tcPr>
                  <w:tcW w:w="312" w:type="pct"/>
                  <w:vMerge w:val="continue"/>
                  <w:noWrap w:val="0"/>
                  <w:vAlign w:val="center"/>
                </w:tcPr>
                <w:p w14:paraId="1A043DD6">
                  <w:pPr>
                    <w:widowControl w:val="0"/>
                    <w:snapToGrid w:val="0"/>
                    <w:spacing w:line="240" w:lineRule="auto"/>
                    <w:jc w:val="center"/>
                    <w:rPr>
                      <w:rFonts w:hint="default" w:ascii="Times New Roman" w:hAnsi="Times New Roman" w:eastAsia="宋体" w:cs="Times New Roman"/>
                      <w:color w:val="auto"/>
                      <w:sz w:val="21"/>
                      <w:szCs w:val="21"/>
                      <w:highlight w:val="none"/>
                      <w:lang w:val="en-US" w:eastAsia="zh-CN"/>
                    </w:rPr>
                  </w:pPr>
                </w:p>
              </w:tc>
              <w:tc>
                <w:tcPr>
                  <w:tcW w:w="526" w:type="pct"/>
                  <w:noWrap w:val="0"/>
                  <w:vAlign w:val="center"/>
                </w:tcPr>
                <w:p w14:paraId="7D3925FF">
                  <w:pPr>
                    <w:widowControl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化学性</w:t>
                  </w:r>
                </w:p>
              </w:tc>
              <w:tc>
                <w:tcPr>
                  <w:tcW w:w="486" w:type="pct"/>
                  <w:vMerge w:val="continue"/>
                  <w:noWrap w:val="0"/>
                  <w:vAlign w:val="center"/>
                </w:tcPr>
                <w:p w14:paraId="796F9DD7">
                  <w:pPr>
                    <w:widowControl w:val="0"/>
                    <w:snapToGrid w:val="0"/>
                    <w:spacing w:line="240" w:lineRule="auto"/>
                    <w:jc w:val="center"/>
                    <w:rPr>
                      <w:rFonts w:hint="default" w:ascii="Times New Roman" w:hAnsi="Times New Roman" w:eastAsia="宋体" w:cs="Times New Roman"/>
                      <w:color w:val="auto"/>
                      <w:sz w:val="21"/>
                      <w:szCs w:val="21"/>
                      <w:highlight w:val="none"/>
                      <w:lang w:val="en-US" w:eastAsia="zh-CN"/>
                    </w:rPr>
                  </w:pPr>
                </w:p>
              </w:tc>
              <w:tc>
                <w:tcPr>
                  <w:tcW w:w="719" w:type="pct"/>
                  <w:noWrap w:val="0"/>
                  <w:vAlign w:val="center"/>
                </w:tcPr>
                <w:p w14:paraId="0693BEAA">
                  <w:pPr>
                    <w:widowControl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841-004-01</w:t>
                  </w:r>
                </w:p>
              </w:tc>
              <w:tc>
                <w:tcPr>
                  <w:tcW w:w="821" w:type="pct"/>
                  <w:noWrap w:val="0"/>
                  <w:vAlign w:val="center"/>
                </w:tcPr>
                <w:p w14:paraId="030EDDBB">
                  <w:pPr>
                    <w:widowControl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化学品</w:t>
                  </w:r>
                </w:p>
              </w:tc>
              <w:tc>
                <w:tcPr>
                  <w:tcW w:w="496" w:type="pct"/>
                  <w:noWrap w:val="0"/>
                  <w:vAlign w:val="center"/>
                </w:tcPr>
                <w:p w14:paraId="70542F73">
                  <w:pPr>
                    <w:widowControl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T/C/I/R</w:t>
                  </w:r>
                </w:p>
              </w:tc>
              <w:tc>
                <w:tcPr>
                  <w:tcW w:w="435" w:type="pct"/>
                  <w:vMerge w:val="continue"/>
                  <w:noWrap w:val="0"/>
                  <w:vAlign w:val="center"/>
                </w:tcPr>
                <w:p w14:paraId="6D47954F">
                  <w:pPr>
                    <w:widowControl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p>
              </w:tc>
              <w:tc>
                <w:tcPr>
                  <w:tcW w:w="933" w:type="pct"/>
                  <w:vMerge w:val="continue"/>
                  <w:noWrap w:val="0"/>
                  <w:vAlign w:val="center"/>
                </w:tcPr>
                <w:p w14:paraId="2600A9B5">
                  <w:pPr>
                    <w:keepNext w:val="0"/>
                    <w:keepLines w:val="0"/>
                    <w:pageBreakBefore w:val="0"/>
                    <w:widowControl w:val="0"/>
                    <w:kinsoku/>
                    <w:wordWrap/>
                    <w:overflowPunct/>
                    <w:topLinePunct w:val="0"/>
                    <w:autoSpaceDE/>
                    <w:autoSpaceDN/>
                    <w:bidi w:val="0"/>
                    <w:adjustRightInd/>
                    <w:snapToGrid/>
                    <w:spacing w:line="240" w:lineRule="auto"/>
                    <w:ind w:left="-120" w:leftChars="-50" w:right="-120" w:rightChars="-50"/>
                    <w:jc w:val="center"/>
                    <w:textAlignment w:val="auto"/>
                    <w:rPr>
                      <w:rFonts w:hint="default" w:ascii="Times New Roman" w:hAnsi="Times New Roman" w:eastAsia="宋体" w:cs="Times New Roman"/>
                      <w:color w:val="auto"/>
                      <w:sz w:val="21"/>
                      <w:szCs w:val="21"/>
                      <w:highlight w:val="none"/>
                      <w:lang w:val="en-US" w:eastAsia="zh-CN"/>
                    </w:rPr>
                  </w:pPr>
                </w:p>
              </w:tc>
            </w:tr>
            <w:tr w14:paraId="33BFD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68" w:type="pct"/>
                  <w:noWrap w:val="0"/>
                  <w:vAlign w:val="center"/>
                </w:tcPr>
                <w:p w14:paraId="7EAFC62E">
                  <w:pPr>
                    <w:widowControl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w:t>
                  </w:r>
                </w:p>
              </w:tc>
              <w:tc>
                <w:tcPr>
                  <w:tcW w:w="838" w:type="pct"/>
                  <w:gridSpan w:val="2"/>
                  <w:noWrap w:val="0"/>
                  <w:vAlign w:val="center"/>
                </w:tcPr>
                <w:p w14:paraId="08363BB7">
                  <w:pPr>
                    <w:widowControl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废紫外线灯管</w:t>
                  </w:r>
                </w:p>
              </w:tc>
              <w:tc>
                <w:tcPr>
                  <w:tcW w:w="486" w:type="pct"/>
                  <w:noWrap w:val="0"/>
                  <w:vAlign w:val="center"/>
                </w:tcPr>
                <w:p w14:paraId="248D5DA9">
                  <w:pPr>
                    <w:widowControl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HW29</w:t>
                  </w:r>
                </w:p>
              </w:tc>
              <w:tc>
                <w:tcPr>
                  <w:tcW w:w="719" w:type="pct"/>
                  <w:noWrap w:val="0"/>
                  <w:vAlign w:val="center"/>
                </w:tcPr>
                <w:p w14:paraId="7940050E">
                  <w:pPr>
                    <w:widowControl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900-023-29</w:t>
                  </w:r>
                </w:p>
              </w:tc>
              <w:tc>
                <w:tcPr>
                  <w:tcW w:w="821" w:type="pct"/>
                  <w:noWrap w:val="0"/>
                  <w:vAlign w:val="center"/>
                </w:tcPr>
                <w:p w14:paraId="48DA50DE">
                  <w:pPr>
                    <w:widowControl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含汞</w:t>
                  </w:r>
                </w:p>
              </w:tc>
              <w:tc>
                <w:tcPr>
                  <w:tcW w:w="496" w:type="pct"/>
                  <w:noWrap w:val="0"/>
                  <w:vAlign w:val="center"/>
                </w:tcPr>
                <w:p w14:paraId="27DC9D2D">
                  <w:pPr>
                    <w:widowControl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T</w:t>
                  </w:r>
                </w:p>
              </w:tc>
              <w:tc>
                <w:tcPr>
                  <w:tcW w:w="435" w:type="pct"/>
                  <w:noWrap w:val="0"/>
                  <w:vAlign w:val="center"/>
                </w:tcPr>
                <w:p w14:paraId="214544BB">
                  <w:pPr>
                    <w:widowControl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w:t>
                  </w:r>
                  <w:r>
                    <w:rPr>
                      <w:rFonts w:hint="eastAsia" w:cs="Times New Roman"/>
                      <w:color w:val="auto"/>
                      <w:sz w:val="21"/>
                      <w:szCs w:val="21"/>
                      <w:highlight w:val="none"/>
                      <w:lang w:val="en-US" w:eastAsia="zh-CN"/>
                    </w:rPr>
                    <w:t>02</w:t>
                  </w:r>
                </w:p>
              </w:tc>
              <w:tc>
                <w:tcPr>
                  <w:tcW w:w="933" w:type="pct"/>
                  <w:vMerge w:val="continue"/>
                  <w:noWrap w:val="0"/>
                  <w:vAlign w:val="center"/>
                </w:tcPr>
                <w:p w14:paraId="69873AFA">
                  <w:pPr>
                    <w:keepNext w:val="0"/>
                    <w:keepLines w:val="0"/>
                    <w:pageBreakBefore w:val="0"/>
                    <w:widowControl w:val="0"/>
                    <w:kinsoku/>
                    <w:wordWrap/>
                    <w:overflowPunct/>
                    <w:topLinePunct w:val="0"/>
                    <w:autoSpaceDE/>
                    <w:autoSpaceDN/>
                    <w:bidi w:val="0"/>
                    <w:adjustRightInd/>
                    <w:snapToGrid/>
                    <w:spacing w:line="240" w:lineRule="auto"/>
                    <w:ind w:left="-120" w:leftChars="-50" w:right="-120" w:rightChars="-50"/>
                    <w:jc w:val="center"/>
                    <w:textAlignment w:val="auto"/>
                    <w:rPr>
                      <w:rFonts w:hint="default" w:ascii="Times New Roman" w:hAnsi="Times New Roman" w:eastAsia="宋体" w:cs="Times New Roman"/>
                      <w:color w:val="auto"/>
                      <w:sz w:val="21"/>
                      <w:szCs w:val="21"/>
                      <w:highlight w:val="none"/>
                      <w:lang w:val="en-US" w:eastAsia="zh-CN"/>
                    </w:rPr>
                  </w:pPr>
                </w:p>
              </w:tc>
            </w:tr>
            <w:tr w14:paraId="26C6C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68" w:type="pct"/>
                  <w:noWrap w:val="0"/>
                  <w:vAlign w:val="center"/>
                </w:tcPr>
                <w:p w14:paraId="6C52241D">
                  <w:pPr>
                    <w:widowControl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w:t>
                  </w:r>
                </w:p>
              </w:tc>
              <w:tc>
                <w:tcPr>
                  <w:tcW w:w="838" w:type="pct"/>
                  <w:gridSpan w:val="2"/>
                  <w:noWrap w:val="0"/>
                  <w:vAlign w:val="center"/>
                </w:tcPr>
                <w:p w14:paraId="3841AE37">
                  <w:pPr>
                    <w:widowControl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患病宠物排泄物及猫砂</w:t>
                  </w:r>
                </w:p>
              </w:tc>
              <w:tc>
                <w:tcPr>
                  <w:tcW w:w="486" w:type="pct"/>
                  <w:noWrap w:val="0"/>
                  <w:vAlign w:val="center"/>
                </w:tcPr>
                <w:p w14:paraId="15AFDF83">
                  <w:pPr>
                    <w:widowControl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HW01</w:t>
                  </w:r>
                </w:p>
              </w:tc>
              <w:tc>
                <w:tcPr>
                  <w:tcW w:w="719" w:type="pct"/>
                  <w:noWrap w:val="0"/>
                  <w:vAlign w:val="center"/>
                </w:tcPr>
                <w:p w14:paraId="46991E52">
                  <w:pPr>
                    <w:widowControl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841-001-01</w:t>
                  </w:r>
                </w:p>
              </w:tc>
              <w:tc>
                <w:tcPr>
                  <w:tcW w:w="821" w:type="pct"/>
                  <w:noWrap w:val="0"/>
                  <w:vAlign w:val="center"/>
                </w:tcPr>
                <w:p w14:paraId="47047CDA">
                  <w:pPr>
                    <w:widowControl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含有或沾染的细菌病毒等</w:t>
                  </w:r>
                </w:p>
              </w:tc>
              <w:tc>
                <w:tcPr>
                  <w:tcW w:w="496" w:type="pct"/>
                  <w:noWrap w:val="0"/>
                  <w:vAlign w:val="center"/>
                </w:tcPr>
                <w:p w14:paraId="3AC1EA29">
                  <w:pPr>
                    <w:widowControl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In</w:t>
                  </w:r>
                </w:p>
              </w:tc>
              <w:tc>
                <w:tcPr>
                  <w:tcW w:w="435" w:type="pct"/>
                  <w:noWrap w:val="0"/>
                  <w:vAlign w:val="center"/>
                </w:tcPr>
                <w:p w14:paraId="316727BC">
                  <w:pPr>
                    <w:widowControl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0.0146</w:t>
                  </w:r>
                </w:p>
              </w:tc>
              <w:tc>
                <w:tcPr>
                  <w:tcW w:w="933" w:type="pct"/>
                  <w:vMerge w:val="continue"/>
                  <w:noWrap w:val="0"/>
                  <w:vAlign w:val="center"/>
                </w:tcPr>
                <w:p w14:paraId="327B8088">
                  <w:pPr>
                    <w:keepNext w:val="0"/>
                    <w:keepLines w:val="0"/>
                    <w:pageBreakBefore w:val="0"/>
                    <w:widowControl w:val="0"/>
                    <w:kinsoku/>
                    <w:wordWrap/>
                    <w:overflowPunct/>
                    <w:topLinePunct w:val="0"/>
                    <w:autoSpaceDE/>
                    <w:autoSpaceDN/>
                    <w:bidi w:val="0"/>
                    <w:adjustRightInd/>
                    <w:snapToGrid/>
                    <w:spacing w:line="240" w:lineRule="auto"/>
                    <w:ind w:left="-120" w:leftChars="-50" w:right="-120" w:rightChars="-50"/>
                    <w:jc w:val="center"/>
                    <w:textAlignment w:val="auto"/>
                    <w:rPr>
                      <w:rFonts w:hint="default" w:ascii="Times New Roman" w:hAnsi="Times New Roman" w:eastAsia="宋体" w:cs="Times New Roman"/>
                      <w:color w:val="auto"/>
                      <w:sz w:val="21"/>
                      <w:szCs w:val="21"/>
                      <w:highlight w:val="yellow"/>
                      <w:lang w:val="en-US" w:eastAsia="zh-CN"/>
                    </w:rPr>
                  </w:pPr>
                </w:p>
              </w:tc>
            </w:tr>
            <w:tr w14:paraId="6D4BA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68" w:type="pct"/>
                  <w:noWrap w:val="0"/>
                  <w:vAlign w:val="center"/>
                </w:tcPr>
                <w:p w14:paraId="49959FEE">
                  <w:pPr>
                    <w:widowControl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w:t>
                  </w:r>
                </w:p>
              </w:tc>
              <w:tc>
                <w:tcPr>
                  <w:tcW w:w="838" w:type="pct"/>
                  <w:gridSpan w:val="2"/>
                  <w:noWrap w:val="0"/>
                  <w:vAlign w:val="center"/>
                </w:tcPr>
                <w:p w14:paraId="7192F7D8">
                  <w:pPr>
                    <w:widowControl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医疗废水处理设施</w:t>
                  </w:r>
                  <w:r>
                    <w:rPr>
                      <w:rFonts w:hint="eastAsia" w:cs="Times New Roman"/>
                      <w:color w:val="auto"/>
                      <w:sz w:val="21"/>
                      <w:szCs w:val="21"/>
                      <w:highlight w:val="none"/>
                      <w:lang w:val="en-US" w:eastAsia="zh-CN"/>
                    </w:rPr>
                    <w:t>废渣</w:t>
                  </w:r>
                </w:p>
              </w:tc>
              <w:tc>
                <w:tcPr>
                  <w:tcW w:w="486" w:type="pct"/>
                  <w:noWrap w:val="0"/>
                  <w:vAlign w:val="center"/>
                </w:tcPr>
                <w:p w14:paraId="77A8DDDB">
                  <w:pPr>
                    <w:widowControl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HW01</w:t>
                  </w:r>
                </w:p>
              </w:tc>
              <w:tc>
                <w:tcPr>
                  <w:tcW w:w="719" w:type="pct"/>
                  <w:noWrap w:val="0"/>
                  <w:vAlign w:val="center"/>
                </w:tcPr>
                <w:p w14:paraId="05A44D31">
                  <w:pPr>
                    <w:widowControl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841-001-01</w:t>
                  </w:r>
                </w:p>
              </w:tc>
              <w:tc>
                <w:tcPr>
                  <w:tcW w:w="821" w:type="pct"/>
                  <w:noWrap w:val="0"/>
                  <w:vAlign w:val="center"/>
                </w:tcPr>
                <w:p w14:paraId="7F8B3C28">
                  <w:pPr>
                    <w:widowControl w:val="0"/>
                    <w:snapToGrid w:val="0"/>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医疗废水</w:t>
                  </w:r>
                </w:p>
                <w:p w14:paraId="7009C27D">
                  <w:pPr>
                    <w:widowControl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废渣</w:t>
                  </w:r>
                </w:p>
              </w:tc>
              <w:tc>
                <w:tcPr>
                  <w:tcW w:w="496" w:type="pct"/>
                  <w:noWrap w:val="0"/>
                  <w:vAlign w:val="center"/>
                </w:tcPr>
                <w:p w14:paraId="2479ADC3">
                  <w:pPr>
                    <w:widowControl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In</w:t>
                  </w:r>
                </w:p>
              </w:tc>
              <w:tc>
                <w:tcPr>
                  <w:tcW w:w="435" w:type="pct"/>
                  <w:noWrap w:val="0"/>
                  <w:vAlign w:val="center"/>
                </w:tcPr>
                <w:p w14:paraId="6C5CE9EF">
                  <w:pPr>
                    <w:widowControl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0.00426</w:t>
                  </w:r>
                </w:p>
              </w:tc>
              <w:tc>
                <w:tcPr>
                  <w:tcW w:w="933" w:type="pct"/>
                  <w:noWrap w:val="0"/>
                  <w:vAlign w:val="center"/>
                </w:tcPr>
                <w:p w14:paraId="38A307C6">
                  <w:pPr>
                    <w:widowControl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委托有资质单位定期清捞与处置</w:t>
                  </w:r>
                </w:p>
              </w:tc>
            </w:tr>
          </w:tbl>
          <w:p w14:paraId="0FDF5784">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w:t>
            </w:r>
            <w:r>
              <w:rPr>
                <w:rFonts w:hint="eastAsia" w:cs="Times New Roman"/>
                <w:color w:val="auto"/>
                <w:highlight w:val="none"/>
                <w:lang w:val="en-US" w:eastAsia="zh-CN"/>
              </w:rPr>
              <w:t>8</w:t>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lang w:eastAsia="zh-CN"/>
              </w:rPr>
              <w:t>固</w:t>
            </w:r>
            <w:r>
              <w:rPr>
                <w:rFonts w:hint="default" w:ascii="Times New Roman" w:hAnsi="Times New Roman" w:cs="Times New Roman"/>
                <w:color w:val="auto"/>
                <w:highlight w:val="none"/>
                <w:lang w:val="en-US" w:eastAsia="zh-CN"/>
              </w:rPr>
              <w:t>体废物污染防治措施及环境管理</w:t>
            </w:r>
          </w:p>
          <w:p w14:paraId="142A644B">
            <w:pPr>
              <w:pStyle w:val="31"/>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（1）固体废物贮存场所环境影响分析</w:t>
            </w:r>
          </w:p>
          <w:p w14:paraId="2672EA95">
            <w:pPr>
              <w:pStyle w:val="31"/>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①生活垃圾委托环卫部门收集统一处置，项目设置生活垃圾暂存点，生活垃圾日产日清，不会对地下水和土壤产生不利影响。</w:t>
            </w:r>
          </w:p>
          <w:p w14:paraId="0C80DFCB">
            <w:pPr>
              <w:pStyle w:val="31"/>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②本项目一般固废处理方式采取项目区内设分类垃圾篓（箱），各类垃圾袋装分类收集后，由清洁人员每日收集后，送至附近的垃圾收集站，由环卫部门统一处理，日产日清，确保清运率达到100%，杜绝与危险废物混合存放。</w:t>
            </w:r>
          </w:p>
          <w:p w14:paraId="5CE5F732">
            <w:pPr>
              <w:pStyle w:val="31"/>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③</w:t>
            </w:r>
            <w:bookmarkStart w:id="57" w:name="OLE_LINK115"/>
            <w:r>
              <w:rPr>
                <w:rFonts w:hint="default" w:ascii="Times New Roman" w:hAnsi="Times New Roman" w:cs="Times New Roman"/>
                <w:color w:val="auto"/>
                <w:highlight w:val="none"/>
                <w:lang w:val="en-US" w:eastAsia="zh-CN"/>
              </w:rPr>
              <w:t>建设单位在</w:t>
            </w:r>
            <w:r>
              <w:rPr>
                <w:rFonts w:hint="eastAsia" w:cs="Times New Roman"/>
                <w:color w:val="auto"/>
                <w:highlight w:val="none"/>
                <w:lang w:val="en-US" w:eastAsia="zh-CN"/>
              </w:rPr>
              <w:t>负</w:t>
            </w:r>
            <w:r>
              <w:rPr>
                <w:rFonts w:hint="default" w:ascii="Times New Roman" w:hAnsi="Times New Roman" w:cs="Times New Roman"/>
                <w:color w:val="auto"/>
                <w:highlight w:val="none"/>
                <w:lang w:val="en-US" w:eastAsia="zh-CN"/>
              </w:rPr>
              <w:t>一层设置专门的医疗废物贮存间，</w:t>
            </w:r>
            <w:bookmarkStart w:id="58" w:name="OLE_LINK43"/>
            <w:r>
              <w:rPr>
                <w:rFonts w:hint="default" w:ascii="Times New Roman" w:hAnsi="Times New Roman" w:cs="Times New Roman"/>
                <w:color w:val="auto"/>
                <w:highlight w:val="none"/>
                <w:lang w:val="en-US" w:eastAsia="zh-CN"/>
              </w:rPr>
              <w:t>面积约</w:t>
            </w:r>
            <w:r>
              <w:rPr>
                <w:rFonts w:hint="eastAsia" w:cs="Times New Roman"/>
                <w:color w:val="auto"/>
                <w:highlight w:val="none"/>
                <w:lang w:val="en-US" w:eastAsia="zh-CN"/>
              </w:rPr>
              <w:t>2.5</w:t>
            </w:r>
            <w:r>
              <w:rPr>
                <w:rFonts w:hint="default" w:ascii="Times New Roman" w:hAnsi="Times New Roman" w:cs="Times New Roman"/>
                <w:color w:val="auto"/>
                <w:highlight w:val="none"/>
                <w:lang w:val="en-US" w:eastAsia="zh-CN"/>
              </w:rPr>
              <w:t>m</w:t>
            </w:r>
            <w:r>
              <w:rPr>
                <w:rFonts w:hint="default" w:ascii="Times New Roman" w:hAnsi="Times New Roman" w:cs="Times New Roman"/>
                <w:color w:val="auto"/>
                <w:highlight w:val="none"/>
                <w:vertAlign w:val="superscript"/>
                <w:lang w:val="en-US" w:eastAsia="zh-CN"/>
              </w:rPr>
              <w:t>2</w:t>
            </w:r>
            <w:r>
              <w:rPr>
                <w:rFonts w:hint="default" w:ascii="Times New Roman" w:hAnsi="Times New Roman" w:cs="Times New Roman"/>
                <w:color w:val="auto"/>
                <w:highlight w:val="none"/>
                <w:lang w:val="en-US" w:eastAsia="zh-CN"/>
              </w:rPr>
              <w:t>，医疗废物贮存间的最大贮存量约1t</w:t>
            </w:r>
            <w:bookmarkEnd w:id="58"/>
            <w:r>
              <w:rPr>
                <w:rFonts w:hint="eastAsia" w:cs="Times New Roman"/>
                <w:color w:val="auto"/>
                <w:highlight w:val="none"/>
                <w:lang w:val="en-US" w:eastAsia="zh-CN"/>
              </w:rPr>
              <w:t>，</w:t>
            </w:r>
            <w:r>
              <w:rPr>
                <w:rFonts w:hint="default" w:ascii="Times New Roman" w:hAnsi="Times New Roman" w:cs="Times New Roman"/>
                <w:color w:val="auto"/>
                <w:highlight w:val="none"/>
              </w:rPr>
              <w:t>用于暂存医疗废物</w:t>
            </w:r>
            <w:r>
              <w:rPr>
                <w:rFonts w:hint="eastAsia" w:cs="Times New Roman"/>
                <w:color w:val="auto"/>
                <w:highlight w:val="none"/>
                <w:lang w:val="en-US" w:eastAsia="zh-CN"/>
              </w:rPr>
              <w:t>及</w:t>
            </w:r>
            <w:r>
              <w:rPr>
                <w:rFonts w:hint="default" w:ascii="Times New Roman" w:hAnsi="Times New Roman" w:cs="Times New Roman"/>
                <w:color w:val="auto"/>
                <w:highlight w:val="none"/>
              </w:rPr>
              <w:t>废紫外线灯管。</w:t>
            </w:r>
            <w:bookmarkEnd w:id="57"/>
            <w:r>
              <w:rPr>
                <w:rFonts w:hint="default" w:ascii="Times New Roman" w:hAnsi="Times New Roman" w:cs="Times New Roman"/>
                <w:color w:val="auto"/>
                <w:highlight w:val="none"/>
                <w:lang w:val="en-US" w:eastAsia="zh-CN"/>
              </w:rPr>
              <w:t>根据《危险废物贮存污染控制标准》(GB18597-2023)，提出以下管理要求：</w:t>
            </w:r>
          </w:p>
          <w:p w14:paraId="7DA90D3C">
            <w:pPr>
              <w:pStyle w:val="31"/>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a.医疗废物贮存间为独立功能</w:t>
            </w:r>
            <w:r>
              <w:rPr>
                <w:rFonts w:hint="default" w:ascii="Times New Roman" w:hAnsi="Times New Roman" w:cs="Times New Roman"/>
                <w:color w:val="auto"/>
                <w:highlight w:val="none"/>
              </w:rPr>
              <w:t>房间，</w:t>
            </w:r>
            <w:r>
              <w:rPr>
                <w:rFonts w:hint="default" w:ascii="Times New Roman" w:hAnsi="Times New Roman" w:cs="Times New Roman"/>
                <w:color w:val="auto"/>
                <w:highlight w:val="none"/>
                <w:lang w:val="en-US" w:eastAsia="zh-CN"/>
              </w:rPr>
              <w:t>设置标志牌；</w:t>
            </w:r>
            <w:r>
              <w:rPr>
                <w:rFonts w:hint="default" w:ascii="Times New Roman" w:hAnsi="Times New Roman" w:cs="Times New Roman"/>
                <w:color w:val="auto"/>
                <w:highlight w:val="none"/>
              </w:rPr>
              <w:t>采用</w:t>
            </w:r>
            <w:bookmarkStart w:id="59" w:name="OLE_LINK73"/>
            <w:r>
              <w:rPr>
                <w:rFonts w:hint="default" w:ascii="Times New Roman" w:hAnsi="Times New Roman" w:cs="Times New Roman"/>
                <w:color w:val="auto"/>
                <w:highlight w:val="none"/>
              </w:rPr>
              <w:t>专用塑料桶</w:t>
            </w:r>
            <w:bookmarkEnd w:id="59"/>
            <w:r>
              <w:rPr>
                <w:rFonts w:hint="default" w:ascii="Times New Roman" w:hAnsi="Times New Roman" w:cs="Times New Roman"/>
                <w:color w:val="auto"/>
                <w:highlight w:val="none"/>
              </w:rPr>
              <w:t>存储医疗废物</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并设专人管理，按照</w:t>
            </w:r>
            <w:bookmarkStart w:id="60" w:name="OLE_LINK114"/>
            <w:r>
              <w:rPr>
                <w:rFonts w:hint="default" w:ascii="Times New Roman" w:hAnsi="Times New Roman" w:cs="Times New Roman"/>
                <w:color w:val="auto"/>
                <w:highlight w:val="none"/>
              </w:rPr>
              <w:t>《危险废物贮存污染控制标准》（GB18597-2023）</w:t>
            </w:r>
            <w:bookmarkEnd w:id="60"/>
            <w:r>
              <w:rPr>
                <w:rFonts w:hint="default" w:ascii="Times New Roman" w:hAnsi="Times New Roman" w:cs="Times New Roman"/>
                <w:color w:val="auto"/>
                <w:highlight w:val="none"/>
              </w:rPr>
              <w:t>做到防风、防雨、防盗等</w:t>
            </w:r>
            <w:r>
              <w:rPr>
                <w:rFonts w:hint="eastAsia" w:cs="Times New Roman"/>
                <w:color w:val="auto"/>
                <w:highlight w:val="none"/>
                <w:lang w:eastAsia="zh-CN"/>
              </w:rPr>
              <w:t>“</w:t>
            </w:r>
            <w:r>
              <w:rPr>
                <w:rFonts w:hint="default" w:ascii="Times New Roman" w:hAnsi="Times New Roman" w:cs="Times New Roman"/>
                <w:color w:val="auto"/>
                <w:highlight w:val="none"/>
              </w:rPr>
              <w:t>六防</w:t>
            </w:r>
            <w:r>
              <w:rPr>
                <w:rFonts w:hint="eastAsia" w:cs="Times New Roman"/>
                <w:color w:val="auto"/>
                <w:highlight w:val="none"/>
                <w:lang w:eastAsia="zh-CN"/>
              </w:rPr>
              <w:t>”</w:t>
            </w:r>
            <w:r>
              <w:rPr>
                <w:rFonts w:hint="default" w:ascii="Times New Roman" w:hAnsi="Times New Roman" w:cs="Times New Roman"/>
                <w:color w:val="auto"/>
                <w:highlight w:val="none"/>
              </w:rPr>
              <w:t>措施，并按要求粘贴危险废物相关标识</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其他</w:t>
            </w:r>
            <w:r>
              <w:rPr>
                <w:rFonts w:hint="default" w:ascii="Times New Roman" w:hAnsi="Times New Roman" w:cs="Times New Roman"/>
                <w:color w:val="auto"/>
                <w:highlight w:val="none"/>
              </w:rPr>
              <w:t>危险废物采用符合标准的专用容器分类贮存，装载危险废物的容器及材质要满足相应的强度要求，容器必须完好无损，容器材质和衬里要与危险废物相容（不相互反应）。</w:t>
            </w:r>
          </w:p>
          <w:p w14:paraId="7752D091">
            <w:pPr>
              <w:pStyle w:val="31"/>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b.医疗废物贮存间</w:t>
            </w:r>
            <w:r>
              <w:rPr>
                <w:rFonts w:hint="default" w:ascii="Times New Roman" w:hAnsi="Times New Roman" w:cs="Times New Roman"/>
                <w:color w:val="auto"/>
                <w:highlight w:val="none"/>
              </w:rPr>
              <w:t>地面与裙脚要用坚固、防渗的材料建造，建筑材料必须与危险废物相容；必须有耐腐蚀的硬化地面，且表面无裂隙；不相容的危险废物必须分开存放，并设有隔离间隔断。</w:t>
            </w:r>
          </w:p>
          <w:p w14:paraId="3EC4D9B8">
            <w:pPr>
              <w:pStyle w:val="31"/>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c.医疗废物贮存间</w:t>
            </w:r>
            <w:r>
              <w:rPr>
                <w:rFonts w:hint="default" w:ascii="Times New Roman" w:hAnsi="Times New Roman" w:cs="Times New Roman"/>
                <w:color w:val="auto"/>
                <w:highlight w:val="none"/>
              </w:rPr>
              <w:t>基础必须防渗，防渗层为至少1</w:t>
            </w:r>
            <w:r>
              <w:rPr>
                <w:rFonts w:hint="default" w:ascii="Times New Roman" w:hAnsi="Times New Roman" w:cs="Times New Roman"/>
                <w:color w:val="auto"/>
                <w:highlight w:val="none"/>
                <w:lang w:val="en-US" w:eastAsia="zh-CN"/>
              </w:rPr>
              <w:t>m</w:t>
            </w:r>
            <w:r>
              <w:rPr>
                <w:rFonts w:hint="default" w:ascii="Times New Roman" w:hAnsi="Times New Roman" w:cs="Times New Roman"/>
                <w:color w:val="auto"/>
                <w:highlight w:val="none"/>
              </w:rPr>
              <w:t>厚粘土层（渗透系数≤10</w:t>
            </w:r>
            <w:r>
              <w:rPr>
                <w:rFonts w:hint="default" w:ascii="Times New Roman" w:hAnsi="Times New Roman" w:cs="Times New Roman"/>
                <w:color w:val="auto"/>
                <w:highlight w:val="none"/>
                <w:vertAlign w:val="superscript"/>
                <w:lang w:val="en-US" w:eastAsia="zh-CN"/>
              </w:rPr>
              <w:t>-7</w:t>
            </w:r>
            <w:r>
              <w:rPr>
                <w:rFonts w:hint="default" w:ascii="Times New Roman" w:hAnsi="Times New Roman" w:cs="Times New Roman"/>
                <w:color w:val="auto"/>
                <w:highlight w:val="none"/>
                <w:lang w:val="en-US" w:eastAsia="zh-CN"/>
              </w:rPr>
              <w:t>cm/s</w:t>
            </w:r>
            <w:r>
              <w:rPr>
                <w:rFonts w:hint="default" w:ascii="Times New Roman" w:hAnsi="Times New Roman" w:cs="Times New Roman"/>
                <w:color w:val="auto"/>
                <w:highlight w:val="none"/>
              </w:rPr>
              <w:t>），或2</w:t>
            </w:r>
            <w:r>
              <w:rPr>
                <w:rFonts w:hint="default" w:ascii="Times New Roman" w:hAnsi="Times New Roman" w:cs="Times New Roman"/>
                <w:color w:val="auto"/>
                <w:highlight w:val="none"/>
                <w:lang w:val="en-US" w:eastAsia="zh-CN"/>
              </w:rPr>
              <w:t>mm</w:t>
            </w:r>
            <w:r>
              <w:rPr>
                <w:rFonts w:hint="default" w:ascii="Times New Roman" w:hAnsi="Times New Roman" w:cs="Times New Roman"/>
                <w:color w:val="auto"/>
                <w:highlight w:val="none"/>
              </w:rPr>
              <w:t>厚高密度聚乙烯，或至少2</w:t>
            </w:r>
            <w:r>
              <w:rPr>
                <w:rFonts w:hint="default" w:ascii="Times New Roman" w:hAnsi="Times New Roman" w:cs="Times New Roman"/>
                <w:color w:val="auto"/>
                <w:highlight w:val="none"/>
                <w:lang w:val="en-US" w:eastAsia="zh-CN"/>
              </w:rPr>
              <w:t>mm</w:t>
            </w:r>
            <w:r>
              <w:rPr>
                <w:rFonts w:hint="default" w:ascii="Times New Roman" w:hAnsi="Times New Roman" w:cs="Times New Roman"/>
                <w:color w:val="auto"/>
                <w:highlight w:val="none"/>
              </w:rPr>
              <w:t>厚的其它人工材料，渗透系数≤10</w:t>
            </w:r>
            <w:r>
              <w:rPr>
                <w:rFonts w:hint="default" w:ascii="Times New Roman" w:hAnsi="Times New Roman" w:cs="Times New Roman"/>
                <w:color w:val="auto"/>
                <w:highlight w:val="none"/>
                <w:vertAlign w:val="superscript"/>
                <w:lang w:val="en-US" w:eastAsia="zh-CN"/>
              </w:rPr>
              <w:t>-10</w:t>
            </w:r>
            <w:r>
              <w:rPr>
                <w:rFonts w:hint="default" w:ascii="Times New Roman" w:hAnsi="Times New Roman" w:cs="Times New Roman"/>
                <w:color w:val="auto"/>
                <w:highlight w:val="none"/>
                <w:lang w:val="en-US" w:eastAsia="zh-CN"/>
              </w:rPr>
              <w:t>cm/s</w:t>
            </w:r>
            <w:r>
              <w:rPr>
                <w:rFonts w:hint="default" w:ascii="Times New Roman" w:hAnsi="Times New Roman" w:cs="Times New Roman"/>
                <w:color w:val="auto"/>
                <w:highlight w:val="none"/>
              </w:rPr>
              <w:t>。</w:t>
            </w:r>
          </w:p>
          <w:p w14:paraId="3C36894C">
            <w:pPr>
              <w:pStyle w:val="31"/>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产生的医疗废物由各有关科室、病区进行集装袋密封后集中定点存放于医疗废物贮存间，</w:t>
            </w:r>
            <w:r>
              <w:rPr>
                <w:rFonts w:hint="eastAsia" w:cs="Times New Roman"/>
                <w:color w:val="auto"/>
                <w:highlight w:val="none"/>
                <w:lang w:val="en-US" w:eastAsia="zh-CN"/>
              </w:rPr>
              <w:t>委托</w:t>
            </w:r>
            <w:r>
              <w:rPr>
                <w:rFonts w:hint="default" w:ascii="Times New Roman" w:hAnsi="Times New Roman" w:cs="Times New Roman"/>
                <w:color w:val="auto"/>
                <w:highlight w:val="none"/>
                <w:lang w:val="en-US" w:eastAsia="zh-CN"/>
              </w:rPr>
              <w:t>有资质单位处理。医疗废物为每48小时清运一次，每次废物清运后对医疗废物贮存间进行消毒。</w:t>
            </w:r>
          </w:p>
          <w:p w14:paraId="139D7729">
            <w:pPr>
              <w:pStyle w:val="31"/>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医疗废物警示标志及标签如下图所示：</w:t>
            </w:r>
          </w:p>
          <w:p w14:paraId="6E8C7413">
            <w:pPr>
              <w:widowControl w:val="0"/>
              <w:kinsoku/>
              <w:autoSpaceDE/>
              <w:autoSpaceDN/>
              <w:adjustRightInd/>
              <w:snapToGrid/>
              <w:spacing w:line="500" w:lineRule="exact"/>
              <w:jc w:val="center"/>
              <w:textAlignment w:val="auto"/>
              <w:rPr>
                <w:rFonts w:ascii="黑体" w:hAnsi="Times New Roman" w:eastAsia="黑体" w:cs="Times New Roman"/>
                <w:snapToGrid/>
                <w:color w:val="auto"/>
                <w:kern w:val="2"/>
                <w:sz w:val="21"/>
                <w:szCs w:val="32"/>
                <w:lang w:val="en-US" w:eastAsia="zh-CN" w:bidi="ar-SA"/>
              </w:rPr>
            </w:pPr>
            <w:r>
              <w:rPr>
                <w:rFonts w:hint="eastAsia" w:ascii="楷体_GB2312" w:hAnsi="Times New Roman" w:eastAsia="楷体_GB2312" w:cs="Times New Roman"/>
                <w:snapToGrid/>
                <w:color w:val="auto"/>
                <w:kern w:val="2"/>
                <w:sz w:val="21"/>
                <w:szCs w:val="32"/>
                <w:lang w:val="en-US" w:eastAsia="zh-CN" w:bidi="ar-SA"/>
              </w:rPr>
              <w:t>（适用于医疗废物暂存、处置场所的医疗废物警示标志）</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36"/>
              <w:gridCol w:w="4728"/>
            </w:tblGrid>
            <w:tr w14:paraId="2BA31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34" w:type="dxa"/>
                  <w:noWrap w:val="0"/>
                  <w:vAlign w:val="center"/>
                </w:tcPr>
                <w:p w14:paraId="01BC8B32">
                  <w:pPr>
                    <w:widowControl w:val="0"/>
                    <w:kinsoku/>
                    <w:autoSpaceDE/>
                    <w:autoSpaceDN/>
                    <w:adjustRightInd/>
                    <w:snapToGrid/>
                    <w:spacing w:line="240" w:lineRule="auto"/>
                    <w:jc w:val="center"/>
                    <w:textAlignment w:val="auto"/>
                    <w:rPr>
                      <w:rFonts w:ascii="仿宋_GB2312" w:hAnsi="Times New Roman" w:eastAsia="仿宋_GB2312" w:cs="Times New Roman"/>
                      <w:snapToGrid/>
                      <w:color w:val="auto"/>
                      <w:kern w:val="0"/>
                      <w:sz w:val="21"/>
                      <w:szCs w:val="32"/>
                      <w:lang w:val="en-US" w:eastAsia="zh-CN" w:bidi="ar-SA"/>
                    </w:rPr>
                  </w:pPr>
                  <w:r>
                    <w:rPr>
                      <w:rFonts w:ascii="Times New Roman" w:hAnsi="Times New Roman" w:cs="Times New Roman"/>
                      <w:snapToGrid/>
                      <w:color w:val="auto"/>
                      <w:kern w:val="0"/>
                      <w:sz w:val="21"/>
                      <w:szCs w:val="24"/>
                      <w:lang w:val="en-US" w:eastAsia="zh-CN" w:bidi="ar-SA"/>
                    </w:rPr>
                    <w:drawing>
                      <wp:inline distT="0" distB="0" distL="114300" distR="114300">
                        <wp:extent cx="1974850" cy="1720850"/>
                        <wp:effectExtent l="0" t="0" r="6350" b="12700"/>
                        <wp:docPr id="2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0"/>
                                <pic:cNvPicPr>
                                  <a:picLocks noChangeAspect="1"/>
                                </pic:cNvPicPr>
                              </pic:nvPicPr>
                              <pic:blipFill>
                                <a:blip r:embed="rId29"/>
                                <a:stretch>
                                  <a:fillRect/>
                                </a:stretch>
                              </pic:blipFill>
                              <pic:spPr>
                                <a:xfrm>
                                  <a:off x="0" y="0"/>
                                  <a:ext cx="1974850" cy="1720850"/>
                                </a:xfrm>
                                <a:prstGeom prst="rect">
                                  <a:avLst/>
                                </a:prstGeom>
                                <a:noFill/>
                                <a:ln>
                                  <a:noFill/>
                                </a:ln>
                              </pic:spPr>
                            </pic:pic>
                          </a:graphicData>
                        </a:graphic>
                      </wp:inline>
                    </w:drawing>
                  </w:r>
                </w:p>
              </w:tc>
              <w:tc>
                <w:tcPr>
                  <w:tcW w:w="4728" w:type="dxa"/>
                  <w:noWrap w:val="0"/>
                  <w:vAlign w:val="top"/>
                </w:tcPr>
                <w:p w14:paraId="2BCE3303">
                  <w:pPr>
                    <w:widowControl w:val="0"/>
                    <w:kinsoku/>
                    <w:autoSpaceDE/>
                    <w:autoSpaceDN/>
                    <w:adjustRightInd/>
                    <w:snapToGrid/>
                    <w:spacing w:line="240" w:lineRule="auto"/>
                    <w:jc w:val="center"/>
                    <w:textAlignment w:val="auto"/>
                    <w:rPr>
                      <w:rFonts w:ascii="黑体" w:hAnsi="Times New Roman" w:eastAsia="黑体" w:cs="Times New Roman"/>
                      <w:snapToGrid/>
                      <w:color w:val="auto"/>
                      <w:kern w:val="0"/>
                      <w:sz w:val="28"/>
                      <w:szCs w:val="28"/>
                      <w:lang w:val="en-US" w:eastAsia="zh-CN" w:bidi="ar-SA"/>
                    </w:rPr>
                  </w:pPr>
                  <w:r>
                    <w:rPr>
                      <w:rFonts w:hint="eastAsia" w:ascii="黑体" w:hAnsi="Times New Roman" w:eastAsia="黑体" w:cs="Times New Roman"/>
                      <w:snapToGrid/>
                      <w:color w:val="auto"/>
                      <w:kern w:val="0"/>
                      <w:sz w:val="28"/>
                      <w:szCs w:val="28"/>
                      <w:lang w:val="en-US" w:eastAsia="zh-CN" w:bidi="ar-SA"/>
                    </w:rPr>
                    <w:t>说　　明</w:t>
                  </w:r>
                </w:p>
                <w:p w14:paraId="5D1AF2C0">
                  <w:pPr>
                    <w:widowControl w:val="0"/>
                    <w:kinsoku/>
                    <w:autoSpaceDE/>
                    <w:autoSpaceDN/>
                    <w:adjustRightInd/>
                    <w:snapToGrid/>
                    <w:spacing w:line="240" w:lineRule="auto"/>
                    <w:ind w:firstLine="311" w:firstLineChars="173"/>
                    <w:jc w:val="both"/>
                    <w:textAlignment w:val="auto"/>
                    <w:rPr>
                      <w:rFonts w:hint="eastAsia" w:ascii="黑体" w:hAnsi="黑体" w:eastAsia="黑体" w:cs="黑体"/>
                      <w:snapToGrid/>
                      <w:color w:val="auto"/>
                      <w:kern w:val="0"/>
                      <w:sz w:val="18"/>
                      <w:szCs w:val="18"/>
                      <w:lang w:val="en-US" w:eastAsia="zh-CN" w:bidi="ar-SA"/>
                    </w:rPr>
                  </w:pPr>
                  <w:r>
                    <w:rPr>
                      <w:rFonts w:hint="eastAsia" w:ascii="黑体" w:hAnsi="黑体" w:eastAsia="黑体" w:cs="黑体"/>
                      <w:snapToGrid/>
                      <w:color w:val="auto"/>
                      <w:kern w:val="0"/>
                      <w:sz w:val="18"/>
                      <w:szCs w:val="18"/>
                      <w:lang w:val="en-US" w:eastAsia="zh-CN" w:bidi="ar-SA"/>
                    </w:rPr>
                    <w:t>1.形状：等边三角形</w:t>
                  </w:r>
                </w:p>
                <w:p w14:paraId="7CCA4FBA">
                  <w:pPr>
                    <w:widowControl w:val="0"/>
                    <w:kinsoku/>
                    <w:autoSpaceDE/>
                    <w:autoSpaceDN/>
                    <w:adjustRightInd/>
                    <w:snapToGrid/>
                    <w:spacing w:line="240" w:lineRule="auto"/>
                    <w:ind w:firstLine="311" w:firstLineChars="173"/>
                    <w:jc w:val="both"/>
                    <w:textAlignment w:val="auto"/>
                    <w:rPr>
                      <w:rFonts w:hint="eastAsia" w:ascii="黑体" w:hAnsi="黑体" w:eastAsia="黑体" w:cs="黑体"/>
                      <w:snapToGrid/>
                      <w:color w:val="auto"/>
                      <w:kern w:val="0"/>
                      <w:sz w:val="18"/>
                      <w:szCs w:val="18"/>
                      <w:lang w:val="en-US" w:eastAsia="zh-CN" w:bidi="ar-SA"/>
                    </w:rPr>
                  </w:pPr>
                  <w:r>
                    <w:rPr>
                      <w:rFonts w:hint="eastAsia" w:ascii="黑体" w:hAnsi="黑体" w:eastAsia="黑体" w:cs="黑体"/>
                      <w:snapToGrid/>
                      <w:color w:val="auto"/>
                      <w:kern w:val="0"/>
                      <w:sz w:val="18"/>
                      <w:szCs w:val="18"/>
                      <w:lang w:val="en-US" w:eastAsia="zh-CN" w:bidi="ar-SA"/>
                    </w:rPr>
                    <w:t>2.颜色：背景色为黄色</w:t>
                  </w:r>
                </w:p>
                <w:p w14:paraId="2604E5F2">
                  <w:pPr>
                    <w:widowControl w:val="0"/>
                    <w:kinsoku/>
                    <w:autoSpaceDE/>
                    <w:autoSpaceDN/>
                    <w:adjustRightInd/>
                    <w:snapToGrid/>
                    <w:spacing w:line="240" w:lineRule="auto"/>
                    <w:ind w:firstLine="1098" w:firstLineChars="610"/>
                    <w:jc w:val="both"/>
                    <w:textAlignment w:val="auto"/>
                    <w:rPr>
                      <w:rFonts w:hint="eastAsia" w:ascii="黑体" w:hAnsi="黑体" w:eastAsia="黑体" w:cs="黑体"/>
                      <w:snapToGrid/>
                      <w:color w:val="auto"/>
                      <w:kern w:val="0"/>
                      <w:sz w:val="18"/>
                      <w:szCs w:val="18"/>
                      <w:lang w:val="en-US" w:eastAsia="zh-CN" w:bidi="ar-SA"/>
                    </w:rPr>
                  </w:pPr>
                  <w:r>
                    <w:rPr>
                      <w:rFonts w:hint="eastAsia" w:ascii="黑体" w:hAnsi="黑体" w:eastAsia="黑体" w:cs="黑体"/>
                      <w:snapToGrid/>
                      <w:color w:val="auto"/>
                      <w:kern w:val="0"/>
                      <w:sz w:val="18"/>
                      <w:szCs w:val="18"/>
                      <w:lang w:val="en-US" w:eastAsia="zh-CN" w:bidi="ar-SA"/>
                    </w:rPr>
                    <w:t>文字和字母为黑色</w:t>
                  </w:r>
                </w:p>
                <w:p w14:paraId="1B3A9791">
                  <w:pPr>
                    <w:widowControl w:val="0"/>
                    <w:kinsoku/>
                    <w:autoSpaceDE/>
                    <w:autoSpaceDN/>
                    <w:adjustRightInd/>
                    <w:snapToGrid/>
                    <w:spacing w:line="240" w:lineRule="auto"/>
                    <w:ind w:firstLine="1177" w:firstLineChars="654"/>
                    <w:jc w:val="both"/>
                    <w:textAlignment w:val="auto"/>
                    <w:rPr>
                      <w:rFonts w:hint="eastAsia" w:ascii="黑体" w:hAnsi="黑体" w:eastAsia="黑体" w:cs="黑体"/>
                      <w:snapToGrid/>
                      <w:color w:val="auto"/>
                      <w:kern w:val="0"/>
                      <w:sz w:val="18"/>
                      <w:szCs w:val="18"/>
                      <w:lang w:val="en-US" w:eastAsia="zh-CN" w:bidi="ar-SA"/>
                    </w:rPr>
                  </w:pPr>
                  <w:r>
                    <w:rPr>
                      <w:rFonts w:hint="eastAsia" w:ascii="黑体" w:hAnsi="黑体" w:eastAsia="黑体" w:cs="黑体"/>
                      <w:snapToGrid/>
                      <w:color w:val="auto"/>
                      <w:kern w:val="0"/>
                      <w:sz w:val="18"/>
                      <w:szCs w:val="18"/>
                      <w:lang w:val="en-US" w:eastAsia="zh-CN" w:bidi="ar-SA"/>
                    </w:rPr>
                    <w:t>边框和主标识为黑色</w:t>
                  </w:r>
                </w:p>
                <w:p w14:paraId="4BA849D4">
                  <w:pPr>
                    <w:widowControl w:val="0"/>
                    <w:kinsoku/>
                    <w:autoSpaceDE/>
                    <w:autoSpaceDN/>
                    <w:adjustRightInd/>
                    <w:snapToGrid/>
                    <w:spacing w:line="240" w:lineRule="auto"/>
                    <w:ind w:firstLine="311" w:firstLineChars="173"/>
                    <w:jc w:val="both"/>
                    <w:textAlignment w:val="auto"/>
                    <w:rPr>
                      <w:rFonts w:hint="eastAsia" w:ascii="黑体" w:hAnsi="黑体" w:eastAsia="黑体" w:cs="黑体"/>
                      <w:snapToGrid/>
                      <w:color w:val="auto"/>
                      <w:kern w:val="0"/>
                      <w:sz w:val="18"/>
                      <w:szCs w:val="18"/>
                      <w:lang w:val="en-US" w:eastAsia="zh-CN" w:bidi="ar-SA"/>
                    </w:rPr>
                  </w:pPr>
                  <w:r>
                    <w:rPr>
                      <w:rFonts w:hint="eastAsia" w:ascii="黑体" w:hAnsi="黑体" w:eastAsia="黑体" w:cs="黑体"/>
                      <w:snapToGrid/>
                      <w:color w:val="auto"/>
                      <w:kern w:val="0"/>
                      <w:sz w:val="18"/>
                      <w:szCs w:val="18"/>
                      <w:lang w:val="en-US" w:eastAsia="zh-CN" w:bidi="ar-SA"/>
                    </w:rPr>
                    <w:t>3.尺寸：警示牌　等边三角形边长400mm</w:t>
                  </w:r>
                </w:p>
                <w:p w14:paraId="1AA0F2F7">
                  <w:pPr>
                    <w:widowControl w:val="0"/>
                    <w:kinsoku/>
                    <w:autoSpaceDE/>
                    <w:autoSpaceDN/>
                    <w:adjustRightInd/>
                    <w:snapToGrid/>
                    <w:spacing w:line="240" w:lineRule="auto"/>
                    <w:ind w:firstLine="311" w:firstLineChars="173"/>
                    <w:jc w:val="both"/>
                    <w:textAlignment w:val="auto"/>
                    <w:rPr>
                      <w:rFonts w:hint="eastAsia" w:ascii="黑体" w:hAnsi="黑体" w:eastAsia="黑体" w:cs="黑体"/>
                      <w:snapToGrid/>
                      <w:color w:val="auto"/>
                      <w:kern w:val="0"/>
                      <w:sz w:val="18"/>
                      <w:szCs w:val="18"/>
                      <w:lang w:val="en-US" w:eastAsia="zh-CN" w:bidi="ar-SA"/>
                    </w:rPr>
                  </w:pPr>
                  <w:r>
                    <w:rPr>
                      <w:rFonts w:hint="eastAsia" w:ascii="黑体" w:hAnsi="黑体" w:eastAsia="黑体" w:cs="黑体"/>
                      <w:snapToGrid/>
                      <w:color w:val="auto"/>
                      <w:kern w:val="0"/>
                      <w:sz w:val="18"/>
                      <w:szCs w:val="18"/>
                      <w:lang w:val="en-US" w:eastAsia="zh-CN" w:bidi="ar-SA"/>
                    </w:rPr>
                    <w:t xml:space="preserve">         主标识　 高150mm</w:t>
                  </w:r>
                </w:p>
                <w:p w14:paraId="77F0E688">
                  <w:pPr>
                    <w:widowControl w:val="0"/>
                    <w:kinsoku/>
                    <w:autoSpaceDE/>
                    <w:autoSpaceDN/>
                    <w:adjustRightInd/>
                    <w:snapToGrid/>
                    <w:spacing w:line="240" w:lineRule="auto"/>
                    <w:ind w:firstLine="1098" w:firstLineChars="610"/>
                    <w:jc w:val="both"/>
                    <w:textAlignment w:val="auto"/>
                    <w:rPr>
                      <w:rFonts w:hint="eastAsia" w:ascii="黑体" w:hAnsi="黑体" w:eastAsia="黑体" w:cs="黑体"/>
                      <w:snapToGrid/>
                      <w:color w:val="auto"/>
                      <w:kern w:val="0"/>
                      <w:sz w:val="18"/>
                      <w:szCs w:val="18"/>
                      <w:lang w:val="en-US" w:eastAsia="zh-CN" w:bidi="ar-SA"/>
                    </w:rPr>
                  </w:pPr>
                  <w:r>
                    <w:rPr>
                      <w:rFonts w:hint="eastAsia" w:ascii="黑体" w:hAnsi="黑体" w:eastAsia="黑体" w:cs="黑体"/>
                      <w:snapToGrid/>
                      <w:color w:val="auto"/>
                      <w:kern w:val="0"/>
                      <w:sz w:val="18"/>
                      <w:szCs w:val="18"/>
                      <w:lang w:val="en-US" w:eastAsia="zh-CN" w:bidi="ar-SA"/>
                    </w:rPr>
                    <w:t>中文文字　高40mm</w:t>
                  </w:r>
                </w:p>
                <w:p w14:paraId="6F82870F">
                  <w:pPr>
                    <w:widowControl w:val="0"/>
                    <w:kinsoku/>
                    <w:autoSpaceDE/>
                    <w:autoSpaceDN/>
                    <w:adjustRightInd/>
                    <w:snapToGrid/>
                    <w:spacing w:line="240" w:lineRule="auto"/>
                    <w:ind w:firstLine="1098" w:firstLineChars="610"/>
                    <w:jc w:val="both"/>
                    <w:textAlignment w:val="auto"/>
                    <w:rPr>
                      <w:rFonts w:hint="eastAsia" w:ascii="黑体" w:hAnsi="黑体" w:eastAsia="黑体" w:cs="黑体"/>
                      <w:snapToGrid/>
                      <w:color w:val="auto"/>
                      <w:kern w:val="0"/>
                      <w:sz w:val="18"/>
                      <w:szCs w:val="18"/>
                      <w:lang w:val="en-US" w:eastAsia="zh-CN" w:bidi="ar-SA"/>
                    </w:rPr>
                  </w:pPr>
                  <w:r>
                    <w:rPr>
                      <w:rFonts w:hint="eastAsia" w:ascii="黑体" w:hAnsi="黑体" w:eastAsia="黑体" w:cs="黑体"/>
                      <w:snapToGrid/>
                      <w:color w:val="auto"/>
                      <w:kern w:val="0"/>
                      <w:sz w:val="18"/>
                      <w:szCs w:val="18"/>
                      <w:lang w:val="en-US" w:eastAsia="zh-CN" w:bidi="ar-SA"/>
                    </w:rPr>
                    <w:t>英文文字　高40mm</w:t>
                  </w:r>
                </w:p>
                <w:p w14:paraId="399B0A1B">
                  <w:pPr>
                    <w:widowControl w:val="0"/>
                    <w:kinsoku/>
                    <w:autoSpaceDE/>
                    <w:autoSpaceDN/>
                    <w:adjustRightInd/>
                    <w:snapToGrid/>
                    <w:spacing w:line="240" w:lineRule="auto"/>
                    <w:ind w:left="-2" w:leftChars="-1" w:firstLine="311" w:firstLineChars="173"/>
                    <w:jc w:val="both"/>
                    <w:textAlignment w:val="auto"/>
                    <w:rPr>
                      <w:rFonts w:ascii="仿宋_GB2312" w:hAnsi="Times New Roman" w:eastAsia="仿宋_GB2312" w:cs="Times New Roman"/>
                      <w:snapToGrid/>
                      <w:color w:val="auto"/>
                      <w:kern w:val="0"/>
                      <w:sz w:val="21"/>
                      <w:szCs w:val="32"/>
                      <w:lang w:val="en-US" w:eastAsia="zh-CN" w:bidi="ar-SA"/>
                    </w:rPr>
                  </w:pPr>
                  <w:r>
                    <w:rPr>
                      <w:rFonts w:hint="eastAsia" w:ascii="黑体" w:hAnsi="黑体" w:eastAsia="黑体" w:cs="黑体"/>
                      <w:snapToGrid/>
                      <w:color w:val="auto"/>
                      <w:kern w:val="0"/>
                      <w:sz w:val="18"/>
                      <w:szCs w:val="18"/>
                      <w:lang w:val="en-US" w:eastAsia="zh-CN" w:bidi="ar-SA"/>
                    </w:rPr>
                    <w:t>4.适用于：医院医疗废物暂存间、医疗废物处置中心医疗废物暂存间或医疗废物处置设施。</w:t>
                  </w:r>
                </w:p>
              </w:tc>
            </w:tr>
          </w:tbl>
          <w:p w14:paraId="2876CCE8">
            <w:pPr>
              <w:widowControl w:val="0"/>
              <w:kinsoku/>
              <w:autoSpaceDE/>
              <w:autoSpaceDN/>
              <w:adjustRightInd/>
              <w:snapToGrid/>
              <w:spacing w:line="500" w:lineRule="exact"/>
              <w:jc w:val="center"/>
              <w:textAlignment w:val="auto"/>
              <w:rPr>
                <w:rFonts w:ascii="黑体" w:hAnsi="Times New Roman" w:eastAsia="黑体" w:cs="Times New Roman"/>
                <w:snapToGrid/>
                <w:color w:val="auto"/>
                <w:kern w:val="2"/>
                <w:sz w:val="21"/>
                <w:szCs w:val="32"/>
                <w:lang w:val="en-US" w:eastAsia="zh-CN" w:bidi="ar-SA"/>
              </w:rPr>
            </w:pPr>
            <w:r>
              <w:rPr>
                <w:rFonts w:hint="eastAsia" w:ascii="楷体_GB2312" w:hAnsi="Times New Roman" w:eastAsia="楷体_GB2312" w:cs="Times New Roman"/>
                <w:snapToGrid/>
                <w:color w:val="auto"/>
                <w:kern w:val="2"/>
                <w:sz w:val="21"/>
                <w:szCs w:val="32"/>
                <w:lang w:val="en-US" w:eastAsia="zh-CN" w:bidi="ar-SA"/>
              </w:rPr>
              <w:t>（适用于医院科室医疗废物收集点的医疗废物警示标志）</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50"/>
              <w:gridCol w:w="4549"/>
            </w:tblGrid>
            <w:tr w14:paraId="6036D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4" w:hRule="atLeast"/>
              </w:trPr>
              <w:tc>
                <w:tcPr>
                  <w:tcW w:w="3150" w:type="dxa"/>
                  <w:noWrap w:val="0"/>
                  <w:vAlign w:val="center"/>
                </w:tcPr>
                <w:p w14:paraId="74BDE118">
                  <w:pPr>
                    <w:widowControl w:val="0"/>
                    <w:kinsoku/>
                    <w:autoSpaceDE/>
                    <w:autoSpaceDN/>
                    <w:adjustRightInd/>
                    <w:snapToGrid/>
                    <w:spacing w:line="240" w:lineRule="auto"/>
                    <w:jc w:val="center"/>
                    <w:textAlignment w:val="auto"/>
                    <w:rPr>
                      <w:rFonts w:ascii="仿宋_GB2312" w:hAnsi="Times New Roman" w:eastAsia="仿宋_GB2312" w:cs="Times New Roman"/>
                      <w:snapToGrid/>
                      <w:color w:val="auto"/>
                      <w:kern w:val="0"/>
                      <w:sz w:val="21"/>
                      <w:szCs w:val="32"/>
                      <w:lang w:val="en-US" w:eastAsia="zh-CN" w:bidi="ar-SA"/>
                    </w:rPr>
                  </w:pPr>
                  <w:r>
                    <w:rPr>
                      <w:rFonts w:ascii="Times New Roman" w:hAnsi="Times New Roman" w:cs="Times New Roman"/>
                      <w:snapToGrid/>
                      <w:color w:val="auto"/>
                      <w:kern w:val="0"/>
                      <w:sz w:val="21"/>
                      <w:szCs w:val="24"/>
                      <w:lang w:val="en-US" w:eastAsia="zh-CN" w:bidi="ar-SA"/>
                    </w:rPr>
                    <w:drawing>
                      <wp:inline distT="0" distB="0" distL="114300" distR="114300">
                        <wp:extent cx="1685925" cy="1466850"/>
                        <wp:effectExtent l="0" t="0" r="9525" b="0"/>
                        <wp:docPr id="2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1"/>
                                <pic:cNvPicPr>
                                  <a:picLocks noChangeAspect="1"/>
                                </pic:cNvPicPr>
                              </pic:nvPicPr>
                              <pic:blipFill>
                                <a:blip r:embed="rId30"/>
                                <a:stretch>
                                  <a:fillRect/>
                                </a:stretch>
                              </pic:blipFill>
                              <pic:spPr>
                                <a:xfrm>
                                  <a:off x="0" y="0"/>
                                  <a:ext cx="1685925" cy="1466850"/>
                                </a:xfrm>
                                <a:prstGeom prst="rect">
                                  <a:avLst/>
                                </a:prstGeom>
                                <a:noFill/>
                                <a:ln>
                                  <a:noFill/>
                                </a:ln>
                              </pic:spPr>
                            </pic:pic>
                          </a:graphicData>
                        </a:graphic>
                      </wp:inline>
                    </w:drawing>
                  </w:r>
                </w:p>
              </w:tc>
              <w:tc>
                <w:tcPr>
                  <w:tcW w:w="4549" w:type="dxa"/>
                  <w:noWrap w:val="0"/>
                  <w:vAlign w:val="top"/>
                </w:tcPr>
                <w:p w14:paraId="14FCC151">
                  <w:pPr>
                    <w:widowControl w:val="0"/>
                    <w:kinsoku/>
                    <w:autoSpaceDE/>
                    <w:autoSpaceDN/>
                    <w:adjustRightInd/>
                    <w:snapToGrid/>
                    <w:spacing w:line="240" w:lineRule="auto"/>
                    <w:jc w:val="center"/>
                    <w:textAlignment w:val="auto"/>
                    <w:rPr>
                      <w:rFonts w:ascii="黑体" w:hAnsi="Times New Roman" w:eastAsia="黑体" w:cs="Times New Roman"/>
                      <w:snapToGrid/>
                      <w:color w:val="auto"/>
                      <w:kern w:val="0"/>
                      <w:sz w:val="28"/>
                      <w:szCs w:val="28"/>
                      <w:lang w:val="en-US" w:eastAsia="zh-CN" w:bidi="ar-SA"/>
                    </w:rPr>
                  </w:pPr>
                  <w:r>
                    <w:rPr>
                      <w:rFonts w:hint="eastAsia" w:ascii="黑体" w:hAnsi="Times New Roman" w:eastAsia="黑体" w:cs="Times New Roman"/>
                      <w:snapToGrid/>
                      <w:color w:val="auto"/>
                      <w:kern w:val="0"/>
                      <w:sz w:val="28"/>
                      <w:szCs w:val="28"/>
                      <w:lang w:val="en-US" w:eastAsia="zh-CN" w:bidi="ar-SA"/>
                    </w:rPr>
                    <w:t>说　　明</w:t>
                  </w:r>
                </w:p>
                <w:p w14:paraId="5846DB6B">
                  <w:pPr>
                    <w:widowControl w:val="0"/>
                    <w:kinsoku/>
                    <w:autoSpaceDE/>
                    <w:autoSpaceDN/>
                    <w:adjustRightInd/>
                    <w:snapToGrid/>
                    <w:spacing w:line="240" w:lineRule="auto"/>
                    <w:ind w:left="-2" w:leftChars="-1" w:firstLine="311" w:firstLineChars="173"/>
                    <w:jc w:val="both"/>
                    <w:textAlignment w:val="auto"/>
                    <w:rPr>
                      <w:rFonts w:hint="eastAsia" w:ascii="黑体" w:hAnsi="黑体" w:eastAsia="黑体" w:cs="黑体"/>
                      <w:snapToGrid/>
                      <w:color w:val="auto"/>
                      <w:kern w:val="0"/>
                      <w:sz w:val="18"/>
                      <w:szCs w:val="18"/>
                      <w:lang w:val="en-US" w:eastAsia="zh-CN" w:bidi="ar-SA"/>
                    </w:rPr>
                  </w:pPr>
                  <w:r>
                    <w:rPr>
                      <w:rFonts w:hint="eastAsia" w:ascii="黑体" w:hAnsi="黑体" w:eastAsia="黑体" w:cs="黑体"/>
                      <w:snapToGrid/>
                      <w:color w:val="auto"/>
                      <w:kern w:val="0"/>
                      <w:sz w:val="18"/>
                      <w:szCs w:val="18"/>
                      <w:lang w:val="en-US" w:eastAsia="zh-CN" w:bidi="ar-SA"/>
                    </w:rPr>
                    <w:t>1.主标识形状、颜色同附件C－1。</w:t>
                  </w:r>
                </w:p>
                <w:p w14:paraId="2F3AF0D5">
                  <w:pPr>
                    <w:widowControl w:val="0"/>
                    <w:kinsoku/>
                    <w:autoSpaceDE/>
                    <w:autoSpaceDN/>
                    <w:adjustRightInd/>
                    <w:snapToGrid/>
                    <w:spacing w:line="240" w:lineRule="auto"/>
                    <w:ind w:left="-2" w:leftChars="-1" w:firstLine="311" w:firstLineChars="173"/>
                    <w:jc w:val="both"/>
                    <w:textAlignment w:val="auto"/>
                    <w:rPr>
                      <w:rFonts w:hint="eastAsia" w:ascii="黑体" w:hAnsi="黑体" w:eastAsia="黑体" w:cs="黑体"/>
                      <w:snapToGrid/>
                      <w:color w:val="auto"/>
                      <w:kern w:val="0"/>
                      <w:sz w:val="18"/>
                      <w:szCs w:val="18"/>
                      <w:lang w:val="en-US" w:eastAsia="zh-CN" w:bidi="ar-SA"/>
                    </w:rPr>
                  </w:pPr>
                  <w:r>
                    <w:rPr>
                      <w:rFonts w:hint="eastAsia" w:ascii="黑体" w:hAnsi="黑体" w:eastAsia="黑体" w:cs="黑体"/>
                      <w:snapToGrid/>
                      <w:color w:val="auto"/>
                      <w:kern w:val="0"/>
                      <w:sz w:val="18"/>
                      <w:szCs w:val="18"/>
                      <w:lang w:val="en-US" w:eastAsia="zh-CN" w:bidi="ar-SA"/>
                    </w:rPr>
                    <w:t>2.尺寸：警示牌　等边三角形边长200mm</w:t>
                  </w:r>
                </w:p>
                <w:p w14:paraId="030B8F41">
                  <w:pPr>
                    <w:widowControl w:val="0"/>
                    <w:kinsoku/>
                    <w:autoSpaceDE/>
                    <w:autoSpaceDN/>
                    <w:adjustRightInd/>
                    <w:snapToGrid/>
                    <w:spacing w:line="240" w:lineRule="auto"/>
                    <w:ind w:left="-2" w:leftChars="-1" w:firstLine="311" w:firstLineChars="173"/>
                    <w:jc w:val="both"/>
                    <w:textAlignment w:val="auto"/>
                    <w:rPr>
                      <w:rFonts w:hint="eastAsia" w:ascii="黑体" w:hAnsi="黑体" w:eastAsia="黑体" w:cs="黑体"/>
                      <w:snapToGrid/>
                      <w:color w:val="auto"/>
                      <w:kern w:val="0"/>
                      <w:sz w:val="18"/>
                      <w:szCs w:val="18"/>
                      <w:lang w:val="en-US" w:eastAsia="zh-CN" w:bidi="ar-SA"/>
                    </w:rPr>
                  </w:pPr>
                  <w:r>
                    <w:rPr>
                      <w:rFonts w:hint="eastAsia" w:ascii="黑体" w:hAnsi="黑体" w:eastAsia="黑体" w:cs="黑体"/>
                      <w:snapToGrid/>
                      <w:color w:val="auto"/>
                      <w:kern w:val="0"/>
                      <w:sz w:val="18"/>
                      <w:szCs w:val="18"/>
                      <w:lang w:val="en-US" w:eastAsia="zh-CN" w:bidi="ar-SA"/>
                    </w:rPr>
                    <w:t xml:space="preserve">         主标识　  高75mm</w:t>
                  </w:r>
                </w:p>
                <w:p w14:paraId="0FAF42A9">
                  <w:pPr>
                    <w:widowControl w:val="0"/>
                    <w:kinsoku/>
                    <w:autoSpaceDE/>
                    <w:autoSpaceDN/>
                    <w:adjustRightInd/>
                    <w:snapToGrid/>
                    <w:spacing w:line="240" w:lineRule="auto"/>
                    <w:ind w:left="-2" w:leftChars="-1" w:firstLine="311" w:firstLineChars="173"/>
                    <w:jc w:val="both"/>
                    <w:textAlignment w:val="auto"/>
                    <w:rPr>
                      <w:rFonts w:hint="eastAsia" w:ascii="黑体" w:hAnsi="黑体" w:eastAsia="黑体" w:cs="黑体"/>
                      <w:snapToGrid/>
                      <w:color w:val="auto"/>
                      <w:kern w:val="0"/>
                      <w:sz w:val="18"/>
                      <w:szCs w:val="18"/>
                      <w:lang w:val="en-US" w:eastAsia="zh-CN" w:bidi="ar-SA"/>
                    </w:rPr>
                  </w:pPr>
                  <w:r>
                    <w:rPr>
                      <w:rFonts w:hint="eastAsia" w:ascii="黑体" w:hAnsi="黑体" w:eastAsia="黑体" w:cs="黑体"/>
                      <w:snapToGrid/>
                      <w:color w:val="auto"/>
                      <w:kern w:val="0"/>
                      <w:sz w:val="18"/>
                      <w:szCs w:val="18"/>
                      <w:lang w:val="en-US" w:eastAsia="zh-CN" w:bidi="ar-SA"/>
                    </w:rPr>
                    <w:t>中文文字　高20mm</w:t>
                  </w:r>
                </w:p>
                <w:p w14:paraId="0BC3B83A">
                  <w:pPr>
                    <w:widowControl w:val="0"/>
                    <w:kinsoku/>
                    <w:autoSpaceDE/>
                    <w:autoSpaceDN/>
                    <w:adjustRightInd/>
                    <w:snapToGrid/>
                    <w:spacing w:line="240" w:lineRule="auto"/>
                    <w:ind w:left="-2" w:leftChars="-1" w:firstLine="311" w:firstLineChars="173"/>
                    <w:jc w:val="both"/>
                    <w:textAlignment w:val="auto"/>
                    <w:rPr>
                      <w:rFonts w:hint="eastAsia" w:ascii="黑体" w:hAnsi="黑体" w:eastAsia="黑体" w:cs="黑体"/>
                      <w:snapToGrid/>
                      <w:color w:val="auto"/>
                      <w:kern w:val="0"/>
                      <w:sz w:val="18"/>
                      <w:szCs w:val="18"/>
                      <w:lang w:val="en-US" w:eastAsia="zh-CN" w:bidi="ar-SA"/>
                    </w:rPr>
                  </w:pPr>
                  <w:r>
                    <w:rPr>
                      <w:rFonts w:hint="eastAsia" w:ascii="黑体" w:hAnsi="黑体" w:eastAsia="黑体" w:cs="黑体"/>
                      <w:snapToGrid/>
                      <w:color w:val="auto"/>
                      <w:kern w:val="0"/>
                      <w:sz w:val="18"/>
                      <w:szCs w:val="18"/>
                      <w:lang w:val="en-US" w:eastAsia="zh-CN" w:bidi="ar-SA"/>
                    </w:rPr>
                    <w:t>英文文字　高20mm</w:t>
                  </w:r>
                </w:p>
                <w:p w14:paraId="7EE4832D">
                  <w:pPr>
                    <w:widowControl w:val="0"/>
                    <w:kinsoku/>
                    <w:autoSpaceDE/>
                    <w:autoSpaceDN/>
                    <w:adjustRightInd/>
                    <w:snapToGrid/>
                    <w:spacing w:line="240" w:lineRule="auto"/>
                    <w:ind w:left="-2" w:leftChars="-1" w:firstLine="311" w:firstLineChars="173"/>
                    <w:jc w:val="both"/>
                    <w:textAlignment w:val="auto"/>
                    <w:rPr>
                      <w:rFonts w:ascii="仿宋_GB2312" w:hAnsi="Times New Roman" w:eastAsia="仿宋_GB2312" w:cs="Times New Roman"/>
                      <w:snapToGrid/>
                      <w:color w:val="auto"/>
                      <w:kern w:val="0"/>
                      <w:sz w:val="21"/>
                      <w:szCs w:val="32"/>
                      <w:lang w:val="en-US" w:eastAsia="zh-CN" w:bidi="ar-SA"/>
                    </w:rPr>
                  </w:pPr>
                  <w:r>
                    <w:rPr>
                      <w:rFonts w:hint="eastAsia" w:ascii="黑体" w:hAnsi="黑体" w:eastAsia="黑体" w:cs="黑体"/>
                      <w:snapToGrid/>
                      <w:color w:val="auto"/>
                      <w:kern w:val="0"/>
                      <w:sz w:val="18"/>
                      <w:szCs w:val="18"/>
                      <w:lang w:val="en-US" w:eastAsia="zh-CN" w:bidi="ar-SA"/>
                    </w:rPr>
                    <w:t>3.适用于：适用于医院科室医疗废物收集点。</w:t>
                  </w:r>
                </w:p>
              </w:tc>
            </w:tr>
          </w:tbl>
          <w:p w14:paraId="74376F19">
            <w:pPr>
              <w:widowControl w:val="0"/>
              <w:kinsoku/>
              <w:autoSpaceDE/>
              <w:autoSpaceDN/>
              <w:adjustRightInd/>
              <w:snapToGrid/>
              <w:spacing w:line="500" w:lineRule="exact"/>
              <w:jc w:val="center"/>
              <w:textAlignment w:val="auto"/>
              <w:rPr>
                <w:rFonts w:ascii="黑体" w:hAnsi="Times New Roman" w:eastAsia="黑体" w:cs="Times New Roman"/>
                <w:snapToGrid/>
                <w:color w:val="auto"/>
                <w:kern w:val="2"/>
                <w:sz w:val="21"/>
                <w:szCs w:val="32"/>
                <w:lang w:val="en-US" w:eastAsia="zh-CN" w:bidi="ar-SA"/>
              </w:rPr>
            </w:pPr>
            <w:r>
              <w:rPr>
                <w:rFonts w:hint="eastAsia" w:ascii="黑体" w:hAnsi="Times New Roman" w:eastAsia="黑体" w:cs="Times New Roman"/>
                <w:snapToGrid/>
                <w:color w:val="auto"/>
                <w:kern w:val="2"/>
                <w:sz w:val="21"/>
                <w:szCs w:val="32"/>
                <w:lang w:val="en-US" w:eastAsia="zh-CN" w:bidi="ar-SA"/>
              </w:rPr>
              <w:t>医疗废物转运车警示标志</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75"/>
              <w:gridCol w:w="4644"/>
            </w:tblGrid>
            <w:tr w14:paraId="04240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0" w:hRule="atLeast"/>
              </w:trPr>
              <w:tc>
                <w:tcPr>
                  <w:tcW w:w="3175" w:type="dxa"/>
                  <w:noWrap w:val="0"/>
                  <w:vAlign w:val="center"/>
                </w:tcPr>
                <w:p w14:paraId="535AE76E">
                  <w:pPr>
                    <w:widowControl w:val="0"/>
                    <w:kinsoku/>
                    <w:autoSpaceDE/>
                    <w:autoSpaceDN/>
                    <w:adjustRightInd/>
                    <w:snapToGrid/>
                    <w:spacing w:line="240" w:lineRule="auto"/>
                    <w:jc w:val="center"/>
                    <w:textAlignment w:val="auto"/>
                    <w:rPr>
                      <w:rFonts w:ascii="仿宋_GB2312" w:hAnsi="Times New Roman" w:eastAsia="仿宋_GB2312" w:cs="Times New Roman"/>
                      <w:snapToGrid/>
                      <w:color w:val="auto"/>
                      <w:kern w:val="0"/>
                      <w:sz w:val="21"/>
                      <w:szCs w:val="32"/>
                      <w:lang w:val="en-US" w:eastAsia="zh-CN" w:bidi="ar-SA"/>
                    </w:rPr>
                  </w:pPr>
                  <w:r>
                    <w:rPr>
                      <w:rFonts w:ascii="Times New Roman" w:hAnsi="Times New Roman" w:cs="Times New Roman"/>
                      <w:snapToGrid/>
                      <w:color w:val="auto"/>
                      <w:kern w:val="0"/>
                      <w:sz w:val="21"/>
                      <w:szCs w:val="24"/>
                      <w:lang w:val="en-US" w:eastAsia="zh-CN" w:bidi="ar-SA"/>
                    </w:rPr>
                    <w:drawing>
                      <wp:inline distT="0" distB="0" distL="114300" distR="114300">
                        <wp:extent cx="1799590" cy="1725930"/>
                        <wp:effectExtent l="0" t="0" r="10160" b="7620"/>
                        <wp:docPr id="2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2"/>
                                <pic:cNvPicPr>
                                  <a:picLocks noChangeAspect="1"/>
                                </pic:cNvPicPr>
                              </pic:nvPicPr>
                              <pic:blipFill>
                                <a:blip r:embed="rId31"/>
                                <a:stretch>
                                  <a:fillRect/>
                                </a:stretch>
                              </pic:blipFill>
                              <pic:spPr>
                                <a:xfrm>
                                  <a:off x="0" y="0"/>
                                  <a:ext cx="1799590" cy="1725930"/>
                                </a:xfrm>
                                <a:prstGeom prst="rect">
                                  <a:avLst/>
                                </a:prstGeom>
                                <a:noFill/>
                                <a:ln>
                                  <a:noFill/>
                                </a:ln>
                              </pic:spPr>
                            </pic:pic>
                          </a:graphicData>
                        </a:graphic>
                      </wp:inline>
                    </w:drawing>
                  </w:r>
                </w:p>
              </w:tc>
              <w:tc>
                <w:tcPr>
                  <w:tcW w:w="4644" w:type="dxa"/>
                  <w:noWrap w:val="0"/>
                  <w:vAlign w:val="top"/>
                </w:tcPr>
                <w:p w14:paraId="7F029646">
                  <w:pPr>
                    <w:widowControl w:val="0"/>
                    <w:kinsoku/>
                    <w:autoSpaceDE/>
                    <w:autoSpaceDN/>
                    <w:adjustRightInd/>
                    <w:snapToGrid/>
                    <w:spacing w:line="240" w:lineRule="auto"/>
                    <w:jc w:val="center"/>
                    <w:textAlignment w:val="auto"/>
                    <w:rPr>
                      <w:rFonts w:ascii="黑体" w:hAnsi="Times New Roman" w:eastAsia="黑体" w:cs="Times New Roman"/>
                      <w:snapToGrid/>
                      <w:color w:val="auto"/>
                      <w:kern w:val="0"/>
                      <w:sz w:val="28"/>
                      <w:szCs w:val="28"/>
                      <w:lang w:val="en-US" w:eastAsia="zh-CN" w:bidi="ar-SA"/>
                    </w:rPr>
                  </w:pPr>
                  <w:r>
                    <w:rPr>
                      <w:rFonts w:hint="eastAsia" w:ascii="黑体" w:hAnsi="Times New Roman" w:eastAsia="黑体" w:cs="Times New Roman"/>
                      <w:snapToGrid/>
                      <w:color w:val="auto"/>
                      <w:kern w:val="0"/>
                      <w:sz w:val="28"/>
                      <w:szCs w:val="28"/>
                      <w:lang w:val="en-US" w:eastAsia="zh-CN" w:bidi="ar-SA"/>
                    </w:rPr>
                    <w:t>说　　明</w:t>
                  </w:r>
                </w:p>
                <w:p w14:paraId="536F44E8">
                  <w:pPr>
                    <w:widowControl w:val="0"/>
                    <w:kinsoku/>
                    <w:autoSpaceDE/>
                    <w:autoSpaceDN/>
                    <w:adjustRightInd/>
                    <w:snapToGrid/>
                    <w:spacing w:line="240" w:lineRule="auto"/>
                    <w:ind w:left="-2" w:leftChars="-1" w:firstLine="311" w:firstLineChars="173"/>
                    <w:jc w:val="both"/>
                    <w:textAlignment w:val="auto"/>
                    <w:rPr>
                      <w:rFonts w:hint="eastAsia" w:ascii="黑体" w:hAnsi="黑体" w:eastAsia="黑体" w:cs="黑体"/>
                      <w:snapToGrid/>
                      <w:color w:val="auto"/>
                      <w:kern w:val="0"/>
                      <w:sz w:val="18"/>
                      <w:szCs w:val="18"/>
                      <w:lang w:val="en-US" w:eastAsia="zh-CN" w:bidi="ar-SA"/>
                    </w:rPr>
                  </w:pPr>
                  <w:r>
                    <w:rPr>
                      <w:rFonts w:hint="eastAsia" w:ascii="黑体" w:hAnsi="黑体" w:eastAsia="黑体" w:cs="黑体"/>
                      <w:snapToGrid/>
                      <w:color w:val="auto"/>
                      <w:kern w:val="0"/>
                      <w:sz w:val="18"/>
                      <w:szCs w:val="18"/>
                      <w:lang w:val="en-US" w:eastAsia="zh-CN" w:bidi="ar-SA"/>
                    </w:rPr>
                    <w:t>1.形状：菱形</w:t>
                  </w:r>
                </w:p>
                <w:p w14:paraId="3FBFC421">
                  <w:pPr>
                    <w:widowControl w:val="0"/>
                    <w:kinsoku/>
                    <w:autoSpaceDE/>
                    <w:autoSpaceDN/>
                    <w:adjustRightInd/>
                    <w:snapToGrid/>
                    <w:spacing w:line="240" w:lineRule="auto"/>
                    <w:ind w:left="-2" w:leftChars="-1" w:firstLine="311" w:firstLineChars="173"/>
                    <w:jc w:val="both"/>
                    <w:textAlignment w:val="auto"/>
                    <w:rPr>
                      <w:rFonts w:hint="eastAsia" w:ascii="黑体" w:hAnsi="黑体" w:eastAsia="黑体" w:cs="黑体"/>
                      <w:snapToGrid/>
                      <w:color w:val="auto"/>
                      <w:kern w:val="0"/>
                      <w:sz w:val="18"/>
                      <w:szCs w:val="18"/>
                      <w:lang w:val="en-US" w:eastAsia="zh-CN" w:bidi="ar-SA"/>
                    </w:rPr>
                  </w:pPr>
                  <w:r>
                    <w:rPr>
                      <w:rFonts w:hint="eastAsia" w:ascii="黑体" w:hAnsi="黑体" w:eastAsia="黑体" w:cs="黑体"/>
                      <w:snapToGrid/>
                      <w:color w:val="auto"/>
                      <w:kern w:val="0"/>
                      <w:sz w:val="18"/>
                      <w:szCs w:val="18"/>
                      <w:lang w:val="en-US" w:eastAsia="zh-CN" w:bidi="ar-SA"/>
                    </w:rPr>
                    <w:t>2.颜色：背景色　醒目的橘红色</w:t>
                  </w:r>
                </w:p>
                <w:p w14:paraId="7651F58F">
                  <w:pPr>
                    <w:widowControl w:val="0"/>
                    <w:kinsoku/>
                    <w:autoSpaceDE/>
                    <w:autoSpaceDN/>
                    <w:adjustRightInd/>
                    <w:snapToGrid/>
                    <w:spacing w:line="240" w:lineRule="auto"/>
                    <w:ind w:left="-2" w:leftChars="-1" w:firstLine="311" w:firstLineChars="173"/>
                    <w:jc w:val="both"/>
                    <w:textAlignment w:val="auto"/>
                    <w:rPr>
                      <w:rFonts w:hint="eastAsia" w:ascii="黑体" w:hAnsi="黑体" w:eastAsia="黑体" w:cs="黑体"/>
                      <w:snapToGrid/>
                      <w:color w:val="auto"/>
                      <w:kern w:val="0"/>
                      <w:sz w:val="18"/>
                      <w:szCs w:val="18"/>
                      <w:lang w:val="en-US" w:eastAsia="zh-CN" w:bidi="ar-SA"/>
                    </w:rPr>
                  </w:pPr>
                  <w:r>
                    <w:rPr>
                      <w:rFonts w:hint="eastAsia" w:ascii="黑体" w:hAnsi="黑体" w:eastAsia="黑体" w:cs="黑体"/>
                      <w:snapToGrid/>
                      <w:color w:val="auto"/>
                      <w:kern w:val="0"/>
                      <w:sz w:val="18"/>
                      <w:szCs w:val="18"/>
                      <w:lang w:val="en-US" w:eastAsia="zh-CN" w:bidi="ar-SA"/>
                    </w:rPr>
                    <w:t>文字和字母　黑色</w:t>
                  </w:r>
                </w:p>
                <w:p w14:paraId="4505DB9A">
                  <w:pPr>
                    <w:widowControl w:val="0"/>
                    <w:kinsoku/>
                    <w:autoSpaceDE/>
                    <w:autoSpaceDN/>
                    <w:adjustRightInd/>
                    <w:snapToGrid/>
                    <w:spacing w:line="240" w:lineRule="auto"/>
                    <w:ind w:left="-2" w:leftChars="-1" w:firstLine="311" w:firstLineChars="173"/>
                    <w:jc w:val="both"/>
                    <w:textAlignment w:val="auto"/>
                    <w:rPr>
                      <w:rFonts w:hint="eastAsia" w:ascii="黑体" w:hAnsi="黑体" w:eastAsia="黑体" w:cs="黑体"/>
                      <w:snapToGrid/>
                      <w:color w:val="auto"/>
                      <w:kern w:val="0"/>
                      <w:sz w:val="18"/>
                      <w:szCs w:val="18"/>
                      <w:lang w:val="en-US" w:eastAsia="zh-CN" w:bidi="ar-SA"/>
                    </w:rPr>
                  </w:pPr>
                  <w:r>
                    <w:rPr>
                      <w:rFonts w:hint="eastAsia" w:ascii="黑体" w:hAnsi="黑体" w:eastAsia="黑体" w:cs="黑体"/>
                      <w:snapToGrid/>
                      <w:color w:val="auto"/>
                      <w:kern w:val="0"/>
                      <w:sz w:val="18"/>
                      <w:szCs w:val="18"/>
                      <w:lang w:val="en-US" w:eastAsia="zh-CN" w:bidi="ar-SA"/>
                    </w:rPr>
                    <w:t>边框和主标识　黑色</w:t>
                  </w:r>
                </w:p>
                <w:p w14:paraId="7ED33038">
                  <w:pPr>
                    <w:widowControl w:val="0"/>
                    <w:kinsoku/>
                    <w:autoSpaceDE/>
                    <w:autoSpaceDN/>
                    <w:adjustRightInd/>
                    <w:snapToGrid/>
                    <w:spacing w:line="240" w:lineRule="auto"/>
                    <w:ind w:left="-2" w:leftChars="-1" w:firstLine="311" w:firstLineChars="173"/>
                    <w:jc w:val="both"/>
                    <w:textAlignment w:val="auto"/>
                    <w:rPr>
                      <w:rFonts w:hint="eastAsia" w:ascii="黑体" w:hAnsi="黑体" w:eastAsia="黑体" w:cs="黑体"/>
                      <w:snapToGrid/>
                      <w:color w:val="auto"/>
                      <w:kern w:val="0"/>
                      <w:sz w:val="18"/>
                      <w:szCs w:val="18"/>
                      <w:lang w:val="en-US" w:eastAsia="zh-CN" w:bidi="ar-SA"/>
                    </w:rPr>
                  </w:pPr>
                  <w:r>
                    <w:rPr>
                      <w:rFonts w:hint="eastAsia" w:ascii="黑体" w:hAnsi="黑体" w:eastAsia="黑体" w:cs="黑体"/>
                      <w:snapToGrid/>
                      <w:color w:val="auto"/>
                      <w:kern w:val="0"/>
                      <w:sz w:val="18"/>
                      <w:szCs w:val="18"/>
                      <w:lang w:val="en-US" w:eastAsia="zh-CN" w:bidi="ar-SA"/>
                    </w:rPr>
                    <w:t>3.尺寸：警示牌　边长400mm</w:t>
                  </w:r>
                </w:p>
                <w:p w14:paraId="06887C21">
                  <w:pPr>
                    <w:widowControl w:val="0"/>
                    <w:kinsoku/>
                    <w:autoSpaceDE/>
                    <w:autoSpaceDN/>
                    <w:adjustRightInd/>
                    <w:snapToGrid/>
                    <w:spacing w:line="240" w:lineRule="auto"/>
                    <w:ind w:left="-2" w:leftChars="-1" w:firstLine="311" w:firstLineChars="173"/>
                    <w:jc w:val="both"/>
                    <w:textAlignment w:val="auto"/>
                    <w:rPr>
                      <w:rFonts w:hint="eastAsia" w:ascii="黑体" w:hAnsi="黑体" w:eastAsia="黑体" w:cs="黑体"/>
                      <w:snapToGrid/>
                      <w:color w:val="auto"/>
                      <w:kern w:val="0"/>
                      <w:sz w:val="18"/>
                      <w:szCs w:val="18"/>
                      <w:lang w:val="en-US" w:eastAsia="zh-CN" w:bidi="ar-SA"/>
                    </w:rPr>
                  </w:pPr>
                  <w:r>
                    <w:rPr>
                      <w:rFonts w:hint="eastAsia" w:ascii="黑体" w:hAnsi="黑体" w:eastAsia="黑体" w:cs="黑体"/>
                      <w:snapToGrid/>
                      <w:color w:val="auto"/>
                      <w:kern w:val="0"/>
                      <w:sz w:val="18"/>
                      <w:szCs w:val="18"/>
                      <w:lang w:val="en-US" w:eastAsia="zh-CN" w:bidi="ar-SA"/>
                    </w:rPr>
                    <w:t xml:space="preserve">         主标识　  高150mm</w:t>
                  </w:r>
                </w:p>
                <w:p w14:paraId="49545CCD">
                  <w:pPr>
                    <w:widowControl w:val="0"/>
                    <w:kinsoku/>
                    <w:autoSpaceDE/>
                    <w:autoSpaceDN/>
                    <w:adjustRightInd/>
                    <w:snapToGrid/>
                    <w:spacing w:line="240" w:lineRule="auto"/>
                    <w:ind w:left="-2" w:leftChars="-1" w:firstLine="311" w:firstLineChars="173"/>
                    <w:jc w:val="both"/>
                    <w:textAlignment w:val="auto"/>
                    <w:rPr>
                      <w:rFonts w:hint="eastAsia" w:ascii="黑体" w:hAnsi="黑体" w:eastAsia="黑体" w:cs="黑体"/>
                      <w:snapToGrid/>
                      <w:color w:val="auto"/>
                      <w:kern w:val="0"/>
                      <w:sz w:val="18"/>
                      <w:szCs w:val="18"/>
                      <w:lang w:val="en-US" w:eastAsia="zh-CN" w:bidi="ar-SA"/>
                    </w:rPr>
                  </w:pPr>
                  <w:r>
                    <w:rPr>
                      <w:rFonts w:hint="eastAsia" w:ascii="黑体" w:hAnsi="黑体" w:eastAsia="黑体" w:cs="黑体"/>
                      <w:snapToGrid/>
                      <w:color w:val="auto"/>
                      <w:kern w:val="0"/>
                      <w:sz w:val="18"/>
                      <w:szCs w:val="18"/>
                      <w:lang w:val="en-US" w:eastAsia="zh-CN" w:bidi="ar-SA"/>
                    </w:rPr>
                    <w:t>中文文字　 高40mm</w:t>
                  </w:r>
                </w:p>
                <w:p w14:paraId="244E41CB">
                  <w:pPr>
                    <w:widowControl w:val="0"/>
                    <w:kinsoku/>
                    <w:autoSpaceDE/>
                    <w:autoSpaceDN/>
                    <w:adjustRightInd/>
                    <w:snapToGrid/>
                    <w:spacing w:line="240" w:lineRule="auto"/>
                    <w:ind w:left="-2" w:leftChars="-1" w:firstLine="311" w:firstLineChars="173"/>
                    <w:jc w:val="both"/>
                    <w:textAlignment w:val="auto"/>
                    <w:rPr>
                      <w:rFonts w:ascii="仿宋_GB2312" w:hAnsi="Times New Roman" w:eastAsia="仿宋_GB2312" w:cs="Times New Roman"/>
                      <w:snapToGrid/>
                      <w:color w:val="auto"/>
                      <w:kern w:val="0"/>
                      <w:sz w:val="24"/>
                      <w:szCs w:val="24"/>
                      <w:lang w:val="en-US" w:eastAsia="zh-CN" w:bidi="ar-SA"/>
                    </w:rPr>
                  </w:pPr>
                  <w:r>
                    <w:rPr>
                      <w:rFonts w:hint="eastAsia" w:ascii="黑体" w:hAnsi="黑体" w:eastAsia="黑体" w:cs="黑体"/>
                      <w:snapToGrid/>
                      <w:color w:val="auto"/>
                      <w:kern w:val="0"/>
                      <w:sz w:val="18"/>
                      <w:szCs w:val="18"/>
                      <w:lang w:val="en-US" w:eastAsia="zh-CN" w:bidi="ar-SA"/>
                    </w:rPr>
                    <w:t>英文文字　 高40mm</w:t>
                  </w:r>
                </w:p>
              </w:tc>
            </w:tr>
          </w:tbl>
          <w:p w14:paraId="73B4A858">
            <w:pPr>
              <w:widowControl w:val="0"/>
              <w:kinsoku/>
              <w:autoSpaceDE/>
              <w:autoSpaceDN/>
              <w:adjustRightInd/>
              <w:snapToGrid/>
              <w:spacing w:line="240" w:lineRule="auto"/>
              <w:jc w:val="center"/>
              <w:textAlignment w:val="auto"/>
              <w:rPr>
                <w:rFonts w:ascii="黑体" w:hAnsi="Times New Roman" w:eastAsia="黑体" w:cs="Times New Roman"/>
                <w:snapToGrid/>
                <w:color w:val="auto"/>
                <w:kern w:val="2"/>
                <w:sz w:val="21"/>
                <w:szCs w:val="32"/>
                <w:lang w:val="en-US" w:eastAsia="zh-CN" w:bidi="ar-SA"/>
              </w:rPr>
            </w:pPr>
            <w:r>
              <w:rPr>
                <w:rFonts w:hint="eastAsia" w:ascii="黑体" w:hAnsi="Times New Roman" w:eastAsia="黑体" w:cs="Times New Roman"/>
                <w:snapToGrid/>
                <w:color w:val="auto"/>
                <w:kern w:val="2"/>
                <w:sz w:val="21"/>
                <w:szCs w:val="32"/>
                <w:lang w:val="en-US" w:eastAsia="zh-CN" w:bidi="ar-SA"/>
              </w:rPr>
              <w:t>医疗废物专用包装物警示标志</w:t>
            </w:r>
            <w:r>
              <w:rPr>
                <w:rFonts w:hint="eastAsia" w:ascii="黑体" w:hAnsi="Times New Roman" w:eastAsia="黑体" w:cs="Times New Roman"/>
                <w:snapToGrid/>
                <w:color w:val="auto"/>
                <w:kern w:val="2"/>
                <w:sz w:val="21"/>
                <w:szCs w:val="32"/>
                <w:lang w:val="en-US" w:eastAsia="zh-CN" w:bidi="ar-SA"/>
              </w:rPr>
              <mc:AlternateContent>
                <mc:Choice Requires="wps">
                  <w:drawing>
                    <wp:anchor distT="0" distB="0" distL="114300" distR="114300" simplePos="0" relativeHeight="251664384" behindDoc="0" locked="0" layoutInCell="1" allowOverlap="1">
                      <wp:simplePos x="0" y="0"/>
                      <wp:positionH relativeFrom="column">
                        <wp:posOffset>213360</wp:posOffset>
                      </wp:positionH>
                      <wp:positionV relativeFrom="paragraph">
                        <wp:posOffset>124460</wp:posOffset>
                      </wp:positionV>
                      <wp:extent cx="5157470" cy="244475"/>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5157470" cy="244475"/>
                              </a:xfrm>
                              <a:prstGeom prst="rect">
                                <a:avLst/>
                              </a:prstGeom>
                              <a:noFill/>
                              <a:ln>
                                <a:noFill/>
                              </a:ln>
                            </wps:spPr>
                            <wps:txbx>
                              <w:txbxContent>
                                <w:p w14:paraId="5490D70E">
                                  <w:pPr>
                                    <w:widowControl w:val="0"/>
                                    <w:kinsoku/>
                                    <w:autoSpaceDE/>
                                    <w:autoSpaceDN/>
                                    <w:adjustRightInd/>
                                    <w:snapToGrid/>
                                    <w:spacing w:line="240" w:lineRule="auto"/>
                                    <w:jc w:val="both"/>
                                    <w:textAlignment w:val="auto"/>
                                    <w:rPr>
                                      <w:rFonts w:ascii="Times New Roman" w:hAnsi="Times New Roman" w:cs="Times New Roman"/>
                                      <w:snapToGrid/>
                                      <w:kern w:val="2"/>
                                      <w:sz w:val="21"/>
                                      <w:szCs w:val="24"/>
                                      <w:lang w:val="en-US" w:eastAsia="zh-CN" w:bidi="ar-SA"/>
                                    </w:rPr>
                                  </w:pPr>
                                </w:p>
                              </w:txbxContent>
                            </wps:txbx>
                            <wps:bodyPr upright="1">
                              <a:spAutoFit/>
                            </wps:bodyPr>
                          </wps:wsp>
                        </a:graphicData>
                      </a:graphic>
                    </wp:anchor>
                  </w:drawing>
                </mc:Choice>
                <mc:Fallback>
                  <w:pict>
                    <v:shape id="_x0000_s1026" o:spid="_x0000_s1026" o:spt="202" type="#_x0000_t202" style="position:absolute;left:0pt;margin-left:16.8pt;margin-top:9.8pt;height:19.25pt;width:406.1pt;z-index:251664384;mso-width-relative:page;mso-height-relative:page;" filled="f" stroked="f" coordsize="21600,21600" o:gfxdata="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Pi1Lz3WAAAACAEAAA8AAAAAAAAAAQAgAAAAIgAAAGRycy9kb3ducmV2LnhtbFBLAQIUABQA&#10;AAAIAIdO4kCycEPQuQEAAGoDAAAOAAAAAAAAAAEAIAAAACUBAABkcnMvZTJvRG9jLnhtbFBLBQYA&#10;AAAABgAGAFkBAABQBQAAAAA=&#10;">
                      <v:fill on="f" focussize="0,0"/>
                      <v:stroke on="f"/>
                      <v:imagedata o:title=""/>
                      <o:lock v:ext="edit" aspectratio="f"/>
                      <v:textbox style="mso-fit-shape-to-text:t;">
                        <w:txbxContent>
                          <w:p w14:paraId="5490D70E">
                            <w:pPr>
                              <w:widowControl w:val="0"/>
                              <w:kinsoku/>
                              <w:autoSpaceDE/>
                              <w:autoSpaceDN/>
                              <w:adjustRightInd/>
                              <w:snapToGrid/>
                              <w:spacing w:line="240" w:lineRule="auto"/>
                              <w:jc w:val="both"/>
                              <w:textAlignment w:val="auto"/>
                              <w:rPr>
                                <w:rFonts w:ascii="Times New Roman" w:hAnsi="Times New Roman" w:cs="Times New Roman"/>
                                <w:snapToGrid/>
                                <w:kern w:val="2"/>
                                <w:sz w:val="21"/>
                                <w:szCs w:val="24"/>
                                <w:lang w:val="en-US" w:eastAsia="zh-CN" w:bidi="ar-SA"/>
                              </w:rPr>
                            </w:pPr>
                          </w:p>
                        </w:txbxContent>
                      </v:textbox>
                    </v:shape>
                  </w:pict>
                </mc:Fallback>
              </mc:AlternateContent>
            </w:r>
          </w:p>
          <w:p w14:paraId="7ED437D2">
            <w:pPr>
              <w:widowControl w:val="0"/>
              <w:kinsoku/>
              <w:autoSpaceDE/>
              <w:autoSpaceDN/>
              <w:adjustRightInd/>
              <w:snapToGrid/>
              <w:spacing w:line="240" w:lineRule="auto"/>
              <w:jc w:val="center"/>
              <w:textAlignment w:val="auto"/>
              <w:rPr>
                <w:rFonts w:ascii="黑体" w:hAnsi="Times New Roman" w:eastAsia="黑体" w:cs="Times New Roman"/>
                <w:snapToGrid/>
                <w:color w:val="auto"/>
                <w:kern w:val="2"/>
                <w:sz w:val="21"/>
                <w:szCs w:val="32"/>
                <w:lang w:val="en-US" w:eastAsia="zh-CN" w:bidi="ar-SA"/>
              </w:rPr>
            </w:pPr>
          </w:p>
          <w:p w14:paraId="0A033936">
            <w:pPr>
              <w:widowControl w:val="0"/>
              <w:ind w:left="-140" w:firstLine="560"/>
              <w:jc w:val="left"/>
              <w:outlineLvl w:val="0"/>
              <w:rPr>
                <w:rFonts w:ascii="黑体" w:hAnsi="Times New Roman" w:eastAsia="黑体" w:cs="Times New Roman"/>
                <w:color w:val="auto"/>
                <w:kern w:val="2"/>
                <w:sz w:val="28"/>
                <w:szCs w:val="32"/>
                <w:lang w:val="en-US" w:eastAsia="zh-CN" w:bidi="ar-SA"/>
              </w:rPr>
            </w:pPr>
            <w:r>
              <w:rPr>
                <w:rFonts w:ascii="Times New Roman" w:hAnsi="Times New Roman" w:eastAsia="宋体" w:cs="Times New Roman"/>
                <w:color w:val="auto"/>
                <w:kern w:val="2"/>
                <w:sz w:val="28"/>
                <w:szCs w:val="20"/>
                <w:lang w:val="en-US" w:eastAsia="zh-CN" w:bidi="ar-SA"/>
              </w:rPr>
              <w:drawing>
                <wp:inline distT="0" distB="0" distL="114300" distR="114300">
                  <wp:extent cx="4159885" cy="2500630"/>
                  <wp:effectExtent l="0" t="0" r="12065" b="13970"/>
                  <wp:docPr id="2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3"/>
                          <pic:cNvPicPr>
                            <a:picLocks noChangeAspect="1"/>
                          </pic:cNvPicPr>
                        </pic:nvPicPr>
                        <pic:blipFill>
                          <a:blip r:embed="rId32"/>
                          <a:srcRect t="6839"/>
                          <a:stretch>
                            <a:fillRect/>
                          </a:stretch>
                        </pic:blipFill>
                        <pic:spPr>
                          <a:xfrm>
                            <a:off x="0" y="0"/>
                            <a:ext cx="4159885" cy="2500630"/>
                          </a:xfrm>
                          <a:prstGeom prst="rect">
                            <a:avLst/>
                          </a:prstGeom>
                          <a:noFill/>
                          <a:ln>
                            <a:noFill/>
                          </a:ln>
                        </pic:spPr>
                      </pic:pic>
                    </a:graphicData>
                  </a:graphic>
                </wp:inline>
              </w:drawing>
            </w:r>
          </w:p>
          <w:p w14:paraId="798E491B">
            <w:pPr>
              <w:widowControl w:val="0"/>
              <w:spacing w:line="360" w:lineRule="auto"/>
              <w:ind w:firstLine="422" w:firstLineChars="200"/>
              <w:jc w:val="center"/>
              <w:rPr>
                <w:rFonts w:hint="eastAsia" w:ascii="宋体" w:hAnsi="宋体" w:eastAsia="宋体" w:cs="宋体"/>
                <w:b/>
                <w:bCs/>
                <w:color w:val="auto"/>
                <w:kern w:val="2"/>
                <w:sz w:val="21"/>
                <w:szCs w:val="21"/>
                <w:lang w:val="en-US" w:eastAsia="zh-CN" w:bidi="ar-SA"/>
              </w:rPr>
            </w:pPr>
            <w:r>
              <w:rPr>
                <w:rFonts w:hint="default" w:ascii="Times New Roman" w:hAnsi="Times New Roman" w:eastAsia="宋体" w:cs="Times New Roman"/>
                <w:b/>
                <w:bCs/>
                <w:color w:val="auto"/>
                <w:kern w:val="2"/>
                <w:sz w:val="21"/>
                <w:szCs w:val="21"/>
                <w:lang w:val="en-US" w:eastAsia="zh-CN" w:bidi="ar-SA"/>
              </w:rPr>
              <w:t>图4-</w:t>
            </w:r>
            <w:r>
              <w:rPr>
                <w:rFonts w:hint="eastAsia" w:cs="Times New Roman"/>
                <w:b/>
                <w:bCs/>
                <w:color w:val="auto"/>
                <w:kern w:val="2"/>
                <w:sz w:val="21"/>
                <w:szCs w:val="21"/>
                <w:lang w:val="en-US" w:eastAsia="zh-CN" w:bidi="ar-SA"/>
              </w:rPr>
              <w:t>2</w:t>
            </w:r>
            <w:r>
              <w:rPr>
                <w:rFonts w:hint="eastAsia" w:ascii="宋体" w:hAnsi="宋体" w:eastAsia="宋体" w:cs="宋体"/>
                <w:b/>
                <w:bCs/>
                <w:color w:val="auto"/>
                <w:kern w:val="2"/>
                <w:sz w:val="21"/>
                <w:szCs w:val="21"/>
                <w:lang w:val="en-US" w:eastAsia="zh-CN" w:bidi="ar-SA"/>
              </w:rPr>
              <w:t xml:space="preserve"> 医疗废物警示标志及标签</w:t>
            </w:r>
          </w:p>
          <w:p w14:paraId="74AF2CBF">
            <w:pPr>
              <w:pStyle w:val="31"/>
              <w:bidi w:val="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lang w:val="en-US" w:eastAsia="zh-CN"/>
              </w:rPr>
              <w:t>（2）危险废物</w:t>
            </w:r>
            <w:r>
              <w:rPr>
                <w:rFonts w:hint="default" w:ascii="Times New Roman" w:hAnsi="Times New Roman" w:cs="Times New Roman"/>
                <w:color w:val="auto"/>
                <w:highlight w:val="none"/>
              </w:rPr>
              <w:t>环境管理要求</w:t>
            </w:r>
          </w:p>
          <w:p w14:paraId="075EBD07">
            <w:pPr>
              <w:pStyle w:val="31"/>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①</w:t>
            </w:r>
            <w:r>
              <w:rPr>
                <w:rFonts w:hint="default" w:ascii="Times New Roman" w:hAnsi="Times New Roman" w:cs="Times New Roman"/>
                <w:color w:val="auto"/>
                <w:highlight w:val="none"/>
                <w:lang w:val="en-US" w:eastAsia="zh-CN"/>
              </w:rPr>
              <w:t>医疗废物贮存间</w:t>
            </w:r>
            <w:r>
              <w:rPr>
                <w:rFonts w:hint="default" w:ascii="Times New Roman" w:hAnsi="Times New Roman" w:cs="Times New Roman"/>
                <w:color w:val="auto"/>
                <w:highlight w:val="none"/>
              </w:rPr>
              <w:t>日常为锁闭状态，由专人进行管理，避免非工作人员进出，以及防鼠、防蚊蝇、防蟑螂、防盗以及预防儿童接触等安全措施；对医疗废物</w:t>
            </w:r>
            <w:r>
              <w:rPr>
                <w:rFonts w:hint="default" w:ascii="Times New Roman" w:hAnsi="Times New Roman" w:cs="Times New Roman"/>
                <w:color w:val="auto"/>
                <w:highlight w:val="none"/>
                <w:lang w:val="en-US" w:eastAsia="zh-CN"/>
              </w:rPr>
              <w:t>及其他危险废物</w:t>
            </w:r>
            <w:r>
              <w:rPr>
                <w:rFonts w:hint="default" w:ascii="Times New Roman" w:hAnsi="Times New Roman" w:cs="Times New Roman"/>
                <w:color w:val="auto"/>
                <w:highlight w:val="none"/>
              </w:rPr>
              <w:t>的产生、储存做好台账管理，定期委托有资质的</w:t>
            </w:r>
            <w:r>
              <w:rPr>
                <w:rFonts w:hint="default" w:ascii="Times New Roman" w:hAnsi="Times New Roman" w:cs="Times New Roman"/>
                <w:color w:val="auto"/>
                <w:highlight w:val="none"/>
                <w:lang w:val="en-US" w:eastAsia="zh-CN"/>
              </w:rPr>
              <w:t>危险</w:t>
            </w:r>
            <w:r>
              <w:rPr>
                <w:rFonts w:hint="default" w:ascii="Times New Roman" w:hAnsi="Times New Roman" w:cs="Times New Roman"/>
                <w:color w:val="auto"/>
                <w:highlight w:val="none"/>
              </w:rPr>
              <w:t>废物集中处置单位。</w:t>
            </w:r>
          </w:p>
          <w:p w14:paraId="7D828520">
            <w:pPr>
              <w:pStyle w:val="31"/>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②</w:t>
            </w:r>
            <w:r>
              <w:rPr>
                <w:rFonts w:hint="default" w:ascii="Times New Roman" w:hAnsi="Times New Roman" w:cs="Times New Roman"/>
                <w:color w:val="auto"/>
                <w:highlight w:val="none"/>
              </w:rPr>
              <w:t>医疗废物的贮存、转移、处置</w:t>
            </w:r>
          </w:p>
          <w:p w14:paraId="65FC42D1">
            <w:pPr>
              <w:pStyle w:val="31"/>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a.</w:t>
            </w:r>
            <w:r>
              <w:rPr>
                <w:rFonts w:hint="default" w:ascii="Times New Roman" w:hAnsi="Times New Roman" w:cs="Times New Roman"/>
                <w:color w:val="auto"/>
                <w:highlight w:val="none"/>
              </w:rPr>
              <w:t>按照《医疗废物专用包装袋、容器和警示标志标准》（HJ421-2008）、《医疗废物分类目录》（国卫医函</w:t>
            </w:r>
            <w:r>
              <w:rPr>
                <w:rFonts w:hint="default" w:ascii="Times New Roman" w:hAnsi="Times New Roman" w:cs="Times New Roman"/>
                <w:color w:val="auto"/>
                <w:highlight w:val="none"/>
                <w:lang w:eastAsia="zh-CN"/>
              </w:rPr>
              <w:t>〔2021〕283号</w:t>
            </w:r>
            <w:r>
              <w:rPr>
                <w:rFonts w:hint="default" w:ascii="Times New Roman" w:hAnsi="Times New Roman" w:cs="Times New Roman"/>
                <w:color w:val="auto"/>
                <w:highlight w:val="none"/>
              </w:rPr>
              <w:t>）、《医疗废物管理条例》（2011年修订）的要求分类收集医疗废物，应采用密闭的、防渗漏、防锐器穿透的医疗废物收集箱贮装，防止医疗废物流失、泄漏、扩散，医疗废物专用收集箱应设置明显的警示标识和警示说明。</w:t>
            </w:r>
          </w:p>
          <w:p w14:paraId="7028CBA0">
            <w:pPr>
              <w:pStyle w:val="31"/>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其中废针管针头、手术刀、缝合针等损伤性废物采用黄色利器盒进行收集；废检测试剂盒、一次性输液管、针管等感染性废物；手术废弃组织等病理性废物及废弃或过期药品等药物性废物采用黄色双层医疗废物包装袋及时密封，每个盛装医疗废物的包装袋及容器外设置警示标识，并贴有标签，标注医疗废物产生单位、产生日期、类别及需要的特别说明。</w:t>
            </w:r>
          </w:p>
          <w:p w14:paraId="0F6CADDF">
            <w:pPr>
              <w:pStyle w:val="31"/>
              <w:bidi w:val="0"/>
              <w:rPr>
                <w:rFonts w:hint="default" w:ascii="Times New Roman" w:hAnsi="Times New Roman" w:cs="Times New Roman"/>
                <w:color w:val="auto"/>
                <w:highlight w:val="none"/>
                <w:lang w:val="en-US" w:eastAsia="zh-CN"/>
              </w:rPr>
            </w:pPr>
            <w:bookmarkStart w:id="61" w:name="OLE_LINK116"/>
            <w:r>
              <w:rPr>
                <w:rFonts w:hint="default" w:ascii="Times New Roman" w:hAnsi="Times New Roman" w:cs="Times New Roman"/>
                <w:color w:val="auto"/>
                <w:highlight w:val="none"/>
                <w:lang w:val="en-US" w:eastAsia="zh-CN"/>
              </w:rPr>
              <w:t>医疗废物在暂存间分区贮存，根据暂存间内部的医疗废物分类上墙标识，</w:t>
            </w:r>
            <w:bookmarkEnd w:id="61"/>
            <w:r>
              <w:rPr>
                <w:rFonts w:hint="default" w:ascii="Times New Roman" w:hAnsi="Times New Roman" w:cs="Times New Roman"/>
                <w:color w:val="auto"/>
                <w:highlight w:val="none"/>
                <w:lang w:val="en-US" w:eastAsia="zh-CN"/>
              </w:rPr>
              <w:t>损伤性废物直接放入黄色医疗专用锐器盒；其余医疗废物用黄色带盖医疗垃圾桶收集，并套专用黄色医疗垃圾袋，当容器3/4满时，垃圾袋封口并贴上专用标识。</w:t>
            </w:r>
          </w:p>
          <w:p w14:paraId="2B49A016">
            <w:pPr>
              <w:pStyle w:val="31"/>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b.盛装的医疗废物达到包装物或者容器的3/4时，应当使用有效的封口方式,使包装物或者容器的封口紧实、严密。包装物或者容器的外表面被感染性废物污染时，应当对被污染处进行消毒处理或者增加一层包装。</w:t>
            </w:r>
          </w:p>
          <w:p w14:paraId="566F2983">
            <w:pPr>
              <w:pStyle w:val="31"/>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c.</w:t>
            </w:r>
            <w:r>
              <w:rPr>
                <w:rFonts w:hint="default" w:ascii="Times New Roman" w:hAnsi="Times New Roman" w:cs="Times New Roman"/>
                <w:color w:val="auto"/>
                <w:highlight w:val="none"/>
                <w:lang w:eastAsia="zh-CN"/>
              </w:rPr>
              <w:t>医疗废物贮存间</w:t>
            </w:r>
            <w:r>
              <w:rPr>
                <w:rFonts w:hint="default" w:ascii="Times New Roman" w:hAnsi="Times New Roman" w:cs="Times New Roman"/>
                <w:color w:val="auto"/>
                <w:highlight w:val="none"/>
              </w:rPr>
              <w:t>应当定期消毒和清洁；医疗废物暂时贮存的时间不得超过2天。</w:t>
            </w:r>
          </w:p>
          <w:p w14:paraId="5CD1EE9C">
            <w:pPr>
              <w:pStyle w:val="31"/>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d.</w:t>
            </w:r>
            <w:r>
              <w:rPr>
                <w:rFonts w:hint="default" w:ascii="Times New Roman" w:hAnsi="Times New Roman" w:cs="Times New Roman"/>
                <w:color w:val="auto"/>
                <w:highlight w:val="none"/>
              </w:rPr>
              <w:t>医疗废物运送人员在接收医疗废物时，应外观检查医院是否按规定进行包装、标识，并盛装于周转箱内，不得打开包装袋取出医疗废物。对包装破损、包装外表污染或未盛装于周转箱内的医疗废物</w:t>
            </w:r>
            <w:r>
              <w:rPr>
                <w:rFonts w:hint="eastAsia" w:cs="Times New Roman"/>
                <w:color w:val="auto"/>
                <w:highlight w:val="none"/>
                <w:lang w:eastAsia="zh-CN"/>
              </w:rPr>
              <w:t>，</w:t>
            </w:r>
            <w:r>
              <w:rPr>
                <w:rFonts w:hint="default" w:ascii="Times New Roman" w:hAnsi="Times New Roman" w:cs="Times New Roman"/>
                <w:color w:val="auto"/>
                <w:highlight w:val="none"/>
              </w:rPr>
              <w:t>医疗废物运送人员应当要求医院重新包装、标识，并盛装于周转箱内。</w:t>
            </w:r>
          </w:p>
          <w:p w14:paraId="03DF21D5">
            <w:pPr>
              <w:pStyle w:val="31"/>
              <w:keepNext w:val="0"/>
              <w:keepLines w:val="0"/>
              <w:pageBreakBefore w:val="0"/>
              <w:widowControl/>
              <w:kinsoku/>
              <w:wordWrap/>
              <w:overflowPunct/>
              <w:topLinePunct w:val="0"/>
              <w:autoSpaceDE w:val="0"/>
              <w:autoSpaceDN w:val="0"/>
              <w:bidi w:val="0"/>
              <w:adjustRightInd/>
              <w:snapToGrid/>
              <w:textAlignment w:val="baseline"/>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e</w:t>
            </w:r>
            <w:r>
              <w:rPr>
                <w:rFonts w:hint="default" w:ascii="Times New Roman" w:hAnsi="Times New Roman" w:cs="Times New Roman"/>
                <w:color w:val="auto"/>
                <w:highlight w:val="none"/>
              </w:rPr>
              <w:t>.应委托有资质单位转移、处置医疗废物，并与处置单位签订处理协议，明确双方责任、义务、清运时间、处置费用等内容；应按照《中华人民共和国</w:t>
            </w:r>
            <w:r>
              <w:rPr>
                <w:rFonts w:hint="eastAsia" w:cs="Times New Roman"/>
                <w:color w:val="auto"/>
                <w:highlight w:val="none"/>
                <w:lang w:val="en-US" w:eastAsia="zh-CN"/>
              </w:rPr>
              <w:t>生态环境法典</w:t>
            </w:r>
            <w:r>
              <w:rPr>
                <w:rFonts w:hint="default" w:ascii="Times New Roman" w:hAnsi="Times New Roman" w:cs="Times New Roman"/>
                <w:color w:val="auto"/>
                <w:highlight w:val="none"/>
              </w:rPr>
              <w:t>》的规定，执行危险废物转移联单管理制度；医疗废物的转运应符合《医疗废物转运车技术要求》（GB19217-2003）的要求。</w:t>
            </w:r>
          </w:p>
          <w:p w14:paraId="5AD23713">
            <w:pPr>
              <w:pStyle w:val="31"/>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f.</w:t>
            </w:r>
            <w:r>
              <w:rPr>
                <w:rFonts w:hint="default" w:ascii="Times New Roman" w:hAnsi="Times New Roman" w:cs="Times New Roman"/>
                <w:color w:val="auto"/>
                <w:highlight w:val="none"/>
                <w:lang w:eastAsia="zh-CN"/>
              </w:rPr>
              <w:t>根据</w:t>
            </w:r>
            <w:r>
              <w:rPr>
                <w:rFonts w:hint="default" w:ascii="Times New Roman" w:hAnsi="Times New Roman" w:cs="Times New Roman"/>
                <w:color w:val="auto"/>
                <w:highlight w:val="none"/>
              </w:rPr>
              <w:t>《危险废物转移</w:t>
            </w:r>
            <w:r>
              <w:rPr>
                <w:rFonts w:hint="default" w:ascii="Times New Roman" w:hAnsi="Times New Roman" w:cs="Times New Roman"/>
                <w:color w:val="auto"/>
                <w:highlight w:val="none"/>
                <w:lang w:val="en-US" w:eastAsia="zh-CN"/>
              </w:rPr>
              <w:t>管理办法</w:t>
            </w:r>
            <w:r>
              <w:rPr>
                <w:rFonts w:hint="default" w:ascii="Times New Roman" w:hAnsi="Times New Roman" w:cs="Times New Roman"/>
                <w:color w:val="auto"/>
                <w:highlight w:val="none"/>
              </w:rPr>
              <w:t>》</w:t>
            </w:r>
            <w:r>
              <w:rPr>
                <w:rFonts w:hint="eastAsia" w:cs="Times New Roman"/>
                <w:color w:val="auto"/>
                <w:highlight w:val="none"/>
                <w:lang w:eastAsia="zh-CN"/>
              </w:rPr>
              <w:t>（</w:t>
            </w:r>
            <w:r>
              <w:rPr>
                <w:rFonts w:hint="default" w:ascii="Times New Roman" w:hAnsi="Times New Roman" w:cs="Times New Roman"/>
                <w:color w:val="auto"/>
                <w:highlight w:val="none"/>
                <w:lang w:val="en-US" w:eastAsia="zh-CN"/>
              </w:rPr>
              <w:t>生态环境部</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公安部</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交通运输部部令第23号</w:t>
            </w:r>
            <w:r>
              <w:rPr>
                <w:rFonts w:hint="eastAsia" w:cs="Times New Roman"/>
                <w:color w:val="auto"/>
                <w:highlight w:val="none"/>
                <w:lang w:val="en-US" w:eastAsia="zh-CN"/>
              </w:rPr>
              <w:t>）</w:t>
            </w:r>
            <w:r>
              <w:rPr>
                <w:rFonts w:hint="default" w:ascii="Times New Roman" w:hAnsi="Times New Roman" w:cs="Times New Roman"/>
                <w:color w:val="auto"/>
                <w:highlight w:val="none"/>
                <w:lang w:eastAsia="zh-CN"/>
              </w:rPr>
              <w:t>，危险废物转移联单应当根据危险废物管理计划中填报的危险废物转移等备案信息填写、运行。移出人每转移一车（船或者其他运输工具）次同类危险废物，应当填写、运行一份危险废物转移联单；每车（船或者其他运输工具）一次转移多类危险废物的，可以填写、运行一份危险废物转移联单，也可以每一类危险废物填写、运行一份危险废物转移联单。使用同一车（船或者其他运输工具）一次为多个移出人转移危险废物的，每个移出人应当分别填写、运行危险废物转移联单。</w:t>
            </w:r>
          </w:p>
          <w:p w14:paraId="0046C548">
            <w:pPr>
              <w:pStyle w:val="31"/>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g.危险废物电子转移联单数据应当在信息系统中至少保存十年。因特殊原因无法运行危险废物电子转移联单的，可以先使用纸质转移联单，并于转移活动完成后十个工作日内在信息系统中补录电子转移联单。</w:t>
            </w:r>
          </w:p>
          <w:p w14:paraId="51A2F8BF">
            <w:pPr>
              <w:pStyle w:val="31"/>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（3）危险废物台账管理规定</w:t>
            </w:r>
          </w:p>
          <w:p w14:paraId="0DC88B99">
            <w:pPr>
              <w:pStyle w:val="31"/>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项目严格落实危险废物申报登记和管理计划备案要求，并依法向生态环境部门申报医疗废物的种类、产生量、流向、贮存和处置等情况；项目根据要求建立危险废物电子转移联单，数据应当在信息系统中至少保存十年。</w:t>
            </w:r>
          </w:p>
          <w:p w14:paraId="313C1CC7">
            <w:pPr>
              <w:pStyle w:val="31"/>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台账管理具体内容如下：</w:t>
            </w:r>
          </w:p>
          <w:p w14:paraId="0BD472FC">
            <w:pPr>
              <w:pStyle w:val="31"/>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①台账录入要及时、准确、清晰，便于查看；</w:t>
            </w:r>
          </w:p>
          <w:p w14:paraId="001AAAAE">
            <w:pPr>
              <w:pStyle w:val="31"/>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②台账要专人录入，数据、信息、记录内容要真实，与实际相符；</w:t>
            </w:r>
          </w:p>
          <w:p w14:paraId="44866CE9">
            <w:pPr>
              <w:pStyle w:val="31"/>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③台账要设专人管理，定点存放。无关人员不得随意移动、查看；</w:t>
            </w:r>
          </w:p>
          <w:p w14:paraId="12F6744D">
            <w:pPr>
              <w:pStyle w:val="31"/>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④重要台账必</w:t>
            </w:r>
            <w:r>
              <w:rPr>
                <w:rFonts w:hint="eastAsia" w:cs="Times New Roman"/>
                <w:color w:val="auto"/>
                <w:highlight w:val="none"/>
                <w:lang w:val="en-US" w:eastAsia="zh-CN"/>
              </w:rPr>
              <w:t>须以</w:t>
            </w:r>
            <w:r>
              <w:rPr>
                <w:rFonts w:hint="default" w:ascii="Times New Roman" w:hAnsi="Times New Roman" w:cs="Times New Roman"/>
                <w:color w:val="auto"/>
                <w:highlight w:val="none"/>
                <w:lang w:val="en-US" w:eastAsia="zh-CN"/>
              </w:rPr>
              <w:t>纸版与电子版两种形式保存；</w:t>
            </w:r>
          </w:p>
          <w:p w14:paraId="61AB6FDE">
            <w:pPr>
              <w:pStyle w:val="31"/>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⑤业务部定期对台账数据进行审核，定期检查台账录入内容，确保台账数据的准确性、完整性和及时性；</w:t>
            </w:r>
          </w:p>
          <w:p w14:paraId="72BFBBD6">
            <w:pPr>
              <w:pStyle w:val="31"/>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⑥安全台账应与其他台账分开放置，由专职安全员亲自管理；</w:t>
            </w:r>
          </w:p>
          <w:p w14:paraId="6F2172C3">
            <w:pPr>
              <w:pStyle w:val="31"/>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⑦有台账盒签必须统一打印，名称清楚、完整设置危险危废管理台账，记录危险废物的名称、来源、数量、入库日期、存放库位、危废出库日期及</w:t>
            </w:r>
            <w:r>
              <w:rPr>
                <w:rFonts w:hint="eastAsia" w:cs="Times New Roman"/>
                <w:color w:val="auto"/>
                <w:highlight w:val="none"/>
                <w:lang w:val="en-US" w:eastAsia="zh-CN"/>
              </w:rPr>
              <w:t>接收单位</w:t>
            </w:r>
            <w:r>
              <w:rPr>
                <w:rFonts w:hint="default" w:ascii="Times New Roman" w:hAnsi="Times New Roman" w:cs="Times New Roman"/>
                <w:color w:val="auto"/>
                <w:highlight w:val="none"/>
                <w:lang w:val="en-US" w:eastAsia="zh-CN"/>
              </w:rPr>
              <w:t>名称。</w:t>
            </w:r>
          </w:p>
          <w:p w14:paraId="07805083">
            <w:pPr>
              <w:pStyle w:val="31"/>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综上所述，本项目固体废物分类收集、分类处理，不会对环境造成二次污染，固体废物处理处置具有可行性。</w:t>
            </w:r>
          </w:p>
          <w:p w14:paraId="31E757EC">
            <w:pPr>
              <w:pStyle w:val="3"/>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val="en-US" w:eastAsia="zh-CN"/>
              </w:rPr>
              <w:t>4.</w:t>
            </w:r>
            <w:r>
              <w:rPr>
                <w:rFonts w:hint="eastAsia" w:cs="Times New Roman"/>
                <w:color w:val="auto"/>
                <w:highlight w:val="none"/>
                <w:lang w:val="en-US" w:eastAsia="zh-CN"/>
              </w:rPr>
              <w:t>9</w:t>
            </w:r>
            <w:r>
              <w:rPr>
                <w:rFonts w:hint="default" w:ascii="Times New Roman" w:hAnsi="Times New Roman" w:cs="Times New Roman"/>
                <w:color w:val="auto"/>
                <w:highlight w:val="none"/>
                <w:lang w:eastAsia="zh-CN"/>
              </w:rPr>
              <w:t>、地下水、土壤污染防治措施</w:t>
            </w:r>
          </w:p>
          <w:p w14:paraId="3D13B590">
            <w:pPr>
              <w:pStyle w:val="31"/>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t>本项目</w:t>
            </w:r>
            <w:r>
              <w:rPr>
                <w:rFonts w:hint="default" w:ascii="Times New Roman" w:hAnsi="Times New Roman" w:cs="Times New Roman"/>
                <w:color w:val="auto"/>
                <w:highlight w:val="none"/>
                <w:lang w:val="en-US" w:eastAsia="zh-CN"/>
              </w:rPr>
              <w:t>运营期</w:t>
            </w:r>
            <w:r>
              <w:rPr>
                <w:rFonts w:hint="default" w:ascii="Times New Roman" w:hAnsi="Times New Roman" w:cs="Times New Roman"/>
                <w:color w:val="auto"/>
                <w:highlight w:val="none"/>
              </w:rPr>
              <w:t>用水为市政供水，不开采地下水；所排废水为生活污水、</w:t>
            </w:r>
            <w:bookmarkStart w:id="62" w:name="OLE_LINK57"/>
            <w:r>
              <w:rPr>
                <w:rFonts w:hint="default" w:ascii="Times New Roman" w:hAnsi="Times New Roman" w:cs="Times New Roman"/>
                <w:color w:val="auto"/>
                <w:highlight w:val="none"/>
                <w:lang w:val="en-US" w:eastAsia="zh-CN"/>
              </w:rPr>
              <w:t>洗浴</w:t>
            </w:r>
            <w:r>
              <w:rPr>
                <w:rFonts w:hint="default" w:ascii="Times New Roman" w:hAnsi="Times New Roman" w:cs="Times New Roman"/>
                <w:color w:val="auto"/>
                <w:highlight w:val="none"/>
              </w:rPr>
              <w:t>废水</w:t>
            </w:r>
            <w:r>
              <w:rPr>
                <w:rFonts w:hint="eastAsia" w:cs="Times New Roman"/>
                <w:color w:val="auto"/>
                <w:highlight w:val="none"/>
                <w:lang w:eastAsia="zh-CN"/>
              </w:rPr>
              <w:t>、清洗消毒废水</w:t>
            </w:r>
            <w:r>
              <w:rPr>
                <w:rFonts w:hint="default" w:ascii="Times New Roman" w:hAnsi="Times New Roman" w:cs="Times New Roman"/>
                <w:color w:val="auto"/>
                <w:highlight w:val="none"/>
                <w:lang w:val="en-US" w:eastAsia="zh-CN"/>
              </w:rPr>
              <w:t>和医疗废水</w:t>
            </w:r>
            <w:bookmarkEnd w:id="62"/>
            <w:r>
              <w:rPr>
                <w:rFonts w:hint="default" w:ascii="Times New Roman" w:hAnsi="Times New Roman" w:cs="Times New Roman"/>
                <w:color w:val="auto"/>
                <w:highlight w:val="none"/>
                <w:lang w:val="en-US" w:eastAsia="zh-CN"/>
              </w:rPr>
              <w:t>，医疗废水</w:t>
            </w:r>
            <w:r>
              <w:rPr>
                <w:rFonts w:hint="eastAsia" w:cs="Times New Roman"/>
                <w:color w:val="auto"/>
                <w:highlight w:val="none"/>
                <w:lang w:val="en-US" w:eastAsia="zh-CN"/>
              </w:rPr>
              <w:t>、清洗消毒废水</w:t>
            </w:r>
            <w:r>
              <w:rPr>
                <w:rFonts w:hint="default" w:ascii="Times New Roman" w:hAnsi="Times New Roman" w:cs="Times New Roman"/>
                <w:color w:val="auto"/>
                <w:highlight w:val="none"/>
                <w:lang w:val="en-US" w:eastAsia="zh-CN"/>
              </w:rPr>
              <w:t>经一体化污水处理设备处理后与生活污水</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洗浴废水一起排入市政污水管网</w:t>
            </w:r>
            <w:r>
              <w:rPr>
                <w:rFonts w:hint="default" w:ascii="Times New Roman" w:hAnsi="Times New Roman" w:cs="Times New Roman"/>
                <w:color w:val="auto"/>
                <w:highlight w:val="none"/>
              </w:rPr>
              <w:t>。项目室内均已水泥硬</w:t>
            </w:r>
            <w:r>
              <w:rPr>
                <w:rFonts w:hint="default" w:ascii="Times New Roman" w:hAnsi="Times New Roman" w:cs="Times New Roman"/>
                <w:color w:val="auto"/>
                <w:highlight w:val="none"/>
                <w:lang w:val="en-US" w:eastAsia="zh-CN"/>
              </w:rPr>
              <w:t>化</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美容室和</w:t>
            </w:r>
            <w:r>
              <w:rPr>
                <w:rFonts w:hint="default" w:ascii="Times New Roman" w:hAnsi="Times New Roman" w:cs="Times New Roman"/>
                <w:color w:val="auto"/>
                <w:highlight w:val="none"/>
              </w:rPr>
              <w:t>卫生间装修时</w:t>
            </w:r>
            <w:bookmarkStart w:id="63" w:name="OLE_LINK58"/>
            <w:r>
              <w:rPr>
                <w:rFonts w:hint="default" w:ascii="Times New Roman" w:hAnsi="Times New Roman" w:cs="Times New Roman"/>
                <w:color w:val="auto"/>
                <w:highlight w:val="none"/>
              </w:rPr>
              <w:t>已进行防渗处理</w:t>
            </w:r>
            <w:bookmarkEnd w:id="63"/>
            <w:r>
              <w:rPr>
                <w:rFonts w:hint="default" w:ascii="Times New Roman" w:hAnsi="Times New Roman" w:cs="Times New Roman"/>
                <w:color w:val="auto"/>
                <w:highlight w:val="none"/>
                <w:lang w:eastAsia="zh-CN"/>
              </w:rPr>
              <w:t>；</w:t>
            </w:r>
            <w:r>
              <w:rPr>
                <w:rFonts w:hint="eastAsia" w:cs="Times New Roman"/>
                <w:color w:val="auto"/>
                <w:highlight w:val="none"/>
                <w:lang w:val="en-US" w:eastAsia="zh-CN"/>
              </w:rPr>
              <w:t>危险</w:t>
            </w:r>
            <w:r>
              <w:rPr>
                <w:rFonts w:hint="default" w:ascii="Times New Roman" w:hAnsi="Times New Roman" w:cs="Times New Roman"/>
                <w:color w:val="auto"/>
                <w:highlight w:val="none"/>
                <w:lang w:val="en-US" w:eastAsia="zh-CN"/>
              </w:rPr>
              <w:t>废物贮存间</w:t>
            </w:r>
            <w:r>
              <w:rPr>
                <w:rFonts w:hint="default" w:ascii="Times New Roman" w:hAnsi="Times New Roman" w:cs="Times New Roman"/>
                <w:color w:val="auto"/>
                <w:highlight w:val="none"/>
              </w:rPr>
              <w:t>进行防渗处理</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切断废水污染地下水和土壤的途径</w:t>
            </w:r>
            <w:r>
              <w:rPr>
                <w:rFonts w:hint="default" w:ascii="Times New Roman" w:hAnsi="Times New Roman" w:cs="Times New Roman"/>
                <w:color w:val="auto"/>
                <w:highlight w:val="none"/>
                <w:lang w:eastAsia="zh-CN"/>
              </w:rPr>
              <w:t>。</w:t>
            </w:r>
          </w:p>
          <w:p w14:paraId="543627E8">
            <w:pPr>
              <w:pStyle w:val="31"/>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为防止项目对地下水及土壤环境的影响，项目</w:t>
            </w:r>
            <w:r>
              <w:rPr>
                <w:rFonts w:hint="default" w:ascii="Times New Roman" w:hAnsi="Times New Roman" w:cs="Times New Roman"/>
                <w:color w:val="auto"/>
                <w:highlight w:val="none"/>
                <w:lang w:val="en-US" w:eastAsia="zh-CN"/>
              </w:rPr>
              <w:t>医疗废物贮存间</w:t>
            </w:r>
            <w:r>
              <w:rPr>
                <w:rFonts w:hint="default" w:ascii="Times New Roman" w:hAnsi="Times New Roman" w:cs="Times New Roman"/>
                <w:color w:val="auto"/>
                <w:highlight w:val="none"/>
                <w:lang w:eastAsia="zh-CN"/>
              </w:rPr>
              <w:t>采取重点防渗、其余室内地面采取</w:t>
            </w:r>
            <w:r>
              <w:rPr>
                <w:rFonts w:hint="eastAsia" w:cs="Times New Roman"/>
                <w:color w:val="auto"/>
                <w:highlight w:val="none"/>
                <w:lang w:val="en-US" w:eastAsia="zh-CN"/>
              </w:rPr>
              <w:t>一般</w:t>
            </w:r>
            <w:r>
              <w:rPr>
                <w:rFonts w:hint="default" w:ascii="Times New Roman" w:hAnsi="Times New Roman" w:cs="Times New Roman"/>
                <w:color w:val="auto"/>
                <w:highlight w:val="none"/>
                <w:lang w:eastAsia="zh-CN"/>
              </w:rPr>
              <w:t>防渗，分区防渗控制措施如下：</w:t>
            </w:r>
          </w:p>
          <w:p w14:paraId="31433798">
            <w:pPr>
              <w:pStyle w:val="31"/>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重点防渗：四周壁及裙角与地面防渗层连成整体；底部铺设300mm粘土层压实平整，粘土层上铺设HDPE-GCL复合防渗系统（2mm厚的高密度聚乙烯膜、300g/m</w:t>
            </w:r>
            <w:r>
              <w:rPr>
                <w:rFonts w:hint="default" w:ascii="Times New Roman" w:hAnsi="Times New Roman" w:cs="Times New Roman"/>
                <w:color w:val="auto"/>
                <w:highlight w:val="none"/>
                <w:vertAlign w:val="superscript"/>
                <w:lang w:eastAsia="zh-CN"/>
              </w:rPr>
              <w:t>2</w:t>
            </w:r>
            <w:r>
              <w:rPr>
                <w:rFonts w:hint="default" w:ascii="Times New Roman" w:hAnsi="Times New Roman" w:cs="Times New Roman"/>
                <w:color w:val="auto"/>
                <w:highlight w:val="none"/>
                <w:lang w:eastAsia="zh-CN"/>
              </w:rPr>
              <w:t>土工织物膨润土垫），上部外加耐腐蚀混凝土15cm（保护层）防渗，渗透系数≤1×10</w:t>
            </w:r>
            <w:r>
              <w:rPr>
                <w:rFonts w:hint="eastAsia" w:cs="Times New Roman"/>
                <w:color w:val="auto"/>
                <w:highlight w:val="none"/>
                <w:lang w:eastAsia="zh-CN"/>
              </w:rPr>
              <w:t>—</w:t>
            </w:r>
            <w:r>
              <w:rPr>
                <w:rFonts w:hint="default" w:ascii="Times New Roman" w:hAnsi="Times New Roman" w:cs="Times New Roman"/>
                <w:color w:val="auto"/>
                <w:highlight w:val="none"/>
                <w:vertAlign w:val="superscript"/>
                <w:lang w:eastAsia="zh-CN"/>
              </w:rPr>
              <w:t>10</w:t>
            </w:r>
            <w:r>
              <w:rPr>
                <w:rFonts w:hint="default" w:ascii="Times New Roman" w:hAnsi="Times New Roman" w:cs="Times New Roman"/>
                <w:color w:val="auto"/>
                <w:highlight w:val="none"/>
                <w:lang w:eastAsia="zh-CN"/>
              </w:rPr>
              <w:t>cm/s。</w:t>
            </w:r>
          </w:p>
          <w:p w14:paraId="0C6BC40B">
            <w:pPr>
              <w:pStyle w:val="31"/>
              <w:bidi w:val="0"/>
              <w:rPr>
                <w:rFonts w:hint="default" w:ascii="Times New Roman" w:hAnsi="Times New Roman" w:cs="Times New Roman"/>
                <w:color w:val="auto"/>
                <w:highlight w:val="none"/>
                <w:lang w:eastAsia="zh-CN"/>
              </w:rPr>
            </w:pPr>
            <w:r>
              <w:rPr>
                <w:rFonts w:hint="eastAsia" w:cs="Times New Roman"/>
                <w:color w:val="auto"/>
                <w:highlight w:val="none"/>
                <w:lang w:val="en-US" w:eastAsia="zh-CN"/>
              </w:rPr>
              <w:t>一般</w:t>
            </w:r>
            <w:r>
              <w:rPr>
                <w:rFonts w:hint="default" w:ascii="Times New Roman" w:hAnsi="Times New Roman" w:cs="Times New Roman"/>
                <w:color w:val="auto"/>
                <w:highlight w:val="none"/>
                <w:lang w:eastAsia="zh-CN"/>
              </w:rPr>
              <w:t>防渗区：室内地面采取一般硬化处理，渗透系数≤1×10</w:t>
            </w:r>
            <w:r>
              <w:rPr>
                <w:rFonts w:hint="eastAsia" w:cs="Times New Roman"/>
                <w:color w:val="auto"/>
                <w:highlight w:val="none"/>
                <w:lang w:eastAsia="zh-CN"/>
              </w:rPr>
              <w:t>—</w:t>
            </w:r>
            <w:r>
              <w:rPr>
                <w:rFonts w:hint="default" w:ascii="Times New Roman" w:hAnsi="Times New Roman" w:cs="Times New Roman"/>
                <w:color w:val="auto"/>
                <w:highlight w:val="none"/>
                <w:vertAlign w:val="superscript"/>
                <w:lang w:eastAsia="zh-CN"/>
              </w:rPr>
              <w:t>7</w:t>
            </w:r>
            <w:r>
              <w:rPr>
                <w:rFonts w:hint="default" w:ascii="Times New Roman" w:hAnsi="Times New Roman" w:cs="Times New Roman"/>
                <w:color w:val="auto"/>
                <w:highlight w:val="none"/>
                <w:lang w:eastAsia="zh-CN"/>
              </w:rPr>
              <w:t>cm/s。</w:t>
            </w:r>
          </w:p>
          <w:p w14:paraId="0565A771">
            <w:pPr>
              <w:pStyle w:val="31"/>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综上所述，项目不会对厂区地下水、土壤环境造成影响。</w:t>
            </w:r>
          </w:p>
          <w:p w14:paraId="518D6927">
            <w:pPr>
              <w:pStyle w:val="3"/>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val="en-US" w:eastAsia="zh-CN"/>
              </w:rPr>
              <w:t>4.</w:t>
            </w:r>
            <w:r>
              <w:rPr>
                <w:rFonts w:hint="eastAsia" w:cs="Times New Roman"/>
                <w:color w:val="auto"/>
                <w:highlight w:val="none"/>
                <w:lang w:val="en-US" w:eastAsia="zh-CN"/>
              </w:rPr>
              <w:t>10</w:t>
            </w:r>
            <w:r>
              <w:rPr>
                <w:rFonts w:hint="default" w:ascii="Times New Roman" w:hAnsi="Times New Roman" w:cs="Times New Roman"/>
                <w:color w:val="auto"/>
                <w:highlight w:val="none"/>
                <w:lang w:eastAsia="zh-CN"/>
              </w:rPr>
              <w:t>、环境风险分析</w:t>
            </w:r>
          </w:p>
          <w:p w14:paraId="49AFE747">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w:t>
            </w:r>
            <w:r>
              <w:rPr>
                <w:rFonts w:hint="eastAsia" w:cs="Times New Roman"/>
                <w:color w:val="auto"/>
                <w:highlight w:val="none"/>
                <w:lang w:val="en-US" w:eastAsia="zh-CN"/>
              </w:rPr>
              <w:t>10</w:t>
            </w:r>
            <w:r>
              <w:rPr>
                <w:rFonts w:hint="default" w:ascii="Times New Roman" w:hAnsi="Times New Roman" w:cs="Times New Roman"/>
                <w:color w:val="auto"/>
                <w:highlight w:val="none"/>
                <w:lang w:val="en-US" w:eastAsia="zh-CN"/>
              </w:rPr>
              <w:t>.1风险调查</w:t>
            </w:r>
          </w:p>
          <w:p w14:paraId="2CEA1A8E">
            <w:pPr>
              <w:pStyle w:val="31"/>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1</w:t>
            </w:r>
            <w:r>
              <w:rPr>
                <w:rFonts w:hint="default" w:ascii="Times New Roman" w:hAnsi="Times New Roman" w:cs="Times New Roman"/>
                <w:color w:val="auto"/>
                <w:highlight w:val="none"/>
                <w:lang w:eastAsia="zh-CN"/>
              </w:rPr>
              <w:t>）风险物质调查</w:t>
            </w:r>
          </w:p>
          <w:p w14:paraId="76DF699D">
            <w:pPr>
              <w:pStyle w:val="31"/>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对照《建设项目环境风险评价技术导则》（HJ169-2018）中附录B，项目使用的原辅料、产品以及生</w:t>
            </w:r>
            <w:r>
              <w:rPr>
                <w:rFonts w:hint="default" w:ascii="Times New Roman" w:hAnsi="Times New Roman" w:eastAsia="宋体" w:cs="Times New Roman"/>
                <w:color w:val="auto"/>
                <w:highlight w:val="none"/>
                <w:lang w:eastAsia="zh-CN"/>
              </w:rPr>
              <w:t>产过程中的中间物质以及排放的废气、废水等属于附录中涉及的环境风险物质主要有：</w:t>
            </w:r>
            <w:r>
              <w:rPr>
                <w:rFonts w:hint="default" w:ascii="Times New Roman" w:hAnsi="Times New Roman" w:eastAsia="宋体" w:cs="Times New Roman"/>
                <w:color w:val="auto"/>
                <w:highlight w:val="none"/>
                <w:lang w:val="en-US" w:eastAsia="zh-CN"/>
              </w:rPr>
              <w:t>酒精、三氯异氰尿酸片、废紫外线灯管、</w:t>
            </w:r>
            <w:r>
              <w:rPr>
                <w:rFonts w:hint="eastAsia" w:cs="Times New Roman"/>
                <w:color w:val="auto"/>
                <w:highlight w:val="none"/>
                <w:lang w:val="en-US" w:eastAsia="zh-CN"/>
              </w:rPr>
              <w:t>医疗</w:t>
            </w:r>
            <w:r>
              <w:rPr>
                <w:rFonts w:hint="default" w:ascii="Times New Roman" w:hAnsi="Times New Roman" w:eastAsia="宋体" w:cs="Times New Roman"/>
                <w:color w:val="auto"/>
                <w:highlight w:val="none"/>
                <w:lang w:val="en-US" w:eastAsia="zh-CN"/>
              </w:rPr>
              <w:t>废水处理设施废渣以及医疗废物</w:t>
            </w:r>
            <w:r>
              <w:rPr>
                <w:rFonts w:hint="default" w:ascii="Times New Roman" w:hAnsi="Times New Roman" w:eastAsia="宋体" w:cs="Times New Roman"/>
                <w:color w:val="auto"/>
                <w:highlight w:val="none"/>
                <w:lang w:eastAsia="zh-CN"/>
              </w:rPr>
              <w:t>。其分布情</w:t>
            </w:r>
            <w:r>
              <w:rPr>
                <w:rFonts w:hint="default" w:ascii="Times New Roman" w:hAnsi="Times New Roman" w:cs="Times New Roman"/>
                <w:color w:val="auto"/>
                <w:highlight w:val="none"/>
                <w:lang w:eastAsia="zh-CN"/>
              </w:rPr>
              <w:t>况如下：</w:t>
            </w:r>
          </w:p>
          <w:p w14:paraId="3681BC1B">
            <w:pPr>
              <w:pStyle w:val="29"/>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val="en-GB" w:eastAsia="zh-CN"/>
              </w:rPr>
              <w:t>表</w:t>
            </w:r>
            <w:r>
              <w:rPr>
                <w:rFonts w:hint="default" w:ascii="Times New Roman" w:hAnsi="Times New Roman" w:cs="Times New Roman"/>
                <w:color w:val="auto"/>
                <w:highlight w:val="none"/>
                <w:lang w:eastAsia="zh-CN"/>
              </w:rPr>
              <w:t>4-1</w:t>
            </w:r>
            <w:r>
              <w:rPr>
                <w:rFonts w:hint="eastAsia" w:cs="Times New Roman"/>
                <w:color w:val="auto"/>
                <w:highlight w:val="none"/>
                <w:lang w:val="en-US" w:eastAsia="zh-CN"/>
              </w:rPr>
              <w:t>5</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lang w:val="en-GB" w:eastAsia="zh-CN"/>
              </w:rPr>
              <w:t>项目风险物质及分布情况表</w:t>
            </w:r>
          </w:p>
          <w:tbl>
            <w:tblPr>
              <w:tblStyle w:val="1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5"/>
              <w:gridCol w:w="2209"/>
              <w:gridCol w:w="1893"/>
              <w:gridCol w:w="1507"/>
              <w:gridCol w:w="1893"/>
            </w:tblGrid>
            <w:tr w14:paraId="731A2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435" w:type="pct"/>
                  <w:tcBorders>
                    <w:bottom w:val="single" w:color="auto" w:sz="12" w:space="0"/>
                  </w:tcBorders>
                  <w:noWrap w:val="0"/>
                  <w:vAlign w:val="center"/>
                </w:tcPr>
                <w:p w14:paraId="784AD1C4">
                  <w:pPr>
                    <w:snapToGrid w:val="0"/>
                    <w:spacing w:line="240" w:lineRule="auto"/>
                    <w:ind w:firstLine="0" w:firstLineChars="0"/>
                    <w:jc w:val="center"/>
                    <w:rPr>
                      <w:rFonts w:hint="default" w:ascii="Times New Roman" w:hAnsi="Times New Roman" w:cs="Times New Roman"/>
                      <w:b/>
                      <w:bCs/>
                      <w:snapToGrid w:val="0"/>
                      <w:color w:val="auto"/>
                      <w:sz w:val="21"/>
                      <w:szCs w:val="21"/>
                      <w:highlight w:val="none"/>
                      <w:lang w:eastAsia="zh-CN"/>
                    </w:rPr>
                  </w:pPr>
                  <w:r>
                    <w:rPr>
                      <w:rFonts w:hint="default" w:ascii="Times New Roman" w:hAnsi="Times New Roman" w:cs="Times New Roman"/>
                      <w:b/>
                      <w:bCs/>
                      <w:snapToGrid w:val="0"/>
                      <w:color w:val="auto"/>
                      <w:sz w:val="21"/>
                      <w:szCs w:val="21"/>
                      <w:highlight w:val="none"/>
                      <w:lang w:eastAsia="zh-CN"/>
                    </w:rPr>
                    <w:t>序号</w:t>
                  </w:r>
                </w:p>
              </w:tc>
              <w:tc>
                <w:tcPr>
                  <w:tcW w:w="1343" w:type="pct"/>
                  <w:tcBorders>
                    <w:bottom w:val="single" w:color="auto" w:sz="12" w:space="0"/>
                  </w:tcBorders>
                  <w:noWrap w:val="0"/>
                  <w:vAlign w:val="center"/>
                </w:tcPr>
                <w:p w14:paraId="0490697C">
                  <w:pPr>
                    <w:snapToGrid w:val="0"/>
                    <w:spacing w:line="240" w:lineRule="auto"/>
                    <w:ind w:firstLine="0" w:firstLineChars="0"/>
                    <w:jc w:val="center"/>
                    <w:rPr>
                      <w:rFonts w:hint="default" w:ascii="Times New Roman" w:hAnsi="Times New Roman" w:cs="Times New Roman"/>
                      <w:b/>
                      <w:bCs/>
                      <w:snapToGrid w:val="0"/>
                      <w:color w:val="auto"/>
                      <w:sz w:val="21"/>
                      <w:szCs w:val="21"/>
                      <w:highlight w:val="none"/>
                      <w:lang w:eastAsia="zh-CN"/>
                    </w:rPr>
                  </w:pPr>
                  <w:r>
                    <w:rPr>
                      <w:rFonts w:hint="default" w:ascii="Times New Roman" w:hAnsi="Times New Roman" w:cs="Times New Roman"/>
                      <w:b/>
                      <w:bCs/>
                      <w:snapToGrid w:val="0"/>
                      <w:color w:val="auto"/>
                      <w:sz w:val="21"/>
                      <w:szCs w:val="21"/>
                      <w:highlight w:val="none"/>
                      <w:lang w:eastAsia="zh-CN"/>
                    </w:rPr>
                    <w:t>名称</w:t>
                  </w:r>
                </w:p>
              </w:tc>
              <w:tc>
                <w:tcPr>
                  <w:tcW w:w="1151" w:type="pct"/>
                  <w:tcBorders>
                    <w:bottom w:val="single" w:color="auto" w:sz="12" w:space="0"/>
                    <w:right w:val="single" w:color="000000" w:sz="2" w:space="0"/>
                  </w:tcBorders>
                  <w:noWrap w:val="0"/>
                  <w:vAlign w:val="center"/>
                </w:tcPr>
                <w:p w14:paraId="484F45F0">
                  <w:pPr>
                    <w:snapToGrid w:val="0"/>
                    <w:spacing w:line="240" w:lineRule="auto"/>
                    <w:ind w:firstLine="0" w:firstLineChars="0"/>
                    <w:jc w:val="center"/>
                    <w:rPr>
                      <w:rFonts w:hint="default" w:ascii="Times New Roman" w:hAnsi="Times New Roman" w:cs="Times New Roman"/>
                      <w:b/>
                      <w:bCs/>
                      <w:snapToGrid w:val="0"/>
                      <w:color w:val="auto"/>
                      <w:sz w:val="21"/>
                      <w:szCs w:val="21"/>
                      <w:highlight w:val="none"/>
                      <w:lang w:eastAsia="zh-CN"/>
                    </w:rPr>
                  </w:pPr>
                  <w:r>
                    <w:rPr>
                      <w:rFonts w:hint="default" w:ascii="Times New Roman" w:hAnsi="Times New Roman" w:cs="Times New Roman"/>
                      <w:b/>
                      <w:bCs/>
                      <w:snapToGrid w:val="0"/>
                      <w:color w:val="auto"/>
                      <w:sz w:val="21"/>
                      <w:szCs w:val="21"/>
                      <w:highlight w:val="none"/>
                      <w:lang w:eastAsia="zh-CN"/>
                    </w:rPr>
                    <w:t>储存方式</w:t>
                  </w:r>
                </w:p>
              </w:tc>
              <w:tc>
                <w:tcPr>
                  <w:tcW w:w="916" w:type="pct"/>
                  <w:tcBorders>
                    <w:bottom w:val="single" w:color="auto" w:sz="12" w:space="0"/>
                    <w:right w:val="single" w:color="000000" w:sz="2" w:space="0"/>
                  </w:tcBorders>
                  <w:noWrap w:val="0"/>
                  <w:vAlign w:val="center"/>
                </w:tcPr>
                <w:p w14:paraId="461C7222">
                  <w:pPr>
                    <w:snapToGrid w:val="0"/>
                    <w:spacing w:line="240" w:lineRule="auto"/>
                    <w:ind w:firstLine="0" w:firstLineChars="0"/>
                    <w:jc w:val="center"/>
                    <w:rPr>
                      <w:rFonts w:hint="default" w:ascii="Times New Roman" w:hAnsi="Times New Roman" w:cs="Times New Roman"/>
                      <w:b/>
                      <w:bCs/>
                      <w:snapToGrid w:val="0"/>
                      <w:color w:val="auto"/>
                      <w:sz w:val="21"/>
                      <w:szCs w:val="21"/>
                      <w:highlight w:val="none"/>
                      <w:lang w:eastAsia="zh-CN"/>
                    </w:rPr>
                  </w:pPr>
                  <w:r>
                    <w:rPr>
                      <w:rFonts w:hint="default" w:ascii="Times New Roman" w:hAnsi="Times New Roman" w:cs="Times New Roman"/>
                      <w:b/>
                      <w:bCs/>
                      <w:snapToGrid w:val="0"/>
                      <w:color w:val="auto"/>
                      <w:sz w:val="21"/>
                      <w:szCs w:val="21"/>
                      <w:highlight w:val="none"/>
                      <w:lang w:eastAsia="zh-CN"/>
                    </w:rPr>
                    <w:t>最大储存量t</w:t>
                  </w:r>
                </w:p>
              </w:tc>
              <w:tc>
                <w:tcPr>
                  <w:tcW w:w="1151" w:type="pct"/>
                  <w:tcBorders>
                    <w:left w:val="single" w:color="000000" w:sz="2" w:space="0"/>
                    <w:bottom w:val="single" w:color="auto" w:sz="12" w:space="0"/>
                  </w:tcBorders>
                  <w:noWrap w:val="0"/>
                  <w:vAlign w:val="center"/>
                </w:tcPr>
                <w:p w14:paraId="483E3DEA">
                  <w:pPr>
                    <w:snapToGrid w:val="0"/>
                    <w:spacing w:line="240" w:lineRule="auto"/>
                    <w:ind w:firstLine="0" w:firstLineChars="0"/>
                    <w:jc w:val="center"/>
                    <w:rPr>
                      <w:rFonts w:hint="default" w:ascii="Times New Roman" w:hAnsi="Times New Roman" w:cs="Times New Roman"/>
                      <w:b/>
                      <w:bCs/>
                      <w:snapToGrid w:val="0"/>
                      <w:color w:val="auto"/>
                      <w:sz w:val="21"/>
                      <w:szCs w:val="21"/>
                      <w:highlight w:val="none"/>
                      <w:lang w:eastAsia="zh-CN"/>
                    </w:rPr>
                  </w:pPr>
                  <w:r>
                    <w:rPr>
                      <w:rFonts w:hint="default" w:ascii="Times New Roman" w:hAnsi="Times New Roman" w:cs="Times New Roman"/>
                      <w:b/>
                      <w:bCs/>
                      <w:snapToGrid w:val="0"/>
                      <w:color w:val="auto"/>
                      <w:sz w:val="21"/>
                      <w:szCs w:val="21"/>
                      <w:highlight w:val="none"/>
                      <w:lang w:eastAsia="zh-CN"/>
                    </w:rPr>
                    <w:t>储存位置</w:t>
                  </w:r>
                </w:p>
              </w:tc>
            </w:tr>
            <w:tr w14:paraId="56AF6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435" w:type="pct"/>
                  <w:noWrap w:val="0"/>
                  <w:vAlign w:val="center"/>
                </w:tcPr>
                <w:p w14:paraId="125E6A6E">
                  <w:pPr>
                    <w:snapToGrid w:val="0"/>
                    <w:spacing w:line="240" w:lineRule="auto"/>
                    <w:ind w:firstLine="0" w:firstLineChars="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1</w:t>
                  </w:r>
                </w:p>
              </w:tc>
              <w:tc>
                <w:tcPr>
                  <w:tcW w:w="1343" w:type="pct"/>
                  <w:noWrap w:val="0"/>
                  <w:vAlign w:val="center"/>
                </w:tcPr>
                <w:p w14:paraId="454EDADB">
                  <w:pPr>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7</w:t>
                  </w:r>
                  <w:r>
                    <w:rPr>
                      <w:rFonts w:hint="default" w:ascii="Times New Roman" w:hAnsi="Times New Roman" w:eastAsia="宋体" w:cs="Times New Roman"/>
                      <w:color w:val="auto"/>
                      <w:sz w:val="21"/>
                      <w:szCs w:val="21"/>
                      <w:highlight w:val="none"/>
                      <w:lang w:val="en-US" w:eastAsia="zh-CN"/>
                    </w:rPr>
                    <w:t>5%酒精 （乙醇）</w:t>
                  </w:r>
                </w:p>
              </w:tc>
              <w:tc>
                <w:tcPr>
                  <w:tcW w:w="1151" w:type="pct"/>
                  <w:tcBorders>
                    <w:top w:val="single" w:color="000000" w:sz="2" w:space="0"/>
                    <w:bottom w:val="single" w:color="000000" w:sz="2" w:space="0"/>
                    <w:right w:val="single" w:color="000000" w:sz="2" w:space="0"/>
                  </w:tcBorders>
                  <w:noWrap w:val="0"/>
                  <w:vAlign w:val="center"/>
                </w:tcPr>
                <w:p w14:paraId="62E02450">
                  <w:pPr>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瓶装</w:t>
                  </w:r>
                </w:p>
              </w:tc>
              <w:tc>
                <w:tcPr>
                  <w:tcW w:w="916" w:type="pct"/>
                  <w:tcBorders>
                    <w:right w:val="single" w:color="000000" w:sz="2" w:space="0"/>
                  </w:tcBorders>
                  <w:noWrap w:val="0"/>
                  <w:vAlign w:val="center"/>
                </w:tcPr>
                <w:p w14:paraId="67CE6D29">
                  <w:pPr>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eastAsia="zh-CN"/>
                    </w:rPr>
                    <w:t>0.</w:t>
                  </w:r>
                  <w:r>
                    <w:rPr>
                      <w:rFonts w:hint="default" w:ascii="Times New Roman" w:hAnsi="Times New Roman" w:eastAsia="宋体" w:cs="Times New Roman"/>
                      <w:color w:val="auto"/>
                      <w:sz w:val="21"/>
                      <w:szCs w:val="21"/>
                      <w:highlight w:val="none"/>
                      <w:lang w:val="en-US" w:eastAsia="zh-CN"/>
                    </w:rPr>
                    <w:t>00</w:t>
                  </w:r>
                  <w:r>
                    <w:rPr>
                      <w:rFonts w:hint="eastAsia" w:cs="Times New Roman"/>
                      <w:color w:val="auto"/>
                      <w:sz w:val="21"/>
                      <w:szCs w:val="21"/>
                      <w:highlight w:val="none"/>
                      <w:lang w:val="en-US" w:eastAsia="zh-CN"/>
                    </w:rPr>
                    <w:t>8</w:t>
                  </w:r>
                </w:p>
              </w:tc>
              <w:tc>
                <w:tcPr>
                  <w:tcW w:w="1151" w:type="pct"/>
                  <w:tcBorders>
                    <w:top w:val="single" w:color="000000" w:sz="2" w:space="0"/>
                    <w:left w:val="single" w:color="000000" w:sz="2" w:space="0"/>
                    <w:bottom w:val="single" w:color="000000" w:sz="2" w:space="0"/>
                  </w:tcBorders>
                  <w:noWrap w:val="0"/>
                  <w:vAlign w:val="center"/>
                </w:tcPr>
                <w:p w14:paraId="4581BB0B">
                  <w:pPr>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药房</w:t>
                  </w:r>
                </w:p>
              </w:tc>
            </w:tr>
            <w:tr w14:paraId="27A4C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435" w:type="pct"/>
                  <w:noWrap w:val="0"/>
                  <w:vAlign w:val="center"/>
                </w:tcPr>
                <w:p w14:paraId="140E7C24">
                  <w:pPr>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w:t>
                  </w:r>
                </w:p>
              </w:tc>
              <w:tc>
                <w:tcPr>
                  <w:tcW w:w="1343" w:type="pct"/>
                  <w:noWrap w:val="0"/>
                  <w:vAlign w:val="center"/>
                </w:tcPr>
                <w:p w14:paraId="0C9BA70A">
                  <w:pPr>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三氯异氰尿酸片</w:t>
                  </w:r>
                </w:p>
              </w:tc>
              <w:tc>
                <w:tcPr>
                  <w:tcW w:w="1151" w:type="pct"/>
                  <w:tcBorders>
                    <w:top w:val="single" w:color="000000" w:sz="2" w:space="0"/>
                    <w:bottom w:val="single" w:color="000000" w:sz="2" w:space="0"/>
                    <w:right w:val="single" w:color="000000" w:sz="2" w:space="0"/>
                  </w:tcBorders>
                  <w:noWrap w:val="0"/>
                  <w:vAlign w:val="center"/>
                </w:tcPr>
                <w:p w14:paraId="026FCEB8">
                  <w:pPr>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瓶装</w:t>
                  </w:r>
                </w:p>
              </w:tc>
              <w:tc>
                <w:tcPr>
                  <w:tcW w:w="916" w:type="pct"/>
                  <w:tcBorders>
                    <w:right w:val="single" w:color="000000" w:sz="2" w:space="0"/>
                  </w:tcBorders>
                  <w:noWrap w:val="0"/>
                  <w:vAlign w:val="center"/>
                </w:tcPr>
                <w:p w14:paraId="1D588E7A">
                  <w:pPr>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0.002</w:t>
                  </w:r>
                </w:p>
              </w:tc>
              <w:tc>
                <w:tcPr>
                  <w:tcW w:w="1151" w:type="pct"/>
                  <w:tcBorders>
                    <w:top w:val="single" w:color="000000" w:sz="2" w:space="0"/>
                    <w:left w:val="single" w:color="000000" w:sz="2" w:space="0"/>
                    <w:bottom w:val="single" w:color="000000" w:sz="2" w:space="0"/>
                  </w:tcBorders>
                  <w:noWrap w:val="0"/>
                  <w:vAlign w:val="center"/>
                </w:tcPr>
                <w:p w14:paraId="249C21CB">
                  <w:pPr>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药房</w:t>
                  </w:r>
                </w:p>
              </w:tc>
            </w:tr>
            <w:tr w14:paraId="79C9A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435" w:type="pct"/>
                  <w:noWrap w:val="0"/>
                  <w:vAlign w:val="center"/>
                </w:tcPr>
                <w:p w14:paraId="6E66646B">
                  <w:pPr>
                    <w:pStyle w:val="30"/>
                    <w:bidi w:val="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w:t>
                  </w:r>
                </w:p>
              </w:tc>
              <w:tc>
                <w:tcPr>
                  <w:tcW w:w="1343" w:type="pct"/>
                  <w:noWrap w:val="0"/>
                  <w:vAlign w:val="center"/>
                </w:tcPr>
                <w:p w14:paraId="5C73B78C">
                  <w:pPr>
                    <w:pStyle w:val="30"/>
                    <w:bidi w:val="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废紫外线灯管</w:t>
                  </w:r>
                </w:p>
              </w:tc>
              <w:tc>
                <w:tcPr>
                  <w:tcW w:w="1151" w:type="pct"/>
                  <w:tcBorders>
                    <w:top w:val="single" w:color="000000" w:sz="2" w:space="0"/>
                    <w:bottom w:val="single" w:color="000000" w:sz="2" w:space="0"/>
                    <w:right w:val="single" w:color="000000" w:sz="2" w:space="0"/>
                  </w:tcBorders>
                  <w:noWrap w:val="0"/>
                  <w:vAlign w:val="center"/>
                </w:tcPr>
                <w:p w14:paraId="13DB1271">
                  <w:pPr>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分区存放</w:t>
                  </w:r>
                </w:p>
              </w:tc>
              <w:tc>
                <w:tcPr>
                  <w:tcW w:w="916" w:type="pct"/>
                  <w:tcBorders>
                    <w:right w:val="single" w:color="000000" w:sz="2" w:space="0"/>
                  </w:tcBorders>
                  <w:noWrap w:val="0"/>
                  <w:vAlign w:val="center"/>
                </w:tcPr>
                <w:p w14:paraId="4A3A9883">
                  <w:pPr>
                    <w:pStyle w:val="30"/>
                    <w:bidi w:val="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w:t>
                  </w:r>
                  <w:r>
                    <w:rPr>
                      <w:rFonts w:hint="eastAsia" w:cs="Times New Roman"/>
                      <w:color w:val="auto"/>
                      <w:sz w:val="21"/>
                      <w:szCs w:val="21"/>
                      <w:highlight w:val="none"/>
                      <w:lang w:val="en-US" w:eastAsia="zh-CN"/>
                    </w:rPr>
                    <w:t>02</w:t>
                  </w:r>
                </w:p>
              </w:tc>
              <w:tc>
                <w:tcPr>
                  <w:tcW w:w="1151" w:type="pct"/>
                  <w:tcBorders>
                    <w:top w:val="single" w:color="000000" w:sz="2" w:space="0"/>
                    <w:left w:val="single" w:color="000000" w:sz="2" w:space="0"/>
                    <w:bottom w:val="single" w:color="000000" w:sz="2" w:space="0"/>
                  </w:tcBorders>
                  <w:noWrap w:val="0"/>
                  <w:vAlign w:val="center"/>
                </w:tcPr>
                <w:p w14:paraId="69435572">
                  <w:pPr>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医疗废物贮存间</w:t>
                  </w:r>
                </w:p>
              </w:tc>
            </w:tr>
            <w:tr w14:paraId="5E221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435" w:type="pct"/>
                  <w:noWrap w:val="0"/>
                  <w:vAlign w:val="center"/>
                </w:tcPr>
                <w:p w14:paraId="6F7B55B2">
                  <w:pPr>
                    <w:pStyle w:val="30"/>
                    <w:bidi w:val="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w:t>
                  </w:r>
                </w:p>
              </w:tc>
              <w:tc>
                <w:tcPr>
                  <w:tcW w:w="1343" w:type="pct"/>
                  <w:noWrap w:val="0"/>
                  <w:vAlign w:val="center"/>
                </w:tcPr>
                <w:p w14:paraId="1868992E">
                  <w:pPr>
                    <w:pStyle w:val="30"/>
                    <w:bidi w:val="0"/>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医疗</w:t>
                  </w:r>
                  <w:r>
                    <w:rPr>
                      <w:rFonts w:hint="default" w:ascii="Times New Roman" w:hAnsi="Times New Roman" w:eastAsia="宋体" w:cs="Times New Roman"/>
                      <w:color w:val="auto"/>
                      <w:sz w:val="21"/>
                      <w:szCs w:val="21"/>
                      <w:highlight w:val="none"/>
                      <w:lang w:val="en-US" w:eastAsia="zh-CN"/>
                    </w:rPr>
                    <w:t>废水处理设施废渣</w:t>
                  </w:r>
                </w:p>
              </w:tc>
              <w:tc>
                <w:tcPr>
                  <w:tcW w:w="1151" w:type="pct"/>
                  <w:tcBorders>
                    <w:top w:val="single" w:color="000000" w:sz="2" w:space="0"/>
                    <w:bottom w:val="single" w:color="000000" w:sz="2" w:space="0"/>
                    <w:right w:val="single" w:color="000000" w:sz="2" w:space="0"/>
                  </w:tcBorders>
                  <w:noWrap w:val="0"/>
                  <w:vAlign w:val="center"/>
                </w:tcPr>
                <w:p w14:paraId="351709C5">
                  <w:pPr>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由资质单位处理</w:t>
                  </w:r>
                </w:p>
              </w:tc>
              <w:tc>
                <w:tcPr>
                  <w:tcW w:w="916" w:type="pct"/>
                  <w:tcBorders>
                    <w:right w:val="single" w:color="000000" w:sz="2" w:space="0"/>
                  </w:tcBorders>
                  <w:noWrap w:val="0"/>
                  <w:vAlign w:val="center"/>
                </w:tcPr>
                <w:p w14:paraId="5A1A2400">
                  <w:pPr>
                    <w:pStyle w:val="30"/>
                    <w:bidi w:val="0"/>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0.00426</w:t>
                  </w:r>
                </w:p>
              </w:tc>
              <w:tc>
                <w:tcPr>
                  <w:tcW w:w="1151" w:type="pct"/>
                  <w:tcBorders>
                    <w:top w:val="single" w:color="000000" w:sz="2" w:space="0"/>
                    <w:left w:val="single" w:color="000000" w:sz="2" w:space="0"/>
                    <w:bottom w:val="single" w:color="000000" w:sz="2" w:space="0"/>
                  </w:tcBorders>
                  <w:noWrap w:val="0"/>
                  <w:vAlign w:val="center"/>
                </w:tcPr>
                <w:p w14:paraId="36D9EF2E">
                  <w:pPr>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医疗废物贮存间</w:t>
                  </w:r>
                </w:p>
              </w:tc>
            </w:tr>
            <w:tr w14:paraId="27A97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435" w:type="pct"/>
                  <w:noWrap w:val="0"/>
                  <w:vAlign w:val="center"/>
                </w:tcPr>
                <w:p w14:paraId="061CB2B9">
                  <w:pPr>
                    <w:pStyle w:val="30"/>
                    <w:bidi w:val="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w:t>
                  </w:r>
                </w:p>
              </w:tc>
              <w:tc>
                <w:tcPr>
                  <w:tcW w:w="1343" w:type="pct"/>
                  <w:noWrap w:val="0"/>
                  <w:vAlign w:val="center"/>
                </w:tcPr>
                <w:p w14:paraId="536D4759">
                  <w:pPr>
                    <w:pStyle w:val="30"/>
                    <w:bidi w:val="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医疗废物</w:t>
                  </w:r>
                </w:p>
              </w:tc>
              <w:tc>
                <w:tcPr>
                  <w:tcW w:w="1151" w:type="pct"/>
                  <w:tcBorders>
                    <w:top w:val="single" w:color="000000" w:sz="2" w:space="0"/>
                    <w:right w:val="single" w:color="000000" w:sz="2" w:space="0"/>
                  </w:tcBorders>
                  <w:noWrap w:val="0"/>
                  <w:vAlign w:val="center"/>
                </w:tcPr>
                <w:p w14:paraId="16B7823C">
                  <w:pPr>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分区存放</w:t>
                  </w:r>
                </w:p>
              </w:tc>
              <w:tc>
                <w:tcPr>
                  <w:tcW w:w="916" w:type="pct"/>
                  <w:tcBorders>
                    <w:right w:val="single" w:color="000000" w:sz="2" w:space="0"/>
                  </w:tcBorders>
                  <w:noWrap w:val="0"/>
                  <w:vAlign w:val="center"/>
                </w:tcPr>
                <w:p w14:paraId="37392EB1">
                  <w:pPr>
                    <w:pStyle w:val="30"/>
                    <w:bidi w:val="0"/>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0.161</w:t>
                  </w:r>
                </w:p>
              </w:tc>
              <w:tc>
                <w:tcPr>
                  <w:tcW w:w="1151" w:type="pct"/>
                  <w:tcBorders>
                    <w:top w:val="single" w:color="000000" w:sz="2" w:space="0"/>
                    <w:left w:val="single" w:color="000000" w:sz="2" w:space="0"/>
                  </w:tcBorders>
                  <w:noWrap w:val="0"/>
                  <w:vAlign w:val="center"/>
                </w:tcPr>
                <w:p w14:paraId="2C71F886">
                  <w:pPr>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医疗废物贮存间</w:t>
                  </w:r>
                </w:p>
              </w:tc>
            </w:tr>
          </w:tbl>
          <w:p w14:paraId="7451A838">
            <w:pPr>
              <w:tabs>
                <w:tab w:val="left" w:pos="2760"/>
              </w:tabs>
              <w:spacing w:line="360" w:lineRule="auto"/>
              <w:ind w:firstLine="480"/>
              <w:jc w:val="both"/>
              <w:rPr>
                <w:rFonts w:hint="default" w:ascii="Times New Roman" w:hAnsi="Times New Roman" w:cs="Times New Roman"/>
                <w:b w:val="0"/>
                <w:color w:val="auto"/>
                <w:sz w:val="24"/>
                <w:szCs w:val="24"/>
                <w:highlight w:val="none"/>
                <w:lang w:val="en-US" w:eastAsia="zh-CN"/>
              </w:rPr>
            </w:pPr>
            <w:r>
              <w:rPr>
                <w:rFonts w:hint="default" w:ascii="Times New Roman" w:hAnsi="Times New Roman" w:cs="Times New Roman"/>
                <w:b w:val="0"/>
                <w:color w:val="auto"/>
                <w:sz w:val="24"/>
                <w:szCs w:val="24"/>
                <w:highlight w:val="none"/>
                <w:lang w:val="en-US" w:eastAsia="zh-CN"/>
              </w:rPr>
              <w:t>（2）工艺系统风险调查</w:t>
            </w:r>
          </w:p>
          <w:p w14:paraId="07BECAE4">
            <w:pPr>
              <w:pStyle w:val="31"/>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①生产工艺</w:t>
            </w:r>
          </w:p>
          <w:p w14:paraId="6D4236EC">
            <w:pPr>
              <w:pStyle w:val="31"/>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本项目不涉及危险工艺；一体化污水处理设施可能发生废水泄漏和超标排放。</w:t>
            </w:r>
          </w:p>
          <w:p w14:paraId="47F1B62A">
            <w:pPr>
              <w:pStyle w:val="31"/>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②危险物质贮存区</w:t>
            </w:r>
          </w:p>
          <w:p w14:paraId="65867EDF">
            <w:pPr>
              <w:pStyle w:val="31"/>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本项目涉及危险废物的存储，属于危险物质贮存区。</w:t>
            </w:r>
          </w:p>
          <w:p w14:paraId="6C25C466">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w:t>
            </w:r>
            <w:r>
              <w:rPr>
                <w:rFonts w:hint="eastAsia" w:cs="Times New Roman"/>
                <w:color w:val="auto"/>
                <w:highlight w:val="none"/>
                <w:lang w:val="en-US" w:eastAsia="zh-CN"/>
              </w:rPr>
              <w:t>10</w:t>
            </w:r>
            <w:r>
              <w:rPr>
                <w:rFonts w:hint="default" w:ascii="Times New Roman" w:hAnsi="Times New Roman" w:cs="Times New Roman"/>
                <w:color w:val="auto"/>
                <w:highlight w:val="none"/>
                <w:lang w:val="en-US" w:eastAsia="zh-CN"/>
              </w:rPr>
              <w:t>.2环境风险评价等级</w:t>
            </w:r>
          </w:p>
          <w:p w14:paraId="68B2A8FF">
            <w:pPr>
              <w:pStyle w:val="31"/>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（1）环境风险潜势划分</w:t>
            </w:r>
          </w:p>
          <w:p w14:paraId="4CF8ABF3">
            <w:pPr>
              <w:pStyle w:val="31"/>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依据《建设项目环境风险评价技术导则》（HJ169-2018），当单元内存在的危险物质为多品种时，则按下式进行计算，若满足，则该单元定为危险化学品重大危险源。</w:t>
            </w:r>
          </w:p>
          <w:p w14:paraId="6D6906B1">
            <w:pPr>
              <w:jc w:val="center"/>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drawing>
                <wp:inline distT="0" distB="0" distL="114300" distR="114300">
                  <wp:extent cx="1942465" cy="598805"/>
                  <wp:effectExtent l="0" t="0" r="635" b="10795"/>
                  <wp:docPr id="14" name="图片 892" descr="微信截图_20230418234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892" descr="微信截图_20230418234405"/>
                          <pic:cNvPicPr>
                            <a:picLocks noChangeAspect="1"/>
                          </pic:cNvPicPr>
                        </pic:nvPicPr>
                        <pic:blipFill>
                          <a:blip r:embed="rId33"/>
                          <a:stretch>
                            <a:fillRect/>
                          </a:stretch>
                        </pic:blipFill>
                        <pic:spPr>
                          <a:xfrm>
                            <a:off x="0" y="0"/>
                            <a:ext cx="1942465" cy="598805"/>
                          </a:xfrm>
                          <a:prstGeom prst="rect">
                            <a:avLst/>
                          </a:prstGeom>
                          <a:noFill/>
                          <a:ln>
                            <a:noFill/>
                          </a:ln>
                        </pic:spPr>
                      </pic:pic>
                    </a:graphicData>
                  </a:graphic>
                </wp:inline>
              </w:drawing>
            </w:r>
          </w:p>
          <w:p w14:paraId="1D23E45A">
            <w:pPr>
              <w:pStyle w:val="31"/>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式中：</w:t>
            </w:r>
          </w:p>
          <w:p w14:paraId="6CEFEC6F">
            <w:pPr>
              <w:pStyle w:val="31"/>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q1，q2，.....qn—每种危险物质的最大存在总量，t；</w:t>
            </w:r>
          </w:p>
          <w:p w14:paraId="531ADCC2">
            <w:pPr>
              <w:pStyle w:val="31"/>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Q1，Q2，........Qn—每种危险物质的临界量，t。</w:t>
            </w:r>
          </w:p>
          <w:p w14:paraId="796D9CEB">
            <w:pPr>
              <w:pStyle w:val="31"/>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当Q＜1时，该项目环境风险潜势为I。</w:t>
            </w:r>
          </w:p>
          <w:p w14:paraId="2FC01977">
            <w:pPr>
              <w:pStyle w:val="31"/>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当Q≥1时，将Q值划分为：（1）1≤Q＜10；（2）10≤Q＜100；（3）Q≥100。</w:t>
            </w:r>
          </w:p>
          <w:p w14:paraId="2F2EA40B">
            <w:pPr>
              <w:pStyle w:val="31"/>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本项目主要风险物质及临界量详见表4-1</w:t>
            </w:r>
            <w:r>
              <w:rPr>
                <w:rFonts w:hint="eastAsia" w:cs="Times New Roman"/>
                <w:color w:val="auto"/>
                <w:highlight w:val="none"/>
                <w:lang w:val="en-US" w:eastAsia="zh-CN"/>
              </w:rPr>
              <w:t>6</w:t>
            </w:r>
            <w:r>
              <w:rPr>
                <w:rFonts w:hint="default" w:ascii="Times New Roman" w:hAnsi="Times New Roman" w:cs="Times New Roman"/>
                <w:color w:val="auto"/>
                <w:highlight w:val="none"/>
                <w:lang w:eastAsia="zh-CN"/>
              </w:rPr>
              <w:t>。</w:t>
            </w:r>
          </w:p>
          <w:p w14:paraId="3DF3C007">
            <w:pPr>
              <w:pStyle w:val="29"/>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val="en-GB" w:eastAsia="zh-CN"/>
              </w:rPr>
              <w:t>表</w:t>
            </w:r>
            <w:r>
              <w:rPr>
                <w:rFonts w:hint="default" w:ascii="Times New Roman" w:hAnsi="Times New Roman" w:cs="Times New Roman"/>
                <w:color w:val="auto"/>
                <w:highlight w:val="none"/>
                <w:lang w:eastAsia="zh-CN"/>
              </w:rPr>
              <w:t>4-1</w:t>
            </w:r>
            <w:r>
              <w:rPr>
                <w:rFonts w:hint="eastAsia" w:cs="Times New Roman"/>
                <w:color w:val="auto"/>
                <w:highlight w:val="none"/>
                <w:lang w:val="en-US" w:eastAsia="zh-CN"/>
              </w:rPr>
              <w:t>6</w:t>
            </w:r>
            <w:r>
              <w:rPr>
                <w:rFonts w:hint="default" w:ascii="Times New Roman" w:hAnsi="Times New Roman" w:cs="Times New Roman"/>
                <w:color w:val="auto"/>
                <w:highlight w:val="none"/>
                <w:lang w:eastAsia="zh-CN"/>
              </w:rPr>
              <w:t xml:space="preserve">   </w:t>
            </w:r>
            <w:r>
              <w:rPr>
                <w:rFonts w:hint="default" w:ascii="Times New Roman" w:hAnsi="Times New Roman" w:cs="Times New Roman"/>
                <w:color w:val="auto"/>
                <w:highlight w:val="none"/>
                <w:lang w:val="en-GB" w:eastAsia="zh-CN"/>
              </w:rPr>
              <w:t>项目主要风险物质及临界量</w:t>
            </w:r>
          </w:p>
          <w:tbl>
            <w:tblPr>
              <w:tblStyle w:val="1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2"/>
              <w:gridCol w:w="2025"/>
              <w:gridCol w:w="2415"/>
              <w:gridCol w:w="2004"/>
              <w:gridCol w:w="1091"/>
            </w:tblGrid>
            <w:tr w14:paraId="41CF8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415" w:type="pct"/>
                  <w:noWrap w:val="0"/>
                  <w:vAlign w:val="center"/>
                </w:tcPr>
                <w:p w14:paraId="745DA9DB">
                  <w:pPr>
                    <w:pStyle w:val="30"/>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序号</w:t>
                  </w:r>
                </w:p>
              </w:tc>
              <w:tc>
                <w:tcPr>
                  <w:tcW w:w="1232" w:type="pct"/>
                  <w:noWrap w:val="0"/>
                  <w:vAlign w:val="center"/>
                </w:tcPr>
                <w:p w14:paraId="4A50F30D">
                  <w:pPr>
                    <w:pStyle w:val="30"/>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名称</w:t>
                  </w:r>
                </w:p>
              </w:tc>
              <w:tc>
                <w:tcPr>
                  <w:tcW w:w="1469" w:type="pct"/>
                  <w:noWrap w:val="0"/>
                  <w:vAlign w:val="center"/>
                </w:tcPr>
                <w:p w14:paraId="326A8D79">
                  <w:pPr>
                    <w:pStyle w:val="3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厂内设计</w:t>
                  </w:r>
                  <w:r>
                    <w:rPr>
                      <w:rFonts w:hint="default" w:ascii="Times New Roman" w:hAnsi="Times New Roman" w:cs="Times New Roman"/>
                      <w:color w:val="auto"/>
                      <w:highlight w:val="none"/>
                      <w:lang w:eastAsia="zh-CN"/>
                    </w:rPr>
                    <w:t>最大</w:t>
                  </w:r>
                  <w:r>
                    <w:rPr>
                      <w:rFonts w:hint="default" w:ascii="Times New Roman" w:hAnsi="Times New Roman" w:cs="Times New Roman"/>
                      <w:color w:val="auto"/>
                      <w:highlight w:val="none"/>
                      <w:lang w:val="en-US" w:eastAsia="zh-CN"/>
                    </w:rPr>
                    <w:t>存储量q</w:t>
                  </w:r>
                </w:p>
              </w:tc>
              <w:tc>
                <w:tcPr>
                  <w:tcW w:w="1218" w:type="pct"/>
                  <w:noWrap w:val="0"/>
                  <w:vAlign w:val="center"/>
                </w:tcPr>
                <w:p w14:paraId="10665F8A">
                  <w:pPr>
                    <w:pStyle w:val="30"/>
                    <w:bidi w:val="0"/>
                    <w:rPr>
                      <w:rFonts w:hint="default" w:ascii="Times New Roman" w:hAnsi="Times New Roman" w:cs="Times New Roman"/>
                      <w:color w:val="auto"/>
                      <w:highlight w:val="none"/>
                      <w:lang w:val="en-US" w:eastAsia="zh-CN"/>
                    </w:rPr>
                  </w:pPr>
                  <w:bookmarkStart w:id="64" w:name="OLE_LINK112"/>
                  <w:r>
                    <w:rPr>
                      <w:rFonts w:hint="default" w:ascii="Times New Roman" w:hAnsi="Times New Roman" w:cs="Times New Roman"/>
                      <w:color w:val="auto"/>
                      <w:highlight w:val="none"/>
                      <w:lang w:val="en-US" w:eastAsia="zh-CN"/>
                    </w:rPr>
                    <w:t>贮存场所</w:t>
                  </w:r>
                  <w:r>
                    <w:rPr>
                      <w:rFonts w:hint="default" w:ascii="Times New Roman" w:hAnsi="Times New Roman" w:cs="Times New Roman"/>
                      <w:color w:val="auto"/>
                      <w:highlight w:val="none"/>
                      <w:lang w:eastAsia="zh-CN"/>
                    </w:rPr>
                    <w:t>临界量</w:t>
                  </w:r>
                  <w:bookmarkEnd w:id="64"/>
                  <w:r>
                    <w:rPr>
                      <w:rFonts w:hint="default" w:ascii="Times New Roman" w:hAnsi="Times New Roman" w:cs="Times New Roman"/>
                      <w:color w:val="auto"/>
                      <w:highlight w:val="none"/>
                      <w:lang w:val="en-US" w:eastAsia="zh-CN"/>
                    </w:rPr>
                    <w:t>Q</w:t>
                  </w:r>
                </w:p>
              </w:tc>
              <w:tc>
                <w:tcPr>
                  <w:tcW w:w="664" w:type="pct"/>
                  <w:noWrap w:val="0"/>
                  <w:vAlign w:val="center"/>
                </w:tcPr>
                <w:p w14:paraId="589993D7">
                  <w:pPr>
                    <w:pStyle w:val="30"/>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val="en-US" w:eastAsia="zh-CN"/>
                    </w:rPr>
                    <w:t>q/Q</w:t>
                  </w:r>
                </w:p>
              </w:tc>
            </w:tr>
            <w:tr w14:paraId="53F9E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415" w:type="pct"/>
                  <w:noWrap w:val="0"/>
                  <w:vAlign w:val="center"/>
                </w:tcPr>
                <w:p w14:paraId="643316AB">
                  <w:pPr>
                    <w:pStyle w:val="30"/>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1</w:t>
                  </w:r>
                </w:p>
              </w:tc>
              <w:tc>
                <w:tcPr>
                  <w:tcW w:w="1232" w:type="pct"/>
                  <w:noWrap w:val="0"/>
                  <w:vAlign w:val="center"/>
                </w:tcPr>
                <w:p w14:paraId="45D820CB">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7</w:t>
                  </w:r>
                  <w:r>
                    <w:rPr>
                      <w:rFonts w:hint="default" w:ascii="Times New Roman" w:hAnsi="Times New Roman" w:cs="Times New Roman"/>
                      <w:color w:val="auto"/>
                      <w:highlight w:val="none"/>
                      <w:lang w:val="en-US" w:eastAsia="zh-CN"/>
                    </w:rPr>
                    <w:t>5%酒精（乙醇）</w:t>
                  </w:r>
                </w:p>
              </w:tc>
              <w:tc>
                <w:tcPr>
                  <w:tcW w:w="1469" w:type="pct"/>
                  <w:noWrap w:val="0"/>
                  <w:vAlign w:val="center"/>
                </w:tcPr>
                <w:p w14:paraId="26DB9C2E">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0.</w:t>
                  </w:r>
                  <w:r>
                    <w:rPr>
                      <w:rFonts w:hint="default" w:ascii="Times New Roman" w:hAnsi="Times New Roman" w:cs="Times New Roman"/>
                      <w:color w:val="auto"/>
                      <w:highlight w:val="none"/>
                      <w:lang w:val="en-US" w:eastAsia="zh-CN"/>
                    </w:rPr>
                    <w:t>00</w:t>
                  </w:r>
                  <w:r>
                    <w:rPr>
                      <w:rFonts w:hint="eastAsia" w:cs="Times New Roman"/>
                      <w:color w:val="auto"/>
                      <w:highlight w:val="none"/>
                      <w:lang w:val="en-US" w:eastAsia="zh-CN"/>
                    </w:rPr>
                    <w:t>8</w:t>
                  </w:r>
                  <w:r>
                    <w:rPr>
                      <w:rFonts w:hint="default" w:ascii="Times New Roman" w:hAnsi="Times New Roman" w:cs="Times New Roman"/>
                      <w:color w:val="auto"/>
                      <w:highlight w:val="none"/>
                    </w:rPr>
                    <w:t>t</w:t>
                  </w:r>
                </w:p>
              </w:tc>
              <w:tc>
                <w:tcPr>
                  <w:tcW w:w="1218" w:type="pct"/>
                  <w:noWrap w:val="0"/>
                  <w:vAlign w:val="center"/>
                </w:tcPr>
                <w:p w14:paraId="1A0B3733">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5</w:t>
                  </w:r>
                  <w:r>
                    <w:rPr>
                      <w:rFonts w:hint="default" w:ascii="Times New Roman" w:hAnsi="Times New Roman" w:cs="Times New Roman"/>
                      <w:color w:val="auto"/>
                      <w:highlight w:val="none"/>
                      <w:lang w:val="en-US" w:eastAsia="zh-CN"/>
                    </w:rPr>
                    <w:t>00</w:t>
                  </w:r>
                  <w:r>
                    <w:rPr>
                      <w:rFonts w:hint="default" w:ascii="Times New Roman" w:hAnsi="Times New Roman" w:cs="Times New Roman"/>
                      <w:color w:val="auto"/>
                      <w:highlight w:val="none"/>
                    </w:rPr>
                    <w:t>t</w:t>
                  </w:r>
                </w:p>
              </w:tc>
              <w:tc>
                <w:tcPr>
                  <w:tcW w:w="664" w:type="pct"/>
                  <w:noWrap w:val="0"/>
                  <w:vAlign w:val="center"/>
                </w:tcPr>
                <w:p w14:paraId="203BB2D7">
                  <w:pPr>
                    <w:pStyle w:val="30"/>
                    <w:bidi w:val="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0.000016</w:t>
                  </w:r>
                </w:p>
              </w:tc>
            </w:tr>
            <w:tr w14:paraId="645D5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415" w:type="pct"/>
                  <w:noWrap w:val="0"/>
                  <w:vAlign w:val="center"/>
                </w:tcPr>
                <w:p w14:paraId="32F338E6">
                  <w:pPr>
                    <w:pStyle w:val="3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w:t>
                  </w:r>
                </w:p>
              </w:tc>
              <w:tc>
                <w:tcPr>
                  <w:tcW w:w="1232" w:type="pct"/>
                  <w:noWrap w:val="0"/>
                  <w:vAlign w:val="center"/>
                </w:tcPr>
                <w:p w14:paraId="60BEFC45">
                  <w:pPr>
                    <w:pStyle w:val="3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三氯异氰尿酸片</w:t>
                  </w:r>
                </w:p>
                <w:p w14:paraId="7C7701AB">
                  <w:pPr>
                    <w:pStyle w:val="30"/>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（二氧化氯）</w:t>
                  </w:r>
                </w:p>
              </w:tc>
              <w:tc>
                <w:tcPr>
                  <w:tcW w:w="1469" w:type="pct"/>
                  <w:noWrap w:val="0"/>
                  <w:vAlign w:val="center"/>
                </w:tcPr>
                <w:p w14:paraId="2F26A36E">
                  <w:pPr>
                    <w:pStyle w:val="3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0.002t</w:t>
                  </w:r>
                </w:p>
              </w:tc>
              <w:tc>
                <w:tcPr>
                  <w:tcW w:w="1218" w:type="pct"/>
                  <w:noWrap w:val="0"/>
                  <w:vAlign w:val="center"/>
                </w:tcPr>
                <w:p w14:paraId="0ABC426F">
                  <w:pPr>
                    <w:pStyle w:val="3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r>
                    <w:rPr>
                      <w:rFonts w:hint="default" w:ascii="Times New Roman" w:hAnsi="Times New Roman" w:cs="Times New Roman"/>
                      <w:color w:val="auto"/>
                      <w:highlight w:val="none"/>
                    </w:rPr>
                    <w:t>t</w:t>
                  </w:r>
                </w:p>
              </w:tc>
              <w:tc>
                <w:tcPr>
                  <w:tcW w:w="664" w:type="pct"/>
                  <w:noWrap w:val="0"/>
                  <w:vAlign w:val="center"/>
                </w:tcPr>
                <w:p w14:paraId="46F8285E">
                  <w:pPr>
                    <w:pStyle w:val="30"/>
                    <w:bidi w:val="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0.0002</w:t>
                  </w:r>
                </w:p>
              </w:tc>
            </w:tr>
            <w:tr w14:paraId="01C81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415" w:type="pct"/>
                  <w:noWrap w:val="0"/>
                  <w:vAlign w:val="center"/>
                </w:tcPr>
                <w:p w14:paraId="40650083">
                  <w:pPr>
                    <w:pStyle w:val="3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w:t>
                  </w:r>
                </w:p>
              </w:tc>
              <w:tc>
                <w:tcPr>
                  <w:tcW w:w="1232" w:type="pct"/>
                  <w:noWrap w:val="0"/>
                  <w:vAlign w:val="center"/>
                </w:tcPr>
                <w:p w14:paraId="7A55BDB3">
                  <w:pPr>
                    <w:pStyle w:val="3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废紫外线灯管</w:t>
                  </w:r>
                </w:p>
              </w:tc>
              <w:tc>
                <w:tcPr>
                  <w:tcW w:w="1469" w:type="pct"/>
                  <w:noWrap w:val="0"/>
                  <w:vAlign w:val="center"/>
                </w:tcPr>
                <w:p w14:paraId="5E252749">
                  <w:pPr>
                    <w:pStyle w:val="3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0.0</w:t>
                  </w:r>
                  <w:r>
                    <w:rPr>
                      <w:rFonts w:hint="eastAsia" w:cs="Times New Roman"/>
                      <w:color w:val="auto"/>
                      <w:highlight w:val="none"/>
                      <w:lang w:val="en-US" w:eastAsia="zh-CN"/>
                    </w:rPr>
                    <w:t>02</w:t>
                  </w:r>
                </w:p>
              </w:tc>
              <w:tc>
                <w:tcPr>
                  <w:tcW w:w="1218" w:type="pct"/>
                  <w:noWrap w:val="0"/>
                  <w:vAlign w:val="center"/>
                </w:tcPr>
                <w:p w14:paraId="7D465AEE">
                  <w:pPr>
                    <w:pStyle w:val="3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664" w:type="pct"/>
                  <w:noWrap w:val="0"/>
                  <w:vAlign w:val="center"/>
                </w:tcPr>
                <w:p w14:paraId="379D97A1">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r>
            <w:tr w14:paraId="51D0E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415" w:type="pct"/>
                  <w:noWrap w:val="0"/>
                  <w:vAlign w:val="center"/>
                </w:tcPr>
                <w:p w14:paraId="6ED2A57B">
                  <w:pPr>
                    <w:pStyle w:val="3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w:t>
                  </w:r>
                </w:p>
              </w:tc>
              <w:tc>
                <w:tcPr>
                  <w:tcW w:w="1232" w:type="pct"/>
                  <w:noWrap w:val="0"/>
                  <w:vAlign w:val="center"/>
                </w:tcPr>
                <w:p w14:paraId="3035D46C">
                  <w:pPr>
                    <w:pStyle w:val="30"/>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医疗</w:t>
                  </w:r>
                  <w:r>
                    <w:rPr>
                      <w:rFonts w:hint="default" w:ascii="Times New Roman" w:hAnsi="Times New Roman" w:cs="Times New Roman"/>
                      <w:color w:val="auto"/>
                      <w:highlight w:val="none"/>
                      <w:lang w:val="en-US" w:eastAsia="zh-CN"/>
                    </w:rPr>
                    <w:t>废水处理设施废渣</w:t>
                  </w:r>
                </w:p>
              </w:tc>
              <w:tc>
                <w:tcPr>
                  <w:tcW w:w="1469" w:type="pct"/>
                  <w:noWrap w:val="0"/>
                  <w:vAlign w:val="center"/>
                </w:tcPr>
                <w:p w14:paraId="3081D4E1">
                  <w:pPr>
                    <w:pStyle w:val="30"/>
                    <w:bidi w:val="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0.00426</w:t>
                  </w:r>
                </w:p>
              </w:tc>
              <w:tc>
                <w:tcPr>
                  <w:tcW w:w="1218" w:type="pct"/>
                  <w:noWrap w:val="0"/>
                  <w:vAlign w:val="center"/>
                </w:tcPr>
                <w:p w14:paraId="2752D410">
                  <w:pPr>
                    <w:pStyle w:val="3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664" w:type="pct"/>
                  <w:noWrap w:val="0"/>
                  <w:vAlign w:val="center"/>
                </w:tcPr>
                <w:p w14:paraId="169083BF">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r>
            <w:tr w14:paraId="0D390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415" w:type="pct"/>
                  <w:noWrap w:val="0"/>
                  <w:vAlign w:val="center"/>
                </w:tcPr>
                <w:p w14:paraId="318AF755">
                  <w:pPr>
                    <w:pStyle w:val="3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w:t>
                  </w:r>
                </w:p>
              </w:tc>
              <w:tc>
                <w:tcPr>
                  <w:tcW w:w="1232" w:type="pct"/>
                  <w:noWrap w:val="0"/>
                  <w:vAlign w:val="center"/>
                </w:tcPr>
                <w:p w14:paraId="1B1A5ADC">
                  <w:pPr>
                    <w:pStyle w:val="3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医疗废物</w:t>
                  </w:r>
                </w:p>
              </w:tc>
              <w:tc>
                <w:tcPr>
                  <w:tcW w:w="1469" w:type="pct"/>
                  <w:noWrap w:val="0"/>
                  <w:vAlign w:val="center"/>
                </w:tcPr>
                <w:p w14:paraId="0D84C2B9">
                  <w:pPr>
                    <w:pStyle w:val="30"/>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0.161</w:t>
                  </w:r>
                </w:p>
              </w:tc>
              <w:tc>
                <w:tcPr>
                  <w:tcW w:w="1218" w:type="pct"/>
                  <w:noWrap w:val="0"/>
                  <w:vAlign w:val="center"/>
                </w:tcPr>
                <w:p w14:paraId="64F6B556">
                  <w:pPr>
                    <w:pStyle w:val="3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664" w:type="pct"/>
                  <w:noWrap w:val="0"/>
                  <w:vAlign w:val="center"/>
                </w:tcPr>
                <w:p w14:paraId="5B74ED1E">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r>
            <w:tr w14:paraId="5B7D8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1647" w:type="pct"/>
                  <w:gridSpan w:val="2"/>
                  <w:noWrap w:val="0"/>
                  <w:vAlign w:val="center"/>
                </w:tcPr>
                <w:p w14:paraId="3478BB7E">
                  <w:pPr>
                    <w:pStyle w:val="3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合计</w:t>
                  </w:r>
                </w:p>
              </w:tc>
              <w:tc>
                <w:tcPr>
                  <w:tcW w:w="2688" w:type="pct"/>
                  <w:gridSpan w:val="2"/>
                  <w:noWrap w:val="0"/>
                  <w:vAlign w:val="center"/>
                </w:tcPr>
                <w:p w14:paraId="0BC1AD86">
                  <w:pPr>
                    <w:pStyle w:val="30"/>
                    <w:bidi w:val="0"/>
                    <w:rPr>
                      <w:rFonts w:hint="default" w:ascii="Times New Roman" w:hAnsi="Times New Roman" w:cs="Times New Roman"/>
                      <w:color w:val="auto"/>
                      <w:highlight w:val="yellow"/>
                      <w:lang w:val="en-US" w:eastAsia="zh-CN"/>
                    </w:rPr>
                  </w:pPr>
                  <w:r>
                    <w:rPr>
                      <w:rFonts w:hint="eastAsia" w:cs="Times New Roman"/>
                      <w:color w:val="auto"/>
                      <w:highlight w:val="none"/>
                      <w:lang w:val="en-US" w:eastAsia="zh-CN"/>
                    </w:rPr>
                    <w:t>/</w:t>
                  </w:r>
                </w:p>
              </w:tc>
              <w:tc>
                <w:tcPr>
                  <w:tcW w:w="664" w:type="pct"/>
                  <w:noWrap w:val="0"/>
                  <w:vAlign w:val="center"/>
                </w:tcPr>
                <w:p w14:paraId="18E52CB3">
                  <w:pPr>
                    <w:pStyle w:val="30"/>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0.000216</w:t>
                  </w:r>
                </w:p>
              </w:tc>
            </w:tr>
          </w:tbl>
          <w:p w14:paraId="13BB96C0">
            <w:pPr>
              <w:tabs>
                <w:tab w:val="left" w:pos="2760"/>
              </w:tabs>
              <w:snapToGrid w:val="0"/>
              <w:spacing w:line="460" w:lineRule="exact"/>
              <w:ind w:firstLine="480"/>
              <w:jc w:val="both"/>
              <w:rPr>
                <w:rFonts w:hint="default" w:ascii="Times New Roman" w:hAnsi="Times New Roman" w:cs="Times New Roman"/>
                <w:b w:val="0"/>
                <w:color w:val="auto"/>
                <w:sz w:val="24"/>
                <w:szCs w:val="24"/>
                <w:highlight w:val="none"/>
                <w:lang w:val="en-US" w:eastAsia="zh-CN"/>
              </w:rPr>
            </w:pPr>
            <w:r>
              <w:rPr>
                <w:rFonts w:hint="default" w:ascii="Times New Roman" w:hAnsi="Times New Roman" w:cs="Times New Roman"/>
                <w:b w:val="0"/>
                <w:color w:val="auto"/>
                <w:sz w:val="24"/>
                <w:szCs w:val="24"/>
                <w:highlight w:val="none"/>
                <w:lang w:val="en-US" w:eastAsia="zh-CN"/>
              </w:rPr>
              <w:t>以上可知，本项目Q值为</w:t>
            </w:r>
            <w:r>
              <w:rPr>
                <w:rFonts w:hint="eastAsia" w:cs="Times New Roman"/>
                <w:color w:val="auto"/>
                <w:highlight w:val="none"/>
                <w:lang w:val="en-US" w:eastAsia="zh-CN"/>
              </w:rPr>
              <w:t>0.000216</w:t>
            </w:r>
            <w:r>
              <w:rPr>
                <w:rFonts w:hint="default" w:ascii="Times New Roman" w:hAnsi="Times New Roman" w:cs="Times New Roman"/>
                <w:b w:val="0"/>
                <w:color w:val="auto"/>
                <w:sz w:val="24"/>
                <w:szCs w:val="24"/>
                <w:highlight w:val="none"/>
                <w:lang w:val="en-US" w:eastAsia="zh-CN"/>
              </w:rPr>
              <w:t>&lt;1，故可不开展专项分析</w:t>
            </w:r>
          </w:p>
          <w:p w14:paraId="42951615">
            <w:pPr>
              <w:tabs>
                <w:tab w:val="left" w:pos="2760"/>
              </w:tabs>
              <w:snapToGrid w:val="0"/>
              <w:spacing w:line="460" w:lineRule="exact"/>
              <w:ind w:firstLine="480"/>
              <w:jc w:val="both"/>
              <w:rPr>
                <w:rFonts w:hint="default" w:ascii="Times New Roman" w:hAnsi="Times New Roman" w:cs="Times New Roman"/>
                <w:b w:val="0"/>
                <w:color w:val="auto"/>
                <w:sz w:val="24"/>
                <w:szCs w:val="24"/>
                <w:highlight w:val="none"/>
                <w:lang w:val="en-US" w:eastAsia="zh-CN"/>
              </w:rPr>
            </w:pPr>
            <w:r>
              <w:rPr>
                <w:rFonts w:hint="default" w:ascii="Times New Roman" w:hAnsi="Times New Roman" w:cs="Times New Roman"/>
                <w:b w:val="0"/>
                <w:color w:val="auto"/>
                <w:sz w:val="24"/>
                <w:szCs w:val="24"/>
                <w:highlight w:val="none"/>
                <w:lang w:val="en-US" w:eastAsia="zh-CN"/>
              </w:rPr>
              <w:t>（2）评价等级确定</w:t>
            </w:r>
          </w:p>
          <w:p w14:paraId="4F547B7A">
            <w:pPr>
              <w:tabs>
                <w:tab w:val="left" w:pos="2760"/>
              </w:tabs>
              <w:snapToGrid w:val="0"/>
              <w:spacing w:line="460" w:lineRule="exact"/>
              <w:ind w:firstLine="480"/>
              <w:jc w:val="both"/>
              <w:rPr>
                <w:rFonts w:hint="default" w:ascii="Times New Roman" w:hAnsi="Times New Roman" w:cs="Times New Roman"/>
                <w:b w:val="0"/>
                <w:color w:val="auto"/>
                <w:sz w:val="24"/>
                <w:szCs w:val="24"/>
                <w:highlight w:val="none"/>
                <w:lang w:val="en-US" w:eastAsia="zh-CN"/>
              </w:rPr>
            </w:pPr>
            <w:r>
              <w:rPr>
                <w:rFonts w:hint="default" w:ascii="Times New Roman" w:hAnsi="Times New Roman" w:cs="Times New Roman"/>
                <w:b w:val="0"/>
                <w:color w:val="auto"/>
                <w:sz w:val="24"/>
                <w:szCs w:val="24"/>
                <w:highlight w:val="none"/>
                <w:lang w:val="en-US" w:eastAsia="zh-CN"/>
              </w:rPr>
              <w:t>根据《建设项目环境风险评价技术导则》（HJ169-2018）</w:t>
            </w:r>
            <w:r>
              <w:rPr>
                <w:rFonts w:hint="eastAsia" w:cs="Times New Roman"/>
                <w:b w:val="0"/>
                <w:color w:val="auto"/>
                <w:sz w:val="24"/>
                <w:szCs w:val="24"/>
                <w:highlight w:val="none"/>
                <w:lang w:val="en-US" w:eastAsia="zh-CN"/>
              </w:rPr>
              <w:t>“</w:t>
            </w:r>
            <w:r>
              <w:rPr>
                <w:rFonts w:hint="default" w:ascii="Times New Roman" w:hAnsi="Times New Roman" w:cs="Times New Roman"/>
                <w:b w:val="0"/>
                <w:color w:val="auto"/>
                <w:sz w:val="24"/>
                <w:szCs w:val="24"/>
                <w:highlight w:val="none"/>
                <w:lang w:val="en-US" w:eastAsia="zh-CN"/>
              </w:rPr>
              <w:t>风险潜势为I，可开展简单分析。</w:t>
            </w:r>
            <w:r>
              <w:rPr>
                <w:rFonts w:hint="eastAsia" w:cs="Times New Roman"/>
                <w:b w:val="0"/>
                <w:color w:val="auto"/>
                <w:sz w:val="24"/>
                <w:szCs w:val="24"/>
                <w:highlight w:val="none"/>
                <w:lang w:val="en-US" w:eastAsia="zh-CN"/>
              </w:rPr>
              <w:t>”</w:t>
            </w:r>
            <w:r>
              <w:rPr>
                <w:rFonts w:hint="default" w:ascii="Times New Roman" w:hAnsi="Times New Roman" w:cs="Times New Roman"/>
                <w:b w:val="0"/>
                <w:color w:val="auto"/>
                <w:sz w:val="24"/>
                <w:szCs w:val="24"/>
                <w:highlight w:val="none"/>
                <w:lang w:val="en-US" w:eastAsia="zh-CN"/>
              </w:rPr>
              <w:t>本项目风险潜势为I，因此项目风险评价等级为开展简单分析。</w:t>
            </w:r>
          </w:p>
          <w:p w14:paraId="5ADAB911">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w:t>
            </w:r>
            <w:r>
              <w:rPr>
                <w:rFonts w:hint="eastAsia" w:cs="Times New Roman"/>
                <w:color w:val="auto"/>
                <w:highlight w:val="none"/>
                <w:lang w:val="en-US" w:eastAsia="zh-CN"/>
              </w:rPr>
              <w:t>10.</w:t>
            </w:r>
            <w:r>
              <w:rPr>
                <w:rFonts w:hint="default" w:ascii="Times New Roman" w:hAnsi="Times New Roman" w:cs="Times New Roman"/>
                <w:color w:val="auto"/>
                <w:highlight w:val="none"/>
                <w:lang w:val="en-US" w:eastAsia="zh-CN"/>
              </w:rPr>
              <w:t>3环境</w:t>
            </w:r>
            <w:r>
              <w:rPr>
                <w:rFonts w:hint="default" w:ascii="Times New Roman" w:hAnsi="Times New Roman" w:cs="Times New Roman"/>
                <w:color w:val="auto"/>
                <w:highlight w:val="none"/>
                <w:lang w:eastAsia="zh-CN"/>
              </w:rPr>
              <w:t>风险</w:t>
            </w:r>
            <w:r>
              <w:rPr>
                <w:rFonts w:hint="default" w:ascii="Times New Roman" w:hAnsi="Times New Roman" w:cs="Times New Roman"/>
                <w:color w:val="auto"/>
                <w:highlight w:val="none"/>
                <w:lang w:val="en-US" w:eastAsia="zh-CN"/>
              </w:rPr>
              <w:t>识别</w:t>
            </w:r>
          </w:p>
          <w:p w14:paraId="2B4C0169">
            <w:pPr>
              <w:pStyle w:val="31"/>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①污水处理设施出现故障时，泄漏的医疗废水对外环境地下水、土壤的污染。</w:t>
            </w:r>
          </w:p>
          <w:p w14:paraId="08B6CCFB">
            <w:pPr>
              <w:pStyle w:val="31"/>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②医院涉及的动物可能发生的狂犬病等对周边人群的风险影响。</w:t>
            </w:r>
          </w:p>
          <w:p w14:paraId="6FB00860">
            <w:pPr>
              <w:pStyle w:val="31"/>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③各类医用化学品存储、使用过程中的环境风险。</w:t>
            </w:r>
          </w:p>
          <w:p w14:paraId="570D424B">
            <w:pPr>
              <w:pStyle w:val="31"/>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④医疗废物泄漏风险。</w:t>
            </w:r>
          </w:p>
          <w:p w14:paraId="14F703D3">
            <w:pPr>
              <w:pStyle w:val="4"/>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val="en-US" w:eastAsia="zh-CN"/>
              </w:rPr>
              <w:t>4.</w:t>
            </w:r>
            <w:r>
              <w:rPr>
                <w:rFonts w:hint="eastAsia" w:cs="Times New Roman"/>
                <w:color w:val="auto"/>
                <w:highlight w:val="none"/>
                <w:lang w:val="en-US" w:eastAsia="zh-CN"/>
              </w:rPr>
              <w:t>10</w:t>
            </w:r>
            <w:r>
              <w:rPr>
                <w:rFonts w:hint="default" w:ascii="Times New Roman" w:hAnsi="Times New Roman" w:cs="Times New Roman"/>
                <w:color w:val="auto"/>
                <w:highlight w:val="none"/>
                <w:lang w:val="en-US" w:eastAsia="zh-CN"/>
              </w:rPr>
              <w:t>.4</w:t>
            </w:r>
            <w:r>
              <w:rPr>
                <w:rFonts w:hint="default" w:ascii="Times New Roman" w:hAnsi="Times New Roman" w:cs="Times New Roman"/>
                <w:color w:val="auto"/>
                <w:highlight w:val="none"/>
                <w:lang w:eastAsia="zh-CN"/>
              </w:rPr>
              <w:t>环境风险防范措施</w:t>
            </w:r>
          </w:p>
          <w:p w14:paraId="17EFA05F">
            <w:pPr>
              <w:pStyle w:val="31"/>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1</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污水处理设施的风险防范措施</w:t>
            </w:r>
          </w:p>
          <w:p w14:paraId="461B553D">
            <w:pPr>
              <w:pStyle w:val="31"/>
              <w:bidi w:val="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lang w:val="en-US" w:eastAsia="zh-CN"/>
              </w:rPr>
              <w:t>①</w:t>
            </w:r>
            <w:r>
              <w:rPr>
                <w:rFonts w:hint="default" w:ascii="Times New Roman" w:hAnsi="Times New Roman" w:cs="Times New Roman"/>
                <w:color w:val="auto"/>
                <w:highlight w:val="none"/>
              </w:rPr>
              <w:t>建设单位必须防止污水事故性外排。安排专人定期对一体化医疗废水处理设施进行维修，确保其正常运行，严防污水事故性排放。一旦一体化医疗废水处理设施出现故障时，立即通知科室停止用水，减少废水产生量，同时切断一体化污水处理设备的出口阀门，未处理废水由空桶（容积为0.</w:t>
            </w:r>
            <w:r>
              <w:rPr>
                <w:rFonts w:hint="eastAsia" w:cs="Times New Roman"/>
                <w:color w:val="auto"/>
                <w:highlight w:val="none"/>
                <w:lang w:val="en-US" w:eastAsia="zh-CN"/>
              </w:rPr>
              <w:t>2</w:t>
            </w:r>
            <w:r>
              <w:rPr>
                <w:rFonts w:hint="default" w:ascii="Times New Roman" w:hAnsi="Times New Roman" w:cs="Times New Roman"/>
                <w:color w:val="auto"/>
                <w:highlight w:val="none"/>
                <w:lang w:val="en-US" w:eastAsia="zh-CN"/>
              </w:rPr>
              <w:t>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rPr>
              <w:t>）收集后待设备恢复正常运行再由一体化医疗废水处理设施进行处理，防止医疗废水未经消毒处理直接排入市政污水管网。</w:t>
            </w:r>
          </w:p>
          <w:p w14:paraId="425CA7C7">
            <w:pPr>
              <w:pStyle w:val="31"/>
              <w:bidi w:val="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lang w:val="en-US" w:eastAsia="zh-CN"/>
              </w:rPr>
              <w:t>②</w:t>
            </w:r>
            <w:r>
              <w:rPr>
                <w:rFonts w:hint="default" w:ascii="Times New Roman" w:hAnsi="Times New Roman" w:cs="Times New Roman"/>
                <w:color w:val="auto"/>
                <w:highlight w:val="none"/>
              </w:rPr>
              <w:t>要求加强项目污水处理设施的日常管理工作，定期检查污水处理设施内的药剂。</w:t>
            </w:r>
          </w:p>
          <w:p w14:paraId="40C88C9D">
            <w:pPr>
              <w:pStyle w:val="31"/>
              <w:bidi w:val="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传染病、疫情等卫生风险防范措施</w:t>
            </w:r>
          </w:p>
          <w:p w14:paraId="189D1C89">
            <w:pPr>
              <w:pStyle w:val="31"/>
              <w:keepNext w:val="0"/>
              <w:keepLines w:val="0"/>
              <w:pageBreakBefore w:val="0"/>
              <w:widowControl/>
              <w:kinsoku/>
              <w:wordWrap/>
              <w:overflowPunct/>
              <w:topLinePunct w:val="0"/>
              <w:autoSpaceDE w:val="0"/>
              <w:autoSpaceDN w:val="0"/>
              <w:bidi w:val="0"/>
              <w:adjustRightInd/>
              <w:snapToGrid/>
              <w:textAlignment w:val="baseline"/>
              <w:rPr>
                <w:rFonts w:hint="default" w:ascii="Times New Roman" w:hAnsi="Times New Roman" w:cs="Times New Roman"/>
                <w:color w:val="auto"/>
                <w:highlight w:val="none"/>
              </w:rPr>
            </w:pPr>
            <w:r>
              <w:rPr>
                <w:rFonts w:hint="default" w:ascii="Times New Roman" w:hAnsi="Times New Roman" w:cs="Times New Roman"/>
                <w:color w:val="auto"/>
                <w:highlight w:val="none"/>
              </w:rPr>
              <w:t>做好医院内部消毒、杀虫、灭鼠工作；对于患病宠物和可疑患病宠物应加强管理。院内要进行房舍隔离，严密消毒（用具、饲料、粪便等）。严格遵守《</w:t>
            </w:r>
            <w:r>
              <w:rPr>
                <w:rFonts w:hint="default" w:ascii="Times New Roman" w:hAnsi="Times New Roman" w:cs="Times New Roman"/>
                <w:color w:val="auto"/>
                <w:highlight w:val="none"/>
                <w:lang w:eastAsia="zh-CN"/>
              </w:rPr>
              <w:t>中华人民共和国动物防疫法》《</w:t>
            </w:r>
            <w:r>
              <w:rPr>
                <w:rFonts w:hint="default" w:ascii="Times New Roman" w:hAnsi="Times New Roman" w:cs="Times New Roman"/>
                <w:color w:val="auto"/>
                <w:highlight w:val="none"/>
              </w:rPr>
              <w:t>重大动物疫情应急条例</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动物疫情报告管理办法》等法律法规，一旦发现宠物传染病或疑似宠物疫情的，及时按照规定程序上报，不得接收患传染病或疫情的宠物。注意房间通风换气，每晚进行紫外线灯照射消毒。同时采取应急措施控制疫情蔓延。</w:t>
            </w:r>
          </w:p>
          <w:p w14:paraId="30309576">
            <w:pPr>
              <w:pStyle w:val="31"/>
              <w:bidi w:val="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3</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医疗废物处置风险防范措施</w:t>
            </w:r>
          </w:p>
          <w:p w14:paraId="01BA485B">
            <w:pPr>
              <w:pStyle w:val="31"/>
              <w:bidi w:val="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lang w:val="en-US" w:eastAsia="zh-CN"/>
              </w:rPr>
              <w:t>医疗废物贮存间</w:t>
            </w:r>
            <w:r>
              <w:rPr>
                <w:rFonts w:hint="default" w:ascii="Times New Roman" w:hAnsi="Times New Roman" w:cs="Times New Roman"/>
                <w:color w:val="auto"/>
                <w:highlight w:val="none"/>
              </w:rPr>
              <w:t>日常为锁闭状态，由专人进行管理，避免非工作人员进出，以及防鼠、防蚊蝇、防蟑螂、防盗以及预防儿童接触等安全措施；</w:t>
            </w:r>
            <w:r>
              <w:rPr>
                <w:rFonts w:hint="default" w:ascii="Times New Roman" w:hAnsi="Times New Roman" w:cs="Times New Roman"/>
                <w:color w:val="auto"/>
                <w:highlight w:val="none"/>
                <w:lang w:val="en-US" w:eastAsia="zh-CN"/>
              </w:rPr>
              <w:t>医疗废物贮存间</w:t>
            </w:r>
            <w:r>
              <w:rPr>
                <w:rFonts w:hint="default" w:ascii="Times New Roman" w:hAnsi="Times New Roman" w:cs="Times New Roman"/>
                <w:color w:val="auto"/>
                <w:highlight w:val="none"/>
              </w:rPr>
              <w:t>地面与裙脚要用坚固、防渗的材料建造，建筑材料必须与危险废物相容；必须有耐腐蚀的硬化地面，且表面无裂隙；不相容的危险废物必须分开存放，并设有隔离</w:t>
            </w:r>
            <w:r>
              <w:rPr>
                <w:rFonts w:hint="eastAsia" w:cs="Times New Roman"/>
                <w:color w:val="auto"/>
                <w:highlight w:val="none"/>
                <w:lang w:eastAsia="zh-CN"/>
              </w:rPr>
              <w:t>间隔</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医疗废物贮存间</w:t>
            </w:r>
            <w:r>
              <w:rPr>
                <w:rFonts w:hint="default" w:ascii="Times New Roman" w:hAnsi="Times New Roman" w:cs="Times New Roman"/>
                <w:color w:val="auto"/>
                <w:highlight w:val="none"/>
              </w:rPr>
              <w:t>门口应张贴医疗废物标识、标牌，医疗废物暂存于专用的容器内，在医废桶下方，设置防渗托盘。对医疗废物</w:t>
            </w:r>
            <w:r>
              <w:rPr>
                <w:rFonts w:hint="default" w:ascii="Times New Roman" w:hAnsi="Times New Roman" w:cs="Times New Roman"/>
                <w:color w:val="auto"/>
                <w:highlight w:val="none"/>
                <w:lang w:val="en-US" w:eastAsia="zh-CN"/>
              </w:rPr>
              <w:t>及其他危险废物</w:t>
            </w:r>
            <w:r>
              <w:rPr>
                <w:rFonts w:hint="default" w:ascii="Times New Roman" w:hAnsi="Times New Roman" w:cs="Times New Roman"/>
                <w:color w:val="auto"/>
                <w:highlight w:val="none"/>
              </w:rPr>
              <w:t>的产生、储存做好台账管理，定期委托有资质的</w:t>
            </w:r>
            <w:r>
              <w:rPr>
                <w:rFonts w:hint="default" w:ascii="Times New Roman" w:hAnsi="Times New Roman" w:cs="Times New Roman"/>
                <w:color w:val="auto"/>
                <w:highlight w:val="none"/>
                <w:lang w:val="en-US" w:eastAsia="zh-CN"/>
              </w:rPr>
              <w:t>危险</w:t>
            </w:r>
            <w:r>
              <w:rPr>
                <w:rFonts w:hint="default" w:ascii="Times New Roman" w:hAnsi="Times New Roman" w:cs="Times New Roman"/>
                <w:color w:val="auto"/>
                <w:highlight w:val="none"/>
              </w:rPr>
              <w:t>废物集中处置单位。</w:t>
            </w:r>
          </w:p>
          <w:p w14:paraId="6E4DA3CE">
            <w:pPr>
              <w:pStyle w:val="31"/>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医疗废物转运过程中由于盛装容器破损、车辆密封不严或者由于交通事故造成的渗漏和遗洒，可能造成传染性病菌的传播和蔓延。出现这些情况，应立即向卫生、公安等有关部门报告，封锁现场，并采取严密的清理和消毒措施。此外，应加强对转运过程中的操作人员和司乘人员加强防护知识和安全教育，配备必要的防护工具，如防护服和消毒剂等。加强和完善危险废物的收集、暂存、交接等环节的管理，对危险废物的处理应</w:t>
            </w:r>
            <w:r>
              <w:rPr>
                <w:rFonts w:hint="eastAsia" w:cs="Times New Roman"/>
                <w:color w:val="auto"/>
                <w:highlight w:val="none"/>
                <w:lang w:eastAsia="zh-CN"/>
              </w:rPr>
              <w:t>设立</w:t>
            </w:r>
            <w:r>
              <w:rPr>
                <w:rFonts w:hint="default" w:ascii="Times New Roman" w:hAnsi="Times New Roman" w:cs="Times New Roman"/>
                <w:color w:val="auto"/>
                <w:highlight w:val="none"/>
              </w:rPr>
              <w:t>专人责任负责制，负责人在接管前应全面学习有关危险废物处理的有关法规和操作方法。做好危险废物有关资料的记录。</w:t>
            </w:r>
          </w:p>
          <w:p w14:paraId="2FB8D6B3">
            <w:pPr>
              <w:pStyle w:val="31"/>
              <w:bidi w:val="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4</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化学品管理</w:t>
            </w:r>
          </w:p>
          <w:p w14:paraId="248CF520">
            <w:pPr>
              <w:pStyle w:val="31"/>
              <w:bidi w:val="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对于化学品的购买、储存、保管、使用等需要按照《危险化学品安全管理条例》的规定管理，化学品出入库，必须进行核查登记，并定期监测库存。做好化学品的存储及使用的安全防范措施，具体如下：</w:t>
            </w:r>
            <w:r>
              <w:rPr>
                <w:rFonts w:hint="default" w:ascii="Times New Roman" w:hAnsi="Times New Roman" w:cs="Times New Roman"/>
                <w:color w:val="auto"/>
                <w:highlight w:val="none"/>
                <w:lang w:val="en-US" w:eastAsia="zh-CN"/>
              </w:rPr>
              <w:t>①</w:t>
            </w:r>
            <w:r>
              <w:rPr>
                <w:rFonts w:hint="default" w:ascii="Times New Roman" w:hAnsi="Times New Roman" w:cs="Times New Roman"/>
                <w:color w:val="auto"/>
                <w:highlight w:val="none"/>
              </w:rPr>
              <w:t>化学品必须储存在专用储存柜内，其储存方式、方法与储存量必须符合国家标准，并由专人管理。</w:t>
            </w:r>
            <w:r>
              <w:rPr>
                <w:rFonts w:hint="default" w:ascii="Times New Roman" w:hAnsi="Times New Roman" w:cs="Times New Roman"/>
                <w:color w:val="auto"/>
                <w:highlight w:val="none"/>
                <w:lang w:val="en-US" w:eastAsia="zh-CN"/>
              </w:rPr>
              <w:t>②</w:t>
            </w:r>
            <w:r>
              <w:rPr>
                <w:rFonts w:hint="default" w:ascii="Times New Roman" w:hAnsi="Times New Roman" w:cs="Times New Roman"/>
                <w:color w:val="auto"/>
                <w:highlight w:val="none"/>
              </w:rPr>
              <w:t>化学品设有专用存储柜，应当符合国家标准对安全、消防的要求，设置明显标志。</w:t>
            </w:r>
          </w:p>
          <w:p w14:paraId="71DFB7D7">
            <w:pPr>
              <w:pStyle w:val="31"/>
              <w:bidi w:val="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5</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火灾风险防范措施</w:t>
            </w:r>
          </w:p>
          <w:p w14:paraId="69462136">
            <w:pPr>
              <w:pStyle w:val="31"/>
              <w:bidi w:val="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lang w:val="en-US" w:eastAsia="zh-CN"/>
              </w:rPr>
              <w:t>①</w:t>
            </w:r>
            <w:r>
              <w:rPr>
                <w:rFonts w:hint="default" w:ascii="Times New Roman" w:hAnsi="Times New Roman" w:cs="Times New Roman"/>
                <w:color w:val="auto"/>
                <w:highlight w:val="none"/>
              </w:rPr>
              <w:t>集中现有的灭火器材和人员积极扑救尽量消灭火势或控制火势。</w:t>
            </w:r>
          </w:p>
          <w:p w14:paraId="6F4D2EC1">
            <w:pPr>
              <w:pStyle w:val="31"/>
              <w:bidi w:val="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lang w:val="en-US" w:eastAsia="zh-CN"/>
              </w:rPr>
              <w:t>②</w:t>
            </w:r>
            <w:r>
              <w:rPr>
                <w:rFonts w:hint="default" w:ascii="Times New Roman" w:hAnsi="Times New Roman" w:cs="Times New Roman"/>
                <w:color w:val="auto"/>
                <w:highlight w:val="none"/>
              </w:rPr>
              <w:t>在保证人员安全撤离的情况下，尽量撤出易燃易爆物。</w:t>
            </w:r>
          </w:p>
          <w:p w14:paraId="162EBF81">
            <w:pPr>
              <w:pStyle w:val="31"/>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val="en-US" w:eastAsia="zh-CN"/>
              </w:rPr>
              <w:t>③</w:t>
            </w:r>
            <w:r>
              <w:rPr>
                <w:rFonts w:hint="default" w:ascii="Times New Roman" w:hAnsi="Times New Roman" w:cs="Times New Roman"/>
                <w:color w:val="auto"/>
                <w:highlight w:val="none"/>
              </w:rPr>
              <w:t>火灾后需及时通风，在烟雾能够</w:t>
            </w:r>
            <w:r>
              <w:rPr>
                <w:rFonts w:hint="default" w:ascii="Times New Roman" w:hAnsi="Times New Roman" w:cs="Times New Roman"/>
                <w:color w:val="auto"/>
                <w:highlight w:val="none"/>
                <w:lang w:eastAsia="zh-CN"/>
              </w:rPr>
              <w:t>弥散</w:t>
            </w:r>
            <w:r>
              <w:rPr>
                <w:rFonts w:hint="default" w:ascii="Times New Roman" w:hAnsi="Times New Roman" w:cs="Times New Roman"/>
                <w:color w:val="auto"/>
                <w:highlight w:val="none"/>
              </w:rPr>
              <w:t>的区域进行有害气体及异味的彻底分解处理。</w:t>
            </w:r>
          </w:p>
          <w:p w14:paraId="63323DDE">
            <w:pPr>
              <w:pStyle w:val="4"/>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val="en-US" w:eastAsia="zh-CN"/>
              </w:rPr>
              <w:t>4.</w:t>
            </w:r>
            <w:r>
              <w:rPr>
                <w:rFonts w:hint="eastAsia" w:cs="Times New Roman"/>
                <w:color w:val="auto"/>
                <w:highlight w:val="none"/>
                <w:lang w:val="en-US" w:eastAsia="zh-CN"/>
              </w:rPr>
              <w:t>10</w:t>
            </w:r>
            <w:r>
              <w:rPr>
                <w:rFonts w:hint="default" w:ascii="Times New Roman" w:hAnsi="Times New Roman" w:cs="Times New Roman"/>
                <w:color w:val="auto"/>
                <w:highlight w:val="none"/>
                <w:lang w:val="en-US" w:eastAsia="zh-CN"/>
              </w:rPr>
              <w:t>.5</w:t>
            </w:r>
            <w:r>
              <w:rPr>
                <w:rFonts w:hint="default" w:ascii="Times New Roman" w:hAnsi="Times New Roman" w:cs="Times New Roman"/>
                <w:color w:val="auto"/>
                <w:highlight w:val="none"/>
                <w:lang w:eastAsia="zh-CN"/>
              </w:rPr>
              <w:t>环境风险评价结论</w:t>
            </w:r>
          </w:p>
          <w:p w14:paraId="4F00217C">
            <w:pPr>
              <w:pStyle w:val="31"/>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val="en-US" w:eastAsia="zh-CN"/>
              </w:rPr>
              <w:t>本项目</w:t>
            </w:r>
            <w:r>
              <w:rPr>
                <w:rFonts w:hint="default" w:ascii="Times New Roman" w:hAnsi="Times New Roman" w:cs="Times New Roman"/>
                <w:color w:val="auto"/>
                <w:highlight w:val="none"/>
                <w:lang w:eastAsia="zh-CN"/>
              </w:rPr>
              <w:t>在采取并严格落实建设相应风险防范措施的前提下，项目风险事故发生的概率较小，风险水平控制在可接受程度内。</w:t>
            </w:r>
          </w:p>
          <w:p w14:paraId="3BAC5A38">
            <w:pPr>
              <w:pStyle w:val="31"/>
              <w:bidi w:val="0"/>
              <w:ind w:left="0" w:leftChars="0" w:firstLine="0" w:firstLineChars="0"/>
              <w:rPr>
                <w:rFonts w:hint="eastAsia" w:ascii="Times New Roman" w:hAnsi="Times New Roman" w:eastAsia="宋体" w:cs="Times New Roman"/>
                <w:b/>
                <w:bCs w:val="0"/>
                <w:snapToGrid w:val="0"/>
                <w:color w:val="auto"/>
                <w:spacing w:val="0"/>
                <w:kern w:val="0"/>
                <w:sz w:val="28"/>
                <w:szCs w:val="21"/>
                <w:highlight w:val="none"/>
                <w:lang w:val="en-US" w:eastAsia="zh-CN"/>
              </w:rPr>
            </w:pPr>
            <w:r>
              <w:rPr>
                <w:rFonts w:hint="eastAsia" w:ascii="Times New Roman" w:hAnsi="Times New Roman" w:eastAsia="宋体" w:cs="Times New Roman"/>
                <w:b/>
                <w:bCs w:val="0"/>
                <w:snapToGrid w:val="0"/>
                <w:color w:val="auto"/>
                <w:spacing w:val="0"/>
                <w:kern w:val="0"/>
                <w:sz w:val="28"/>
                <w:szCs w:val="21"/>
                <w:highlight w:val="none"/>
                <w:lang w:val="en-US" w:eastAsia="zh-CN"/>
              </w:rPr>
              <w:t>4.11、生态环境</w:t>
            </w:r>
          </w:p>
          <w:p w14:paraId="2F353969">
            <w:pPr>
              <w:pStyle w:val="31"/>
              <w:bidi w:val="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项目用地范围内不涉及生态环境保护目标。因此本项目不会对周边生态环境产生影响。</w:t>
            </w:r>
          </w:p>
          <w:p w14:paraId="5A244B9B">
            <w:pPr>
              <w:pStyle w:val="31"/>
              <w:bidi w:val="0"/>
              <w:ind w:left="0" w:leftChars="0" w:firstLine="0" w:firstLineChars="0"/>
              <w:rPr>
                <w:rFonts w:hint="default" w:ascii="Times New Roman" w:hAnsi="Times New Roman" w:eastAsia="宋体" w:cs="Times New Roman"/>
                <w:b/>
                <w:bCs w:val="0"/>
                <w:snapToGrid w:val="0"/>
                <w:color w:val="auto"/>
                <w:spacing w:val="0"/>
                <w:kern w:val="0"/>
                <w:sz w:val="28"/>
                <w:szCs w:val="21"/>
                <w:highlight w:val="none"/>
                <w:lang w:val="en-US" w:eastAsia="zh-CN"/>
              </w:rPr>
            </w:pPr>
            <w:r>
              <w:rPr>
                <w:rFonts w:hint="default" w:ascii="Times New Roman" w:hAnsi="Times New Roman" w:eastAsia="宋体" w:cs="Times New Roman"/>
                <w:b/>
                <w:bCs w:val="0"/>
                <w:snapToGrid w:val="0"/>
                <w:color w:val="auto"/>
                <w:spacing w:val="0"/>
                <w:kern w:val="0"/>
                <w:sz w:val="28"/>
                <w:szCs w:val="21"/>
                <w:highlight w:val="none"/>
                <w:lang w:val="en-US" w:eastAsia="zh-CN"/>
              </w:rPr>
              <w:t>4.</w:t>
            </w:r>
            <w:r>
              <w:rPr>
                <w:rFonts w:hint="eastAsia" w:ascii="Times New Roman" w:hAnsi="Times New Roman" w:eastAsia="宋体" w:cs="Times New Roman"/>
                <w:b/>
                <w:bCs w:val="0"/>
                <w:snapToGrid w:val="0"/>
                <w:color w:val="auto"/>
                <w:spacing w:val="0"/>
                <w:kern w:val="0"/>
                <w:sz w:val="28"/>
                <w:szCs w:val="21"/>
                <w:highlight w:val="none"/>
                <w:lang w:val="en-US" w:eastAsia="zh-CN"/>
              </w:rPr>
              <w:t>12</w:t>
            </w:r>
            <w:r>
              <w:rPr>
                <w:rFonts w:hint="default" w:ascii="Times New Roman" w:hAnsi="Times New Roman" w:eastAsia="宋体" w:cs="Times New Roman"/>
                <w:b/>
                <w:bCs w:val="0"/>
                <w:snapToGrid w:val="0"/>
                <w:color w:val="auto"/>
                <w:spacing w:val="0"/>
                <w:kern w:val="0"/>
                <w:sz w:val="28"/>
                <w:szCs w:val="21"/>
                <w:highlight w:val="none"/>
                <w:lang w:val="en-US" w:eastAsia="zh-CN"/>
              </w:rPr>
              <w:t>、环境保护投资</w:t>
            </w:r>
          </w:p>
          <w:p w14:paraId="48C00045">
            <w:pPr>
              <w:pStyle w:val="31"/>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本项目总投资</w:t>
            </w:r>
            <w:r>
              <w:rPr>
                <w:rFonts w:hint="eastAsia" w:cs="Times New Roman"/>
                <w:color w:val="auto"/>
                <w:highlight w:val="none"/>
                <w:lang w:val="en-US" w:eastAsia="zh-CN"/>
              </w:rPr>
              <w:t>15</w:t>
            </w:r>
            <w:r>
              <w:rPr>
                <w:rFonts w:hint="default" w:ascii="Times New Roman" w:hAnsi="Times New Roman" w:cs="Times New Roman"/>
                <w:color w:val="auto"/>
                <w:highlight w:val="none"/>
                <w:lang w:eastAsia="zh-CN"/>
              </w:rPr>
              <w:t>万元，其中</w:t>
            </w:r>
            <w:r>
              <w:rPr>
                <w:rFonts w:hint="eastAsia" w:cs="Times New Roman"/>
                <w:color w:val="auto"/>
                <w:highlight w:val="none"/>
                <w:lang w:val="en-US" w:eastAsia="zh-CN"/>
              </w:rPr>
              <w:t>环保</w:t>
            </w:r>
            <w:r>
              <w:rPr>
                <w:rFonts w:hint="default" w:ascii="Times New Roman" w:hAnsi="Times New Roman" w:cs="Times New Roman"/>
                <w:color w:val="auto"/>
                <w:highlight w:val="none"/>
                <w:lang w:eastAsia="zh-CN"/>
              </w:rPr>
              <w:t>投资约</w:t>
            </w:r>
            <w:r>
              <w:rPr>
                <w:rFonts w:hint="eastAsia" w:cs="Times New Roman"/>
                <w:color w:val="auto"/>
                <w:highlight w:val="none"/>
                <w:lang w:val="en-US" w:eastAsia="zh-CN"/>
              </w:rPr>
              <w:t>5</w:t>
            </w:r>
            <w:r>
              <w:rPr>
                <w:rFonts w:hint="default" w:ascii="Times New Roman" w:hAnsi="Times New Roman" w:cs="Times New Roman"/>
                <w:color w:val="auto"/>
                <w:highlight w:val="none"/>
                <w:lang w:eastAsia="zh-CN"/>
              </w:rPr>
              <w:t>万元，占项目总投资额的</w:t>
            </w:r>
            <w:r>
              <w:rPr>
                <w:rFonts w:hint="eastAsia" w:cs="Times New Roman"/>
                <w:color w:val="auto"/>
                <w:highlight w:val="none"/>
                <w:lang w:val="en-US" w:eastAsia="zh-CN"/>
              </w:rPr>
              <w:t>33.3</w:t>
            </w:r>
            <w:r>
              <w:rPr>
                <w:rFonts w:hint="default" w:ascii="Times New Roman" w:hAnsi="Times New Roman" w:cs="Times New Roman"/>
                <w:color w:val="auto"/>
                <w:highlight w:val="none"/>
                <w:lang w:eastAsia="zh-CN"/>
              </w:rPr>
              <w:t>%，主要环保设施及投资见表4-</w:t>
            </w:r>
            <w:r>
              <w:rPr>
                <w:rFonts w:hint="default" w:ascii="Times New Roman" w:hAnsi="Times New Roman" w:cs="Times New Roman"/>
                <w:color w:val="auto"/>
                <w:highlight w:val="none"/>
                <w:lang w:val="en-US" w:eastAsia="zh-CN"/>
              </w:rPr>
              <w:t>1</w:t>
            </w:r>
            <w:r>
              <w:rPr>
                <w:rFonts w:hint="eastAsia" w:cs="Times New Roman"/>
                <w:color w:val="auto"/>
                <w:highlight w:val="none"/>
                <w:lang w:val="en-US" w:eastAsia="zh-CN"/>
              </w:rPr>
              <w:t>7</w:t>
            </w:r>
            <w:r>
              <w:rPr>
                <w:rFonts w:hint="default" w:ascii="Times New Roman" w:hAnsi="Times New Roman" w:cs="Times New Roman"/>
                <w:color w:val="auto"/>
                <w:highlight w:val="none"/>
                <w:lang w:eastAsia="zh-CN"/>
              </w:rPr>
              <w:t>。</w:t>
            </w:r>
          </w:p>
          <w:p w14:paraId="1CE2BCC7">
            <w:pPr>
              <w:pStyle w:val="29"/>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表4-</w:t>
            </w:r>
            <w:r>
              <w:rPr>
                <w:rFonts w:hint="default" w:ascii="Times New Roman" w:hAnsi="Times New Roman" w:cs="Times New Roman"/>
                <w:color w:val="auto"/>
                <w:highlight w:val="none"/>
                <w:lang w:val="en-US" w:eastAsia="zh-CN"/>
              </w:rPr>
              <w:t>1</w:t>
            </w:r>
            <w:r>
              <w:rPr>
                <w:rFonts w:hint="eastAsia" w:cs="Times New Roman"/>
                <w:color w:val="auto"/>
                <w:highlight w:val="none"/>
                <w:lang w:val="en-US" w:eastAsia="zh-CN"/>
              </w:rPr>
              <w:t>7</w:t>
            </w:r>
            <w:r>
              <w:rPr>
                <w:rFonts w:hint="default" w:ascii="Times New Roman" w:hAnsi="Times New Roman" w:cs="Times New Roman"/>
                <w:color w:val="auto"/>
                <w:highlight w:val="none"/>
                <w:lang w:eastAsia="zh-CN"/>
              </w:rPr>
              <w:t xml:space="preserve">   环保设施投资</w:t>
            </w:r>
          </w:p>
          <w:tbl>
            <w:tblPr>
              <w:tblStyle w:val="18"/>
              <w:tblW w:w="82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4"/>
              <w:gridCol w:w="1283"/>
              <w:gridCol w:w="1563"/>
              <w:gridCol w:w="3838"/>
              <w:gridCol w:w="952"/>
            </w:tblGrid>
            <w:tr w14:paraId="51701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584" w:type="dxa"/>
                  <w:noWrap w:val="0"/>
                  <w:vAlign w:val="center"/>
                </w:tcPr>
                <w:p w14:paraId="04AC6D62">
                  <w:pPr>
                    <w:pStyle w:val="30"/>
                    <w:bidi w:val="0"/>
                    <w:rPr>
                      <w:rFonts w:hint="default" w:ascii="Times New Roman" w:hAnsi="Times New Roman" w:cs="Times New Roman"/>
                      <w:b/>
                      <w:bCs w:val="0"/>
                      <w:color w:val="auto"/>
                      <w:highlight w:val="none"/>
                      <w:lang w:eastAsia="zh-CN"/>
                    </w:rPr>
                  </w:pPr>
                  <w:r>
                    <w:rPr>
                      <w:rFonts w:hint="default" w:ascii="Times New Roman" w:hAnsi="Times New Roman" w:cs="Times New Roman"/>
                      <w:b/>
                      <w:bCs w:val="0"/>
                      <w:color w:val="auto"/>
                      <w:highlight w:val="none"/>
                      <w:lang w:eastAsia="zh-CN"/>
                    </w:rPr>
                    <w:t>序号</w:t>
                  </w:r>
                </w:p>
              </w:tc>
              <w:tc>
                <w:tcPr>
                  <w:tcW w:w="1283" w:type="dxa"/>
                  <w:noWrap w:val="0"/>
                  <w:vAlign w:val="center"/>
                </w:tcPr>
                <w:p w14:paraId="50D30878">
                  <w:pPr>
                    <w:pStyle w:val="30"/>
                    <w:bidi w:val="0"/>
                    <w:rPr>
                      <w:rFonts w:hint="default" w:ascii="Times New Roman" w:hAnsi="Times New Roman" w:cs="Times New Roman"/>
                      <w:b/>
                      <w:bCs w:val="0"/>
                      <w:color w:val="auto"/>
                      <w:highlight w:val="none"/>
                      <w:lang w:eastAsia="zh-CN"/>
                    </w:rPr>
                  </w:pPr>
                  <w:r>
                    <w:rPr>
                      <w:rFonts w:hint="default" w:ascii="Times New Roman" w:hAnsi="Times New Roman" w:cs="Times New Roman"/>
                      <w:b/>
                      <w:bCs w:val="0"/>
                      <w:color w:val="auto"/>
                      <w:highlight w:val="none"/>
                      <w:lang w:eastAsia="zh-CN"/>
                    </w:rPr>
                    <w:t>类别</w:t>
                  </w:r>
                </w:p>
              </w:tc>
              <w:tc>
                <w:tcPr>
                  <w:tcW w:w="5401" w:type="dxa"/>
                  <w:gridSpan w:val="2"/>
                  <w:noWrap w:val="0"/>
                  <w:vAlign w:val="center"/>
                </w:tcPr>
                <w:p w14:paraId="235C283D">
                  <w:pPr>
                    <w:pStyle w:val="30"/>
                    <w:bidi w:val="0"/>
                    <w:rPr>
                      <w:rFonts w:hint="default" w:ascii="Times New Roman" w:hAnsi="Times New Roman" w:cs="Times New Roman"/>
                      <w:b/>
                      <w:bCs w:val="0"/>
                      <w:color w:val="auto"/>
                      <w:highlight w:val="none"/>
                      <w:lang w:eastAsia="zh-CN"/>
                    </w:rPr>
                  </w:pPr>
                  <w:r>
                    <w:rPr>
                      <w:rFonts w:hint="default" w:ascii="Times New Roman" w:hAnsi="Times New Roman" w:cs="Times New Roman"/>
                      <w:b/>
                      <w:bCs w:val="0"/>
                      <w:color w:val="auto"/>
                      <w:highlight w:val="none"/>
                      <w:lang w:eastAsia="zh-CN"/>
                    </w:rPr>
                    <w:t>环保措施</w:t>
                  </w:r>
                </w:p>
              </w:tc>
              <w:tc>
                <w:tcPr>
                  <w:tcW w:w="952" w:type="dxa"/>
                  <w:noWrap w:val="0"/>
                  <w:vAlign w:val="center"/>
                </w:tcPr>
                <w:p w14:paraId="5E0062EE">
                  <w:pPr>
                    <w:pStyle w:val="30"/>
                    <w:bidi w:val="0"/>
                    <w:rPr>
                      <w:rFonts w:hint="default" w:ascii="Times New Roman" w:hAnsi="Times New Roman" w:cs="Times New Roman"/>
                      <w:b/>
                      <w:bCs w:val="0"/>
                      <w:color w:val="auto"/>
                      <w:highlight w:val="none"/>
                      <w:lang w:eastAsia="zh-CN"/>
                    </w:rPr>
                  </w:pPr>
                  <w:r>
                    <w:rPr>
                      <w:rFonts w:hint="default" w:ascii="Times New Roman" w:hAnsi="Times New Roman" w:cs="Times New Roman"/>
                      <w:b/>
                      <w:bCs w:val="0"/>
                      <w:color w:val="auto"/>
                      <w:highlight w:val="none"/>
                      <w:lang w:eastAsia="zh-CN"/>
                    </w:rPr>
                    <w:t>环保投资（万元）</w:t>
                  </w:r>
                </w:p>
              </w:tc>
            </w:tr>
            <w:tr w14:paraId="2C63F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584" w:type="dxa"/>
                  <w:noWrap w:val="0"/>
                  <w:vAlign w:val="center"/>
                </w:tcPr>
                <w:p w14:paraId="78F70739">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1</w:t>
                  </w:r>
                </w:p>
              </w:tc>
              <w:tc>
                <w:tcPr>
                  <w:tcW w:w="1283" w:type="dxa"/>
                  <w:noWrap w:val="0"/>
                  <w:vAlign w:val="center"/>
                </w:tcPr>
                <w:p w14:paraId="5377D906">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废气</w:t>
                  </w:r>
                </w:p>
              </w:tc>
              <w:tc>
                <w:tcPr>
                  <w:tcW w:w="5401" w:type="dxa"/>
                  <w:gridSpan w:val="2"/>
                  <w:noWrap w:val="0"/>
                  <w:vAlign w:val="center"/>
                </w:tcPr>
                <w:p w14:paraId="65A14902">
                  <w:pPr>
                    <w:pStyle w:val="3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紫外灯消毒</w:t>
                  </w:r>
                </w:p>
              </w:tc>
              <w:tc>
                <w:tcPr>
                  <w:tcW w:w="952" w:type="dxa"/>
                  <w:noWrap w:val="0"/>
                  <w:vAlign w:val="center"/>
                </w:tcPr>
                <w:p w14:paraId="14C642C7">
                  <w:pPr>
                    <w:pStyle w:val="30"/>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1.3</w:t>
                  </w:r>
                </w:p>
              </w:tc>
            </w:tr>
            <w:tr w14:paraId="093AA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584" w:type="dxa"/>
                  <w:noWrap w:val="0"/>
                  <w:vAlign w:val="center"/>
                </w:tcPr>
                <w:p w14:paraId="5AB7E47B">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2</w:t>
                  </w:r>
                </w:p>
              </w:tc>
              <w:tc>
                <w:tcPr>
                  <w:tcW w:w="1283" w:type="dxa"/>
                  <w:noWrap w:val="0"/>
                  <w:vAlign w:val="center"/>
                </w:tcPr>
                <w:p w14:paraId="5D4BABD6">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废水</w:t>
                  </w:r>
                </w:p>
              </w:tc>
              <w:tc>
                <w:tcPr>
                  <w:tcW w:w="5401" w:type="dxa"/>
                  <w:gridSpan w:val="2"/>
                  <w:noWrap w:val="0"/>
                  <w:vAlign w:val="center"/>
                </w:tcPr>
                <w:p w14:paraId="367D00F3">
                  <w:pPr>
                    <w:pStyle w:val="3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一体化污水处理设施</w:t>
                  </w:r>
                  <w:r>
                    <w:rPr>
                      <w:rFonts w:hint="eastAsia" w:cs="Times New Roman"/>
                      <w:color w:val="auto"/>
                      <w:highlight w:val="none"/>
                      <w:lang w:val="en-US" w:eastAsia="zh-CN"/>
                    </w:rPr>
                    <w:t>1</w:t>
                  </w:r>
                  <w:r>
                    <w:rPr>
                      <w:rFonts w:hint="default" w:ascii="Times New Roman" w:hAnsi="Times New Roman" w:cs="Times New Roman"/>
                      <w:color w:val="auto"/>
                      <w:highlight w:val="none"/>
                      <w:lang w:val="en-US" w:eastAsia="zh-CN"/>
                    </w:rPr>
                    <w:t>套，处理能力为</w:t>
                  </w:r>
                  <w:r>
                    <w:rPr>
                      <w:rFonts w:hint="eastAsia" w:cs="Times New Roman"/>
                      <w:color w:val="auto"/>
                      <w:highlight w:val="none"/>
                      <w:lang w:val="en-US" w:eastAsia="zh-CN"/>
                    </w:rPr>
                    <w:t>0.2m</w:t>
                  </w:r>
                  <w:r>
                    <w:rPr>
                      <w:rFonts w:hint="eastAsia" w:cs="Times New Roman"/>
                      <w:color w:val="auto"/>
                      <w:highlight w:val="none"/>
                      <w:vertAlign w:val="superscript"/>
                      <w:lang w:val="en-US" w:eastAsia="zh-CN"/>
                    </w:rPr>
                    <w:t>3</w:t>
                  </w:r>
                  <w:r>
                    <w:rPr>
                      <w:rFonts w:hint="eastAsia" w:cs="Times New Roman"/>
                      <w:color w:val="auto"/>
                      <w:highlight w:val="none"/>
                      <w:lang w:val="en-US" w:eastAsia="zh-CN"/>
                    </w:rPr>
                    <w:t>/d</w:t>
                  </w:r>
                </w:p>
              </w:tc>
              <w:tc>
                <w:tcPr>
                  <w:tcW w:w="952" w:type="dxa"/>
                  <w:noWrap w:val="0"/>
                  <w:vAlign w:val="center"/>
                </w:tcPr>
                <w:p w14:paraId="73B6514A">
                  <w:pPr>
                    <w:pStyle w:val="3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w:t>
                  </w:r>
                  <w:r>
                    <w:rPr>
                      <w:rFonts w:hint="eastAsia" w:cs="Times New Roman"/>
                      <w:color w:val="auto"/>
                      <w:highlight w:val="none"/>
                      <w:lang w:val="en-US" w:eastAsia="zh-CN"/>
                    </w:rPr>
                    <w:t>8</w:t>
                  </w:r>
                </w:p>
              </w:tc>
            </w:tr>
            <w:tr w14:paraId="7DC23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84" w:type="dxa"/>
                  <w:noWrap w:val="0"/>
                  <w:vAlign w:val="center"/>
                </w:tcPr>
                <w:p w14:paraId="160ED893">
                  <w:pPr>
                    <w:pStyle w:val="3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w:t>
                  </w:r>
                </w:p>
              </w:tc>
              <w:tc>
                <w:tcPr>
                  <w:tcW w:w="1283" w:type="dxa"/>
                  <w:noWrap w:val="0"/>
                  <w:vAlign w:val="center"/>
                </w:tcPr>
                <w:p w14:paraId="446BA8BB">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噪声</w:t>
                  </w:r>
                </w:p>
              </w:tc>
              <w:tc>
                <w:tcPr>
                  <w:tcW w:w="5401" w:type="dxa"/>
                  <w:gridSpan w:val="2"/>
                  <w:noWrap w:val="0"/>
                  <w:vAlign w:val="center"/>
                </w:tcPr>
                <w:p w14:paraId="28253CD2">
                  <w:pPr>
                    <w:pStyle w:val="30"/>
                    <w:bidi w:val="0"/>
                    <w:rPr>
                      <w:rFonts w:hint="default" w:ascii="Times New Roman" w:hAnsi="Times New Roman" w:cs="Times New Roman"/>
                      <w:color w:val="auto"/>
                      <w:highlight w:val="none"/>
                      <w:lang w:val="en-US"/>
                    </w:rPr>
                  </w:pPr>
                  <w:r>
                    <w:rPr>
                      <w:rFonts w:hint="default" w:ascii="Times New Roman" w:hAnsi="Times New Roman" w:cs="Times New Roman"/>
                      <w:color w:val="auto"/>
                      <w:highlight w:val="none"/>
                      <w:lang w:val="en-US" w:eastAsia="zh-CN"/>
                    </w:rPr>
                    <w:t>噪声设备安装基础减振设施，室内隔声等</w:t>
                  </w:r>
                </w:p>
              </w:tc>
              <w:tc>
                <w:tcPr>
                  <w:tcW w:w="952" w:type="dxa"/>
                  <w:noWrap w:val="0"/>
                  <w:vAlign w:val="center"/>
                </w:tcPr>
                <w:p w14:paraId="25CD1F59">
                  <w:pPr>
                    <w:pStyle w:val="3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w:t>
                  </w:r>
                  <w:r>
                    <w:rPr>
                      <w:rFonts w:hint="eastAsia" w:cs="Times New Roman"/>
                      <w:color w:val="auto"/>
                      <w:highlight w:val="none"/>
                      <w:lang w:val="en-US" w:eastAsia="zh-CN"/>
                    </w:rPr>
                    <w:t>5</w:t>
                  </w:r>
                </w:p>
              </w:tc>
            </w:tr>
            <w:tr w14:paraId="4D622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84" w:type="dxa"/>
                  <w:noWrap w:val="0"/>
                  <w:vAlign w:val="center"/>
                </w:tcPr>
                <w:p w14:paraId="15B37DF6">
                  <w:pPr>
                    <w:pStyle w:val="3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w:t>
                  </w:r>
                </w:p>
              </w:tc>
              <w:tc>
                <w:tcPr>
                  <w:tcW w:w="1283" w:type="dxa"/>
                  <w:noWrap w:val="0"/>
                  <w:vAlign w:val="center"/>
                </w:tcPr>
                <w:p w14:paraId="100DA383">
                  <w:pPr>
                    <w:pStyle w:val="3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环境风险</w:t>
                  </w:r>
                </w:p>
              </w:tc>
              <w:tc>
                <w:tcPr>
                  <w:tcW w:w="5401" w:type="dxa"/>
                  <w:gridSpan w:val="2"/>
                  <w:noWrap w:val="0"/>
                  <w:vAlign w:val="center"/>
                </w:tcPr>
                <w:p w14:paraId="3E2047C9">
                  <w:pPr>
                    <w:pStyle w:val="3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200L塑料桶；做好医院内部消毒、杀虫、灭鼠工作</w:t>
                  </w:r>
                </w:p>
              </w:tc>
              <w:tc>
                <w:tcPr>
                  <w:tcW w:w="952" w:type="dxa"/>
                  <w:noWrap w:val="0"/>
                  <w:vAlign w:val="center"/>
                </w:tcPr>
                <w:p w14:paraId="212C582E">
                  <w:pPr>
                    <w:pStyle w:val="3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w:t>
                  </w:r>
                  <w:r>
                    <w:rPr>
                      <w:rFonts w:hint="eastAsia" w:cs="Times New Roman"/>
                      <w:color w:val="auto"/>
                      <w:highlight w:val="none"/>
                      <w:lang w:val="en-US" w:eastAsia="zh-CN"/>
                    </w:rPr>
                    <w:t>3</w:t>
                  </w:r>
                </w:p>
              </w:tc>
            </w:tr>
            <w:tr w14:paraId="421AE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84" w:type="dxa"/>
                  <w:vMerge w:val="restart"/>
                  <w:noWrap w:val="0"/>
                  <w:vAlign w:val="center"/>
                </w:tcPr>
                <w:p w14:paraId="74BBFA93">
                  <w:pPr>
                    <w:pStyle w:val="3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w:t>
                  </w:r>
                </w:p>
              </w:tc>
              <w:tc>
                <w:tcPr>
                  <w:tcW w:w="1283" w:type="dxa"/>
                  <w:vMerge w:val="restart"/>
                  <w:noWrap w:val="0"/>
                  <w:vAlign w:val="center"/>
                </w:tcPr>
                <w:p w14:paraId="661A22C9">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固废</w:t>
                  </w:r>
                </w:p>
              </w:tc>
              <w:tc>
                <w:tcPr>
                  <w:tcW w:w="1563" w:type="dxa"/>
                  <w:noWrap w:val="0"/>
                  <w:vAlign w:val="center"/>
                </w:tcPr>
                <w:p w14:paraId="1D23D1E0">
                  <w:pPr>
                    <w:pStyle w:val="3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一般固废</w:t>
                  </w:r>
                </w:p>
              </w:tc>
              <w:tc>
                <w:tcPr>
                  <w:tcW w:w="3838" w:type="dxa"/>
                  <w:noWrap w:val="0"/>
                  <w:vAlign w:val="center"/>
                </w:tcPr>
                <w:p w14:paraId="1FB8615E">
                  <w:pPr>
                    <w:pStyle w:val="30"/>
                    <w:bidi w:val="0"/>
                    <w:rPr>
                      <w:rFonts w:hint="default" w:ascii="Times New Roman" w:hAnsi="Times New Roman" w:cs="Times New Roman"/>
                      <w:color w:val="auto"/>
                      <w:highlight w:val="none"/>
                      <w:lang w:val="en-US"/>
                    </w:rPr>
                  </w:pPr>
                  <w:r>
                    <w:rPr>
                      <w:rFonts w:hint="default" w:ascii="Times New Roman" w:hAnsi="Times New Roman" w:cs="Times New Roman"/>
                      <w:color w:val="auto"/>
                      <w:highlight w:val="none"/>
                    </w:rPr>
                    <w:t>设置垃圾收集箱，</w:t>
                  </w:r>
                  <w:r>
                    <w:rPr>
                      <w:rFonts w:hint="default" w:ascii="Times New Roman" w:hAnsi="Times New Roman" w:cs="Times New Roman"/>
                      <w:color w:val="auto"/>
                      <w:highlight w:val="none"/>
                      <w:lang w:val="en-US" w:eastAsia="zh-CN"/>
                    </w:rPr>
                    <w:t>废包装物及输液瓶（袋）临时贮存点</w:t>
                  </w:r>
                </w:p>
              </w:tc>
              <w:tc>
                <w:tcPr>
                  <w:tcW w:w="952" w:type="dxa"/>
                  <w:noWrap w:val="0"/>
                  <w:vAlign w:val="center"/>
                </w:tcPr>
                <w:p w14:paraId="2C6C2D1D">
                  <w:pPr>
                    <w:pStyle w:val="3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w:t>
                  </w:r>
                  <w:r>
                    <w:rPr>
                      <w:rFonts w:hint="eastAsia" w:cs="Times New Roman"/>
                      <w:color w:val="auto"/>
                      <w:highlight w:val="none"/>
                      <w:lang w:val="en-US" w:eastAsia="zh-CN"/>
                    </w:rPr>
                    <w:t>2</w:t>
                  </w:r>
                </w:p>
              </w:tc>
            </w:tr>
            <w:tr w14:paraId="0FE4D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84" w:type="dxa"/>
                  <w:vMerge w:val="continue"/>
                  <w:noWrap w:val="0"/>
                  <w:vAlign w:val="center"/>
                </w:tcPr>
                <w:p w14:paraId="0C8DC01A">
                  <w:pPr>
                    <w:pStyle w:val="30"/>
                    <w:bidi w:val="0"/>
                    <w:rPr>
                      <w:rFonts w:hint="default" w:ascii="Times New Roman" w:hAnsi="Times New Roman" w:cs="Times New Roman"/>
                      <w:color w:val="auto"/>
                      <w:highlight w:val="none"/>
                    </w:rPr>
                  </w:pPr>
                </w:p>
              </w:tc>
              <w:tc>
                <w:tcPr>
                  <w:tcW w:w="1283" w:type="dxa"/>
                  <w:vMerge w:val="continue"/>
                  <w:noWrap w:val="0"/>
                  <w:vAlign w:val="center"/>
                </w:tcPr>
                <w:p w14:paraId="3684BA01">
                  <w:pPr>
                    <w:pStyle w:val="30"/>
                    <w:bidi w:val="0"/>
                    <w:rPr>
                      <w:rFonts w:hint="default" w:ascii="Times New Roman" w:hAnsi="Times New Roman" w:cs="Times New Roman"/>
                      <w:color w:val="auto"/>
                      <w:highlight w:val="none"/>
                    </w:rPr>
                  </w:pPr>
                </w:p>
              </w:tc>
              <w:tc>
                <w:tcPr>
                  <w:tcW w:w="1563" w:type="dxa"/>
                  <w:noWrap w:val="0"/>
                  <w:vAlign w:val="center"/>
                </w:tcPr>
                <w:p w14:paraId="1BA5E5FC">
                  <w:pPr>
                    <w:pStyle w:val="3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医疗废物及其他危废</w:t>
                  </w:r>
                </w:p>
              </w:tc>
              <w:tc>
                <w:tcPr>
                  <w:tcW w:w="3838" w:type="dxa"/>
                  <w:noWrap w:val="0"/>
                  <w:vAlign w:val="center"/>
                </w:tcPr>
                <w:p w14:paraId="6728B9D0">
                  <w:pPr>
                    <w:pStyle w:val="3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设置医疗废物贮存间及相关标识牌等</w:t>
                  </w:r>
                </w:p>
              </w:tc>
              <w:tc>
                <w:tcPr>
                  <w:tcW w:w="952" w:type="dxa"/>
                  <w:noWrap w:val="0"/>
                  <w:vAlign w:val="center"/>
                </w:tcPr>
                <w:p w14:paraId="067D0CD1">
                  <w:pPr>
                    <w:pStyle w:val="3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w:t>
                  </w:r>
                  <w:r>
                    <w:rPr>
                      <w:rFonts w:hint="eastAsia" w:cs="Times New Roman"/>
                      <w:color w:val="auto"/>
                      <w:highlight w:val="none"/>
                      <w:lang w:val="en-US" w:eastAsia="zh-CN"/>
                    </w:rPr>
                    <w:t>5</w:t>
                  </w:r>
                </w:p>
              </w:tc>
            </w:tr>
            <w:tr w14:paraId="29F39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84" w:type="dxa"/>
                  <w:noWrap w:val="0"/>
                  <w:vAlign w:val="center"/>
                </w:tcPr>
                <w:p w14:paraId="0F768430">
                  <w:pPr>
                    <w:pStyle w:val="30"/>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6</w:t>
                  </w:r>
                </w:p>
              </w:tc>
              <w:tc>
                <w:tcPr>
                  <w:tcW w:w="1283" w:type="dxa"/>
                  <w:noWrap w:val="0"/>
                  <w:vAlign w:val="center"/>
                </w:tcPr>
                <w:p w14:paraId="636D4CAB">
                  <w:pPr>
                    <w:spacing w:line="300" w:lineRule="exact"/>
                    <w:jc w:val="center"/>
                    <w:rPr>
                      <w:rFonts w:hint="default" w:ascii="Times New Roman" w:hAnsi="Times New Roman" w:cs="Times New Roman"/>
                      <w:color w:val="auto"/>
                      <w:highlight w:val="none"/>
                    </w:rPr>
                  </w:pPr>
                  <w:r>
                    <w:rPr>
                      <w:rFonts w:hint="eastAsia" w:cs="Times New Roman"/>
                      <w:color w:val="auto"/>
                      <w:sz w:val="21"/>
                      <w:szCs w:val="21"/>
                      <w:highlight w:val="none"/>
                      <w:lang w:val="en-US" w:eastAsia="zh-CN"/>
                    </w:rPr>
                    <w:t>分区防渗</w:t>
                  </w:r>
                </w:p>
              </w:tc>
              <w:tc>
                <w:tcPr>
                  <w:tcW w:w="5401" w:type="dxa"/>
                  <w:gridSpan w:val="2"/>
                  <w:noWrap w:val="0"/>
                  <w:vAlign w:val="center"/>
                </w:tcPr>
                <w:p w14:paraId="4AD36548">
                  <w:pPr>
                    <w:spacing w:line="300" w:lineRule="exact"/>
                    <w:jc w:val="center"/>
                    <w:rPr>
                      <w:rFonts w:hint="default" w:ascii="Times New Roman" w:hAnsi="Times New Roman" w:cs="Times New Roman"/>
                      <w:color w:val="auto"/>
                      <w:highlight w:val="none"/>
                      <w:lang w:val="en-US" w:eastAsia="zh-CN"/>
                    </w:rPr>
                  </w:pPr>
                  <w:r>
                    <w:rPr>
                      <w:rFonts w:hint="eastAsia" w:cs="Times New Roman"/>
                      <w:color w:val="auto"/>
                      <w:sz w:val="21"/>
                      <w:szCs w:val="21"/>
                      <w:highlight w:val="none"/>
                      <w:lang w:val="en-US" w:eastAsia="zh-CN"/>
                    </w:rPr>
                    <w:t>重点防渗区：医疗废物贮存间；一般防渗区：室内地面</w:t>
                  </w:r>
                </w:p>
              </w:tc>
              <w:tc>
                <w:tcPr>
                  <w:tcW w:w="952" w:type="dxa"/>
                  <w:noWrap w:val="0"/>
                  <w:vAlign w:val="center"/>
                </w:tcPr>
                <w:p w14:paraId="3702AF5D">
                  <w:pPr>
                    <w:pStyle w:val="30"/>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0.8</w:t>
                  </w:r>
                </w:p>
              </w:tc>
            </w:tr>
            <w:tr w14:paraId="04CA8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584" w:type="dxa"/>
                  <w:noWrap w:val="0"/>
                  <w:vAlign w:val="center"/>
                </w:tcPr>
                <w:p w14:paraId="1488F191">
                  <w:pPr>
                    <w:pStyle w:val="30"/>
                    <w:bidi w:val="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7</w:t>
                  </w:r>
                </w:p>
              </w:tc>
              <w:tc>
                <w:tcPr>
                  <w:tcW w:w="1283" w:type="dxa"/>
                  <w:noWrap w:val="0"/>
                  <w:vAlign w:val="center"/>
                </w:tcPr>
                <w:p w14:paraId="0FABC6EE">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环境监测及管理</w:t>
                  </w:r>
                </w:p>
              </w:tc>
              <w:tc>
                <w:tcPr>
                  <w:tcW w:w="5401" w:type="dxa"/>
                  <w:gridSpan w:val="2"/>
                  <w:noWrap w:val="0"/>
                  <w:vAlign w:val="center"/>
                </w:tcPr>
                <w:p w14:paraId="066226E5">
                  <w:pPr>
                    <w:pStyle w:val="30"/>
                    <w:bidi w:val="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建立环境管理和监测体系</w:t>
                  </w:r>
                  <w:r>
                    <w:rPr>
                      <w:rFonts w:hint="eastAsia" w:cs="Times New Roman"/>
                      <w:color w:val="auto"/>
                      <w:highlight w:val="none"/>
                      <w:lang w:val="en-US" w:eastAsia="zh-CN"/>
                    </w:rPr>
                    <w:t>，</w:t>
                  </w:r>
                  <w:r>
                    <w:rPr>
                      <w:rFonts w:ascii="Arial" w:hAnsi="Arial" w:eastAsia="Arial" w:cs="Arial"/>
                      <w:color w:val="auto"/>
                      <w:sz w:val="20"/>
                    </w:rPr>
                    <w:t>编制突发环境事件应急预案并备案</w:t>
                  </w:r>
                </w:p>
              </w:tc>
              <w:tc>
                <w:tcPr>
                  <w:tcW w:w="952" w:type="dxa"/>
                  <w:noWrap w:val="0"/>
                  <w:vAlign w:val="center"/>
                </w:tcPr>
                <w:p w14:paraId="0AEC3CEF">
                  <w:pPr>
                    <w:pStyle w:val="3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w:t>
                  </w:r>
                  <w:r>
                    <w:rPr>
                      <w:rFonts w:hint="eastAsia" w:cs="Times New Roman"/>
                      <w:color w:val="auto"/>
                      <w:highlight w:val="none"/>
                      <w:lang w:val="en-US" w:eastAsia="zh-CN"/>
                    </w:rPr>
                    <w:t>.4</w:t>
                  </w:r>
                </w:p>
              </w:tc>
            </w:tr>
            <w:tr w14:paraId="52121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84" w:type="dxa"/>
                  <w:noWrap w:val="0"/>
                  <w:vAlign w:val="center"/>
                </w:tcPr>
                <w:p w14:paraId="4F2EC95D">
                  <w:pPr>
                    <w:pStyle w:val="30"/>
                    <w:bidi w:val="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8</w:t>
                  </w:r>
                </w:p>
              </w:tc>
              <w:tc>
                <w:tcPr>
                  <w:tcW w:w="1283" w:type="dxa"/>
                  <w:noWrap w:val="0"/>
                  <w:vAlign w:val="center"/>
                </w:tcPr>
                <w:p w14:paraId="16F1C6C3">
                  <w:pPr>
                    <w:pStyle w:val="30"/>
                    <w:bidi w:val="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运行维护</w:t>
                  </w:r>
                </w:p>
              </w:tc>
              <w:tc>
                <w:tcPr>
                  <w:tcW w:w="5401" w:type="dxa"/>
                  <w:gridSpan w:val="2"/>
                  <w:noWrap w:val="0"/>
                  <w:vAlign w:val="center"/>
                </w:tcPr>
                <w:p w14:paraId="2E27C963">
                  <w:pPr>
                    <w:pStyle w:val="3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环保设施运行维护费用</w:t>
                  </w:r>
                </w:p>
              </w:tc>
              <w:tc>
                <w:tcPr>
                  <w:tcW w:w="952" w:type="dxa"/>
                  <w:noWrap w:val="0"/>
                  <w:vAlign w:val="center"/>
                </w:tcPr>
                <w:p w14:paraId="0BACBF09">
                  <w:pPr>
                    <w:pStyle w:val="3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w:t>
                  </w:r>
                  <w:r>
                    <w:rPr>
                      <w:rFonts w:hint="eastAsia" w:cs="Times New Roman"/>
                      <w:color w:val="auto"/>
                      <w:highlight w:val="none"/>
                      <w:lang w:val="en-US" w:eastAsia="zh-CN"/>
                    </w:rPr>
                    <w:t>2</w:t>
                  </w:r>
                </w:p>
              </w:tc>
            </w:tr>
            <w:tr w14:paraId="1A1CD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7268" w:type="dxa"/>
                  <w:gridSpan w:val="4"/>
                  <w:noWrap w:val="0"/>
                  <w:vAlign w:val="center"/>
                </w:tcPr>
                <w:p w14:paraId="6737584E">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总计</w:t>
                  </w:r>
                </w:p>
              </w:tc>
              <w:tc>
                <w:tcPr>
                  <w:tcW w:w="952" w:type="dxa"/>
                  <w:noWrap w:val="0"/>
                  <w:vAlign w:val="center"/>
                </w:tcPr>
                <w:p w14:paraId="7F1EA11B">
                  <w:pPr>
                    <w:pStyle w:val="30"/>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5</w:t>
                  </w:r>
                </w:p>
              </w:tc>
            </w:tr>
          </w:tbl>
          <w:p w14:paraId="029B79F2">
            <w:pPr>
              <w:pStyle w:val="31"/>
              <w:bidi w:val="0"/>
              <w:rPr>
                <w:rFonts w:hint="default" w:ascii="Times New Roman" w:hAnsi="Times New Roman" w:cs="Times New Roman"/>
                <w:color w:val="auto"/>
                <w:highlight w:val="none"/>
              </w:rPr>
            </w:pPr>
          </w:p>
          <w:p w14:paraId="57C2390F">
            <w:pPr>
              <w:bidi w:val="0"/>
              <w:jc w:val="both"/>
              <w:rPr>
                <w:rFonts w:hint="default" w:ascii="Times New Roman" w:hAnsi="Times New Roman" w:cs="Times New Roman"/>
                <w:color w:val="auto"/>
                <w:highlight w:val="none"/>
              </w:rPr>
            </w:pPr>
          </w:p>
          <w:p w14:paraId="4262E1A4">
            <w:pPr>
              <w:bidi w:val="0"/>
              <w:jc w:val="both"/>
              <w:rPr>
                <w:rFonts w:hint="default" w:ascii="Times New Roman" w:hAnsi="Times New Roman" w:cs="Times New Roman"/>
                <w:color w:val="auto"/>
                <w:highlight w:val="none"/>
              </w:rPr>
            </w:pPr>
          </w:p>
        </w:tc>
      </w:tr>
    </w:tbl>
    <w:p w14:paraId="00431477">
      <w:pPr>
        <w:rPr>
          <w:rFonts w:hint="default" w:ascii="Times New Roman" w:hAnsi="Times New Roman" w:cs="Times New Roman"/>
          <w:color w:val="auto"/>
          <w:sz w:val="21"/>
          <w:highlight w:val="none"/>
        </w:rPr>
      </w:pPr>
    </w:p>
    <w:p w14:paraId="170EF0E4">
      <w:pPr>
        <w:rPr>
          <w:rFonts w:hint="default" w:ascii="Times New Roman" w:hAnsi="Times New Roman" w:cs="Times New Roman"/>
          <w:color w:val="auto"/>
          <w:highlight w:val="none"/>
        </w:rPr>
        <w:sectPr>
          <w:pgSz w:w="11907" w:h="16840"/>
          <w:pgMar w:top="1431" w:right="1490" w:bottom="957" w:left="1489" w:header="0" w:footer="692" w:gutter="0"/>
          <w:pgBorders>
            <w:top w:val="none" w:sz="0" w:space="0"/>
            <w:left w:val="none" w:sz="0" w:space="0"/>
            <w:bottom w:val="none" w:sz="0" w:space="0"/>
            <w:right w:val="none" w:sz="0" w:space="0"/>
          </w:pgBorders>
          <w:pgNumType w:fmt="decimal"/>
          <w:cols w:space="720" w:num="1"/>
        </w:sectPr>
      </w:pPr>
    </w:p>
    <w:p w14:paraId="1E428D6B">
      <w:pPr>
        <w:spacing w:line="249" w:lineRule="auto"/>
        <w:rPr>
          <w:rFonts w:hint="default" w:ascii="Times New Roman" w:hAnsi="Times New Roman" w:cs="Times New Roman"/>
          <w:color w:val="auto"/>
          <w:sz w:val="21"/>
          <w:highlight w:val="none"/>
        </w:rPr>
      </w:pPr>
    </w:p>
    <w:p w14:paraId="0B88F16D">
      <w:pPr>
        <w:pStyle w:val="2"/>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五、环境保护措施监督检查清单</w:t>
      </w:r>
    </w:p>
    <w:p w14:paraId="169E095D">
      <w:pPr>
        <w:spacing w:line="240" w:lineRule="auto"/>
        <w:rPr>
          <w:rFonts w:hint="default" w:ascii="Times New Roman" w:hAnsi="Times New Roman" w:cs="Times New Roman"/>
          <w:color w:val="auto"/>
          <w:highlight w:val="none"/>
        </w:rPr>
      </w:pP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7"/>
        <w:gridCol w:w="1281"/>
        <w:gridCol w:w="1277"/>
        <w:gridCol w:w="2115"/>
        <w:gridCol w:w="2722"/>
      </w:tblGrid>
      <w:tr w14:paraId="269FC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27" w:type="dxa"/>
            <w:noWrap w:val="0"/>
            <w:vAlign w:val="center"/>
          </w:tcPr>
          <w:p w14:paraId="614734A8">
            <w:pPr>
              <w:pStyle w:val="35"/>
              <w:spacing w:line="240" w:lineRule="auto"/>
              <w:jc w:val="center"/>
              <w:rPr>
                <w:rFonts w:hint="default" w:ascii="Times New Roman" w:hAnsi="Times New Roman" w:cs="Times New Roman"/>
                <w:b/>
                <w:color w:val="auto"/>
                <w:sz w:val="21"/>
                <w:szCs w:val="21"/>
                <w:highlight w:val="none"/>
                <w:lang w:val="en-US" w:eastAsia="zh-CN"/>
              </w:rPr>
            </w:pPr>
            <w:r>
              <w:rPr>
                <w:rFonts w:hint="default" w:ascii="Times New Roman" w:hAnsi="Times New Roman" w:cs="Times New Roman"/>
                <w:b/>
                <w:color w:val="auto"/>
                <w:sz w:val="21"/>
                <w:szCs w:val="21"/>
                <w:highlight w:val="none"/>
                <w:lang w:val="en-US" w:eastAsia="zh-CN"/>
              </w:rPr>
              <w:t>内容</w:t>
            </w:r>
          </w:p>
          <w:p w14:paraId="76A51C67">
            <w:pPr>
              <w:pStyle w:val="35"/>
              <w:spacing w:line="240" w:lineRule="auto"/>
              <w:jc w:val="center"/>
              <w:rPr>
                <w:rFonts w:hint="default" w:ascii="Times New Roman" w:hAnsi="Times New Roman" w:cs="Times New Roman"/>
                <w:b/>
                <w:color w:val="auto"/>
                <w:sz w:val="21"/>
                <w:szCs w:val="21"/>
                <w:highlight w:val="none"/>
                <w:lang w:val="en-US" w:eastAsia="zh-CN"/>
              </w:rPr>
            </w:pPr>
            <w:r>
              <w:rPr>
                <w:rFonts w:hint="default" w:ascii="Times New Roman" w:hAnsi="Times New Roman" w:cs="Times New Roman"/>
                <w:b/>
                <w:color w:val="auto"/>
                <w:sz w:val="21"/>
                <w:szCs w:val="21"/>
                <w:highlight w:val="none"/>
                <w:lang w:val="en-US" w:eastAsia="zh-CN"/>
              </w:rPr>
              <w:t>要素</w:t>
            </w:r>
          </w:p>
        </w:tc>
        <w:tc>
          <w:tcPr>
            <w:tcW w:w="1281" w:type="dxa"/>
            <w:noWrap w:val="0"/>
            <w:vAlign w:val="center"/>
          </w:tcPr>
          <w:p w14:paraId="41A9CD47">
            <w:pPr>
              <w:pStyle w:val="35"/>
              <w:spacing w:line="240" w:lineRule="auto"/>
              <w:jc w:val="center"/>
              <w:rPr>
                <w:rFonts w:hint="default" w:ascii="Times New Roman" w:hAnsi="Times New Roman" w:cs="Times New Roman"/>
                <w:b/>
                <w:color w:val="auto"/>
                <w:sz w:val="21"/>
                <w:szCs w:val="21"/>
                <w:highlight w:val="none"/>
                <w:lang w:val="en-US" w:eastAsia="zh-CN"/>
              </w:rPr>
            </w:pPr>
            <w:r>
              <w:rPr>
                <w:rFonts w:hint="default" w:ascii="Times New Roman" w:hAnsi="Times New Roman" w:cs="Times New Roman"/>
                <w:b/>
                <w:color w:val="auto"/>
                <w:sz w:val="21"/>
                <w:szCs w:val="21"/>
                <w:highlight w:val="none"/>
                <w:lang w:val="en-US" w:eastAsia="zh-CN"/>
              </w:rPr>
              <w:t>排放口</w:t>
            </w:r>
            <w:r>
              <w:rPr>
                <w:rFonts w:hint="eastAsia" w:cs="Times New Roman"/>
                <w:b/>
                <w:color w:val="auto"/>
                <w:sz w:val="21"/>
                <w:szCs w:val="21"/>
                <w:highlight w:val="none"/>
                <w:lang w:val="en-US" w:eastAsia="zh-CN"/>
              </w:rPr>
              <w:t>（</w:t>
            </w:r>
            <w:r>
              <w:rPr>
                <w:rFonts w:hint="default" w:ascii="Times New Roman" w:hAnsi="Times New Roman" w:cs="Times New Roman"/>
                <w:b/>
                <w:color w:val="auto"/>
                <w:sz w:val="21"/>
                <w:szCs w:val="21"/>
                <w:highlight w:val="none"/>
                <w:lang w:val="en-US" w:eastAsia="zh-CN"/>
              </w:rPr>
              <w:t>编号、名称</w:t>
            </w:r>
            <w:r>
              <w:rPr>
                <w:rFonts w:hint="eastAsia" w:cs="Times New Roman"/>
                <w:b/>
                <w:color w:val="auto"/>
                <w:sz w:val="21"/>
                <w:szCs w:val="21"/>
                <w:highlight w:val="none"/>
                <w:lang w:val="en-US" w:eastAsia="zh-CN"/>
              </w:rPr>
              <w:t>）</w:t>
            </w:r>
            <w:r>
              <w:rPr>
                <w:rFonts w:hint="default" w:ascii="Times New Roman" w:hAnsi="Times New Roman" w:cs="Times New Roman"/>
                <w:b/>
                <w:color w:val="auto"/>
                <w:sz w:val="21"/>
                <w:szCs w:val="21"/>
                <w:highlight w:val="none"/>
                <w:lang w:val="en-US" w:eastAsia="zh-CN"/>
              </w:rPr>
              <w:t>/污染源</w:t>
            </w:r>
          </w:p>
        </w:tc>
        <w:tc>
          <w:tcPr>
            <w:tcW w:w="1277" w:type="dxa"/>
            <w:noWrap w:val="0"/>
            <w:vAlign w:val="center"/>
          </w:tcPr>
          <w:p w14:paraId="7DD60025">
            <w:pPr>
              <w:pStyle w:val="35"/>
              <w:spacing w:line="240" w:lineRule="auto"/>
              <w:jc w:val="center"/>
              <w:rPr>
                <w:rFonts w:hint="default" w:ascii="Times New Roman" w:hAnsi="Times New Roman" w:cs="Times New Roman"/>
                <w:b/>
                <w:color w:val="auto"/>
                <w:sz w:val="21"/>
                <w:szCs w:val="21"/>
                <w:highlight w:val="none"/>
                <w:lang w:val="en-US" w:eastAsia="zh-CN"/>
              </w:rPr>
            </w:pPr>
            <w:r>
              <w:rPr>
                <w:rFonts w:hint="default" w:ascii="Times New Roman" w:hAnsi="Times New Roman" w:cs="Times New Roman"/>
                <w:b/>
                <w:color w:val="auto"/>
                <w:sz w:val="21"/>
                <w:szCs w:val="21"/>
                <w:highlight w:val="none"/>
                <w:lang w:val="en-US" w:eastAsia="zh-CN"/>
              </w:rPr>
              <w:t>污染物项目</w:t>
            </w:r>
          </w:p>
        </w:tc>
        <w:tc>
          <w:tcPr>
            <w:tcW w:w="2115" w:type="dxa"/>
            <w:noWrap w:val="0"/>
            <w:vAlign w:val="center"/>
          </w:tcPr>
          <w:p w14:paraId="5AB7D4AA">
            <w:pPr>
              <w:pStyle w:val="35"/>
              <w:spacing w:line="240" w:lineRule="auto"/>
              <w:jc w:val="center"/>
              <w:rPr>
                <w:rFonts w:hint="default" w:ascii="Times New Roman" w:hAnsi="Times New Roman" w:cs="Times New Roman"/>
                <w:b/>
                <w:color w:val="auto"/>
                <w:sz w:val="21"/>
                <w:szCs w:val="21"/>
                <w:highlight w:val="none"/>
                <w:lang w:val="en-US" w:eastAsia="zh-CN"/>
              </w:rPr>
            </w:pPr>
            <w:r>
              <w:rPr>
                <w:rFonts w:hint="default" w:ascii="Times New Roman" w:hAnsi="Times New Roman" w:cs="Times New Roman"/>
                <w:b/>
                <w:color w:val="auto"/>
                <w:sz w:val="21"/>
                <w:szCs w:val="21"/>
                <w:highlight w:val="none"/>
                <w:lang w:val="en-US" w:eastAsia="zh-CN"/>
              </w:rPr>
              <w:t>环境保护措施</w:t>
            </w:r>
          </w:p>
        </w:tc>
        <w:tc>
          <w:tcPr>
            <w:tcW w:w="2722" w:type="dxa"/>
            <w:noWrap w:val="0"/>
            <w:vAlign w:val="center"/>
          </w:tcPr>
          <w:p w14:paraId="13F49E76">
            <w:pPr>
              <w:pStyle w:val="35"/>
              <w:spacing w:line="240" w:lineRule="auto"/>
              <w:jc w:val="center"/>
              <w:rPr>
                <w:rFonts w:hint="default" w:ascii="Times New Roman" w:hAnsi="Times New Roman" w:cs="Times New Roman"/>
                <w:b/>
                <w:color w:val="auto"/>
                <w:sz w:val="21"/>
                <w:szCs w:val="21"/>
                <w:highlight w:val="none"/>
                <w:lang w:val="en-US" w:eastAsia="zh-CN"/>
              </w:rPr>
            </w:pPr>
            <w:r>
              <w:rPr>
                <w:rFonts w:hint="default" w:ascii="Times New Roman" w:hAnsi="Times New Roman" w:cs="Times New Roman"/>
                <w:b/>
                <w:color w:val="auto"/>
                <w:sz w:val="21"/>
                <w:szCs w:val="21"/>
                <w:highlight w:val="none"/>
                <w:lang w:val="en-US" w:eastAsia="zh-CN"/>
              </w:rPr>
              <w:t>执行标准</w:t>
            </w:r>
          </w:p>
        </w:tc>
      </w:tr>
      <w:tr w14:paraId="571E4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27" w:type="dxa"/>
            <w:vMerge w:val="restart"/>
            <w:noWrap w:val="0"/>
            <w:vAlign w:val="center"/>
          </w:tcPr>
          <w:p w14:paraId="1E48290C">
            <w:pPr>
              <w:pStyle w:val="35"/>
              <w:spacing w:line="240" w:lineRule="auto"/>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大气环境</w:t>
            </w:r>
          </w:p>
        </w:tc>
        <w:tc>
          <w:tcPr>
            <w:tcW w:w="1281" w:type="dxa"/>
            <w:noWrap w:val="0"/>
            <w:vAlign w:val="center"/>
          </w:tcPr>
          <w:p w14:paraId="52E22A0F">
            <w:pPr>
              <w:snapToGrid w:val="0"/>
              <w:spacing w:line="240" w:lineRule="auto"/>
              <w:ind w:firstLine="0" w:firstLine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宠物本身散发或</w:t>
            </w:r>
            <w:r>
              <w:rPr>
                <w:rFonts w:hint="default" w:ascii="Times New Roman" w:hAnsi="Times New Roman" w:eastAsia="宋体" w:cs="Times New Roman"/>
                <w:b w:val="0"/>
                <w:bCs w:val="0"/>
                <w:color w:val="auto"/>
                <w:kern w:val="2"/>
                <w:sz w:val="21"/>
                <w:szCs w:val="21"/>
                <w:lang w:val="en-US" w:eastAsia="zh-CN" w:bidi="ar-SA"/>
              </w:rPr>
              <w:t>排泄物</w:t>
            </w:r>
            <w:r>
              <w:rPr>
                <w:rFonts w:hint="default" w:ascii="Times New Roman" w:hAnsi="Times New Roman" w:eastAsia="宋体" w:cs="Times New Roman"/>
                <w:color w:val="auto"/>
                <w:sz w:val="21"/>
                <w:szCs w:val="21"/>
                <w:highlight w:val="none"/>
                <w:lang w:val="en-US" w:eastAsia="zh-CN"/>
              </w:rPr>
              <w:t>产生的异味</w:t>
            </w:r>
          </w:p>
        </w:tc>
        <w:tc>
          <w:tcPr>
            <w:tcW w:w="1277" w:type="dxa"/>
            <w:noWrap w:val="0"/>
            <w:vAlign w:val="center"/>
          </w:tcPr>
          <w:p w14:paraId="14174BBF">
            <w:pPr>
              <w:pStyle w:val="35"/>
              <w:snapToGrid w:val="0"/>
              <w:spacing w:line="240" w:lineRule="auto"/>
              <w:jc w:val="center"/>
              <w:rPr>
                <w:rFonts w:hint="default" w:ascii="Times New Roman" w:hAnsi="Times New Roman"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bidi="ar-SA"/>
              </w:rPr>
              <w:t>臭气浓度</w:t>
            </w:r>
          </w:p>
        </w:tc>
        <w:tc>
          <w:tcPr>
            <w:tcW w:w="2115" w:type="dxa"/>
            <w:noWrap w:val="0"/>
            <w:vAlign w:val="center"/>
          </w:tcPr>
          <w:p w14:paraId="6E952C4A">
            <w:pPr>
              <w:snapToGrid w:val="0"/>
              <w:spacing w:line="240" w:lineRule="auto"/>
              <w:ind w:firstLine="0" w:firstLine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紫外灯消毒；新风系统；</w:t>
            </w:r>
            <w:bookmarkStart w:id="65" w:name="OLE_LINK82"/>
            <w:r>
              <w:rPr>
                <w:rFonts w:hint="default" w:ascii="Times New Roman" w:hAnsi="Times New Roman" w:cs="Times New Roman"/>
                <w:color w:val="auto"/>
                <w:sz w:val="21"/>
                <w:szCs w:val="21"/>
                <w:highlight w:val="none"/>
                <w:lang w:val="en-US" w:eastAsia="zh-CN"/>
              </w:rPr>
              <w:t>喷洒生物除臭剂</w:t>
            </w:r>
            <w:bookmarkEnd w:id="65"/>
          </w:p>
        </w:tc>
        <w:tc>
          <w:tcPr>
            <w:tcW w:w="2722" w:type="dxa"/>
            <w:vMerge w:val="restart"/>
            <w:noWrap w:val="0"/>
            <w:vAlign w:val="center"/>
          </w:tcPr>
          <w:p w14:paraId="3AB972C1">
            <w:pPr>
              <w:snapToGrid w:val="0"/>
              <w:spacing w:line="240" w:lineRule="auto"/>
              <w:ind w:firstLine="0" w:firstLine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《恶臭污染物排放标准》（GB14554-93）中表1中相关标准限值：臭气浓度20（无纲量）</w:t>
            </w:r>
          </w:p>
        </w:tc>
      </w:tr>
      <w:tr w14:paraId="6CB04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27" w:type="dxa"/>
            <w:vMerge w:val="continue"/>
            <w:noWrap w:val="0"/>
            <w:vAlign w:val="center"/>
          </w:tcPr>
          <w:p w14:paraId="53A21A4A">
            <w:pPr>
              <w:pStyle w:val="35"/>
              <w:spacing w:line="240" w:lineRule="auto"/>
              <w:jc w:val="center"/>
              <w:rPr>
                <w:rFonts w:hint="default" w:ascii="Times New Roman" w:hAnsi="Times New Roman" w:cs="Times New Roman"/>
                <w:color w:val="auto"/>
                <w:sz w:val="21"/>
                <w:szCs w:val="21"/>
                <w:highlight w:val="none"/>
                <w:lang w:val="en-US" w:eastAsia="zh-CN"/>
              </w:rPr>
            </w:pPr>
          </w:p>
        </w:tc>
        <w:tc>
          <w:tcPr>
            <w:tcW w:w="1281" w:type="dxa"/>
            <w:noWrap w:val="0"/>
            <w:vAlign w:val="center"/>
          </w:tcPr>
          <w:p w14:paraId="09BE900B">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b w:val="0"/>
                <w:bCs w:val="0"/>
                <w:color w:val="auto"/>
                <w:kern w:val="2"/>
                <w:sz w:val="21"/>
                <w:szCs w:val="21"/>
                <w:lang w:val="en-US" w:eastAsia="zh-CN" w:bidi="ar-SA"/>
              </w:rPr>
              <w:t>污水处理设施异味</w:t>
            </w:r>
          </w:p>
        </w:tc>
        <w:tc>
          <w:tcPr>
            <w:tcW w:w="1277" w:type="dxa"/>
            <w:noWrap w:val="0"/>
            <w:vAlign w:val="center"/>
          </w:tcPr>
          <w:p w14:paraId="0552626E">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bidi="ar-SA"/>
              </w:rPr>
            </w:pPr>
            <w:r>
              <w:rPr>
                <w:rFonts w:hint="default" w:ascii="Times New Roman" w:hAnsi="Times New Roman" w:eastAsia="宋体" w:cs="Times New Roman"/>
                <w:b w:val="0"/>
                <w:bCs w:val="0"/>
                <w:color w:val="auto"/>
                <w:kern w:val="2"/>
                <w:sz w:val="21"/>
                <w:szCs w:val="21"/>
                <w:lang w:val="en-US" w:eastAsia="zh-CN" w:bidi="ar-SA"/>
              </w:rPr>
              <w:t>臭气浓度</w:t>
            </w:r>
          </w:p>
        </w:tc>
        <w:tc>
          <w:tcPr>
            <w:tcW w:w="2115" w:type="dxa"/>
            <w:noWrap w:val="0"/>
            <w:vAlign w:val="center"/>
          </w:tcPr>
          <w:p w14:paraId="1F0F53BB">
            <w:pPr>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密闭</w:t>
            </w:r>
            <w:r>
              <w:rPr>
                <w:rFonts w:hint="eastAsia" w:ascii="Times New Roman" w:hAnsi="Times New Roman" w:eastAsia="宋体" w:cs="Times New Roman"/>
                <w:color w:val="auto"/>
                <w:sz w:val="21"/>
                <w:szCs w:val="21"/>
                <w:highlight w:val="none"/>
                <w:lang w:val="en-US" w:eastAsia="zh-CN"/>
              </w:rPr>
              <w:t>设备</w:t>
            </w:r>
            <w:r>
              <w:rPr>
                <w:rFonts w:hint="default" w:ascii="Times New Roman" w:hAnsi="Times New Roman" w:eastAsia="宋体" w:cs="Times New Roman"/>
                <w:color w:val="auto"/>
                <w:sz w:val="21"/>
                <w:szCs w:val="21"/>
                <w:highlight w:val="none"/>
                <w:lang w:val="en-US" w:eastAsia="zh-CN"/>
              </w:rPr>
              <w:t>，规模较小，</w:t>
            </w:r>
            <w:r>
              <w:rPr>
                <w:rFonts w:hint="eastAsia" w:ascii="Times New Roman" w:hAnsi="Times New Roman" w:eastAsia="宋体" w:cs="Times New Roman"/>
                <w:color w:val="auto"/>
                <w:sz w:val="21"/>
                <w:szCs w:val="21"/>
                <w:highlight w:val="none"/>
                <w:lang w:val="en-US" w:eastAsia="zh-CN"/>
              </w:rPr>
              <w:t>经</w:t>
            </w:r>
            <w:r>
              <w:rPr>
                <w:rFonts w:hint="default" w:ascii="Times New Roman" w:hAnsi="Times New Roman" w:eastAsia="宋体" w:cs="Times New Roman"/>
                <w:color w:val="auto"/>
                <w:sz w:val="21"/>
                <w:szCs w:val="21"/>
                <w:highlight w:val="none"/>
                <w:lang w:val="en-US" w:eastAsia="zh-CN"/>
              </w:rPr>
              <w:t>加强通风和定期消毒处理</w:t>
            </w:r>
          </w:p>
        </w:tc>
        <w:tc>
          <w:tcPr>
            <w:tcW w:w="2722" w:type="dxa"/>
            <w:vMerge w:val="continue"/>
            <w:noWrap w:val="0"/>
            <w:vAlign w:val="center"/>
          </w:tcPr>
          <w:p w14:paraId="528B6CEB">
            <w:pPr>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p>
        </w:tc>
      </w:tr>
      <w:tr w14:paraId="0C15D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27" w:type="dxa"/>
            <w:vMerge w:val="continue"/>
            <w:noWrap w:val="0"/>
            <w:vAlign w:val="center"/>
          </w:tcPr>
          <w:p w14:paraId="0D415BFF">
            <w:pPr>
              <w:pStyle w:val="35"/>
              <w:spacing w:line="240" w:lineRule="auto"/>
              <w:jc w:val="center"/>
              <w:rPr>
                <w:rFonts w:hint="default" w:ascii="Times New Roman" w:hAnsi="Times New Roman" w:cs="Times New Roman"/>
                <w:color w:val="auto"/>
                <w:sz w:val="21"/>
                <w:szCs w:val="21"/>
                <w:highlight w:val="none"/>
                <w:lang w:val="en-US" w:eastAsia="zh-CN"/>
              </w:rPr>
            </w:pPr>
          </w:p>
        </w:tc>
        <w:tc>
          <w:tcPr>
            <w:tcW w:w="1281" w:type="dxa"/>
            <w:noWrap w:val="0"/>
            <w:vAlign w:val="center"/>
          </w:tcPr>
          <w:p w14:paraId="4709BD13">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bCs w:val="0"/>
                <w:snapToGrid w:val="0"/>
                <w:color w:val="auto"/>
                <w:kern w:val="2"/>
                <w:sz w:val="21"/>
                <w:szCs w:val="21"/>
                <w:lang w:val="en-US" w:eastAsia="zh-CN" w:bidi="ar-SA"/>
              </w:rPr>
              <w:t>医疗废物贮存间</w:t>
            </w:r>
            <w:r>
              <w:rPr>
                <w:rFonts w:hint="eastAsia" w:ascii="Times New Roman" w:hAnsi="Times New Roman" w:eastAsia="宋体" w:cs="Times New Roman"/>
                <w:b w:val="0"/>
                <w:bCs w:val="0"/>
                <w:color w:val="auto"/>
                <w:kern w:val="2"/>
                <w:sz w:val="21"/>
                <w:szCs w:val="21"/>
                <w:lang w:val="en-US" w:eastAsia="zh-CN" w:bidi="ar-SA"/>
              </w:rPr>
              <w:t>异味</w:t>
            </w:r>
          </w:p>
        </w:tc>
        <w:tc>
          <w:tcPr>
            <w:tcW w:w="1277" w:type="dxa"/>
            <w:noWrap w:val="0"/>
            <w:vAlign w:val="center"/>
          </w:tcPr>
          <w:p w14:paraId="2F399493">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bidi="ar-SA"/>
              </w:rPr>
            </w:pPr>
            <w:r>
              <w:rPr>
                <w:rFonts w:hint="default" w:ascii="Times New Roman" w:hAnsi="Times New Roman" w:eastAsia="宋体" w:cs="Times New Roman"/>
                <w:b w:val="0"/>
                <w:bCs w:val="0"/>
                <w:color w:val="auto"/>
                <w:kern w:val="2"/>
                <w:sz w:val="21"/>
                <w:szCs w:val="21"/>
                <w:lang w:val="en-US" w:eastAsia="zh-CN" w:bidi="ar-SA"/>
              </w:rPr>
              <w:t>臭气浓度</w:t>
            </w:r>
          </w:p>
        </w:tc>
        <w:tc>
          <w:tcPr>
            <w:tcW w:w="2115" w:type="dxa"/>
            <w:noWrap w:val="0"/>
            <w:vAlign w:val="center"/>
          </w:tcPr>
          <w:p w14:paraId="233AC897">
            <w:pPr>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对医疗废物储存加盖密封，同时加强管理，做好消毒工作，及时清运，定期进行医疗废物贮存间存储设施、设备的清洁和消毒工作，确保医疗废物的暂存时间最多不超过2天</w:t>
            </w:r>
          </w:p>
        </w:tc>
        <w:tc>
          <w:tcPr>
            <w:tcW w:w="2722" w:type="dxa"/>
            <w:noWrap w:val="0"/>
            <w:vAlign w:val="center"/>
          </w:tcPr>
          <w:p w14:paraId="7EEFEDA5">
            <w:pPr>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《恶臭污染物排放标准》（GB14554-93）中表1中相关标准限值：臭气浓度20（无纲量）</w:t>
            </w:r>
          </w:p>
        </w:tc>
      </w:tr>
      <w:tr w14:paraId="34EBB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2" w:hRule="atLeast"/>
          <w:jc w:val="center"/>
        </w:trPr>
        <w:tc>
          <w:tcPr>
            <w:tcW w:w="1127" w:type="dxa"/>
            <w:vMerge w:val="restart"/>
            <w:noWrap w:val="0"/>
            <w:vAlign w:val="center"/>
          </w:tcPr>
          <w:p w14:paraId="0469F222">
            <w:pPr>
              <w:pStyle w:val="35"/>
              <w:spacing w:line="240" w:lineRule="auto"/>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地表水</w:t>
            </w:r>
          </w:p>
        </w:tc>
        <w:tc>
          <w:tcPr>
            <w:tcW w:w="1281" w:type="dxa"/>
            <w:noWrap w:val="0"/>
            <w:vAlign w:val="center"/>
          </w:tcPr>
          <w:p w14:paraId="0A6183CA">
            <w:pPr>
              <w:pStyle w:val="35"/>
              <w:spacing w:line="240" w:lineRule="auto"/>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生活污水</w:t>
            </w:r>
          </w:p>
        </w:tc>
        <w:tc>
          <w:tcPr>
            <w:tcW w:w="1277" w:type="dxa"/>
            <w:vMerge w:val="restart"/>
            <w:noWrap w:val="0"/>
            <w:vAlign w:val="center"/>
          </w:tcPr>
          <w:p w14:paraId="66AD4AE6">
            <w:pPr>
              <w:pStyle w:val="35"/>
              <w:snapToGrid w:val="0"/>
              <w:spacing w:line="240" w:lineRule="auto"/>
              <w:jc w:val="center"/>
              <w:rPr>
                <w:rFonts w:hint="default" w:ascii="Times New Roman" w:hAnsi="Times New Roman" w:cs="Times New Roman"/>
                <w:color w:val="auto"/>
                <w:sz w:val="21"/>
                <w:szCs w:val="21"/>
                <w:highlight w:val="none"/>
                <w:lang w:val="en-US" w:eastAsia="zh-CN"/>
              </w:rPr>
            </w:pPr>
            <w:bookmarkStart w:id="66" w:name="OLE_LINK62"/>
            <w:bookmarkStart w:id="67" w:name="OLE_LINK61"/>
            <w:r>
              <w:rPr>
                <w:rFonts w:hint="default" w:ascii="Times New Roman" w:hAnsi="Times New Roman" w:cs="Times New Roman"/>
                <w:color w:val="auto"/>
                <w:sz w:val="21"/>
                <w:szCs w:val="21"/>
                <w:highlight w:val="none"/>
                <w:lang w:val="en-US" w:eastAsia="zh-CN"/>
              </w:rPr>
              <w:t>COD、BOD</w:t>
            </w:r>
            <w:r>
              <w:rPr>
                <w:rFonts w:hint="default" w:ascii="Times New Roman" w:hAnsi="Times New Roman" w:cs="Times New Roman"/>
                <w:color w:val="auto"/>
                <w:sz w:val="21"/>
                <w:szCs w:val="21"/>
                <w:highlight w:val="none"/>
                <w:vertAlign w:val="subscript"/>
                <w:lang w:val="en-US" w:eastAsia="zh-CN"/>
              </w:rPr>
              <w:t>5</w:t>
            </w:r>
            <w:r>
              <w:rPr>
                <w:rFonts w:hint="default" w:ascii="Times New Roman" w:hAnsi="Times New Roman" w:cs="Times New Roman"/>
                <w:color w:val="auto"/>
                <w:sz w:val="21"/>
                <w:szCs w:val="21"/>
                <w:highlight w:val="none"/>
                <w:lang w:val="en-US" w:eastAsia="zh-CN"/>
              </w:rPr>
              <w:t>、SS、氨氮</w:t>
            </w:r>
            <w:bookmarkEnd w:id="66"/>
            <w:bookmarkEnd w:id="67"/>
          </w:p>
        </w:tc>
        <w:tc>
          <w:tcPr>
            <w:tcW w:w="2115" w:type="dxa"/>
            <w:vMerge w:val="restart"/>
            <w:noWrap w:val="0"/>
            <w:vAlign w:val="center"/>
          </w:tcPr>
          <w:p w14:paraId="5F1D6ECB">
            <w:pPr>
              <w:pStyle w:val="35"/>
              <w:snapToGrid w:val="0"/>
              <w:spacing w:line="240" w:lineRule="auto"/>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排入</w:t>
            </w:r>
            <w:bookmarkStart w:id="68" w:name="OLE_LINK64"/>
            <w:r>
              <w:rPr>
                <w:rFonts w:hint="default" w:ascii="Times New Roman" w:hAnsi="Times New Roman" w:cs="Times New Roman"/>
                <w:color w:val="auto"/>
                <w:sz w:val="21"/>
                <w:szCs w:val="21"/>
                <w:highlight w:val="none"/>
                <w:lang w:val="en-US" w:eastAsia="zh-CN"/>
              </w:rPr>
              <w:t>市政污水管道最终进入</w:t>
            </w:r>
            <w:r>
              <w:rPr>
                <w:rFonts w:hint="eastAsia" w:cs="Times New Roman"/>
                <w:color w:val="auto"/>
                <w:sz w:val="21"/>
                <w:szCs w:val="21"/>
                <w:highlight w:val="none"/>
                <w:lang w:val="en-US" w:eastAsia="zh-CN"/>
              </w:rPr>
              <w:t>库尔勒市南市区污水处理厂（库尔勒龙润水处理有限公司）</w:t>
            </w:r>
            <w:r>
              <w:rPr>
                <w:rFonts w:hint="default" w:ascii="Times New Roman" w:hAnsi="Times New Roman" w:cs="Times New Roman"/>
                <w:color w:val="auto"/>
                <w:sz w:val="21"/>
                <w:szCs w:val="21"/>
                <w:highlight w:val="none"/>
                <w:lang w:val="en-US" w:eastAsia="zh-CN"/>
              </w:rPr>
              <w:t>处理</w:t>
            </w:r>
            <w:bookmarkEnd w:id="68"/>
          </w:p>
        </w:tc>
        <w:tc>
          <w:tcPr>
            <w:tcW w:w="2722" w:type="dxa"/>
            <w:vMerge w:val="restart"/>
            <w:noWrap w:val="0"/>
            <w:vAlign w:val="center"/>
          </w:tcPr>
          <w:p w14:paraId="75A53358">
            <w:pPr>
              <w:pStyle w:val="35"/>
              <w:snapToGrid w:val="0"/>
              <w:spacing w:line="240" w:lineRule="auto"/>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vertAlign w:val="baseline"/>
                <w:lang w:val="en-US" w:eastAsia="zh-CN" w:bidi="ar-SA"/>
              </w:rPr>
              <w:t>氨氮执行《污水排入城镇下水道水质标准》（GB/T31962-2015）B等级标准，其他指标执行《污水综合排放标准》（GB8978-1996）三级标准：</w:t>
            </w:r>
            <w:r>
              <w:rPr>
                <w:rFonts w:hint="default" w:ascii="Times New Roman" w:hAnsi="Times New Roman" w:eastAsia="宋体" w:cs="Times New Roman"/>
                <w:color w:val="auto"/>
                <w:sz w:val="21"/>
                <w:szCs w:val="21"/>
                <w:highlight w:val="none"/>
              </w:rPr>
              <w:t>（COD≤</w:t>
            </w:r>
            <w:r>
              <w:rPr>
                <w:rFonts w:hint="default" w:ascii="Times New Roman" w:hAnsi="Times New Roman" w:eastAsia="宋体" w:cs="Times New Roman"/>
                <w:color w:val="auto"/>
                <w:sz w:val="21"/>
                <w:szCs w:val="21"/>
                <w:highlight w:val="none"/>
                <w:lang w:val="en-US" w:eastAsia="zh-CN"/>
              </w:rPr>
              <w:t>50</w:t>
            </w:r>
            <w:r>
              <w:rPr>
                <w:rFonts w:hint="default" w:ascii="Times New Roman" w:hAnsi="Times New Roman" w:eastAsia="宋体" w:cs="Times New Roman"/>
                <w:color w:val="auto"/>
                <w:sz w:val="21"/>
                <w:szCs w:val="21"/>
                <w:highlight w:val="none"/>
              </w:rPr>
              <w:t>0mg/L、BOD</w:t>
            </w:r>
            <w:r>
              <w:rPr>
                <w:rFonts w:hint="default" w:ascii="Times New Roman" w:hAnsi="Times New Roman" w:eastAsia="宋体" w:cs="Times New Roman"/>
                <w:color w:val="auto"/>
                <w:sz w:val="21"/>
                <w:szCs w:val="21"/>
                <w:highlight w:val="none"/>
                <w:vertAlign w:val="subscript"/>
                <w:lang w:val="en-US" w:eastAsia="zh-CN"/>
              </w:rPr>
              <w:t>5</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vertAlign w:val="baseline"/>
                <w:lang w:val="en-US" w:eastAsia="zh-CN"/>
              </w:rPr>
              <w:t>3</w:t>
            </w:r>
            <w:r>
              <w:rPr>
                <w:rFonts w:hint="default" w:ascii="Times New Roman" w:hAnsi="Times New Roman" w:eastAsia="宋体" w:cs="Times New Roman"/>
                <w:color w:val="auto"/>
                <w:sz w:val="21"/>
                <w:szCs w:val="21"/>
                <w:highlight w:val="none"/>
              </w:rPr>
              <w:t>00mg/L、SS≤</w:t>
            </w:r>
            <w:r>
              <w:rPr>
                <w:rFonts w:hint="default" w:ascii="Times New Roman" w:hAnsi="Times New Roman" w:eastAsia="宋体" w:cs="Times New Roman"/>
                <w:color w:val="auto"/>
                <w:sz w:val="21"/>
                <w:szCs w:val="21"/>
                <w:highlight w:val="none"/>
                <w:lang w:val="en-US" w:eastAsia="zh-CN"/>
              </w:rPr>
              <w:t>400</w:t>
            </w:r>
            <w:r>
              <w:rPr>
                <w:rFonts w:hint="default" w:ascii="Times New Roman" w:hAnsi="Times New Roman" w:eastAsia="宋体" w:cs="Times New Roman"/>
                <w:color w:val="auto"/>
                <w:sz w:val="21"/>
                <w:szCs w:val="21"/>
                <w:highlight w:val="none"/>
              </w:rPr>
              <w:t>mg/L、粪大肠菌群数≤5000</w:t>
            </w:r>
            <w:r>
              <w:rPr>
                <w:rFonts w:hint="default" w:ascii="Times New Roman" w:hAnsi="Times New Roman" w:eastAsia="宋体" w:cs="Times New Roman"/>
                <w:color w:val="auto"/>
                <w:sz w:val="21"/>
                <w:szCs w:val="21"/>
                <w:highlight w:val="none"/>
                <w:lang w:val="en-US" w:eastAsia="zh-CN"/>
              </w:rPr>
              <w:t>个</w:t>
            </w:r>
            <w:r>
              <w:rPr>
                <w:rFonts w:hint="default" w:ascii="Times New Roman" w:hAnsi="Times New Roman" w:eastAsia="宋体" w:cs="Times New Roman"/>
                <w:color w:val="auto"/>
                <w:sz w:val="21"/>
                <w:szCs w:val="21"/>
                <w:highlight w:val="none"/>
              </w:rPr>
              <w:t>/L、NH</w:t>
            </w:r>
            <w:r>
              <w:rPr>
                <w:rFonts w:hint="default" w:ascii="Times New Roman" w:hAnsi="Times New Roman" w:eastAsia="宋体" w:cs="Times New Roman"/>
                <w:color w:val="auto"/>
                <w:sz w:val="21"/>
                <w:szCs w:val="21"/>
                <w:highlight w:val="none"/>
                <w:vertAlign w:val="subscript"/>
              </w:rPr>
              <w:t>3</w:t>
            </w:r>
            <w:r>
              <w:rPr>
                <w:rFonts w:hint="default" w:ascii="Times New Roman" w:hAnsi="Times New Roman" w:eastAsia="宋体" w:cs="Times New Roman"/>
                <w:color w:val="auto"/>
                <w:sz w:val="21"/>
                <w:szCs w:val="21"/>
                <w:highlight w:val="none"/>
              </w:rPr>
              <w:t>-N≤45mg/L）</w:t>
            </w:r>
          </w:p>
        </w:tc>
      </w:tr>
      <w:tr w14:paraId="63247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27" w:type="dxa"/>
            <w:vMerge w:val="continue"/>
            <w:noWrap w:val="0"/>
            <w:vAlign w:val="center"/>
          </w:tcPr>
          <w:p w14:paraId="238C344E">
            <w:pPr>
              <w:pStyle w:val="35"/>
              <w:spacing w:line="240" w:lineRule="auto"/>
              <w:jc w:val="center"/>
              <w:rPr>
                <w:color w:val="auto"/>
                <w:highlight w:val="none"/>
              </w:rPr>
            </w:pPr>
          </w:p>
        </w:tc>
        <w:tc>
          <w:tcPr>
            <w:tcW w:w="1281" w:type="dxa"/>
            <w:noWrap w:val="0"/>
            <w:vAlign w:val="center"/>
          </w:tcPr>
          <w:p w14:paraId="45BE5C31">
            <w:pPr>
              <w:pStyle w:val="35"/>
              <w:spacing w:line="240" w:lineRule="auto"/>
              <w:jc w:val="center"/>
              <w:rPr>
                <w:rFonts w:hint="default" w:ascii="Times New Roman" w:hAnsi="Times New Roman" w:cs="Times New Roman"/>
                <w:color w:val="auto"/>
                <w:sz w:val="21"/>
                <w:szCs w:val="21"/>
                <w:highlight w:val="none"/>
                <w:lang w:val="en-US" w:eastAsia="zh-CN"/>
              </w:rPr>
            </w:pPr>
            <w:r>
              <w:rPr>
                <w:rFonts w:hint="eastAsia" w:cs="Times New Roman"/>
                <w:color w:val="auto"/>
                <w:highlight w:val="none"/>
                <w:lang w:val="en-US" w:eastAsia="zh-CN"/>
              </w:rPr>
              <w:t>宠物</w:t>
            </w:r>
            <w:r>
              <w:rPr>
                <w:rFonts w:hint="default" w:ascii="Times New Roman" w:hAnsi="Times New Roman" w:cs="Times New Roman"/>
                <w:color w:val="auto"/>
                <w:highlight w:val="none"/>
                <w:lang w:val="en-US" w:eastAsia="zh-CN"/>
              </w:rPr>
              <w:t>洗浴</w:t>
            </w:r>
            <w:r>
              <w:rPr>
                <w:rFonts w:hint="default" w:ascii="Times New Roman" w:hAnsi="Times New Roman" w:cs="Times New Roman"/>
                <w:color w:val="auto"/>
                <w:highlight w:val="none"/>
                <w:lang w:val="en-US" w:eastAsia="en-US"/>
              </w:rPr>
              <w:t>废水</w:t>
            </w:r>
          </w:p>
        </w:tc>
        <w:tc>
          <w:tcPr>
            <w:tcW w:w="1277" w:type="dxa"/>
            <w:vMerge w:val="continue"/>
            <w:noWrap w:val="0"/>
            <w:vAlign w:val="center"/>
          </w:tcPr>
          <w:p w14:paraId="475E267F">
            <w:pPr>
              <w:pStyle w:val="35"/>
              <w:spacing w:line="240" w:lineRule="auto"/>
              <w:jc w:val="center"/>
              <w:rPr>
                <w:rFonts w:hint="default" w:ascii="Times New Roman" w:hAnsi="Times New Roman" w:cs="Times New Roman"/>
                <w:color w:val="auto"/>
                <w:sz w:val="21"/>
                <w:szCs w:val="21"/>
                <w:highlight w:val="none"/>
                <w:lang w:val="en-US" w:eastAsia="zh-CN"/>
              </w:rPr>
            </w:pPr>
          </w:p>
        </w:tc>
        <w:tc>
          <w:tcPr>
            <w:tcW w:w="2115" w:type="dxa"/>
            <w:vMerge w:val="continue"/>
            <w:noWrap w:val="0"/>
            <w:vAlign w:val="center"/>
          </w:tcPr>
          <w:p w14:paraId="6FA3C694">
            <w:pPr>
              <w:pStyle w:val="35"/>
              <w:spacing w:line="240" w:lineRule="auto"/>
              <w:jc w:val="center"/>
              <w:rPr>
                <w:rFonts w:hint="default" w:ascii="Times New Roman" w:hAnsi="Times New Roman" w:cs="Times New Roman"/>
                <w:color w:val="auto"/>
                <w:sz w:val="21"/>
                <w:szCs w:val="21"/>
                <w:highlight w:val="none"/>
                <w:lang w:val="en-US" w:eastAsia="zh-CN"/>
              </w:rPr>
            </w:pPr>
          </w:p>
        </w:tc>
        <w:tc>
          <w:tcPr>
            <w:tcW w:w="2722" w:type="dxa"/>
            <w:vMerge w:val="continue"/>
            <w:noWrap w:val="0"/>
            <w:vAlign w:val="center"/>
          </w:tcPr>
          <w:p w14:paraId="56FB46AA">
            <w:pPr>
              <w:pStyle w:val="35"/>
              <w:spacing w:line="240" w:lineRule="auto"/>
              <w:jc w:val="center"/>
              <w:rPr>
                <w:rFonts w:hint="default" w:ascii="Times New Roman" w:hAnsi="Times New Roman" w:cs="Times New Roman"/>
                <w:color w:val="auto"/>
                <w:sz w:val="21"/>
                <w:szCs w:val="21"/>
                <w:highlight w:val="none"/>
                <w:lang w:val="en-US" w:eastAsia="zh-CN"/>
              </w:rPr>
            </w:pPr>
          </w:p>
        </w:tc>
      </w:tr>
      <w:tr w14:paraId="68CDD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27" w:type="dxa"/>
            <w:vMerge w:val="continue"/>
            <w:noWrap w:val="0"/>
            <w:vAlign w:val="center"/>
          </w:tcPr>
          <w:p w14:paraId="71259566">
            <w:pPr>
              <w:pStyle w:val="35"/>
              <w:spacing w:line="240" w:lineRule="auto"/>
              <w:jc w:val="center"/>
              <w:rPr>
                <w:rFonts w:hint="default" w:ascii="Times New Roman" w:hAnsi="Times New Roman" w:cs="Times New Roman"/>
                <w:color w:val="auto"/>
                <w:sz w:val="21"/>
                <w:szCs w:val="21"/>
                <w:highlight w:val="none"/>
                <w:lang w:val="en-US" w:eastAsia="zh-CN"/>
              </w:rPr>
            </w:pPr>
          </w:p>
        </w:tc>
        <w:tc>
          <w:tcPr>
            <w:tcW w:w="1281" w:type="dxa"/>
            <w:noWrap w:val="0"/>
            <w:vAlign w:val="center"/>
          </w:tcPr>
          <w:p w14:paraId="49DB1169">
            <w:pPr>
              <w:pStyle w:val="35"/>
              <w:spacing w:line="240" w:lineRule="auto"/>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医疗废水</w:t>
            </w:r>
            <w:r>
              <w:rPr>
                <w:rFonts w:hint="eastAsia" w:cs="Times New Roman"/>
                <w:color w:val="auto"/>
                <w:sz w:val="21"/>
                <w:szCs w:val="21"/>
                <w:highlight w:val="none"/>
                <w:lang w:val="en-US" w:eastAsia="zh-CN"/>
              </w:rPr>
              <w:t>、清洗消毒废水</w:t>
            </w:r>
          </w:p>
        </w:tc>
        <w:tc>
          <w:tcPr>
            <w:tcW w:w="1277" w:type="dxa"/>
            <w:noWrap w:val="0"/>
            <w:vAlign w:val="center"/>
          </w:tcPr>
          <w:p w14:paraId="082DEA01">
            <w:pPr>
              <w:pStyle w:val="35"/>
              <w:snapToGrid w:val="0"/>
              <w:spacing w:line="240" w:lineRule="auto"/>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highlight w:val="none"/>
                <w:lang w:val="en-US" w:eastAsia="zh-CN"/>
              </w:rPr>
              <w:t>pH、</w:t>
            </w:r>
            <w:r>
              <w:rPr>
                <w:rFonts w:hint="default" w:ascii="Times New Roman" w:hAnsi="Times New Roman" w:cs="Times New Roman"/>
                <w:color w:val="auto"/>
                <w:sz w:val="21"/>
                <w:szCs w:val="21"/>
                <w:highlight w:val="none"/>
                <w:lang w:val="en-US" w:eastAsia="zh-CN"/>
              </w:rPr>
              <w:t>COD、BOD</w:t>
            </w:r>
            <w:r>
              <w:rPr>
                <w:rFonts w:hint="default" w:ascii="Times New Roman" w:hAnsi="Times New Roman" w:cs="Times New Roman"/>
                <w:color w:val="auto"/>
                <w:sz w:val="21"/>
                <w:szCs w:val="21"/>
                <w:highlight w:val="none"/>
                <w:vertAlign w:val="subscript"/>
                <w:lang w:val="en-US" w:eastAsia="zh-CN"/>
              </w:rPr>
              <w:t>5</w:t>
            </w:r>
            <w:r>
              <w:rPr>
                <w:rFonts w:hint="default" w:ascii="Times New Roman" w:hAnsi="Times New Roman" w:cs="Times New Roman"/>
                <w:color w:val="auto"/>
                <w:sz w:val="21"/>
                <w:szCs w:val="21"/>
                <w:highlight w:val="none"/>
                <w:lang w:val="en-US" w:eastAsia="zh-CN"/>
              </w:rPr>
              <w:t>、SS、氨氮、粪大肠菌群</w:t>
            </w:r>
            <w:r>
              <w:rPr>
                <w:rFonts w:hint="eastAsia" w:cs="Times New Roman"/>
                <w:color w:val="auto"/>
                <w:sz w:val="21"/>
                <w:szCs w:val="21"/>
                <w:highlight w:val="none"/>
                <w:lang w:val="en-US" w:eastAsia="zh-CN"/>
              </w:rPr>
              <w:t>数</w:t>
            </w:r>
          </w:p>
        </w:tc>
        <w:tc>
          <w:tcPr>
            <w:tcW w:w="2115" w:type="dxa"/>
            <w:noWrap w:val="0"/>
            <w:vAlign w:val="center"/>
          </w:tcPr>
          <w:p w14:paraId="552FBEBF">
            <w:pPr>
              <w:pStyle w:val="35"/>
              <w:snapToGrid w:val="0"/>
              <w:spacing w:line="240" w:lineRule="auto"/>
              <w:jc w:val="center"/>
              <w:rPr>
                <w:rFonts w:hint="default" w:ascii="Times New Roman" w:hAnsi="Times New Roman" w:cs="Times New Roman"/>
                <w:color w:val="auto"/>
                <w:sz w:val="21"/>
                <w:szCs w:val="21"/>
                <w:highlight w:val="none"/>
                <w:lang w:val="en-US" w:eastAsia="zh-CN"/>
              </w:rPr>
            </w:pPr>
            <w:bookmarkStart w:id="69" w:name="OLE_LINK65"/>
            <w:r>
              <w:rPr>
                <w:rFonts w:hint="default" w:ascii="Times New Roman" w:hAnsi="Times New Roman" w:cs="Times New Roman"/>
                <w:color w:val="auto"/>
                <w:sz w:val="21"/>
                <w:szCs w:val="21"/>
                <w:highlight w:val="none"/>
                <w:lang w:val="en-US" w:eastAsia="zh-CN"/>
              </w:rPr>
              <w:t>经过一体化污水处理设施过滤与消毒后排入市政污水管道最终进入</w:t>
            </w:r>
            <w:r>
              <w:rPr>
                <w:rFonts w:hint="eastAsia" w:cs="Times New Roman"/>
                <w:color w:val="auto"/>
                <w:sz w:val="21"/>
                <w:szCs w:val="21"/>
                <w:highlight w:val="none"/>
                <w:lang w:val="en-US" w:eastAsia="zh-CN"/>
              </w:rPr>
              <w:t>库尔勒市南市区污水处理厂（库尔勒龙润水处理有限公司）</w:t>
            </w:r>
            <w:r>
              <w:rPr>
                <w:rFonts w:hint="default" w:ascii="Times New Roman" w:hAnsi="Times New Roman" w:cs="Times New Roman"/>
                <w:color w:val="auto"/>
                <w:sz w:val="21"/>
                <w:szCs w:val="21"/>
                <w:highlight w:val="none"/>
                <w:lang w:val="en-US" w:eastAsia="zh-CN"/>
              </w:rPr>
              <w:t>处理</w:t>
            </w:r>
            <w:bookmarkEnd w:id="69"/>
          </w:p>
        </w:tc>
        <w:tc>
          <w:tcPr>
            <w:tcW w:w="2722" w:type="dxa"/>
            <w:noWrap w:val="0"/>
            <w:vAlign w:val="center"/>
          </w:tcPr>
          <w:p w14:paraId="49842AF3">
            <w:pPr>
              <w:pStyle w:val="35"/>
              <w:snapToGrid w:val="0"/>
              <w:spacing w:line="240" w:lineRule="auto"/>
              <w:jc w:val="center"/>
              <w:rPr>
                <w:rFonts w:hint="default" w:ascii="Times New Roman" w:hAnsi="Times New Roman" w:cs="Times New Roman"/>
                <w:color w:val="auto"/>
                <w:sz w:val="21"/>
                <w:szCs w:val="21"/>
                <w:highlight w:val="none"/>
                <w:lang w:val="en-US" w:eastAsia="zh-CN"/>
              </w:rPr>
            </w:pPr>
            <w:bookmarkStart w:id="70" w:name="OLE_LINK66"/>
            <w:bookmarkStart w:id="71" w:name="OLE_LINK94"/>
            <w:r>
              <w:rPr>
                <w:rFonts w:hint="default" w:ascii="Times New Roman" w:hAnsi="Times New Roman" w:cs="Times New Roman"/>
                <w:color w:val="auto"/>
                <w:sz w:val="21"/>
                <w:szCs w:val="21"/>
                <w:highlight w:val="none"/>
                <w:lang w:val="en-US" w:eastAsia="zh-CN"/>
              </w:rPr>
              <w:t>《医疗机构水污染物排放标准》</w:t>
            </w:r>
            <w:bookmarkEnd w:id="70"/>
            <w:r>
              <w:rPr>
                <w:rFonts w:hint="default" w:ascii="Times New Roman" w:hAnsi="Times New Roman" w:cs="Times New Roman"/>
                <w:color w:val="auto"/>
                <w:sz w:val="21"/>
                <w:szCs w:val="21"/>
                <w:highlight w:val="none"/>
                <w:lang w:val="en-US" w:eastAsia="zh-CN"/>
              </w:rPr>
              <w:t>(GB18466-2005)中表2预处理标准</w:t>
            </w:r>
            <w:bookmarkEnd w:id="71"/>
            <w:bookmarkStart w:id="72" w:name="OLE_LINK63"/>
            <w:r>
              <w:rPr>
                <w:rFonts w:hint="default" w:ascii="Times New Roman" w:hAnsi="Times New Roman" w:eastAsia="宋体" w:cs="Times New Roman"/>
                <w:color w:val="auto"/>
                <w:sz w:val="21"/>
                <w:szCs w:val="21"/>
                <w:highlight w:val="none"/>
              </w:rPr>
              <w:t>（pH</w:t>
            </w:r>
            <w:r>
              <w:rPr>
                <w:rFonts w:hint="eastAsia" w:cs="Times New Roman"/>
                <w:color w:val="auto"/>
                <w:sz w:val="21"/>
                <w:szCs w:val="21"/>
                <w:highlight w:val="none"/>
                <w:lang w:eastAsia="zh-CN"/>
              </w:rPr>
              <w:t>：</w:t>
            </w:r>
            <w:r>
              <w:rPr>
                <w:rFonts w:hint="eastAsia" w:cs="Times New Roman"/>
                <w:color w:val="auto"/>
                <w:sz w:val="21"/>
                <w:szCs w:val="21"/>
                <w:highlight w:val="none"/>
                <w:lang w:val="en-US" w:eastAsia="zh-CN"/>
              </w:rPr>
              <w:t>6~9</w:t>
            </w:r>
            <w:r>
              <w:rPr>
                <w:rFonts w:hint="eastAsia"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COD</w:t>
            </w:r>
            <w:bookmarkStart w:id="73" w:name="OLE_LINK67"/>
            <w:r>
              <w:rPr>
                <w:rFonts w:hint="default" w:ascii="Times New Roman" w:hAnsi="Times New Roman" w:eastAsia="宋体" w:cs="Times New Roman"/>
                <w:color w:val="auto"/>
                <w:sz w:val="21"/>
                <w:szCs w:val="21"/>
                <w:highlight w:val="none"/>
              </w:rPr>
              <w:t>≤</w:t>
            </w:r>
            <w:bookmarkEnd w:id="73"/>
            <w:r>
              <w:rPr>
                <w:rFonts w:hint="default" w:ascii="Times New Roman" w:hAnsi="Times New Roman" w:eastAsia="宋体" w:cs="Times New Roman"/>
                <w:color w:val="auto"/>
                <w:sz w:val="21"/>
                <w:szCs w:val="21"/>
                <w:highlight w:val="none"/>
              </w:rPr>
              <w:t>250mg/L、BOD</w:t>
            </w:r>
            <w:r>
              <w:rPr>
                <w:rFonts w:hint="default" w:ascii="Times New Roman" w:hAnsi="Times New Roman" w:eastAsia="宋体" w:cs="Times New Roman"/>
                <w:color w:val="auto"/>
                <w:sz w:val="21"/>
                <w:szCs w:val="21"/>
                <w:highlight w:val="none"/>
                <w:vertAlign w:val="subscript"/>
                <w:lang w:val="en-US" w:eastAsia="zh-CN"/>
              </w:rPr>
              <w:t>5</w:t>
            </w:r>
            <w:r>
              <w:rPr>
                <w:rFonts w:hint="default" w:ascii="Times New Roman" w:hAnsi="Times New Roman" w:eastAsia="宋体" w:cs="Times New Roman"/>
                <w:color w:val="auto"/>
                <w:sz w:val="21"/>
                <w:szCs w:val="21"/>
                <w:highlight w:val="none"/>
              </w:rPr>
              <w:t>≤100mg/L、SS≤60mg/L、粪大肠菌群数≤5000MPN/L、NH</w:t>
            </w:r>
            <w:r>
              <w:rPr>
                <w:rFonts w:hint="default" w:ascii="Times New Roman" w:hAnsi="Times New Roman" w:eastAsia="宋体" w:cs="Times New Roman"/>
                <w:color w:val="auto"/>
                <w:sz w:val="21"/>
                <w:szCs w:val="21"/>
                <w:highlight w:val="none"/>
                <w:vertAlign w:val="subscript"/>
              </w:rPr>
              <w:t>3</w:t>
            </w:r>
            <w:r>
              <w:rPr>
                <w:rFonts w:hint="default" w:ascii="Times New Roman" w:hAnsi="Times New Roman" w:eastAsia="宋体" w:cs="Times New Roman"/>
                <w:color w:val="auto"/>
                <w:sz w:val="21"/>
                <w:szCs w:val="21"/>
                <w:highlight w:val="none"/>
              </w:rPr>
              <w:t>-N≤45mg/L）</w:t>
            </w:r>
            <w:bookmarkEnd w:id="72"/>
          </w:p>
        </w:tc>
      </w:tr>
      <w:tr w14:paraId="4F2D8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27" w:type="dxa"/>
            <w:noWrap w:val="0"/>
            <w:vAlign w:val="center"/>
          </w:tcPr>
          <w:p w14:paraId="6233DF26">
            <w:pPr>
              <w:pStyle w:val="35"/>
              <w:snapToGrid w:val="0"/>
              <w:spacing w:line="240" w:lineRule="auto"/>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声环境</w:t>
            </w:r>
          </w:p>
        </w:tc>
        <w:tc>
          <w:tcPr>
            <w:tcW w:w="1281" w:type="dxa"/>
            <w:noWrap w:val="0"/>
            <w:vAlign w:val="center"/>
          </w:tcPr>
          <w:p w14:paraId="72E446F4">
            <w:pPr>
              <w:pStyle w:val="35"/>
              <w:snapToGrid w:val="0"/>
              <w:spacing w:line="240" w:lineRule="auto"/>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设备噪声</w:t>
            </w:r>
          </w:p>
        </w:tc>
        <w:tc>
          <w:tcPr>
            <w:tcW w:w="1277" w:type="dxa"/>
            <w:noWrap w:val="0"/>
            <w:vAlign w:val="center"/>
          </w:tcPr>
          <w:p w14:paraId="6606FC13">
            <w:pPr>
              <w:pStyle w:val="35"/>
              <w:snapToGrid w:val="0"/>
              <w:spacing w:line="240" w:lineRule="auto"/>
              <w:jc w:val="center"/>
              <w:rPr>
                <w:rFonts w:hint="default" w:ascii="Times New Roman" w:hAnsi="Times New Roman" w:cs="Times New Roman"/>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rPr>
              <w:t>生产噪声（</w:t>
            </w:r>
            <w:r>
              <w:rPr>
                <w:rFonts w:hint="default" w:ascii="Times New Roman" w:hAnsi="Times New Roman" w:eastAsia="TimesNewRomanPSMT" w:cs="Times New Roman"/>
                <w:b w:val="0"/>
                <w:bCs w:val="0"/>
                <w:color w:val="auto"/>
                <w:sz w:val="21"/>
                <w:szCs w:val="21"/>
                <w:highlight w:val="none"/>
              </w:rPr>
              <w:t>Leq</w:t>
            </w:r>
            <w:r>
              <w:rPr>
                <w:rFonts w:hint="default" w:ascii="Times New Roman" w:hAnsi="Times New Roman" w:eastAsia="宋体" w:cs="Times New Roman"/>
                <w:b w:val="0"/>
                <w:bCs w:val="0"/>
                <w:color w:val="auto"/>
                <w:sz w:val="21"/>
                <w:szCs w:val="21"/>
                <w:highlight w:val="none"/>
              </w:rPr>
              <w:t>）</w:t>
            </w:r>
          </w:p>
        </w:tc>
        <w:tc>
          <w:tcPr>
            <w:tcW w:w="2115" w:type="dxa"/>
            <w:noWrap w:val="0"/>
            <w:vAlign w:val="center"/>
          </w:tcPr>
          <w:p w14:paraId="3D149DAB">
            <w:pPr>
              <w:widowControl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选用低噪声设备，设备安装基础减振设施，室内隔声</w:t>
            </w:r>
          </w:p>
        </w:tc>
        <w:tc>
          <w:tcPr>
            <w:tcW w:w="2722" w:type="dxa"/>
            <w:noWrap w:val="0"/>
            <w:vAlign w:val="center"/>
          </w:tcPr>
          <w:p w14:paraId="7C4A4045">
            <w:pPr>
              <w:widowControl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厂界</w:t>
            </w:r>
            <w:r>
              <w:rPr>
                <w:rFonts w:hint="eastAsia" w:cs="Times New Roman"/>
                <w:color w:val="auto"/>
                <w:sz w:val="21"/>
                <w:szCs w:val="21"/>
                <w:highlight w:val="none"/>
                <w:lang w:val="en-US" w:eastAsia="zh-CN"/>
              </w:rPr>
              <w:t>东侧</w:t>
            </w:r>
            <w:r>
              <w:rPr>
                <w:rFonts w:hint="default" w:ascii="Times New Roman" w:hAnsi="Times New Roman" w:cs="Times New Roman"/>
                <w:color w:val="auto"/>
                <w:sz w:val="21"/>
                <w:szCs w:val="21"/>
                <w:highlight w:val="none"/>
                <w:lang w:eastAsia="zh-CN"/>
              </w:rPr>
              <w:t>噪声执行《工业企业厂界环境噪声排放标准》（GB12348-2008）</w:t>
            </w:r>
            <w:r>
              <w:rPr>
                <w:rFonts w:hint="default" w:ascii="Times New Roman" w:hAnsi="Times New Roman" w:cs="Times New Roman"/>
                <w:color w:val="auto"/>
                <w:sz w:val="21"/>
                <w:szCs w:val="21"/>
                <w:highlight w:val="none"/>
                <w:lang w:val="en-US" w:eastAsia="zh-CN"/>
              </w:rPr>
              <w:t>2</w:t>
            </w:r>
            <w:r>
              <w:rPr>
                <w:rFonts w:hint="default" w:ascii="Times New Roman" w:hAnsi="Times New Roman" w:cs="Times New Roman"/>
                <w:color w:val="auto"/>
                <w:sz w:val="21"/>
                <w:szCs w:val="21"/>
                <w:highlight w:val="none"/>
                <w:lang w:eastAsia="zh-CN"/>
              </w:rPr>
              <w:t>类</w:t>
            </w:r>
            <w:r>
              <w:rPr>
                <w:rFonts w:hint="default" w:ascii="Times New Roman" w:hAnsi="Times New Roman" w:cs="Times New Roman"/>
                <w:color w:val="auto"/>
                <w:sz w:val="21"/>
                <w:szCs w:val="21"/>
                <w:highlight w:val="none"/>
                <w:lang w:val="en-US" w:eastAsia="zh-CN"/>
              </w:rPr>
              <w:t>功能</w:t>
            </w:r>
            <w:r>
              <w:rPr>
                <w:rFonts w:hint="default" w:ascii="Times New Roman" w:hAnsi="Times New Roman" w:cs="Times New Roman"/>
                <w:color w:val="auto"/>
                <w:sz w:val="21"/>
                <w:szCs w:val="21"/>
                <w:highlight w:val="none"/>
                <w:lang w:eastAsia="zh-CN"/>
              </w:rPr>
              <w:t>区限值</w:t>
            </w:r>
            <w:r>
              <w:rPr>
                <w:rFonts w:hint="default" w:ascii="Times New Roman" w:hAnsi="Times New Roman" w:eastAsia="宋体" w:cs="Times New Roman"/>
                <w:color w:val="auto"/>
                <w:sz w:val="21"/>
                <w:szCs w:val="21"/>
                <w:highlight w:val="none"/>
                <w:lang w:val="en-US" w:eastAsia="zh-CN"/>
              </w:rPr>
              <w:t>（昼间60dB（A）；夜间50dB（A））</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lang w:val="en-US" w:eastAsia="zh-CN"/>
              </w:rPr>
              <w:t>厂界南侧、西侧与北侧</w:t>
            </w:r>
            <w:r>
              <w:rPr>
                <w:rFonts w:hint="default" w:ascii="Times New Roman" w:hAnsi="Times New Roman" w:cs="Times New Roman"/>
                <w:color w:val="auto"/>
                <w:sz w:val="21"/>
                <w:szCs w:val="21"/>
                <w:highlight w:val="none"/>
                <w:lang w:eastAsia="zh-CN"/>
              </w:rPr>
              <w:t>噪声执行《工业企业厂界环境噪声排放标准》（GB12348-2008）</w:t>
            </w:r>
            <w:r>
              <w:rPr>
                <w:rFonts w:hint="default" w:ascii="Times New Roman" w:hAnsi="Times New Roman" w:cs="Times New Roman"/>
                <w:color w:val="auto"/>
                <w:sz w:val="21"/>
                <w:szCs w:val="21"/>
                <w:highlight w:val="none"/>
                <w:lang w:val="en-US" w:eastAsia="zh-CN"/>
              </w:rPr>
              <w:t>4</w:t>
            </w:r>
            <w:r>
              <w:rPr>
                <w:rFonts w:hint="default" w:ascii="Times New Roman" w:hAnsi="Times New Roman" w:cs="Times New Roman"/>
                <w:color w:val="auto"/>
                <w:sz w:val="21"/>
                <w:szCs w:val="21"/>
                <w:highlight w:val="none"/>
                <w:lang w:eastAsia="zh-CN"/>
              </w:rPr>
              <w:t>类</w:t>
            </w:r>
            <w:r>
              <w:rPr>
                <w:rFonts w:hint="default" w:ascii="Times New Roman" w:hAnsi="Times New Roman" w:cs="Times New Roman"/>
                <w:color w:val="auto"/>
                <w:sz w:val="21"/>
                <w:szCs w:val="21"/>
                <w:highlight w:val="none"/>
                <w:lang w:val="en-US" w:eastAsia="zh-CN"/>
              </w:rPr>
              <w:t>功能</w:t>
            </w:r>
            <w:r>
              <w:rPr>
                <w:rFonts w:hint="default" w:ascii="Times New Roman" w:hAnsi="Times New Roman" w:cs="Times New Roman"/>
                <w:color w:val="auto"/>
                <w:sz w:val="21"/>
                <w:szCs w:val="21"/>
                <w:highlight w:val="none"/>
                <w:lang w:eastAsia="zh-CN"/>
              </w:rPr>
              <w:t>区限值</w:t>
            </w:r>
            <w:r>
              <w:rPr>
                <w:rFonts w:hint="default" w:ascii="Times New Roman" w:hAnsi="Times New Roman" w:eastAsia="宋体" w:cs="Times New Roman"/>
                <w:color w:val="auto"/>
                <w:sz w:val="21"/>
                <w:szCs w:val="21"/>
                <w:highlight w:val="none"/>
                <w:lang w:val="en-US" w:eastAsia="zh-CN"/>
              </w:rPr>
              <w:t>（昼间</w:t>
            </w:r>
            <w:r>
              <w:rPr>
                <w:rFonts w:hint="default" w:ascii="Times New Roman" w:hAnsi="Times New Roman" w:cs="Times New Roman"/>
                <w:color w:val="auto"/>
                <w:sz w:val="21"/>
                <w:szCs w:val="21"/>
                <w:highlight w:val="none"/>
                <w:lang w:val="en-US" w:eastAsia="zh-CN"/>
              </w:rPr>
              <w:t>70</w:t>
            </w:r>
            <w:r>
              <w:rPr>
                <w:rFonts w:hint="default" w:ascii="Times New Roman" w:hAnsi="Times New Roman" w:eastAsia="宋体" w:cs="Times New Roman"/>
                <w:color w:val="auto"/>
                <w:sz w:val="21"/>
                <w:szCs w:val="21"/>
                <w:highlight w:val="none"/>
                <w:lang w:val="en-US" w:eastAsia="zh-CN"/>
              </w:rPr>
              <w:t>dB（A）；夜间5</w:t>
            </w:r>
            <w:r>
              <w:rPr>
                <w:rFonts w:hint="default" w:ascii="Times New Roman" w:hAnsi="Times New Roman" w:cs="Times New Roman"/>
                <w:color w:val="auto"/>
                <w:sz w:val="21"/>
                <w:szCs w:val="21"/>
                <w:highlight w:val="none"/>
                <w:lang w:val="en-US" w:eastAsia="zh-CN"/>
              </w:rPr>
              <w:t>5</w:t>
            </w:r>
            <w:r>
              <w:rPr>
                <w:rFonts w:hint="default" w:ascii="Times New Roman" w:hAnsi="Times New Roman" w:eastAsia="宋体" w:cs="Times New Roman"/>
                <w:color w:val="auto"/>
                <w:sz w:val="21"/>
                <w:szCs w:val="21"/>
                <w:highlight w:val="none"/>
                <w:lang w:val="en-US" w:eastAsia="zh-CN"/>
              </w:rPr>
              <w:t>dB（A））</w:t>
            </w:r>
          </w:p>
        </w:tc>
      </w:tr>
      <w:tr w14:paraId="7DE48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1127" w:type="dxa"/>
            <w:noWrap w:val="0"/>
            <w:vAlign w:val="center"/>
          </w:tcPr>
          <w:p w14:paraId="201817D2">
            <w:pPr>
              <w:pStyle w:val="35"/>
              <w:spacing w:line="240" w:lineRule="auto"/>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电磁辐射</w:t>
            </w:r>
          </w:p>
        </w:tc>
        <w:tc>
          <w:tcPr>
            <w:tcW w:w="1281" w:type="dxa"/>
            <w:noWrap w:val="0"/>
            <w:vAlign w:val="center"/>
          </w:tcPr>
          <w:p w14:paraId="2563314D">
            <w:pPr>
              <w:pStyle w:val="35"/>
              <w:spacing w:line="240" w:lineRule="auto"/>
              <w:jc w:val="center"/>
              <w:rPr>
                <w:rFonts w:hint="default" w:ascii="Times New Roman" w:hAnsi="Times New Roman" w:cs="Times New Roman"/>
                <w:color w:val="auto"/>
                <w:sz w:val="21"/>
                <w:szCs w:val="21"/>
                <w:highlight w:val="none"/>
                <w:lang w:val="zh-CN" w:eastAsia="zh-CN"/>
              </w:rPr>
            </w:pPr>
            <w:r>
              <w:rPr>
                <w:rFonts w:hint="default" w:ascii="Times New Roman" w:hAnsi="Times New Roman" w:cs="Times New Roman"/>
                <w:color w:val="auto"/>
                <w:sz w:val="21"/>
                <w:szCs w:val="21"/>
                <w:highlight w:val="none"/>
                <w:lang w:val="zh-CN" w:eastAsia="zh-CN"/>
              </w:rPr>
              <w:t>/</w:t>
            </w:r>
          </w:p>
        </w:tc>
        <w:tc>
          <w:tcPr>
            <w:tcW w:w="1277" w:type="dxa"/>
            <w:noWrap w:val="0"/>
            <w:vAlign w:val="center"/>
          </w:tcPr>
          <w:p w14:paraId="77E59812">
            <w:pPr>
              <w:pStyle w:val="35"/>
              <w:spacing w:line="240" w:lineRule="auto"/>
              <w:jc w:val="center"/>
              <w:rPr>
                <w:rFonts w:hint="default" w:ascii="Times New Roman" w:hAnsi="Times New Roman" w:cs="Times New Roman"/>
                <w:color w:val="auto"/>
                <w:sz w:val="21"/>
                <w:szCs w:val="21"/>
                <w:highlight w:val="none"/>
                <w:lang w:val="zh-CN" w:eastAsia="zh-CN"/>
              </w:rPr>
            </w:pPr>
            <w:r>
              <w:rPr>
                <w:rFonts w:hint="default" w:ascii="Times New Roman" w:hAnsi="Times New Roman" w:cs="Times New Roman"/>
                <w:color w:val="auto"/>
                <w:sz w:val="21"/>
                <w:szCs w:val="21"/>
                <w:highlight w:val="none"/>
                <w:lang w:val="zh-CN" w:eastAsia="zh-CN"/>
              </w:rPr>
              <w:t>/</w:t>
            </w:r>
          </w:p>
        </w:tc>
        <w:tc>
          <w:tcPr>
            <w:tcW w:w="2115" w:type="dxa"/>
            <w:noWrap w:val="0"/>
            <w:vAlign w:val="center"/>
          </w:tcPr>
          <w:p w14:paraId="7DA2248E">
            <w:pPr>
              <w:pStyle w:val="35"/>
              <w:spacing w:line="240" w:lineRule="auto"/>
              <w:jc w:val="center"/>
              <w:rPr>
                <w:rFonts w:hint="default" w:ascii="Times New Roman" w:hAnsi="Times New Roman" w:cs="Times New Roman"/>
                <w:color w:val="auto"/>
                <w:sz w:val="21"/>
                <w:szCs w:val="21"/>
                <w:highlight w:val="none"/>
                <w:lang w:val="zh-CN" w:eastAsia="zh-CN"/>
              </w:rPr>
            </w:pPr>
            <w:r>
              <w:rPr>
                <w:rFonts w:hint="default" w:ascii="Times New Roman" w:hAnsi="Times New Roman" w:cs="Times New Roman"/>
                <w:color w:val="auto"/>
                <w:sz w:val="21"/>
                <w:szCs w:val="21"/>
                <w:highlight w:val="none"/>
                <w:lang w:val="zh-CN" w:eastAsia="zh-CN"/>
              </w:rPr>
              <w:t>/</w:t>
            </w:r>
          </w:p>
        </w:tc>
        <w:tc>
          <w:tcPr>
            <w:tcW w:w="2722" w:type="dxa"/>
            <w:noWrap w:val="0"/>
            <w:vAlign w:val="center"/>
          </w:tcPr>
          <w:p w14:paraId="247B5F4E">
            <w:pPr>
              <w:pStyle w:val="35"/>
              <w:spacing w:line="240" w:lineRule="auto"/>
              <w:jc w:val="center"/>
              <w:rPr>
                <w:rFonts w:hint="default" w:ascii="Times New Roman" w:hAnsi="Times New Roman" w:cs="Times New Roman"/>
                <w:color w:val="auto"/>
                <w:sz w:val="21"/>
                <w:szCs w:val="21"/>
                <w:highlight w:val="none"/>
                <w:lang w:val="zh-CN" w:eastAsia="zh-CN"/>
              </w:rPr>
            </w:pPr>
            <w:r>
              <w:rPr>
                <w:rFonts w:hint="eastAsia" w:cs="Times New Roman"/>
                <w:color w:val="0000FF"/>
                <w:sz w:val="21"/>
                <w:szCs w:val="21"/>
                <w:highlight w:val="none"/>
                <w:lang w:val="en-US" w:eastAsia="zh-CN"/>
              </w:rPr>
              <w:t>/</w:t>
            </w:r>
          </w:p>
        </w:tc>
      </w:tr>
      <w:tr w14:paraId="0D575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27" w:type="dxa"/>
            <w:vMerge w:val="restart"/>
            <w:noWrap w:val="0"/>
            <w:vAlign w:val="center"/>
          </w:tcPr>
          <w:p w14:paraId="67A49849">
            <w:pPr>
              <w:pStyle w:val="35"/>
              <w:spacing w:line="240" w:lineRule="auto"/>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固废</w:t>
            </w:r>
          </w:p>
        </w:tc>
        <w:tc>
          <w:tcPr>
            <w:tcW w:w="1281" w:type="dxa"/>
            <w:tcBorders>
              <w:bottom w:val="single" w:color="auto" w:sz="2" w:space="0"/>
              <w:right w:val="single" w:color="auto" w:sz="2" w:space="0"/>
            </w:tcBorders>
            <w:noWrap w:val="0"/>
            <w:vAlign w:val="center"/>
          </w:tcPr>
          <w:p w14:paraId="1E060EA9">
            <w:pPr>
              <w:pStyle w:val="35"/>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隔离室、住院室、诊室、手术室</w:t>
            </w:r>
            <w:r>
              <w:rPr>
                <w:rFonts w:hint="eastAsia" w:cs="Times New Roman"/>
                <w:color w:val="auto"/>
                <w:sz w:val="21"/>
                <w:szCs w:val="21"/>
                <w:highlight w:val="none"/>
                <w:lang w:val="en-US" w:eastAsia="zh-CN"/>
              </w:rPr>
              <w:t>等</w:t>
            </w:r>
            <w:r>
              <w:rPr>
                <w:rFonts w:hint="default" w:ascii="Times New Roman" w:hAnsi="Times New Roman" w:eastAsia="宋体" w:cs="Times New Roman"/>
                <w:color w:val="auto"/>
                <w:sz w:val="21"/>
                <w:szCs w:val="21"/>
                <w:highlight w:val="none"/>
                <w:lang w:val="en-US" w:eastAsia="zh-CN"/>
              </w:rPr>
              <w:t>/危险废物</w:t>
            </w:r>
          </w:p>
        </w:tc>
        <w:tc>
          <w:tcPr>
            <w:tcW w:w="1277" w:type="dxa"/>
            <w:tcBorders>
              <w:left w:val="single" w:color="auto" w:sz="2" w:space="0"/>
              <w:bottom w:val="single" w:color="auto" w:sz="2" w:space="0"/>
              <w:right w:val="single" w:color="auto" w:sz="2" w:space="0"/>
            </w:tcBorders>
            <w:noWrap w:val="0"/>
            <w:vAlign w:val="center"/>
          </w:tcPr>
          <w:p w14:paraId="5A726184">
            <w:pPr>
              <w:pStyle w:val="35"/>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医疗废物、患病宠物排泄物及猫砂、废紫外线灯管</w:t>
            </w:r>
          </w:p>
        </w:tc>
        <w:tc>
          <w:tcPr>
            <w:tcW w:w="2115" w:type="dxa"/>
            <w:tcBorders>
              <w:left w:val="single" w:color="auto" w:sz="2" w:space="0"/>
              <w:bottom w:val="single" w:color="auto" w:sz="2" w:space="0"/>
              <w:right w:val="single" w:color="auto" w:sz="2" w:space="0"/>
            </w:tcBorders>
            <w:noWrap w:val="0"/>
            <w:vAlign w:val="center"/>
          </w:tcPr>
          <w:p w14:paraId="4CFA5200">
            <w:pPr>
              <w:pStyle w:val="35"/>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集中收集后交由具有资质的单位进行处置</w:t>
            </w:r>
          </w:p>
        </w:tc>
        <w:tc>
          <w:tcPr>
            <w:tcW w:w="2722" w:type="dxa"/>
            <w:vMerge w:val="restart"/>
            <w:tcBorders>
              <w:left w:val="single" w:color="auto" w:sz="2" w:space="0"/>
            </w:tcBorders>
            <w:noWrap w:val="0"/>
            <w:vAlign w:val="center"/>
          </w:tcPr>
          <w:p w14:paraId="7E816BCF">
            <w:pPr>
              <w:pStyle w:val="35"/>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医疗废物执行《医疗废物管理条例》（国务院令第380号）和《危险废物贮存污染控制标准》（GB18597-2023）中相关规定</w:t>
            </w:r>
          </w:p>
          <w:p w14:paraId="08B4CB8E">
            <w:pPr>
              <w:pStyle w:val="35"/>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r>
      <w:tr w14:paraId="7B69D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27" w:type="dxa"/>
            <w:vMerge w:val="continue"/>
            <w:noWrap w:val="0"/>
            <w:vAlign w:val="center"/>
          </w:tcPr>
          <w:p w14:paraId="221B1A4A">
            <w:pPr>
              <w:pStyle w:val="35"/>
              <w:spacing w:line="240" w:lineRule="auto"/>
              <w:jc w:val="center"/>
              <w:rPr>
                <w:rFonts w:hint="default" w:ascii="Times New Roman" w:hAnsi="Times New Roman" w:cs="Times New Roman"/>
                <w:color w:val="auto"/>
                <w:sz w:val="21"/>
                <w:szCs w:val="21"/>
                <w:highlight w:val="none"/>
                <w:lang w:val="en-US" w:eastAsia="zh-CN"/>
              </w:rPr>
            </w:pPr>
          </w:p>
        </w:tc>
        <w:tc>
          <w:tcPr>
            <w:tcW w:w="1281" w:type="dxa"/>
            <w:tcBorders>
              <w:top w:val="single" w:color="auto" w:sz="2" w:space="0"/>
              <w:bottom w:val="single" w:color="auto" w:sz="2" w:space="0"/>
              <w:right w:val="single" w:color="auto" w:sz="2" w:space="0"/>
            </w:tcBorders>
            <w:noWrap w:val="0"/>
            <w:vAlign w:val="center"/>
          </w:tcPr>
          <w:p w14:paraId="07C4A38E">
            <w:pPr>
              <w:pStyle w:val="35"/>
              <w:snapToGrid w:val="0"/>
              <w:spacing w:line="240" w:lineRule="auto"/>
              <w:jc w:val="both"/>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污水处理设备</w:t>
            </w:r>
            <w:r>
              <w:rPr>
                <w:rFonts w:hint="default" w:ascii="Times New Roman" w:hAnsi="Times New Roman" w:eastAsia="宋体" w:cs="Times New Roman"/>
                <w:color w:val="auto"/>
                <w:sz w:val="21"/>
                <w:szCs w:val="21"/>
                <w:highlight w:val="none"/>
                <w:lang w:val="en-US" w:eastAsia="zh-CN"/>
              </w:rPr>
              <w:t>/危险废物</w:t>
            </w:r>
          </w:p>
        </w:tc>
        <w:tc>
          <w:tcPr>
            <w:tcW w:w="1277" w:type="dxa"/>
            <w:tcBorders>
              <w:top w:val="single" w:color="auto" w:sz="2" w:space="0"/>
              <w:left w:val="single" w:color="auto" w:sz="2" w:space="0"/>
              <w:bottom w:val="single" w:color="auto" w:sz="2" w:space="0"/>
              <w:right w:val="single" w:color="auto" w:sz="2" w:space="0"/>
            </w:tcBorders>
            <w:noWrap w:val="0"/>
            <w:vAlign w:val="center"/>
          </w:tcPr>
          <w:p w14:paraId="6315FAEF">
            <w:pPr>
              <w:pStyle w:val="35"/>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医疗废水处理设施废渣</w:t>
            </w:r>
          </w:p>
        </w:tc>
        <w:tc>
          <w:tcPr>
            <w:tcW w:w="2115" w:type="dxa"/>
            <w:tcBorders>
              <w:top w:val="single" w:color="auto" w:sz="2" w:space="0"/>
              <w:left w:val="single" w:color="auto" w:sz="2" w:space="0"/>
              <w:right w:val="single" w:color="auto" w:sz="2" w:space="0"/>
            </w:tcBorders>
            <w:noWrap w:val="0"/>
            <w:vAlign w:val="center"/>
          </w:tcPr>
          <w:p w14:paraId="345A270D">
            <w:pPr>
              <w:pStyle w:val="35"/>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委托有资质单位定期清捞与处置，不在项目区贮存</w:t>
            </w:r>
          </w:p>
        </w:tc>
        <w:tc>
          <w:tcPr>
            <w:tcW w:w="2722" w:type="dxa"/>
            <w:vMerge w:val="continue"/>
            <w:tcBorders>
              <w:left w:val="single" w:color="auto" w:sz="2" w:space="0"/>
            </w:tcBorders>
            <w:noWrap w:val="0"/>
            <w:vAlign w:val="center"/>
          </w:tcPr>
          <w:p w14:paraId="1A06EED1">
            <w:pPr>
              <w:pStyle w:val="35"/>
              <w:snapToGrid w:val="0"/>
              <w:spacing w:line="240" w:lineRule="auto"/>
              <w:jc w:val="center"/>
              <w:rPr>
                <w:rFonts w:hint="default" w:ascii="Times New Roman" w:hAnsi="Times New Roman" w:eastAsia="宋体" w:cs="Times New Roman"/>
                <w:color w:val="auto"/>
                <w:sz w:val="21"/>
                <w:szCs w:val="21"/>
                <w:highlight w:val="none"/>
                <w:lang w:val="en-US" w:eastAsia="zh-CN"/>
              </w:rPr>
            </w:pPr>
          </w:p>
        </w:tc>
      </w:tr>
      <w:tr w14:paraId="658E3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27" w:type="dxa"/>
            <w:vMerge w:val="continue"/>
            <w:noWrap w:val="0"/>
            <w:vAlign w:val="center"/>
          </w:tcPr>
          <w:p w14:paraId="42066D75">
            <w:pPr>
              <w:pStyle w:val="35"/>
              <w:spacing w:line="240" w:lineRule="auto"/>
              <w:jc w:val="center"/>
              <w:rPr>
                <w:rFonts w:hint="default" w:ascii="Times New Roman" w:hAnsi="Times New Roman" w:cs="Times New Roman"/>
                <w:color w:val="auto"/>
                <w:sz w:val="21"/>
                <w:szCs w:val="21"/>
                <w:highlight w:val="none"/>
                <w:lang w:val="en-US" w:eastAsia="zh-CN"/>
              </w:rPr>
            </w:pPr>
          </w:p>
        </w:tc>
        <w:tc>
          <w:tcPr>
            <w:tcW w:w="1281" w:type="dxa"/>
            <w:vMerge w:val="restart"/>
            <w:tcBorders>
              <w:top w:val="single" w:color="auto" w:sz="2" w:space="0"/>
              <w:right w:val="single" w:color="auto" w:sz="2" w:space="0"/>
            </w:tcBorders>
            <w:noWrap w:val="0"/>
            <w:vAlign w:val="center"/>
          </w:tcPr>
          <w:p w14:paraId="6573476A">
            <w:pPr>
              <w:pStyle w:val="35"/>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病房/一般固废</w:t>
            </w:r>
          </w:p>
        </w:tc>
        <w:tc>
          <w:tcPr>
            <w:tcW w:w="1277" w:type="dxa"/>
            <w:tcBorders>
              <w:top w:val="single" w:color="auto" w:sz="2" w:space="0"/>
              <w:left w:val="single" w:color="auto" w:sz="2" w:space="0"/>
              <w:right w:val="single" w:color="auto" w:sz="2" w:space="0"/>
            </w:tcBorders>
            <w:noWrap w:val="0"/>
            <w:vAlign w:val="center"/>
          </w:tcPr>
          <w:p w14:paraId="5D9F19BE">
            <w:pPr>
              <w:pStyle w:val="35"/>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输液瓶（袋）</w:t>
            </w:r>
          </w:p>
        </w:tc>
        <w:tc>
          <w:tcPr>
            <w:tcW w:w="2115" w:type="dxa"/>
            <w:tcBorders>
              <w:top w:val="single" w:color="auto" w:sz="2" w:space="0"/>
              <w:left w:val="single" w:color="auto" w:sz="2" w:space="0"/>
              <w:right w:val="single" w:color="auto" w:sz="2" w:space="0"/>
            </w:tcBorders>
            <w:noWrap w:val="0"/>
            <w:vAlign w:val="center"/>
          </w:tcPr>
          <w:p w14:paraId="463F7E9D">
            <w:pPr>
              <w:pStyle w:val="35"/>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集中收集暂存于储物间，定期交由再生资源回收单位</w:t>
            </w:r>
          </w:p>
        </w:tc>
        <w:tc>
          <w:tcPr>
            <w:tcW w:w="2722" w:type="dxa"/>
            <w:vMerge w:val="restart"/>
            <w:tcBorders>
              <w:top w:val="single" w:color="auto" w:sz="2" w:space="0"/>
              <w:left w:val="single" w:color="auto" w:sz="2" w:space="0"/>
            </w:tcBorders>
            <w:noWrap w:val="0"/>
            <w:vAlign w:val="center"/>
          </w:tcPr>
          <w:p w14:paraId="5BEB8737">
            <w:pPr>
              <w:pStyle w:val="35"/>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均得到合理处理，不产生二次污染</w:t>
            </w:r>
          </w:p>
        </w:tc>
      </w:tr>
      <w:tr w14:paraId="7D2BA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27" w:type="dxa"/>
            <w:vMerge w:val="continue"/>
            <w:noWrap w:val="0"/>
            <w:vAlign w:val="center"/>
          </w:tcPr>
          <w:p w14:paraId="62133DA1">
            <w:pPr>
              <w:pStyle w:val="35"/>
              <w:spacing w:line="240" w:lineRule="auto"/>
              <w:jc w:val="center"/>
              <w:rPr>
                <w:rFonts w:hint="default" w:ascii="Times New Roman" w:hAnsi="Times New Roman" w:cs="Times New Roman"/>
                <w:color w:val="auto"/>
                <w:sz w:val="21"/>
                <w:szCs w:val="21"/>
                <w:highlight w:val="none"/>
                <w:lang w:val="en-US" w:eastAsia="zh-CN"/>
              </w:rPr>
            </w:pPr>
          </w:p>
        </w:tc>
        <w:tc>
          <w:tcPr>
            <w:tcW w:w="1281" w:type="dxa"/>
            <w:vMerge w:val="continue"/>
            <w:tcBorders>
              <w:right w:val="single" w:color="auto" w:sz="2" w:space="0"/>
            </w:tcBorders>
            <w:noWrap w:val="0"/>
            <w:vAlign w:val="center"/>
          </w:tcPr>
          <w:p w14:paraId="24DD3E72">
            <w:pPr>
              <w:pStyle w:val="35"/>
              <w:snapToGrid w:val="0"/>
              <w:spacing w:line="240" w:lineRule="auto"/>
              <w:jc w:val="center"/>
              <w:rPr>
                <w:rFonts w:hint="default" w:ascii="Times New Roman" w:hAnsi="Times New Roman" w:eastAsia="宋体" w:cs="Times New Roman"/>
                <w:color w:val="auto"/>
                <w:sz w:val="21"/>
                <w:szCs w:val="21"/>
                <w:highlight w:val="none"/>
                <w:lang w:val="en-US" w:eastAsia="zh-CN"/>
              </w:rPr>
            </w:pPr>
          </w:p>
        </w:tc>
        <w:tc>
          <w:tcPr>
            <w:tcW w:w="1277" w:type="dxa"/>
            <w:tcBorders>
              <w:top w:val="single" w:color="auto" w:sz="2" w:space="0"/>
              <w:left w:val="single" w:color="auto" w:sz="2" w:space="0"/>
              <w:right w:val="single" w:color="auto" w:sz="2" w:space="0"/>
            </w:tcBorders>
            <w:noWrap w:val="0"/>
            <w:vAlign w:val="center"/>
          </w:tcPr>
          <w:p w14:paraId="2D141422">
            <w:pPr>
              <w:pStyle w:val="35"/>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动物尸体</w:t>
            </w:r>
          </w:p>
        </w:tc>
        <w:tc>
          <w:tcPr>
            <w:tcW w:w="2115" w:type="dxa"/>
            <w:tcBorders>
              <w:top w:val="single" w:color="auto" w:sz="2" w:space="0"/>
              <w:left w:val="single" w:color="auto" w:sz="2" w:space="0"/>
              <w:right w:val="single" w:color="auto" w:sz="2" w:space="0"/>
            </w:tcBorders>
            <w:noWrap w:val="0"/>
            <w:vAlign w:val="center"/>
          </w:tcPr>
          <w:p w14:paraId="5AE76B95">
            <w:pPr>
              <w:pStyle w:val="35"/>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本项目运营过程中不负责处理动物尸体，</w:t>
            </w:r>
            <w:r>
              <w:rPr>
                <w:rFonts w:hint="eastAsia" w:cs="Times New Roman"/>
                <w:color w:val="auto"/>
                <w:sz w:val="21"/>
                <w:szCs w:val="21"/>
                <w:highlight w:val="none"/>
                <w:lang w:val="en-US" w:eastAsia="zh-CN"/>
              </w:rPr>
              <w:t>由客户自行带走依法处置</w:t>
            </w:r>
          </w:p>
        </w:tc>
        <w:tc>
          <w:tcPr>
            <w:tcW w:w="2722" w:type="dxa"/>
            <w:vMerge w:val="continue"/>
            <w:tcBorders>
              <w:left w:val="single" w:color="auto" w:sz="2" w:space="0"/>
            </w:tcBorders>
            <w:noWrap w:val="0"/>
            <w:vAlign w:val="center"/>
          </w:tcPr>
          <w:p w14:paraId="085866B8">
            <w:pPr>
              <w:pStyle w:val="35"/>
              <w:snapToGrid w:val="0"/>
              <w:spacing w:line="240" w:lineRule="auto"/>
              <w:jc w:val="center"/>
              <w:rPr>
                <w:rFonts w:hint="default" w:ascii="Times New Roman" w:hAnsi="Times New Roman" w:eastAsia="宋体" w:cs="Times New Roman"/>
                <w:color w:val="auto"/>
                <w:sz w:val="21"/>
                <w:szCs w:val="21"/>
                <w:highlight w:val="none"/>
                <w:lang w:val="en-US" w:eastAsia="zh-CN"/>
              </w:rPr>
            </w:pPr>
          </w:p>
        </w:tc>
      </w:tr>
      <w:tr w14:paraId="716BF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27" w:type="dxa"/>
            <w:vMerge w:val="continue"/>
            <w:noWrap w:val="0"/>
            <w:vAlign w:val="center"/>
          </w:tcPr>
          <w:p w14:paraId="7D368865">
            <w:pPr>
              <w:pStyle w:val="35"/>
              <w:spacing w:line="240" w:lineRule="auto"/>
              <w:jc w:val="center"/>
              <w:rPr>
                <w:rFonts w:hint="default" w:ascii="Times New Roman" w:hAnsi="Times New Roman" w:cs="Times New Roman"/>
                <w:color w:val="auto"/>
                <w:sz w:val="21"/>
                <w:szCs w:val="21"/>
                <w:highlight w:val="none"/>
                <w:lang w:val="en-US" w:eastAsia="zh-CN"/>
              </w:rPr>
            </w:pPr>
          </w:p>
        </w:tc>
        <w:tc>
          <w:tcPr>
            <w:tcW w:w="1281" w:type="dxa"/>
            <w:tcBorders>
              <w:top w:val="single" w:color="auto" w:sz="2" w:space="0"/>
              <w:right w:val="single" w:color="auto" w:sz="2" w:space="0"/>
            </w:tcBorders>
            <w:noWrap w:val="0"/>
            <w:vAlign w:val="center"/>
          </w:tcPr>
          <w:p w14:paraId="1A726911">
            <w:pPr>
              <w:pStyle w:val="35"/>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美容室</w:t>
            </w:r>
            <w:bookmarkStart w:id="74" w:name="OLE_LINK71"/>
            <w:r>
              <w:rPr>
                <w:rFonts w:hint="default" w:ascii="Times New Roman" w:hAnsi="Times New Roman" w:eastAsia="宋体" w:cs="Times New Roman"/>
                <w:color w:val="auto"/>
                <w:sz w:val="21"/>
                <w:szCs w:val="21"/>
                <w:highlight w:val="none"/>
                <w:lang w:val="en-US" w:eastAsia="zh-CN"/>
              </w:rPr>
              <w:t>/一般固废</w:t>
            </w:r>
            <w:bookmarkEnd w:id="74"/>
          </w:p>
        </w:tc>
        <w:tc>
          <w:tcPr>
            <w:tcW w:w="1277" w:type="dxa"/>
            <w:tcBorders>
              <w:top w:val="single" w:color="auto" w:sz="2" w:space="0"/>
              <w:left w:val="single" w:color="auto" w:sz="2" w:space="0"/>
              <w:right w:val="single" w:color="auto" w:sz="2" w:space="0"/>
            </w:tcBorders>
            <w:noWrap w:val="0"/>
            <w:vAlign w:val="center"/>
          </w:tcPr>
          <w:p w14:paraId="074DB441">
            <w:pPr>
              <w:pStyle w:val="35"/>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动物毛发及宠物粪便及猫砂</w:t>
            </w:r>
          </w:p>
        </w:tc>
        <w:tc>
          <w:tcPr>
            <w:tcW w:w="2115" w:type="dxa"/>
            <w:vMerge w:val="restart"/>
            <w:tcBorders>
              <w:top w:val="single" w:color="auto" w:sz="2" w:space="0"/>
              <w:left w:val="single" w:color="auto" w:sz="2" w:space="0"/>
              <w:right w:val="single" w:color="auto" w:sz="2" w:space="0"/>
            </w:tcBorders>
            <w:noWrap w:val="0"/>
            <w:vAlign w:val="center"/>
          </w:tcPr>
          <w:p w14:paraId="679CA15A">
            <w:pPr>
              <w:pStyle w:val="35"/>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分类集中收集后统一由环卫部门定时清运至垃圾填埋场集中处置</w:t>
            </w:r>
          </w:p>
        </w:tc>
        <w:tc>
          <w:tcPr>
            <w:tcW w:w="2722" w:type="dxa"/>
            <w:vMerge w:val="restart"/>
            <w:tcBorders>
              <w:top w:val="single" w:color="auto" w:sz="2" w:space="0"/>
              <w:left w:val="single" w:color="auto" w:sz="2" w:space="0"/>
            </w:tcBorders>
            <w:noWrap w:val="0"/>
            <w:vAlign w:val="center"/>
          </w:tcPr>
          <w:p w14:paraId="37887C35">
            <w:pPr>
              <w:pStyle w:val="35"/>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一般固体废物贮存满足防渗漏、防雨淋、防扬尘等环境保护要求。</w:t>
            </w:r>
          </w:p>
        </w:tc>
      </w:tr>
      <w:tr w14:paraId="74DDB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27" w:type="dxa"/>
            <w:vMerge w:val="continue"/>
            <w:noWrap w:val="0"/>
            <w:vAlign w:val="center"/>
          </w:tcPr>
          <w:p w14:paraId="50D0F964">
            <w:pPr>
              <w:pStyle w:val="35"/>
              <w:spacing w:line="240" w:lineRule="auto"/>
              <w:jc w:val="center"/>
              <w:rPr>
                <w:rFonts w:hint="default" w:ascii="Times New Roman" w:hAnsi="Times New Roman" w:cs="Times New Roman"/>
                <w:color w:val="auto"/>
                <w:sz w:val="21"/>
                <w:szCs w:val="21"/>
                <w:highlight w:val="none"/>
                <w:lang w:val="en-US" w:eastAsia="zh-CN"/>
              </w:rPr>
            </w:pPr>
          </w:p>
        </w:tc>
        <w:tc>
          <w:tcPr>
            <w:tcW w:w="1281" w:type="dxa"/>
            <w:tcBorders>
              <w:top w:val="single" w:color="auto" w:sz="2" w:space="0"/>
              <w:right w:val="single" w:color="auto" w:sz="2" w:space="0"/>
            </w:tcBorders>
            <w:noWrap w:val="0"/>
            <w:vAlign w:val="center"/>
          </w:tcPr>
          <w:p w14:paraId="41252FA4">
            <w:pPr>
              <w:pStyle w:val="35"/>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员工生活区/一般固废</w:t>
            </w:r>
          </w:p>
        </w:tc>
        <w:tc>
          <w:tcPr>
            <w:tcW w:w="1277" w:type="dxa"/>
            <w:tcBorders>
              <w:top w:val="single" w:color="auto" w:sz="2" w:space="0"/>
              <w:left w:val="single" w:color="auto" w:sz="2" w:space="0"/>
              <w:right w:val="single" w:color="auto" w:sz="2" w:space="0"/>
            </w:tcBorders>
            <w:noWrap w:val="0"/>
            <w:vAlign w:val="center"/>
          </w:tcPr>
          <w:p w14:paraId="247000CB">
            <w:pPr>
              <w:pStyle w:val="35"/>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生活垃圾</w:t>
            </w:r>
          </w:p>
        </w:tc>
        <w:tc>
          <w:tcPr>
            <w:tcW w:w="2115" w:type="dxa"/>
            <w:vMerge w:val="continue"/>
            <w:tcBorders>
              <w:left w:val="single" w:color="auto" w:sz="2" w:space="0"/>
              <w:right w:val="single" w:color="auto" w:sz="2" w:space="0"/>
            </w:tcBorders>
            <w:noWrap w:val="0"/>
            <w:vAlign w:val="center"/>
          </w:tcPr>
          <w:p w14:paraId="26E984BE">
            <w:pPr>
              <w:pStyle w:val="35"/>
              <w:snapToGrid w:val="0"/>
              <w:spacing w:line="240" w:lineRule="auto"/>
              <w:jc w:val="center"/>
              <w:rPr>
                <w:rFonts w:hint="default" w:ascii="Times New Roman" w:hAnsi="Times New Roman" w:eastAsia="宋体" w:cs="Times New Roman"/>
                <w:color w:val="auto"/>
                <w:sz w:val="21"/>
                <w:szCs w:val="21"/>
                <w:highlight w:val="none"/>
                <w:lang w:val="en-US" w:eastAsia="zh-CN"/>
              </w:rPr>
            </w:pPr>
          </w:p>
        </w:tc>
        <w:tc>
          <w:tcPr>
            <w:tcW w:w="2722" w:type="dxa"/>
            <w:vMerge w:val="continue"/>
            <w:tcBorders>
              <w:left w:val="single" w:color="auto" w:sz="2" w:space="0"/>
            </w:tcBorders>
            <w:noWrap w:val="0"/>
            <w:vAlign w:val="center"/>
          </w:tcPr>
          <w:p w14:paraId="7DF455CB">
            <w:pPr>
              <w:pStyle w:val="35"/>
              <w:snapToGrid w:val="0"/>
              <w:spacing w:line="240" w:lineRule="auto"/>
              <w:jc w:val="center"/>
              <w:rPr>
                <w:rFonts w:hint="default" w:ascii="Times New Roman" w:hAnsi="Times New Roman" w:eastAsia="宋体" w:cs="Times New Roman"/>
                <w:color w:val="auto"/>
                <w:sz w:val="21"/>
                <w:szCs w:val="21"/>
                <w:highlight w:val="none"/>
                <w:lang w:val="en-US" w:eastAsia="zh-CN"/>
              </w:rPr>
            </w:pPr>
          </w:p>
        </w:tc>
      </w:tr>
      <w:tr w14:paraId="0CF99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27" w:type="dxa"/>
            <w:noWrap w:val="0"/>
            <w:vAlign w:val="center"/>
          </w:tcPr>
          <w:p w14:paraId="0EAAE29E">
            <w:pPr>
              <w:pStyle w:val="35"/>
              <w:snapToGrid w:val="0"/>
              <w:spacing w:line="240" w:lineRule="auto"/>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rPr>
              <w:t>土壤及地下水污染防治措施</w:t>
            </w:r>
          </w:p>
        </w:tc>
        <w:tc>
          <w:tcPr>
            <w:tcW w:w="7395" w:type="dxa"/>
            <w:gridSpan w:val="4"/>
            <w:noWrap w:val="0"/>
            <w:vAlign w:val="center"/>
          </w:tcPr>
          <w:p w14:paraId="42D05D03">
            <w:pPr>
              <w:pStyle w:val="31"/>
              <w:bidi w:val="0"/>
              <w:spacing w:line="240" w:lineRule="auto"/>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rPr>
              <w:t>本项目位于城市建成区，项目区及周边</w:t>
            </w:r>
            <w:r>
              <w:rPr>
                <w:rFonts w:hint="default" w:ascii="Times New Roman" w:hAnsi="Times New Roman" w:cs="Times New Roman"/>
                <w:color w:val="auto"/>
                <w:sz w:val="21"/>
                <w:szCs w:val="21"/>
                <w:highlight w:val="none"/>
                <w:lang w:val="en-US" w:eastAsia="zh-CN"/>
              </w:rPr>
              <w:t>大</w:t>
            </w:r>
            <w:r>
              <w:rPr>
                <w:rFonts w:hint="default" w:ascii="Times New Roman" w:hAnsi="Times New Roman" w:cs="Times New Roman"/>
                <w:color w:val="auto"/>
                <w:sz w:val="21"/>
                <w:szCs w:val="21"/>
                <w:highlight w:val="none"/>
              </w:rPr>
              <w:t>多是住宅和商业区，不涉及基本农田，且本项目为租赁现有商铺，地面均已做硬化处理；项目建成后</w:t>
            </w:r>
            <w:r>
              <w:rPr>
                <w:rFonts w:hint="default" w:ascii="Times New Roman" w:hAnsi="Times New Roman" w:cs="Times New Roman"/>
                <w:color w:val="auto"/>
                <w:sz w:val="21"/>
                <w:szCs w:val="21"/>
                <w:highlight w:val="none"/>
                <w:lang w:eastAsia="zh-CN"/>
              </w:rPr>
              <w:t>医疗废物贮存间</w:t>
            </w:r>
            <w:r>
              <w:rPr>
                <w:rFonts w:hint="default" w:ascii="Times New Roman" w:hAnsi="Times New Roman" w:cs="Times New Roman"/>
                <w:color w:val="auto"/>
                <w:sz w:val="21"/>
                <w:szCs w:val="21"/>
                <w:highlight w:val="none"/>
              </w:rPr>
              <w:t>内地面采取防渗和防腐措施，医疗废物包装于专用袋或盒内，置于专用塑料桶中；污水处理设施位于地上，地面硬化且铺设地</w:t>
            </w:r>
            <w:r>
              <w:rPr>
                <w:rFonts w:hint="default" w:ascii="Times New Roman" w:hAnsi="Times New Roman" w:cs="Times New Roman"/>
                <w:color w:val="auto"/>
                <w:sz w:val="21"/>
                <w:szCs w:val="21"/>
                <w:highlight w:val="none"/>
                <w:lang w:val="en-US" w:eastAsia="zh-CN"/>
              </w:rPr>
              <w:t>砖</w:t>
            </w:r>
            <w:r>
              <w:rPr>
                <w:rFonts w:hint="default" w:ascii="Times New Roman" w:hAnsi="Times New Roman" w:cs="Times New Roman"/>
                <w:color w:val="auto"/>
                <w:sz w:val="21"/>
                <w:szCs w:val="21"/>
                <w:highlight w:val="none"/>
              </w:rPr>
              <w:t>，故本项目不存在地下水、土壤环境污染途径，不会对土壤及地下水造成污染</w:t>
            </w:r>
            <w:r>
              <w:rPr>
                <w:rFonts w:hint="default" w:ascii="Times New Roman" w:hAnsi="Times New Roman" w:cs="Times New Roman"/>
                <w:color w:val="auto"/>
                <w:sz w:val="21"/>
                <w:szCs w:val="21"/>
                <w:highlight w:val="none"/>
                <w:lang w:eastAsia="zh-CN"/>
              </w:rPr>
              <w:t>。</w:t>
            </w:r>
          </w:p>
        </w:tc>
      </w:tr>
      <w:tr w14:paraId="34038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27" w:type="dxa"/>
            <w:noWrap w:val="0"/>
            <w:vAlign w:val="center"/>
          </w:tcPr>
          <w:p w14:paraId="1EE50BBD">
            <w:pPr>
              <w:widowControl w:val="0"/>
              <w:autoSpaceDE w:val="0"/>
              <w:autoSpaceDN w:val="0"/>
              <w:adjustRightInd w:val="0"/>
              <w:snapToGrid w:val="0"/>
              <w:spacing w:line="240" w:lineRule="auto"/>
              <w:ind w:firstLine="0" w:firstLineChars="0"/>
              <w:jc w:val="center"/>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rPr>
              <w:t>生态保护措施</w:t>
            </w:r>
          </w:p>
        </w:tc>
        <w:tc>
          <w:tcPr>
            <w:tcW w:w="7395" w:type="dxa"/>
            <w:gridSpan w:val="4"/>
            <w:noWrap w:val="0"/>
            <w:vAlign w:val="center"/>
          </w:tcPr>
          <w:p w14:paraId="7741B833">
            <w:pPr>
              <w:widowControl w:val="0"/>
              <w:autoSpaceDE w:val="0"/>
              <w:autoSpaceDN w:val="0"/>
              <w:adjustRightInd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本项目营业场所为租赁已建好的商业用房，基本不会改变周围生态环境现状</w:t>
            </w:r>
            <w:r>
              <w:rPr>
                <w:rFonts w:hint="default" w:ascii="Times New Roman" w:hAnsi="Times New Roman" w:eastAsia="宋体" w:cs="Times New Roman"/>
                <w:color w:val="auto"/>
                <w:sz w:val="21"/>
                <w:szCs w:val="21"/>
                <w:highlight w:val="none"/>
                <w:lang w:eastAsia="zh-CN"/>
              </w:rPr>
              <w:t>。</w:t>
            </w:r>
          </w:p>
        </w:tc>
      </w:tr>
      <w:tr w14:paraId="669B2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27" w:type="dxa"/>
            <w:noWrap w:val="0"/>
            <w:vAlign w:val="center"/>
          </w:tcPr>
          <w:p w14:paraId="7896860D">
            <w:pPr>
              <w:pStyle w:val="35"/>
              <w:snapToGrid w:val="0"/>
              <w:spacing w:line="240" w:lineRule="auto"/>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rPr>
              <w:t>环境风险防范措施</w:t>
            </w:r>
          </w:p>
        </w:tc>
        <w:tc>
          <w:tcPr>
            <w:tcW w:w="7395" w:type="dxa"/>
            <w:gridSpan w:val="4"/>
            <w:noWrap w:val="0"/>
            <w:vAlign w:val="center"/>
          </w:tcPr>
          <w:p w14:paraId="0ACB93D1">
            <w:pPr>
              <w:pStyle w:val="31"/>
              <w:bidi w:val="0"/>
              <w:spacing w:line="240" w:lineRule="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1、医疗废弃物均作为危险废物委托具有相应类别的危险废物处理单位处置。</w:t>
            </w:r>
          </w:p>
          <w:p w14:paraId="32293544">
            <w:pPr>
              <w:pStyle w:val="31"/>
              <w:bidi w:val="0"/>
              <w:spacing w:line="240" w:lineRule="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2、严格管理危险化学品，设置警示标牌，规范管理，落实防火、防爆设计要求，配备足够的消防器材；</w:t>
            </w:r>
          </w:p>
          <w:p w14:paraId="03E2A3B1">
            <w:pPr>
              <w:pStyle w:val="31"/>
              <w:bidi w:val="0"/>
              <w:spacing w:line="240" w:lineRule="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3、在医废暂存间内设置可用于收集泄漏物的材料和容器，避免因试剂泄漏引起火灾、爆炸等环境风险事故发生；</w:t>
            </w:r>
          </w:p>
          <w:p w14:paraId="5914C78A">
            <w:pPr>
              <w:pStyle w:val="31"/>
              <w:bidi w:val="0"/>
              <w:spacing w:line="240" w:lineRule="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4、加强</w:t>
            </w:r>
            <w:r>
              <w:rPr>
                <w:rFonts w:hint="default" w:ascii="Times New Roman" w:hAnsi="Times New Roman" w:cs="Times New Roman"/>
                <w:color w:val="auto"/>
                <w:sz w:val="21"/>
                <w:szCs w:val="21"/>
                <w:highlight w:val="none"/>
                <w:lang w:val="en-US" w:eastAsia="zh-CN"/>
              </w:rPr>
              <w:t>一体化污水处理设施</w:t>
            </w:r>
            <w:r>
              <w:rPr>
                <w:rFonts w:hint="default" w:ascii="Times New Roman" w:hAnsi="Times New Roman" w:cs="Times New Roman"/>
                <w:color w:val="auto"/>
                <w:sz w:val="21"/>
                <w:szCs w:val="21"/>
                <w:highlight w:val="none"/>
              </w:rPr>
              <w:t>药品管理，</w:t>
            </w:r>
            <w:r>
              <w:rPr>
                <w:rFonts w:hint="default" w:ascii="Times New Roman" w:hAnsi="Times New Roman" w:cs="Times New Roman"/>
                <w:color w:val="auto"/>
                <w:sz w:val="21"/>
                <w:szCs w:val="21"/>
                <w:highlight w:val="none"/>
                <w:lang w:val="en-US" w:eastAsia="zh-CN"/>
              </w:rPr>
              <w:t>一体化污水处理设施</w:t>
            </w:r>
            <w:r>
              <w:rPr>
                <w:rFonts w:hint="default" w:ascii="Times New Roman" w:hAnsi="Times New Roman" w:cs="Times New Roman"/>
                <w:color w:val="auto"/>
                <w:sz w:val="21"/>
                <w:szCs w:val="21"/>
                <w:highlight w:val="none"/>
              </w:rPr>
              <w:t>定期检修，设置事故应急池，防止事故废水排放；</w:t>
            </w:r>
          </w:p>
          <w:p w14:paraId="63BD1E1F">
            <w:pPr>
              <w:pStyle w:val="31"/>
              <w:bidi w:val="0"/>
              <w:spacing w:line="240" w:lineRule="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5、严格执行环评及相关法律法规要求，定期开展设备维护，保证其有效运行和去除效率；制定环境风险应急预案；</w:t>
            </w:r>
          </w:p>
          <w:p w14:paraId="66E149AD">
            <w:pPr>
              <w:pStyle w:val="31"/>
              <w:bidi w:val="0"/>
              <w:spacing w:line="240" w:lineRule="auto"/>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val="en-US" w:eastAsia="zh-CN"/>
              </w:rPr>
              <w:t>6</w:t>
            </w:r>
            <w:r>
              <w:rPr>
                <w:rFonts w:hint="default" w:ascii="Times New Roman" w:hAnsi="Times New Roman" w:cs="Times New Roman"/>
                <w:color w:val="auto"/>
                <w:sz w:val="21"/>
                <w:szCs w:val="21"/>
                <w:highlight w:val="none"/>
              </w:rPr>
              <w:t>、预防可能产生的生物安全污染事故，发生后及时采取应急措施，对现场进行消毒和人员隔离</w:t>
            </w:r>
            <w:r>
              <w:rPr>
                <w:rFonts w:hint="default" w:ascii="Times New Roman" w:hAnsi="Times New Roman" w:cs="Times New Roman"/>
                <w:color w:val="auto"/>
                <w:sz w:val="21"/>
                <w:szCs w:val="21"/>
                <w:highlight w:val="none"/>
                <w:lang w:val="en-US" w:eastAsia="zh-CN"/>
              </w:rPr>
              <w:t>观察等。</w:t>
            </w:r>
          </w:p>
        </w:tc>
      </w:tr>
      <w:tr w14:paraId="33F20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27" w:type="dxa"/>
            <w:noWrap w:val="0"/>
            <w:vAlign w:val="center"/>
          </w:tcPr>
          <w:p w14:paraId="169DD2F2">
            <w:pPr>
              <w:pStyle w:val="35"/>
              <w:spacing w:line="240" w:lineRule="auto"/>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rPr>
              <w:t>其他环境管理要求</w:t>
            </w:r>
          </w:p>
        </w:tc>
        <w:tc>
          <w:tcPr>
            <w:tcW w:w="7395" w:type="dxa"/>
            <w:gridSpan w:val="4"/>
            <w:noWrap w:val="0"/>
            <w:vAlign w:val="center"/>
          </w:tcPr>
          <w:p w14:paraId="7F188667">
            <w:pPr>
              <w:pStyle w:val="3"/>
              <w:bidi w:val="0"/>
              <w:spacing w:line="240" w:lineRule="auto"/>
              <w:rPr>
                <w:rFonts w:hint="default" w:ascii="Times New Roman" w:hAnsi="Times New Roman" w:cs="Times New Roman"/>
                <w:color w:val="auto"/>
                <w:sz w:val="21"/>
                <w:szCs w:val="21"/>
                <w:highlight w:val="none"/>
                <w:lang w:eastAsia="zh-CN"/>
              </w:rPr>
            </w:pPr>
            <w:bookmarkStart w:id="75" w:name="OLE_LINK54"/>
            <w:r>
              <w:rPr>
                <w:rFonts w:hint="default" w:ascii="Times New Roman" w:hAnsi="Times New Roman" w:cs="Times New Roman"/>
                <w:color w:val="auto"/>
                <w:sz w:val="21"/>
                <w:szCs w:val="21"/>
                <w:highlight w:val="none"/>
                <w:lang w:val="en-US" w:eastAsia="zh-CN"/>
              </w:rPr>
              <w:t>5.1</w:t>
            </w:r>
            <w:r>
              <w:rPr>
                <w:rFonts w:hint="default" w:ascii="Times New Roman" w:hAnsi="Times New Roman" w:cs="Times New Roman"/>
                <w:color w:val="auto"/>
                <w:sz w:val="21"/>
                <w:szCs w:val="21"/>
                <w:highlight w:val="none"/>
                <w:lang w:eastAsia="zh-CN"/>
              </w:rPr>
              <w:t>、排污口规范化管理</w:t>
            </w:r>
          </w:p>
          <w:bookmarkEnd w:id="75"/>
          <w:p w14:paraId="2822CB34">
            <w:pPr>
              <w:pStyle w:val="31"/>
              <w:bidi w:val="0"/>
              <w:spacing w:line="240" w:lineRule="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企</w:t>
            </w:r>
            <w:r>
              <w:rPr>
                <w:rFonts w:hint="default" w:ascii="Times New Roman" w:hAnsi="Times New Roman" w:eastAsia="宋体" w:cs="Times New Roman"/>
                <w:color w:val="auto"/>
                <w:sz w:val="21"/>
                <w:szCs w:val="21"/>
                <w:highlight w:val="none"/>
              </w:rPr>
              <w:t>业污染物排放口的标志，应按国家</w:t>
            </w:r>
            <w:r>
              <w:rPr>
                <w:rFonts w:hint="default" w:ascii="Times New Roman" w:hAnsi="Times New Roman" w:eastAsia="宋体" w:cs="Times New Roman"/>
                <w:color w:val="auto"/>
                <w:sz w:val="21"/>
                <w:szCs w:val="21"/>
                <w:highlight w:val="none"/>
                <w:lang w:val="en-US" w:eastAsia="zh-CN"/>
              </w:rPr>
              <w:t>《排污单位污染物排放口二维码标识技术规范》（HJ1297—2023）《危险废物识别标志设置技术规范》（HJ1276—2022）环境保护图形标志——排放口（源）（GB15562.1-1995）和《环境保护图形标志—固体废物贮存（处置）场》（GB15562.2-1995）修改单</w:t>
            </w:r>
            <w:r>
              <w:rPr>
                <w:rFonts w:hint="default" w:ascii="Times New Roman" w:hAnsi="Times New Roman" w:eastAsia="宋体" w:cs="Times New Roman"/>
                <w:color w:val="auto"/>
                <w:sz w:val="21"/>
                <w:szCs w:val="21"/>
                <w:highlight w:val="none"/>
              </w:rPr>
              <w:t>的规定，设置</w:t>
            </w:r>
            <w:r>
              <w:rPr>
                <w:rFonts w:hint="default" w:ascii="Times New Roman" w:hAnsi="Times New Roman" w:eastAsia="宋体" w:cs="Times New Roman"/>
                <w:color w:val="auto"/>
                <w:sz w:val="21"/>
                <w:szCs w:val="21"/>
                <w:highlight w:val="none"/>
                <w:lang w:val="en-US" w:eastAsia="zh-CN"/>
              </w:rPr>
              <w:t>生态环境</w:t>
            </w:r>
            <w:r>
              <w:rPr>
                <w:rFonts w:hint="default" w:ascii="Times New Roman" w:hAnsi="Times New Roman" w:eastAsia="宋体" w:cs="Times New Roman"/>
                <w:color w:val="auto"/>
                <w:sz w:val="21"/>
                <w:szCs w:val="21"/>
                <w:highlight w:val="none"/>
              </w:rPr>
              <w:t>部统一制作的环境保护图形标志牌</w:t>
            </w:r>
            <w:r>
              <w:rPr>
                <w:rFonts w:hint="default" w:ascii="Times New Roman" w:hAnsi="Times New Roman" w:cs="Times New Roman"/>
                <w:color w:val="auto"/>
                <w:sz w:val="21"/>
                <w:szCs w:val="21"/>
                <w:highlight w:val="none"/>
              </w:rPr>
              <w:t>。</w:t>
            </w:r>
          </w:p>
          <w:p w14:paraId="4976A031">
            <w:pPr>
              <w:pStyle w:val="31"/>
              <w:bidi w:val="0"/>
              <w:spacing w:line="240" w:lineRule="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环境保护图形符号见表5-1。</w:t>
            </w:r>
          </w:p>
          <w:p w14:paraId="5195E17D">
            <w:pPr>
              <w:pStyle w:val="29"/>
              <w:bidi w:val="0"/>
              <w:spacing w:line="240" w:lineRule="auto"/>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表5-1</w:t>
            </w:r>
            <w:r>
              <w:rPr>
                <w:rFonts w:hint="eastAsia" w:cs="Times New Roman"/>
                <w:color w:val="auto"/>
                <w:sz w:val="21"/>
                <w:szCs w:val="21"/>
                <w:highlight w:val="none"/>
                <w:lang w:val="en-US" w:eastAsia="zh-CN"/>
              </w:rPr>
              <w:t xml:space="preserve">  </w:t>
            </w:r>
            <w:r>
              <w:rPr>
                <w:rFonts w:hint="default" w:ascii="Times New Roman" w:hAnsi="Times New Roman" w:cs="Times New Roman"/>
                <w:color w:val="auto"/>
                <w:sz w:val="21"/>
                <w:szCs w:val="21"/>
                <w:highlight w:val="none"/>
                <w:lang w:eastAsia="zh-CN"/>
              </w:rPr>
              <w:t>建设项目环境保护图形符号表</w:t>
            </w:r>
          </w:p>
          <w:tbl>
            <w:tblPr>
              <w:tblStyle w:val="18"/>
              <w:tblW w:w="4997"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937"/>
              <w:gridCol w:w="2099"/>
              <w:gridCol w:w="1685"/>
              <w:gridCol w:w="2454"/>
            </w:tblGrid>
            <w:tr w14:paraId="2A9B7D8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653" w:type="pct"/>
                  <w:tcBorders>
                    <w:top w:val="single" w:color="auto" w:sz="12" w:space="0"/>
                    <w:left w:val="nil"/>
                    <w:bottom w:val="single" w:color="auto" w:sz="12" w:space="0"/>
                    <w:right w:val="single" w:color="auto" w:sz="6" w:space="0"/>
                  </w:tcBorders>
                  <w:noWrap w:val="0"/>
                  <w:vAlign w:val="center"/>
                </w:tcPr>
                <w:p w14:paraId="58CAD35A">
                  <w:pPr>
                    <w:pStyle w:val="37"/>
                    <w:spacing w:line="240" w:lineRule="auto"/>
                    <w:rPr>
                      <w:rFonts w:hint="default" w:ascii="Times New Roman" w:hAnsi="Times New Roman" w:cs="Times New Roman"/>
                      <w:b/>
                      <w:color w:val="auto"/>
                      <w:sz w:val="21"/>
                      <w:szCs w:val="21"/>
                      <w:highlight w:val="none"/>
                      <w:lang w:val="en-US" w:eastAsia="zh-CN"/>
                    </w:rPr>
                  </w:pPr>
                  <w:r>
                    <w:rPr>
                      <w:rFonts w:hint="default" w:ascii="Times New Roman" w:hAnsi="Times New Roman" w:cs="Times New Roman"/>
                      <w:b/>
                      <w:color w:val="auto"/>
                      <w:sz w:val="21"/>
                      <w:szCs w:val="21"/>
                      <w:highlight w:val="none"/>
                      <w:lang w:val="en-US" w:eastAsia="zh-CN"/>
                    </w:rPr>
                    <w:t>序号</w:t>
                  </w:r>
                </w:p>
              </w:tc>
              <w:tc>
                <w:tcPr>
                  <w:tcW w:w="1462" w:type="pct"/>
                  <w:tcBorders>
                    <w:top w:val="single" w:color="auto" w:sz="12" w:space="0"/>
                    <w:left w:val="single" w:color="auto" w:sz="6" w:space="0"/>
                    <w:bottom w:val="single" w:color="auto" w:sz="12" w:space="0"/>
                    <w:right w:val="single" w:color="auto" w:sz="6" w:space="0"/>
                  </w:tcBorders>
                  <w:noWrap w:val="0"/>
                  <w:vAlign w:val="center"/>
                </w:tcPr>
                <w:p w14:paraId="3D424368">
                  <w:pPr>
                    <w:pStyle w:val="37"/>
                    <w:spacing w:line="240" w:lineRule="auto"/>
                    <w:rPr>
                      <w:rFonts w:hint="default" w:ascii="Times New Roman" w:hAnsi="Times New Roman" w:cs="Times New Roman"/>
                      <w:b/>
                      <w:color w:val="auto"/>
                      <w:sz w:val="21"/>
                      <w:szCs w:val="21"/>
                      <w:highlight w:val="none"/>
                      <w:lang w:val="en-US" w:eastAsia="zh-CN"/>
                    </w:rPr>
                  </w:pPr>
                  <w:r>
                    <w:rPr>
                      <w:rFonts w:hint="default" w:ascii="Times New Roman" w:hAnsi="Times New Roman" w:cs="Times New Roman"/>
                      <w:b/>
                      <w:color w:val="auto"/>
                      <w:sz w:val="21"/>
                      <w:szCs w:val="21"/>
                      <w:highlight w:val="none"/>
                      <w:lang w:val="en-US" w:eastAsia="zh-CN"/>
                    </w:rPr>
                    <w:t>提示图形符号</w:t>
                  </w:r>
                </w:p>
              </w:tc>
              <w:tc>
                <w:tcPr>
                  <w:tcW w:w="1174" w:type="pct"/>
                  <w:tcBorders>
                    <w:top w:val="single" w:color="auto" w:sz="12" w:space="0"/>
                    <w:left w:val="single" w:color="auto" w:sz="6" w:space="0"/>
                    <w:bottom w:val="single" w:color="auto" w:sz="12" w:space="0"/>
                    <w:right w:val="single" w:color="auto" w:sz="6" w:space="0"/>
                  </w:tcBorders>
                  <w:noWrap w:val="0"/>
                  <w:vAlign w:val="center"/>
                </w:tcPr>
                <w:p w14:paraId="5592AAEE">
                  <w:pPr>
                    <w:pStyle w:val="37"/>
                    <w:spacing w:line="240" w:lineRule="auto"/>
                    <w:rPr>
                      <w:rFonts w:hint="default" w:ascii="Times New Roman" w:hAnsi="Times New Roman" w:cs="Times New Roman"/>
                      <w:b/>
                      <w:color w:val="auto"/>
                      <w:sz w:val="21"/>
                      <w:szCs w:val="21"/>
                      <w:highlight w:val="none"/>
                      <w:lang w:val="en-US" w:eastAsia="zh-CN"/>
                    </w:rPr>
                  </w:pPr>
                  <w:r>
                    <w:rPr>
                      <w:rFonts w:hint="default" w:ascii="Times New Roman" w:hAnsi="Times New Roman" w:cs="Times New Roman"/>
                      <w:b/>
                      <w:color w:val="auto"/>
                      <w:sz w:val="21"/>
                      <w:szCs w:val="21"/>
                      <w:highlight w:val="none"/>
                      <w:lang w:val="en-US" w:eastAsia="zh-CN"/>
                    </w:rPr>
                    <w:t>名称</w:t>
                  </w:r>
                </w:p>
              </w:tc>
              <w:tc>
                <w:tcPr>
                  <w:tcW w:w="1709" w:type="pct"/>
                  <w:tcBorders>
                    <w:top w:val="single" w:color="auto" w:sz="12" w:space="0"/>
                    <w:left w:val="single" w:color="auto" w:sz="6" w:space="0"/>
                    <w:bottom w:val="single" w:color="auto" w:sz="12" w:space="0"/>
                    <w:right w:val="nil"/>
                  </w:tcBorders>
                  <w:noWrap w:val="0"/>
                  <w:vAlign w:val="center"/>
                </w:tcPr>
                <w:p w14:paraId="3BEEADD2">
                  <w:pPr>
                    <w:pStyle w:val="37"/>
                    <w:spacing w:line="240" w:lineRule="auto"/>
                    <w:rPr>
                      <w:rFonts w:hint="default" w:ascii="Times New Roman" w:hAnsi="Times New Roman" w:cs="Times New Roman"/>
                      <w:b/>
                      <w:color w:val="auto"/>
                      <w:sz w:val="21"/>
                      <w:szCs w:val="21"/>
                      <w:highlight w:val="none"/>
                      <w:lang w:val="en-US" w:eastAsia="zh-CN"/>
                    </w:rPr>
                  </w:pPr>
                  <w:r>
                    <w:rPr>
                      <w:rFonts w:hint="default" w:ascii="Times New Roman" w:hAnsi="Times New Roman" w:cs="Times New Roman"/>
                      <w:b/>
                      <w:color w:val="auto"/>
                      <w:sz w:val="21"/>
                      <w:szCs w:val="21"/>
                      <w:highlight w:val="none"/>
                      <w:lang w:val="en-US" w:eastAsia="zh-CN"/>
                    </w:rPr>
                    <w:t>功能</w:t>
                  </w:r>
                </w:p>
              </w:tc>
            </w:tr>
            <w:tr w14:paraId="426EC8E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653" w:type="pct"/>
                  <w:tcBorders>
                    <w:top w:val="single" w:color="auto" w:sz="6" w:space="0"/>
                    <w:left w:val="nil"/>
                    <w:bottom w:val="single" w:color="auto" w:sz="6" w:space="0"/>
                    <w:right w:val="single" w:color="auto" w:sz="6" w:space="0"/>
                  </w:tcBorders>
                  <w:noWrap w:val="0"/>
                  <w:vAlign w:val="center"/>
                </w:tcPr>
                <w:p w14:paraId="25B2BBAB">
                  <w:pPr>
                    <w:pStyle w:val="37"/>
                    <w:spacing w:line="240" w:lineRule="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w:t>
                  </w:r>
                </w:p>
              </w:tc>
              <w:tc>
                <w:tcPr>
                  <w:tcW w:w="1462" w:type="pct"/>
                  <w:tcBorders>
                    <w:top w:val="single" w:color="auto" w:sz="6" w:space="0"/>
                    <w:left w:val="single" w:color="auto" w:sz="6" w:space="0"/>
                    <w:bottom w:val="single" w:color="auto" w:sz="6" w:space="0"/>
                    <w:right w:val="single" w:color="auto" w:sz="6" w:space="0"/>
                  </w:tcBorders>
                  <w:noWrap w:val="0"/>
                  <w:vAlign w:val="center"/>
                </w:tcPr>
                <w:p w14:paraId="2E3D654C">
                  <w:pPr>
                    <w:pStyle w:val="37"/>
                    <w:spacing w:line="240" w:lineRule="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drawing>
                      <wp:inline distT="0" distB="0" distL="114300" distR="114300">
                        <wp:extent cx="621030" cy="629920"/>
                        <wp:effectExtent l="0" t="0" r="1270" b="5080"/>
                        <wp:docPr id="16" name="图片 3" descr="14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3" descr="14001"/>
                                <pic:cNvPicPr>
                                  <a:picLocks noChangeAspect="1"/>
                                </pic:cNvPicPr>
                              </pic:nvPicPr>
                              <pic:blipFill>
                                <a:blip r:embed="rId34"/>
                                <a:stretch>
                                  <a:fillRect/>
                                </a:stretch>
                              </pic:blipFill>
                              <pic:spPr>
                                <a:xfrm>
                                  <a:off x="0" y="0"/>
                                  <a:ext cx="621030" cy="629920"/>
                                </a:xfrm>
                                <a:prstGeom prst="rect">
                                  <a:avLst/>
                                </a:prstGeom>
                                <a:noFill/>
                                <a:ln>
                                  <a:noFill/>
                                </a:ln>
                              </pic:spPr>
                            </pic:pic>
                          </a:graphicData>
                        </a:graphic>
                      </wp:inline>
                    </w:drawing>
                  </w:r>
                </w:p>
              </w:tc>
              <w:tc>
                <w:tcPr>
                  <w:tcW w:w="1174" w:type="pct"/>
                  <w:tcBorders>
                    <w:top w:val="single" w:color="auto" w:sz="6" w:space="0"/>
                    <w:left w:val="single" w:color="auto" w:sz="6" w:space="0"/>
                    <w:bottom w:val="single" w:color="auto" w:sz="6" w:space="0"/>
                    <w:right w:val="single" w:color="auto" w:sz="6" w:space="0"/>
                  </w:tcBorders>
                  <w:noWrap w:val="0"/>
                  <w:vAlign w:val="center"/>
                </w:tcPr>
                <w:p w14:paraId="77926B6D">
                  <w:pPr>
                    <w:pStyle w:val="37"/>
                    <w:spacing w:line="240" w:lineRule="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一般固体废物</w:t>
                  </w:r>
                </w:p>
              </w:tc>
              <w:tc>
                <w:tcPr>
                  <w:tcW w:w="1709" w:type="pct"/>
                  <w:tcBorders>
                    <w:top w:val="single" w:color="auto" w:sz="6" w:space="0"/>
                    <w:left w:val="single" w:color="auto" w:sz="6" w:space="0"/>
                    <w:bottom w:val="single" w:color="auto" w:sz="6" w:space="0"/>
                    <w:right w:val="nil"/>
                  </w:tcBorders>
                  <w:noWrap w:val="0"/>
                  <w:vAlign w:val="center"/>
                </w:tcPr>
                <w:p w14:paraId="70B6B84A">
                  <w:pPr>
                    <w:pStyle w:val="37"/>
                    <w:spacing w:line="240" w:lineRule="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表示一般固体废物贮存、处置场</w:t>
                  </w:r>
                </w:p>
              </w:tc>
            </w:tr>
            <w:tr w14:paraId="4B05D94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653" w:type="pct"/>
                  <w:tcBorders>
                    <w:top w:val="single" w:color="auto" w:sz="6" w:space="0"/>
                    <w:left w:val="nil"/>
                    <w:bottom w:val="single" w:color="auto" w:sz="6" w:space="0"/>
                    <w:right w:val="single" w:color="auto" w:sz="6" w:space="0"/>
                  </w:tcBorders>
                  <w:noWrap w:val="0"/>
                  <w:vAlign w:val="center"/>
                </w:tcPr>
                <w:p w14:paraId="7AB477F7">
                  <w:pPr>
                    <w:pStyle w:val="37"/>
                    <w:spacing w:line="240" w:lineRule="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w:t>
                  </w:r>
                </w:p>
              </w:tc>
              <w:tc>
                <w:tcPr>
                  <w:tcW w:w="1462" w:type="pct"/>
                  <w:tcBorders>
                    <w:top w:val="single" w:color="auto" w:sz="6" w:space="0"/>
                    <w:left w:val="single" w:color="auto" w:sz="6" w:space="0"/>
                    <w:bottom w:val="single" w:color="auto" w:sz="6" w:space="0"/>
                    <w:right w:val="single" w:color="auto" w:sz="6" w:space="0"/>
                  </w:tcBorders>
                  <w:noWrap w:val="0"/>
                  <w:vAlign w:val="center"/>
                </w:tcPr>
                <w:p w14:paraId="6F44B771">
                  <w:pPr>
                    <w:pStyle w:val="37"/>
                    <w:spacing w:line="240" w:lineRule="auto"/>
                    <w:rPr>
                      <w:rFonts w:hint="default" w:ascii="Times New Roman" w:hAnsi="Times New Roman"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drawing>
                      <wp:inline distT="0" distB="0" distL="114300" distR="114300">
                        <wp:extent cx="774700" cy="677545"/>
                        <wp:effectExtent l="0" t="0" r="0" b="8255"/>
                        <wp:docPr id="15" name="图片 4" descr="ae94750712d8a7d5f75ec4c5be9f7e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4" descr="ae94750712d8a7d5f75ec4c5be9f7e18"/>
                                <pic:cNvPicPr>
                                  <a:picLocks noChangeAspect="1"/>
                                </pic:cNvPicPr>
                              </pic:nvPicPr>
                              <pic:blipFill>
                                <a:blip r:embed="rId35"/>
                                <a:stretch>
                                  <a:fillRect/>
                                </a:stretch>
                              </pic:blipFill>
                              <pic:spPr>
                                <a:xfrm>
                                  <a:off x="0" y="0"/>
                                  <a:ext cx="774700" cy="677545"/>
                                </a:xfrm>
                                <a:prstGeom prst="rect">
                                  <a:avLst/>
                                </a:prstGeom>
                                <a:noFill/>
                                <a:ln>
                                  <a:noFill/>
                                </a:ln>
                              </pic:spPr>
                            </pic:pic>
                          </a:graphicData>
                        </a:graphic>
                      </wp:inline>
                    </w:drawing>
                  </w:r>
                </w:p>
              </w:tc>
              <w:tc>
                <w:tcPr>
                  <w:tcW w:w="1174" w:type="pct"/>
                  <w:tcBorders>
                    <w:top w:val="single" w:color="auto" w:sz="6" w:space="0"/>
                    <w:left w:val="single" w:color="auto" w:sz="6" w:space="0"/>
                    <w:bottom w:val="single" w:color="auto" w:sz="6" w:space="0"/>
                    <w:right w:val="single" w:color="auto" w:sz="6" w:space="0"/>
                  </w:tcBorders>
                  <w:noWrap w:val="0"/>
                  <w:vAlign w:val="center"/>
                </w:tcPr>
                <w:p w14:paraId="4EE3A90D">
                  <w:pPr>
                    <w:pStyle w:val="37"/>
                    <w:spacing w:line="240" w:lineRule="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危险废物</w:t>
                  </w:r>
                </w:p>
              </w:tc>
              <w:tc>
                <w:tcPr>
                  <w:tcW w:w="1709" w:type="pct"/>
                  <w:tcBorders>
                    <w:top w:val="single" w:color="auto" w:sz="6" w:space="0"/>
                    <w:left w:val="single" w:color="auto" w:sz="6" w:space="0"/>
                    <w:bottom w:val="single" w:color="auto" w:sz="6" w:space="0"/>
                    <w:right w:val="nil"/>
                  </w:tcBorders>
                  <w:noWrap w:val="0"/>
                  <w:vAlign w:val="center"/>
                </w:tcPr>
                <w:p w14:paraId="1A3B48FF">
                  <w:pPr>
                    <w:pStyle w:val="37"/>
                    <w:spacing w:line="240" w:lineRule="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表示危险废</w:t>
                  </w:r>
                  <w:r>
                    <w:rPr>
                      <w:rFonts w:hint="default" w:ascii="Times New Roman" w:hAnsi="Times New Roman" w:eastAsia="宋体" w:cs="Times New Roman"/>
                      <w:color w:val="auto"/>
                      <w:sz w:val="21"/>
                      <w:szCs w:val="21"/>
                      <w:highlight w:val="none"/>
                    </w:rPr>
                    <w:t>物贮存、利用、处置</w:t>
                  </w:r>
                  <w:r>
                    <w:rPr>
                      <w:rFonts w:hint="default" w:ascii="Times New Roman" w:hAnsi="Times New Roman" w:eastAsia="宋体" w:cs="Times New Roman"/>
                      <w:color w:val="auto"/>
                      <w:sz w:val="21"/>
                      <w:szCs w:val="21"/>
                      <w:highlight w:val="none"/>
                      <w:lang w:val="en-US" w:eastAsia="zh-CN"/>
                    </w:rPr>
                    <w:t>设施</w:t>
                  </w:r>
                </w:p>
              </w:tc>
            </w:tr>
            <w:tr w14:paraId="33395FD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653" w:type="pct"/>
                  <w:tcBorders>
                    <w:top w:val="single" w:color="auto" w:sz="6" w:space="0"/>
                    <w:left w:val="nil"/>
                    <w:bottom w:val="single" w:color="auto" w:sz="6" w:space="0"/>
                    <w:right w:val="single" w:color="auto" w:sz="6" w:space="0"/>
                  </w:tcBorders>
                  <w:noWrap w:val="0"/>
                  <w:vAlign w:val="center"/>
                </w:tcPr>
                <w:p w14:paraId="039A8C42">
                  <w:pPr>
                    <w:pStyle w:val="37"/>
                    <w:spacing w:line="240" w:lineRule="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3</w:t>
                  </w:r>
                </w:p>
              </w:tc>
              <w:tc>
                <w:tcPr>
                  <w:tcW w:w="1462" w:type="pct"/>
                  <w:tcBorders>
                    <w:top w:val="single" w:color="auto" w:sz="6" w:space="0"/>
                    <w:left w:val="single" w:color="auto" w:sz="6" w:space="0"/>
                    <w:bottom w:val="single" w:color="auto" w:sz="6" w:space="0"/>
                    <w:right w:val="single" w:color="auto" w:sz="6" w:space="0"/>
                  </w:tcBorders>
                  <w:noWrap w:val="0"/>
                  <w:vAlign w:val="center"/>
                </w:tcPr>
                <w:p w14:paraId="00942D59">
                  <w:pPr>
                    <w:pStyle w:val="37"/>
                    <w:spacing w:line="240" w:lineRule="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drawing>
                      <wp:inline distT="0" distB="0" distL="114300" distR="114300">
                        <wp:extent cx="621030" cy="603885"/>
                        <wp:effectExtent l="0" t="0" r="1270" b="5715"/>
                        <wp:docPr id="1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5"/>
                                <pic:cNvPicPr>
                                  <a:picLocks noChangeAspect="1"/>
                                </pic:cNvPicPr>
                              </pic:nvPicPr>
                              <pic:blipFill>
                                <a:blip r:embed="rId36"/>
                                <a:stretch>
                                  <a:fillRect/>
                                </a:stretch>
                              </pic:blipFill>
                              <pic:spPr>
                                <a:xfrm>
                                  <a:off x="0" y="0"/>
                                  <a:ext cx="621030" cy="603885"/>
                                </a:xfrm>
                                <a:prstGeom prst="rect">
                                  <a:avLst/>
                                </a:prstGeom>
                                <a:noFill/>
                                <a:ln>
                                  <a:noFill/>
                                </a:ln>
                              </pic:spPr>
                            </pic:pic>
                          </a:graphicData>
                        </a:graphic>
                      </wp:inline>
                    </w:drawing>
                  </w:r>
                </w:p>
              </w:tc>
              <w:tc>
                <w:tcPr>
                  <w:tcW w:w="1174" w:type="pct"/>
                  <w:tcBorders>
                    <w:top w:val="single" w:color="auto" w:sz="6" w:space="0"/>
                    <w:left w:val="single" w:color="auto" w:sz="6" w:space="0"/>
                    <w:bottom w:val="single" w:color="auto" w:sz="6" w:space="0"/>
                    <w:right w:val="single" w:color="auto" w:sz="6" w:space="0"/>
                  </w:tcBorders>
                  <w:noWrap w:val="0"/>
                  <w:vAlign w:val="center"/>
                </w:tcPr>
                <w:p w14:paraId="710B2DBC">
                  <w:pPr>
                    <w:pStyle w:val="37"/>
                    <w:spacing w:line="240" w:lineRule="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噪声排放源</w:t>
                  </w:r>
                </w:p>
              </w:tc>
              <w:tc>
                <w:tcPr>
                  <w:tcW w:w="1709" w:type="pct"/>
                  <w:tcBorders>
                    <w:top w:val="single" w:color="auto" w:sz="6" w:space="0"/>
                    <w:left w:val="single" w:color="auto" w:sz="6" w:space="0"/>
                    <w:bottom w:val="single" w:color="auto" w:sz="6" w:space="0"/>
                    <w:right w:val="nil"/>
                  </w:tcBorders>
                  <w:noWrap w:val="0"/>
                  <w:vAlign w:val="center"/>
                </w:tcPr>
                <w:p w14:paraId="2E524704">
                  <w:pPr>
                    <w:pStyle w:val="37"/>
                    <w:spacing w:line="240" w:lineRule="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表示噪声向外环境排放</w:t>
                  </w:r>
                </w:p>
              </w:tc>
            </w:tr>
            <w:tr w14:paraId="0E09A4C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653" w:type="pct"/>
                  <w:tcBorders>
                    <w:top w:val="single" w:color="auto" w:sz="6" w:space="0"/>
                    <w:left w:val="nil"/>
                    <w:bottom w:val="single" w:color="auto" w:sz="12" w:space="0"/>
                    <w:right w:val="single" w:color="auto" w:sz="6" w:space="0"/>
                  </w:tcBorders>
                  <w:noWrap w:val="0"/>
                  <w:vAlign w:val="center"/>
                </w:tcPr>
                <w:p w14:paraId="34860FC8">
                  <w:pPr>
                    <w:pStyle w:val="37"/>
                    <w:spacing w:line="240" w:lineRule="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4</w:t>
                  </w:r>
                </w:p>
              </w:tc>
              <w:tc>
                <w:tcPr>
                  <w:tcW w:w="1462" w:type="pct"/>
                  <w:tcBorders>
                    <w:top w:val="single" w:color="auto" w:sz="6" w:space="0"/>
                    <w:left w:val="single" w:color="auto" w:sz="6" w:space="0"/>
                    <w:bottom w:val="single" w:color="auto" w:sz="12" w:space="0"/>
                    <w:right w:val="single" w:color="auto" w:sz="6" w:space="0"/>
                  </w:tcBorders>
                  <w:noWrap w:val="0"/>
                  <w:vAlign w:val="center"/>
                </w:tcPr>
                <w:p w14:paraId="16AFF4AB">
                  <w:pPr>
                    <w:pStyle w:val="37"/>
                    <w:spacing w:line="240" w:lineRule="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drawing>
                      <wp:inline distT="0" distB="0" distL="114300" distR="114300">
                        <wp:extent cx="750570" cy="802005"/>
                        <wp:effectExtent l="0" t="0" r="11430" b="10795"/>
                        <wp:docPr id="17" name="图片 6" descr="废水排放口"/>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6" descr="废水排放口"/>
                                <pic:cNvPicPr>
                                  <a:picLocks noChangeAspect="1"/>
                                </pic:cNvPicPr>
                              </pic:nvPicPr>
                              <pic:blipFill>
                                <a:blip r:embed="rId37"/>
                                <a:stretch>
                                  <a:fillRect/>
                                </a:stretch>
                              </pic:blipFill>
                              <pic:spPr>
                                <a:xfrm>
                                  <a:off x="0" y="0"/>
                                  <a:ext cx="750570" cy="802005"/>
                                </a:xfrm>
                                <a:prstGeom prst="rect">
                                  <a:avLst/>
                                </a:prstGeom>
                                <a:noFill/>
                                <a:ln>
                                  <a:noFill/>
                                </a:ln>
                              </pic:spPr>
                            </pic:pic>
                          </a:graphicData>
                        </a:graphic>
                      </wp:inline>
                    </w:drawing>
                  </w:r>
                </w:p>
              </w:tc>
              <w:tc>
                <w:tcPr>
                  <w:tcW w:w="1174" w:type="pct"/>
                  <w:tcBorders>
                    <w:top w:val="single" w:color="auto" w:sz="6" w:space="0"/>
                    <w:left w:val="single" w:color="auto" w:sz="6" w:space="0"/>
                    <w:bottom w:val="single" w:color="auto" w:sz="12" w:space="0"/>
                    <w:right w:val="single" w:color="auto" w:sz="6" w:space="0"/>
                  </w:tcBorders>
                  <w:noWrap w:val="0"/>
                  <w:vAlign w:val="center"/>
                </w:tcPr>
                <w:p w14:paraId="606D9D0B">
                  <w:pPr>
                    <w:pStyle w:val="37"/>
                    <w:spacing w:line="240" w:lineRule="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废水排放口</w:t>
                  </w:r>
                </w:p>
              </w:tc>
              <w:tc>
                <w:tcPr>
                  <w:tcW w:w="1709" w:type="pct"/>
                  <w:tcBorders>
                    <w:top w:val="single" w:color="auto" w:sz="6" w:space="0"/>
                    <w:left w:val="single" w:color="auto" w:sz="6" w:space="0"/>
                    <w:bottom w:val="single" w:color="auto" w:sz="12" w:space="0"/>
                    <w:right w:val="nil"/>
                  </w:tcBorders>
                  <w:noWrap w:val="0"/>
                  <w:vAlign w:val="center"/>
                </w:tcPr>
                <w:p w14:paraId="1A8E1770">
                  <w:pPr>
                    <w:pStyle w:val="37"/>
                    <w:spacing w:line="240" w:lineRule="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表示废水向水环境排放</w:t>
                  </w:r>
                </w:p>
              </w:tc>
            </w:tr>
          </w:tbl>
          <w:p w14:paraId="5365FECC">
            <w:pPr>
              <w:pStyle w:val="3"/>
              <w:bidi w:val="0"/>
              <w:spacing w:line="240" w:lineRule="auto"/>
              <w:rPr>
                <w:rFonts w:hint="default" w:ascii="Times New Roman" w:hAnsi="Times New Roman" w:cs="Times New Roman"/>
                <w:color w:val="auto"/>
                <w:sz w:val="21"/>
                <w:szCs w:val="21"/>
                <w:highlight w:val="none"/>
                <w:lang w:val="en-US" w:eastAsia="zh-CN"/>
              </w:rPr>
            </w:pPr>
            <w:bookmarkStart w:id="76" w:name="OLE_LINK75"/>
            <w:r>
              <w:rPr>
                <w:rFonts w:hint="default" w:ascii="Times New Roman" w:hAnsi="Times New Roman" w:cs="Times New Roman"/>
                <w:color w:val="auto"/>
                <w:sz w:val="21"/>
                <w:szCs w:val="21"/>
                <w:highlight w:val="none"/>
                <w:lang w:val="en-US" w:eastAsia="zh-CN"/>
              </w:rPr>
              <w:t>5.2</w:t>
            </w:r>
            <w:r>
              <w:rPr>
                <w:rFonts w:hint="default" w:ascii="Times New Roman" w:hAnsi="Times New Roman" w:cs="Times New Roman"/>
                <w:color w:val="auto"/>
                <w:sz w:val="21"/>
                <w:szCs w:val="21"/>
                <w:highlight w:val="none"/>
                <w:lang w:eastAsia="zh-CN"/>
              </w:rPr>
              <w:t>、排污</w:t>
            </w:r>
            <w:r>
              <w:rPr>
                <w:rFonts w:hint="default" w:ascii="Times New Roman" w:hAnsi="Times New Roman" w:cs="Times New Roman"/>
                <w:color w:val="auto"/>
                <w:sz w:val="21"/>
                <w:szCs w:val="21"/>
                <w:highlight w:val="none"/>
                <w:lang w:val="en-US" w:eastAsia="zh-CN"/>
              </w:rPr>
              <w:t>许可衔接</w:t>
            </w:r>
          </w:p>
          <w:bookmarkEnd w:id="76"/>
          <w:p w14:paraId="19376226">
            <w:pPr>
              <w:pStyle w:val="31"/>
              <w:bidi w:val="0"/>
              <w:spacing w:line="240" w:lineRule="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本项目行业类别为</w:t>
            </w:r>
            <w:r>
              <w:rPr>
                <w:rFonts w:hint="eastAsia" w:cs="Times New Roman"/>
                <w:color w:val="auto"/>
                <w:sz w:val="21"/>
                <w:szCs w:val="21"/>
                <w:highlight w:val="none"/>
                <w:lang w:eastAsia="zh-CN"/>
              </w:rPr>
              <w:t>“</w:t>
            </w:r>
            <w:r>
              <w:rPr>
                <w:rFonts w:hint="eastAsia" w:cs="Times New Roman"/>
                <w:color w:val="auto"/>
                <w:sz w:val="21"/>
                <w:szCs w:val="21"/>
                <w:highlight w:val="none"/>
                <w:lang w:val="en-US" w:eastAsia="zh-CN"/>
              </w:rPr>
              <w:t>Q</w:t>
            </w:r>
            <w:r>
              <w:rPr>
                <w:rFonts w:hint="default" w:ascii="Times New Roman" w:hAnsi="Times New Roman" w:cs="Times New Roman"/>
                <w:color w:val="auto"/>
                <w:sz w:val="21"/>
                <w:szCs w:val="21"/>
                <w:highlight w:val="none"/>
              </w:rPr>
              <w:t>8222宠物医院服务</w:t>
            </w:r>
            <w:r>
              <w:rPr>
                <w:rFonts w:hint="eastAsia" w:cs="Times New Roman"/>
                <w:color w:val="auto"/>
                <w:sz w:val="21"/>
                <w:szCs w:val="21"/>
                <w:highlight w:val="none"/>
                <w:lang w:eastAsia="zh-CN"/>
              </w:rPr>
              <w:t>”</w:t>
            </w:r>
            <w:r>
              <w:rPr>
                <w:rFonts w:hint="default" w:ascii="Times New Roman" w:hAnsi="Times New Roman" w:cs="Times New Roman"/>
                <w:color w:val="auto"/>
                <w:sz w:val="21"/>
                <w:szCs w:val="21"/>
                <w:highlight w:val="none"/>
              </w:rPr>
              <w:t>，根据《固定污染源排污许可分类管理名录》（2019年版），本项目无需办理排污许可手续。</w:t>
            </w:r>
          </w:p>
          <w:p w14:paraId="00E3965F">
            <w:pPr>
              <w:pStyle w:val="3"/>
              <w:bidi w:val="0"/>
              <w:spacing w:line="240" w:lineRule="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5.3</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lang w:val="en-US" w:eastAsia="zh-CN"/>
              </w:rPr>
              <w:t>自行监测</w:t>
            </w:r>
          </w:p>
          <w:p w14:paraId="77B798A1">
            <w:pPr>
              <w:pStyle w:val="31"/>
              <w:bidi w:val="0"/>
              <w:spacing w:line="240" w:lineRule="auto"/>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rPr>
              <w:t>根据《排污单位自行监测技术指南总则》（HJ819-2017），建设单位应按照环境监测计划对项目废气、废水、厂界噪声定期开展自行监测，根据法律法规要求进行环境信息公开。</w:t>
            </w:r>
          </w:p>
          <w:p w14:paraId="15BF43D3">
            <w:pPr>
              <w:pStyle w:val="22"/>
              <w:spacing w:line="240" w:lineRule="auto"/>
              <w:ind w:firstLine="0" w:firstLineChars="0"/>
              <w:rPr>
                <w:rFonts w:hint="default" w:ascii="Times New Roman" w:hAnsi="Times New Roman" w:cs="Times New Roman"/>
                <w:color w:val="auto"/>
                <w:sz w:val="21"/>
                <w:szCs w:val="21"/>
                <w:highlight w:val="none"/>
                <w:lang w:val="en-US" w:eastAsia="zh-CN"/>
              </w:rPr>
            </w:pPr>
          </w:p>
          <w:p w14:paraId="2B23D656">
            <w:pPr>
              <w:pStyle w:val="24"/>
              <w:rPr>
                <w:rFonts w:hint="default" w:ascii="Times New Roman" w:hAnsi="Times New Roman" w:cs="Times New Roman"/>
                <w:color w:val="auto"/>
                <w:sz w:val="21"/>
                <w:szCs w:val="21"/>
                <w:highlight w:val="none"/>
                <w:lang w:val="en-US" w:eastAsia="zh-CN"/>
              </w:rPr>
            </w:pPr>
          </w:p>
          <w:p w14:paraId="6487AD50">
            <w:pPr>
              <w:rPr>
                <w:rFonts w:hint="default" w:ascii="Times New Roman" w:hAnsi="Times New Roman" w:cs="Times New Roman"/>
                <w:color w:val="auto"/>
                <w:sz w:val="21"/>
                <w:szCs w:val="21"/>
                <w:highlight w:val="none"/>
                <w:lang w:val="en-US" w:eastAsia="zh-CN"/>
              </w:rPr>
            </w:pPr>
          </w:p>
          <w:p w14:paraId="06E49C5D">
            <w:pPr>
              <w:pStyle w:val="22"/>
              <w:rPr>
                <w:rFonts w:hint="default" w:ascii="Times New Roman" w:hAnsi="Times New Roman" w:cs="Times New Roman"/>
                <w:color w:val="auto"/>
                <w:sz w:val="21"/>
                <w:szCs w:val="21"/>
                <w:highlight w:val="none"/>
                <w:lang w:val="en-US" w:eastAsia="zh-CN"/>
              </w:rPr>
            </w:pPr>
          </w:p>
          <w:p w14:paraId="6EDF1F36">
            <w:pPr>
              <w:pStyle w:val="24"/>
              <w:rPr>
                <w:rFonts w:hint="default" w:ascii="Times New Roman" w:hAnsi="Times New Roman" w:cs="Times New Roman"/>
                <w:color w:val="auto"/>
                <w:sz w:val="21"/>
                <w:szCs w:val="21"/>
                <w:highlight w:val="none"/>
                <w:lang w:val="en-US" w:eastAsia="zh-CN"/>
              </w:rPr>
            </w:pPr>
          </w:p>
          <w:p w14:paraId="585CE0C9">
            <w:pPr>
              <w:rPr>
                <w:rFonts w:hint="default" w:ascii="Times New Roman" w:hAnsi="Times New Roman" w:cs="Times New Roman"/>
                <w:color w:val="auto"/>
                <w:sz w:val="21"/>
                <w:szCs w:val="21"/>
                <w:highlight w:val="none"/>
                <w:lang w:val="en-US" w:eastAsia="zh-CN"/>
              </w:rPr>
            </w:pPr>
          </w:p>
          <w:p w14:paraId="4E8856E8">
            <w:pPr>
              <w:pStyle w:val="22"/>
              <w:rPr>
                <w:rFonts w:hint="default" w:ascii="Times New Roman" w:hAnsi="Times New Roman" w:cs="Times New Roman"/>
                <w:color w:val="auto"/>
                <w:sz w:val="21"/>
                <w:szCs w:val="21"/>
                <w:highlight w:val="none"/>
                <w:lang w:val="en-US" w:eastAsia="zh-CN"/>
              </w:rPr>
            </w:pPr>
          </w:p>
          <w:p w14:paraId="4623B01B">
            <w:pPr>
              <w:pStyle w:val="24"/>
              <w:rPr>
                <w:rFonts w:hint="default" w:ascii="Times New Roman" w:hAnsi="Times New Roman" w:cs="Times New Roman"/>
                <w:color w:val="auto"/>
                <w:sz w:val="21"/>
                <w:szCs w:val="21"/>
                <w:highlight w:val="none"/>
                <w:lang w:val="en-US" w:eastAsia="zh-CN"/>
              </w:rPr>
            </w:pPr>
          </w:p>
          <w:p w14:paraId="07D3F1F0">
            <w:pPr>
              <w:rPr>
                <w:rFonts w:hint="default" w:ascii="Times New Roman" w:hAnsi="Times New Roman" w:cs="Times New Roman"/>
                <w:color w:val="auto"/>
                <w:sz w:val="21"/>
                <w:szCs w:val="21"/>
                <w:highlight w:val="none"/>
                <w:lang w:val="en-US" w:eastAsia="zh-CN"/>
              </w:rPr>
            </w:pPr>
          </w:p>
          <w:p w14:paraId="4704CFA3">
            <w:pPr>
              <w:pStyle w:val="22"/>
              <w:rPr>
                <w:rFonts w:hint="default" w:ascii="Times New Roman" w:hAnsi="Times New Roman" w:cs="Times New Roman"/>
                <w:color w:val="auto"/>
                <w:sz w:val="21"/>
                <w:szCs w:val="21"/>
                <w:highlight w:val="none"/>
                <w:lang w:val="en-US" w:eastAsia="zh-CN"/>
              </w:rPr>
            </w:pPr>
          </w:p>
          <w:p w14:paraId="118DB2B3">
            <w:pPr>
              <w:pStyle w:val="24"/>
              <w:rPr>
                <w:rFonts w:hint="default" w:ascii="Times New Roman" w:hAnsi="Times New Roman" w:cs="Times New Roman"/>
                <w:color w:val="auto"/>
                <w:sz w:val="21"/>
                <w:szCs w:val="21"/>
                <w:highlight w:val="none"/>
                <w:lang w:val="en-US" w:eastAsia="zh-CN"/>
              </w:rPr>
            </w:pPr>
          </w:p>
          <w:p w14:paraId="11A134AA">
            <w:pPr>
              <w:rPr>
                <w:rFonts w:hint="default" w:ascii="Times New Roman" w:hAnsi="Times New Roman" w:cs="Times New Roman"/>
                <w:color w:val="auto"/>
                <w:sz w:val="21"/>
                <w:szCs w:val="21"/>
                <w:highlight w:val="none"/>
                <w:lang w:val="en-US" w:eastAsia="zh-CN"/>
              </w:rPr>
            </w:pPr>
          </w:p>
          <w:p w14:paraId="536903A8">
            <w:pPr>
              <w:pStyle w:val="22"/>
              <w:rPr>
                <w:rFonts w:hint="default" w:ascii="Times New Roman" w:hAnsi="Times New Roman" w:cs="Times New Roman"/>
                <w:color w:val="auto"/>
                <w:sz w:val="21"/>
                <w:szCs w:val="21"/>
                <w:highlight w:val="none"/>
                <w:lang w:val="en-US" w:eastAsia="zh-CN"/>
              </w:rPr>
            </w:pPr>
          </w:p>
          <w:p w14:paraId="0FDB8117">
            <w:pPr>
              <w:rPr>
                <w:rFonts w:hint="default" w:ascii="Times New Roman" w:hAnsi="Times New Roman" w:cs="Times New Roman"/>
                <w:color w:val="auto"/>
                <w:sz w:val="21"/>
                <w:szCs w:val="21"/>
                <w:highlight w:val="none"/>
                <w:lang w:val="en-US" w:eastAsia="zh-CN"/>
              </w:rPr>
            </w:pPr>
          </w:p>
          <w:p w14:paraId="4A96278A">
            <w:pPr>
              <w:pStyle w:val="22"/>
              <w:rPr>
                <w:rFonts w:hint="default" w:ascii="Times New Roman" w:hAnsi="Times New Roman" w:cs="Times New Roman"/>
                <w:color w:val="auto"/>
                <w:sz w:val="21"/>
                <w:szCs w:val="21"/>
                <w:highlight w:val="none"/>
                <w:lang w:val="en-US" w:eastAsia="zh-CN"/>
              </w:rPr>
            </w:pPr>
          </w:p>
          <w:p w14:paraId="6CB9414D">
            <w:pPr>
              <w:pStyle w:val="24"/>
              <w:rPr>
                <w:rFonts w:hint="default" w:ascii="Times New Roman" w:hAnsi="Times New Roman" w:cs="Times New Roman"/>
                <w:color w:val="auto"/>
                <w:sz w:val="21"/>
                <w:szCs w:val="21"/>
                <w:highlight w:val="none"/>
                <w:lang w:val="en-US" w:eastAsia="zh-CN"/>
              </w:rPr>
            </w:pPr>
          </w:p>
          <w:p w14:paraId="1C845FE0">
            <w:pPr>
              <w:rPr>
                <w:rFonts w:hint="default" w:ascii="Times New Roman" w:hAnsi="Times New Roman" w:cs="Times New Roman"/>
                <w:color w:val="auto"/>
                <w:sz w:val="21"/>
                <w:szCs w:val="21"/>
                <w:highlight w:val="none"/>
                <w:lang w:val="en-US" w:eastAsia="zh-CN"/>
              </w:rPr>
            </w:pPr>
          </w:p>
          <w:p w14:paraId="4F9E888B">
            <w:pPr>
              <w:pStyle w:val="22"/>
              <w:rPr>
                <w:rFonts w:hint="default" w:ascii="Times New Roman" w:hAnsi="Times New Roman" w:cs="Times New Roman"/>
                <w:color w:val="auto"/>
                <w:sz w:val="21"/>
                <w:szCs w:val="21"/>
                <w:highlight w:val="none"/>
                <w:lang w:val="en-US" w:eastAsia="zh-CN"/>
              </w:rPr>
            </w:pPr>
          </w:p>
          <w:p w14:paraId="2465C904">
            <w:pPr>
              <w:pStyle w:val="24"/>
              <w:rPr>
                <w:rFonts w:hint="default" w:ascii="Times New Roman" w:hAnsi="Times New Roman" w:cs="Times New Roman"/>
                <w:color w:val="auto"/>
                <w:sz w:val="21"/>
                <w:szCs w:val="21"/>
                <w:highlight w:val="none"/>
                <w:lang w:val="en-US" w:eastAsia="zh-CN"/>
              </w:rPr>
            </w:pPr>
          </w:p>
          <w:p w14:paraId="1120F11D">
            <w:pPr>
              <w:rPr>
                <w:rFonts w:hint="default"/>
                <w:color w:val="auto"/>
                <w:lang w:val="en-US" w:eastAsia="zh-CN"/>
              </w:rPr>
            </w:pPr>
          </w:p>
        </w:tc>
      </w:tr>
    </w:tbl>
    <w:p w14:paraId="04112D8D">
      <w:pPr>
        <w:spacing w:line="44" w:lineRule="auto"/>
        <w:rPr>
          <w:rFonts w:hint="default" w:ascii="Times New Roman" w:hAnsi="Times New Roman" w:cs="Times New Roman"/>
          <w:color w:val="auto"/>
          <w:sz w:val="2"/>
          <w:highlight w:val="none"/>
        </w:rPr>
      </w:pPr>
    </w:p>
    <w:p w14:paraId="7A5527A5">
      <w:pPr>
        <w:spacing w:line="248" w:lineRule="auto"/>
        <w:rPr>
          <w:rFonts w:hint="default" w:ascii="Times New Roman" w:hAnsi="Times New Roman" w:cs="Times New Roman"/>
          <w:color w:val="auto"/>
          <w:sz w:val="21"/>
          <w:highlight w:val="none"/>
        </w:rPr>
        <w:sectPr>
          <w:footerReference r:id="rId9" w:type="default"/>
          <w:pgSz w:w="11906" w:h="16839"/>
          <w:pgMar w:top="1431" w:right="1511" w:bottom="957" w:left="1510" w:header="0" w:footer="692" w:gutter="0"/>
          <w:pgBorders>
            <w:top w:val="none" w:sz="0" w:space="0"/>
            <w:left w:val="none" w:sz="0" w:space="0"/>
            <w:bottom w:val="none" w:sz="0" w:space="0"/>
            <w:right w:val="none" w:sz="0" w:space="0"/>
          </w:pgBorders>
          <w:pgNumType w:fmt="decimal"/>
          <w:cols w:space="720" w:num="1"/>
        </w:sectPr>
      </w:pPr>
    </w:p>
    <w:p w14:paraId="539BA3EC">
      <w:pPr>
        <w:spacing w:line="248" w:lineRule="auto"/>
        <w:rPr>
          <w:rFonts w:hint="default" w:ascii="Times New Roman" w:hAnsi="Times New Roman" w:cs="Times New Roman"/>
          <w:color w:val="auto"/>
          <w:sz w:val="21"/>
          <w:highlight w:val="none"/>
        </w:rPr>
      </w:pPr>
    </w:p>
    <w:p w14:paraId="6BC318F1">
      <w:pPr>
        <w:pStyle w:val="2"/>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六、结论</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49"/>
      </w:tblGrid>
      <w:tr w14:paraId="63984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49" w:type="dxa"/>
            <w:noWrap w:val="0"/>
            <w:vAlign w:val="top"/>
          </w:tcPr>
          <w:p w14:paraId="1C6F3F0C">
            <w:pPr>
              <w:pStyle w:val="31"/>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项目建设符合国家产业政策、</w:t>
            </w:r>
            <w:bookmarkStart w:id="78" w:name="_GoBack"/>
            <w:bookmarkEnd w:id="78"/>
            <w:r>
              <w:rPr>
                <w:rFonts w:hint="default" w:ascii="Times New Roman" w:hAnsi="Times New Roman" w:cs="Times New Roman"/>
                <w:color w:val="auto"/>
                <w:highlight w:val="none"/>
                <w:lang w:eastAsia="zh-CN"/>
              </w:rPr>
              <w:t>生态环境分区管控的相关要求；项目污染源治理措施可靠有效，符合相关标</w:t>
            </w:r>
            <w:r>
              <w:rPr>
                <w:rFonts w:hint="eastAsia" w:cs="Times New Roman"/>
                <w:color w:val="auto"/>
                <w:highlight w:val="none"/>
                <w:lang w:eastAsia="zh-CN"/>
              </w:rPr>
              <w:t>准和</w:t>
            </w:r>
            <w:r>
              <w:rPr>
                <w:rFonts w:hint="default" w:ascii="Times New Roman" w:hAnsi="Times New Roman" w:cs="Times New Roman"/>
                <w:color w:val="auto"/>
                <w:highlight w:val="none"/>
                <w:lang w:eastAsia="zh-CN"/>
              </w:rPr>
              <w:t>规范要求，污染物均能够达标排放；固体废物能得到合理处置，外排污染物对</w:t>
            </w:r>
            <w:r>
              <w:rPr>
                <w:rFonts w:hint="default" w:ascii="Times New Roman" w:hAnsi="Times New Roman" w:cs="Times New Roman"/>
                <w:color w:val="auto"/>
                <w:highlight w:val="none"/>
                <w:lang w:val="en-US" w:eastAsia="zh-CN"/>
              </w:rPr>
              <w:t>周围</w:t>
            </w:r>
            <w:r>
              <w:rPr>
                <w:rFonts w:hint="default" w:ascii="Times New Roman" w:hAnsi="Times New Roman" w:cs="Times New Roman"/>
                <w:color w:val="auto"/>
                <w:highlight w:val="none"/>
                <w:lang w:eastAsia="zh-CN"/>
              </w:rPr>
              <w:t>环境</w:t>
            </w:r>
            <w:r>
              <w:rPr>
                <w:rFonts w:hint="default" w:ascii="Times New Roman" w:hAnsi="Times New Roman" w:cs="Times New Roman"/>
                <w:color w:val="auto"/>
                <w:highlight w:val="none"/>
                <w:lang w:val="en-US" w:eastAsia="zh-CN"/>
              </w:rPr>
              <w:t>影响较小</w:t>
            </w:r>
            <w:r>
              <w:rPr>
                <w:rFonts w:hint="default" w:ascii="Times New Roman" w:hAnsi="Times New Roman" w:cs="Times New Roman"/>
                <w:color w:val="auto"/>
                <w:highlight w:val="none"/>
                <w:lang w:eastAsia="zh-CN"/>
              </w:rPr>
              <w:t>。</w:t>
            </w:r>
          </w:p>
          <w:p w14:paraId="5B8C62D8">
            <w:pPr>
              <w:pStyle w:val="31"/>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综上所述，在全面加强监督管理，执行环保</w:t>
            </w:r>
            <w:r>
              <w:rPr>
                <w:rFonts w:hint="eastAsia" w:cs="Times New Roman"/>
                <w:color w:val="auto"/>
                <w:highlight w:val="none"/>
                <w:lang w:eastAsia="zh-CN"/>
              </w:rPr>
              <w:t>“</w:t>
            </w:r>
            <w:r>
              <w:rPr>
                <w:rFonts w:hint="default" w:ascii="Times New Roman" w:hAnsi="Times New Roman" w:cs="Times New Roman"/>
                <w:color w:val="auto"/>
                <w:highlight w:val="none"/>
                <w:lang w:eastAsia="zh-CN"/>
              </w:rPr>
              <w:t>三同时</w:t>
            </w:r>
            <w:r>
              <w:rPr>
                <w:rFonts w:hint="eastAsia" w:cs="Times New Roman"/>
                <w:color w:val="auto"/>
                <w:highlight w:val="none"/>
                <w:lang w:eastAsia="zh-CN"/>
              </w:rPr>
              <w:t>”</w:t>
            </w:r>
            <w:r>
              <w:rPr>
                <w:rFonts w:hint="default" w:ascii="Times New Roman" w:hAnsi="Times New Roman" w:cs="Times New Roman"/>
                <w:color w:val="auto"/>
                <w:highlight w:val="none"/>
                <w:lang w:eastAsia="zh-CN"/>
              </w:rPr>
              <w:t>制度和认真落实各项环保措施的条件下，从环境保护角度分析，项目的建设是可行的。</w:t>
            </w:r>
          </w:p>
          <w:p w14:paraId="31905E5D">
            <w:pPr>
              <w:pStyle w:val="31"/>
              <w:bidi w:val="0"/>
              <w:rPr>
                <w:rFonts w:hint="default" w:ascii="Times New Roman" w:hAnsi="Times New Roman" w:cs="Times New Roman"/>
                <w:color w:val="auto"/>
                <w:highlight w:val="none"/>
                <w:lang w:eastAsia="zh-CN"/>
              </w:rPr>
            </w:pPr>
          </w:p>
          <w:p w14:paraId="4AC5A16A">
            <w:pPr>
              <w:pStyle w:val="31"/>
              <w:bidi w:val="0"/>
              <w:rPr>
                <w:rFonts w:hint="default" w:ascii="Times New Roman" w:hAnsi="Times New Roman" w:cs="Times New Roman"/>
                <w:color w:val="auto"/>
                <w:highlight w:val="none"/>
                <w:lang w:eastAsia="zh-CN"/>
              </w:rPr>
            </w:pPr>
          </w:p>
          <w:p w14:paraId="731C0D3B">
            <w:pPr>
              <w:pStyle w:val="39"/>
              <w:widowControl w:val="0"/>
              <w:ind w:firstLine="482"/>
              <w:jc w:val="both"/>
              <w:rPr>
                <w:rFonts w:hint="default" w:ascii="Times New Roman" w:hAnsi="Times New Roman" w:cs="Times New Roman"/>
                <w:color w:val="auto"/>
                <w:highlight w:val="none"/>
                <w:lang w:eastAsia="zh-CN"/>
              </w:rPr>
            </w:pPr>
          </w:p>
          <w:p w14:paraId="7ABD0611">
            <w:pPr>
              <w:pStyle w:val="39"/>
              <w:widowControl w:val="0"/>
              <w:ind w:firstLine="482"/>
              <w:jc w:val="both"/>
              <w:rPr>
                <w:rFonts w:hint="default" w:ascii="Times New Roman" w:hAnsi="Times New Roman" w:cs="Times New Roman"/>
                <w:color w:val="auto"/>
                <w:highlight w:val="none"/>
                <w:lang w:eastAsia="zh-CN"/>
              </w:rPr>
            </w:pPr>
          </w:p>
          <w:p w14:paraId="139633DD">
            <w:pPr>
              <w:pStyle w:val="39"/>
              <w:widowControl w:val="0"/>
              <w:ind w:firstLine="482"/>
              <w:jc w:val="both"/>
              <w:rPr>
                <w:rFonts w:hint="default" w:ascii="Times New Roman" w:hAnsi="Times New Roman" w:cs="Times New Roman"/>
                <w:color w:val="auto"/>
                <w:highlight w:val="none"/>
                <w:lang w:eastAsia="zh-CN"/>
              </w:rPr>
            </w:pPr>
          </w:p>
          <w:p w14:paraId="194B71B5">
            <w:pPr>
              <w:pStyle w:val="39"/>
              <w:widowControl w:val="0"/>
              <w:ind w:firstLine="482"/>
              <w:jc w:val="both"/>
              <w:rPr>
                <w:rFonts w:hint="default" w:ascii="Times New Roman" w:hAnsi="Times New Roman" w:cs="Times New Roman"/>
                <w:color w:val="auto"/>
                <w:highlight w:val="none"/>
                <w:lang w:eastAsia="zh-CN"/>
              </w:rPr>
            </w:pPr>
          </w:p>
          <w:p w14:paraId="30AC5BE3">
            <w:pPr>
              <w:pStyle w:val="39"/>
              <w:widowControl w:val="0"/>
              <w:ind w:firstLine="482"/>
              <w:jc w:val="both"/>
              <w:rPr>
                <w:rFonts w:hint="default" w:ascii="Times New Roman" w:hAnsi="Times New Roman" w:cs="Times New Roman"/>
                <w:color w:val="auto"/>
                <w:highlight w:val="none"/>
                <w:lang w:eastAsia="zh-CN"/>
              </w:rPr>
            </w:pPr>
          </w:p>
          <w:p w14:paraId="79312561">
            <w:pPr>
              <w:pStyle w:val="39"/>
              <w:widowControl w:val="0"/>
              <w:ind w:firstLine="482"/>
              <w:jc w:val="both"/>
              <w:rPr>
                <w:rFonts w:hint="default" w:ascii="Times New Roman" w:hAnsi="Times New Roman" w:cs="Times New Roman"/>
                <w:color w:val="auto"/>
                <w:highlight w:val="none"/>
                <w:lang w:eastAsia="zh-CN"/>
              </w:rPr>
            </w:pPr>
          </w:p>
          <w:p w14:paraId="79B52A73">
            <w:pPr>
              <w:pStyle w:val="39"/>
              <w:widowControl w:val="0"/>
              <w:ind w:firstLine="482"/>
              <w:jc w:val="both"/>
              <w:rPr>
                <w:rFonts w:hint="default" w:ascii="Times New Roman" w:hAnsi="Times New Roman" w:cs="Times New Roman"/>
                <w:color w:val="auto"/>
                <w:highlight w:val="none"/>
                <w:lang w:eastAsia="zh-CN"/>
              </w:rPr>
            </w:pPr>
          </w:p>
          <w:p w14:paraId="5607A929">
            <w:pPr>
              <w:pStyle w:val="39"/>
              <w:widowControl w:val="0"/>
              <w:ind w:firstLine="482"/>
              <w:jc w:val="both"/>
              <w:rPr>
                <w:rFonts w:hint="default" w:ascii="Times New Roman" w:hAnsi="Times New Roman" w:cs="Times New Roman"/>
                <w:color w:val="auto"/>
                <w:highlight w:val="none"/>
                <w:lang w:eastAsia="zh-CN"/>
              </w:rPr>
            </w:pPr>
          </w:p>
          <w:p w14:paraId="5D2699F3">
            <w:pPr>
              <w:pStyle w:val="39"/>
              <w:widowControl w:val="0"/>
              <w:ind w:firstLine="482"/>
              <w:jc w:val="both"/>
              <w:rPr>
                <w:rFonts w:hint="default" w:ascii="Times New Roman" w:hAnsi="Times New Roman" w:cs="Times New Roman"/>
                <w:color w:val="auto"/>
                <w:highlight w:val="none"/>
                <w:lang w:eastAsia="zh-CN"/>
              </w:rPr>
            </w:pPr>
          </w:p>
          <w:p w14:paraId="4A40308E">
            <w:pPr>
              <w:pStyle w:val="39"/>
              <w:widowControl w:val="0"/>
              <w:ind w:firstLine="482"/>
              <w:jc w:val="both"/>
              <w:rPr>
                <w:rFonts w:hint="default" w:ascii="Times New Roman" w:hAnsi="Times New Roman" w:cs="Times New Roman"/>
                <w:color w:val="auto"/>
                <w:highlight w:val="none"/>
                <w:lang w:eastAsia="zh-CN"/>
              </w:rPr>
            </w:pPr>
          </w:p>
          <w:p w14:paraId="6EBD69C2">
            <w:pPr>
              <w:pStyle w:val="39"/>
              <w:widowControl w:val="0"/>
              <w:ind w:firstLine="482"/>
              <w:jc w:val="both"/>
              <w:rPr>
                <w:rFonts w:hint="default" w:ascii="Times New Roman" w:hAnsi="Times New Roman" w:cs="Times New Roman"/>
                <w:color w:val="auto"/>
                <w:highlight w:val="none"/>
                <w:lang w:eastAsia="zh-CN"/>
              </w:rPr>
            </w:pPr>
          </w:p>
          <w:p w14:paraId="0C83662B">
            <w:pPr>
              <w:pStyle w:val="39"/>
              <w:widowControl w:val="0"/>
              <w:ind w:firstLine="482"/>
              <w:jc w:val="both"/>
              <w:rPr>
                <w:rFonts w:hint="default" w:ascii="Times New Roman" w:hAnsi="Times New Roman" w:cs="Times New Roman"/>
                <w:color w:val="auto"/>
                <w:highlight w:val="none"/>
                <w:lang w:eastAsia="zh-CN"/>
              </w:rPr>
            </w:pPr>
          </w:p>
          <w:p w14:paraId="00A68417">
            <w:pPr>
              <w:pStyle w:val="39"/>
              <w:widowControl w:val="0"/>
              <w:ind w:firstLine="482"/>
              <w:jc w:val="both"/>
              <w:rPr>
                <w:rFonts w:hint="default" w:ascii="Times New Roman" w:hAnsi="Times New Roman" w:cs="Times New Roman"/>
                <w:color w:val="auto"/>
                <w:highlight w:val="none"/>
                <w:lang w:eastAsia="zh-CN"/>
              </w:rPr>
            </w:pPr>
          </w:p>
          <w:p w14:paraId="6C409613">
            <w:pPr>
              <w:pStyle w:val="39"/>
              <w:widowControl w:val="0"/>
              <w:ind w:firstLine="482"/>
              <w:jc w:val="both"/>
              <w:rPr>
                <w:rFonts w:hint="default" w:ascii="Times New Roman" w:hAnsi="Times New Roman" w:cs="Times New Roman"/>
                <w:color w:val="auto"/>
                <w:highlight w:val="none"/>
                <w:lang w:eastAsia="zh-CN"/>
              </w:rPr>
            </w:pPr>
          </w:p>
          <w:p w14:paraId="22ECCFC1">
            <w:pPr>
              <w:pStyle w:val="39"/>
              <w:widowControl w:val="0"/>
              <w:ind w:firstLine="482"/>
              <w:jc w:val="both"/>
              <w:rPr>
                <w:rFonts w:hint="default" w:ascii="Times New Roman" w:hAnsi="Times New Roman" w:cs="Times New Roman"/>
                <w:color w:val="auto"/>
                <w:highlight w:val="none"/>
                <w:lang w:eastAsia="zh-CN"/>
              </w:rPr>
            </w:pPr>
          </w:p>
          <w:p w14:paraId="04A13CB5">
            <w:pPr>
              <w:pStyle w:val="39"/>
              <w:widowControl w:val="0"/>
              <w:ind w:firstLine="482"/>
              <w:jc w:val="both"/>
              <w:rPr>
                <w:rFonts w:hint="default" w:ascii="Times New Roman" w:hAnsi="Times New Roman" w:cs="Times New Roman"/>
                <w:color w:val="auto"/>
                <w:highlight w:val="none"/>
                <w:lang w:eastAsia="zh-CN"/>
              </w:rPr>
            </w:pPr>
          </w:p>
          <w:p w14:paraId="15464353">
            <w:pPr>
              <w:pStyle w:val="39"/>
              <w:widowControl w:val="0"/>
              <w:ind w:firstLine="482"/>
              <w:jc w:val="both"/>
              <w:rPr>
                <w:rFonts w:hint="default" w:ascii="Times New Roman" w:hAnsi="Times New Roman" w:cs="Times New Roman"/>
                <w:color w:val="auto"/>
                <w:highlight w:val="none"/>
                <w:lang w:eastAsia="zh-CN"/>
              </w:rPr>
            </w:pPr>
          </w:p>
          <w:p w14:paraId="2604DEBA">
            <w:pPr>
              <w:pStyle w:val="39"/>
              <w:widowControl w:val="0"/>
              <w:ind w:firstLine="482"/>
              <w:jc w:val="both"/>
              <w:rPr>
                <w:rFonts w:hint="default" w:ascii="Times New Roman" w:hAnsi="Times New Roman" w:cs="Times New Roman"/>
                <w:color w:val="auto"/>
                <w:highlight w:val="none"/>
                <w:lang w:eastAsia="zh-CN"/>
              </w:rPr>
            </w:pPr>
          </w:p>
          <w:p w14:paraId="0F2A92B0">
            <w:pPr>
              <w:pStyle w:val="39"/>
              <w:widowControl w:val="0"/>
              <w:ind w:firstLine="482"/>
              <w:jc w:val="both"/>
              <w:rPr>
                <w:rFonts w:hint="default" w:ascii="Times New Roman" w:hAnsi="Times New Roman" w:cs="Times New Roman"/>
                <w:color w:val="auto"/>
                <w:highlight w:val="none"/>
                <w:lang w:eastAsia="zh-CN"/>
              </w:rPr>
            </w:pPr>
          </w:p>
          <w:p w14:paraId="03F65DEC">
            <w:pPr>
              <w:pStyle w:val="39"/>
              <w:widowControl w:val="0"/>
              <w:ind w:firstLine="482"/>
              <w:jc w:val="both"/>
              <w:rPr>
                <w:rFonts w:hint="default" w:ascii="Times New Roman" w:hAnsi="Times New Roman" w:cs="Times New Roman"/>
                <w:color w:val="auto"/>
                <w:highlight w:val="none"/>
                <w:lang w:eastAsia="zh-CN"/>
              </w:rPr>
            </w:pPr>
          </w:p>
          <w:p w14:paraId="489B5BB6">
            <w:pPr>
              <w:pStyle w:val="39"/>
              <w:widowControl w:val="0"/>
              <w:ind w:firstLine="482"/>
              <w:jc w:val="both"/>
              <w:rPr>
                <w:rFonts w:hint="default" w:ascii="Times New Roman" w:hAnsi="Times New Roman" w:cs="Times New Roman"/>
                <w:color w:val="auto"/>
                <w:highlight w:val="none"/>
                <w:lang w:eastAsia="zh-CN"/>
              </w:rPr>
            </w:pPr>
          </w:p>
          <w:p w14:paraId="681429A5">
            <w:pPr>
              <w:pStyle w:val="39"/>
              <w:widowControl w:val="0"/>
              <w:ind w:firstLine="482"/>
              <w:jc w:val="both"/>
              <w:rPr>
                <w:rFonts w:hint="default" w:ascii="Times New Roman" w:hAnsi="Times New Roman" w:cs="Times New Roman"/>
                <w:color w:val="auto"/>
                <w:highlight w:val="none"/>
                <w:lang w:eastAsia="zh-CN"/>
              </w:rPr>
            </w:pPr>
          </w:p>
          <w:p w14:paraId="746FFC81">
            <w:pPr>
              <w:pStyle w:val="39"/>
              <w:widowControl w:val="0"/>
              <w:ind w:firstLine="482"/>
              <w:jc w:val="both"/>
              <w:rPr>
                <w:rFonts w:hint="default" w:ascii="Times New Roman" w:hAnsi="Times New Roman" w:cs="Times New Roman"/>
                <w:color w:val="auto"/>
                <w:highlight w:val="none"/>
                <w:lang w:eastAsia="zh-CN"/>
              </w:rPr>
            </w:pPr>
          </w:p>
          <w:p w14:paraId="73F794CC">
            <w:pPr>
              <w:pStyle w:val="39"/>
              <w:widowControl w:val="0"/>
              <w:ind w:firstLine="482"/>
              <w:jc w:val="both"/>
              <w:rPr>
                <w:rFonts w:hint="default" w:ascii="Times New Roman" w:hAnsi="Times New Roman" w:cs="Times New Roman"/>
                <w:color w:val="auto"/>
                <w:highlight w:val="none"/>
                <w:lang w:eastAsia="zh-CN"/>
              </w:rPr>
            </w:pPr>
          </w:p>
          <w:p w14:paraId="6F49A10B">
            <w:pPr>
              <w:pStyle w:val="39"/>
              <w:widowControl w:val="0"/>
              <w:ind w:firstLine="0" w:firstLineChars="0"/>
              <w:jc w:val="both"/>
              <w:rPr>
                <w:rFonts w:hint="default" w:ascii="Times New Roman" w:hAnsi="Times New Roman" w:cs="Times New Roman"/>
                <w:color w:val="auto"/>
                <w:highlight w:val="none"/>
                <w:lang w:eastAsia="zh-CN"/>
              </w:rPr>
            </w:pPr>
          </w:p>
        </w:tc>
      </w:tr>
    </w:tbl>
    <w:p w14:paraId="1F82199F">
      <w:pPr>
        <w:rPr>
          <w:rFonts w:hint="default" w:ascii="Times New Roman" w:hAnsi="Times New Roman" w:cs="Times New Roman"/>
          <w:color w:val="auto"/>
          <w:highlight w:val="none"/>
        </w:rPr>
        <w:sectPr>
          <w:pgSz w:w="11906" w:h="16839"/>
          <w:pgMar w:top="1431" w:right="1511" w:bottom="957" w:left="1510" w:header="0" w:footer="692" w:gutter="0"/>
          <w:pgBorders>
            <w:top w:val="none" w:sz="0" w:space="0"/>
            <w:left w:val="none" w:sz="0" w:space="0"/>
            <w:bottom w:val="none" w:sz="0" w:space="0"/>
            <w:right w:val="none" w:sz="0" w:space="0"/>
          </w:pgBorders>
          <w:pgNumType w:fmt="decimal"/>
          <w:cols w:space="720" w:num="1"/>
        </w:sectPr>
      </w:pPr>
    </w:p>
    <w:p w14:paraId="3D824A38">
      <w:pPr>
        <w:spacing w:before="100" w:line="228" w:lineRule="auto"/>
        <w:ind w:left="67"/>
        <w:outlineLvl w:val="2"/>
        <w:rPr>
          <w:rFonts w:hint="default" w:ascii="Times New Roman" w:hAnsi="Times New Roman" w:eastAsia="黑体" w:cs="Times New Roman"/>
          <w:color w:val="auto"/>
          <w:sz w:val="31"/>
          <w:szCs w:val="31"/>
          <w:highlight w:val="none"/>
        </w:rPr>
      </w:pPr>
      <w:r>
        <w:rPr>
          <w:rFonts w:hint="default" w:ascii="Times New Roman" w:hAnsi="Times New Roman" w:eastAsia="黑体" w:cs="Times New Roman"/>
          <w:color w:val="auto"/>
          <w:spacing w:val="-6"/>
          <w:sz w:val="31"/>
          <w:szCs w:val="31"/>
          <w:highlight w:val="none"/>
        </w:rPr>
        <w:t>附表</w:t>
      </w:r>
    </w:p>
    <w:p w14:paraId="272FD4C3">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outlineLvl w:val="2"/>
        <w:rPr>
          <w:rFonts w:hint="default" w:ascii="Times New Roman" w:hAnsi="Times New Roman" w:eastAsia="微软雅黑" w:cs="Times New Roman"/>
          <w:color w:val="auto"/>
          <w:sz w:val="37"/>
          <w:szCs w:val="37"/>
          <w:highlight w:val="none"/>
        </w:rPr>
      </w:pPr>
      <w:r>
        <w:rPr>
          <w:rFonts w:hint="default" w:ascii="Times New Roman" w:hAnsi="Times New Roman" w:eastAsia="宋体" w:cs="Times New Roman"/>
          <w:b/>
          <w:bCs/>
          <w:color w:val="auto"/>
          <w:spacing w:val="9"/>
          <w:sz w:val="44"/>
          <w:szCs w:val="44"/>
          <w:highlight w:val="none"/>
        </w:rPr>
        <w:t>建设项目污染物排放量汇总</w:t>
      </w:r>
      <w:r>
        <w:rPr>
          <w:rFonts w:hint="default" w:ascii="Times New Roman" w:hAnsi="Times New Roman" w:eastAsia="宋体" w:cs="Times New Roman"/>
          <w:b/>
          <w:bCs/>
          <w:color w:val="auto"/>
          <w:spacing w:val="8"/>
          <w:sz w:val="44"/>
          <w:szCs w:val="44"/>
          <w:highlight w:val="none"/>
        </w:rPr>
        <w:t>表</w:t>
      </w:r>
    </w:p>
    <w:tbl>
      <w:tblPr>
        <w:tblStyle w:val="18"/>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52"/>
        <w:gridCol w:w="1849"/>
        <w:gridCol w:w="1823"/>
        <w:gridCol w:w="1417"/>
        <w:gridCol w:w="1492"/>
        <w:gridCol w:w="1609"/>
        <w:gridCol w:w="1743"/>
        <w:gridCol w:w="1605"/>
        <w:gridCol w:w="1503"/>
      </w:tblGrid>
      <w:tr w14:paraId="6B7B95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46" w:hRule="exact"/>
          <w:jc w:val="center"/>
        </w:trPr>
        <w:tc>
          <w:tcPr>
            <w:tcW w:w="752" w:type="dxa"/>
            <w:noWrap w:val="0"/>
            <w:tcMar>
              <w:top w:w="0" w:type="dxa"/>
              <w:left w:w="0" w:type="dxa"/>
              <w:bottom w:w="0" w:type="dxa"/>
              <w:right w:w="0" w:type="dxa"/>
            </w:tcMar>
            <w:vAlign w:val="center"/>
          </w:tcPr>
          <w:p w14:paraId="739C2836">
            <w:pPr>
              <w:pStyle w:val="35"/>
              <w:snapToGrid w:val="0"/>
              <w:spacing w:line="240" w:lineRule="auto"/>
              <w:jc w:val="center"/>
              <w:rPr>
                <w:rFonts w:hint="default" w:ascii="Times New Roman" w:hAnsi="Times New Roman" w:cs="Times New Roman"/>
                <w:color w:val="auto"/>
                <w:highlight w:val="none"/>
                <w:lang w:val="en-US"/>
              </w:rPr>
            </w:pPr>
            <w:r>
              <w:rPr>
                <w:rFonts w:hint="default" w:ascii="Times New Roman" w:hAnsi="Times New Roman" w:cs="Times New Roman"/>
                <w:color w:val="auto"/>
                <w:highlight w:val="none"/>
                <w:lang w:val="en-US"/>
              </w:rPr>
              <w:t>项目</w:t>
            </w:r>
          </w:p>
          <w:p w14:paraId="62A1AD6C">
            <w:pPr>
              <w:pStyle w:val="35"/>
              <w:snapToGrid w:val="0"/>
              <w:spacing w:line="240" w:lineRule="auto"/>
              <w:jc w:val="center"/>
              <w:rPr>
                <w:rFonts w:hint="default" w:ascii="Times New Roman" w:hAnsi="Times New Roman" w:cs="Times New Roman"/>
                <w:color w:val="auto"/>
                <w:highlight w:val="none"/>
                <w:lang w:val="en-US"/>
              </w:rPr>
            </w:pPr>
            <w:r>
              <w:rPr>
                <w:rFonts w:hint="default" w:ascii="Times New Roman" w:hAnsi="Times New Roman" w:cs="Times New Roman"/>
                <w:color w:val="auto"/>
                <w:highlight w:val="none"/>
                <w:lang w:val="en-US"/>
              </w:rPr>
              <w:t>分类</w:t>
            </w:r>
          </w:p>
        </w:tc>
        <w:tc>
          <w:tcPr>
            <w:tcW w:w="1849" w:type="dxa"/>
            <w:noWrap w:val="0"/>
            <w:tcMar>
              <w:top w:w="0" w:type="dxa"/>
              <w:left w:w="0" w:type="dxa"/>
              <w:bottom w:w="0" w:type="dxa"/>
              <w:right w:w="0" w:type="dxa"/>
            </w:tcMar>
            <w:vAlign w:val="center"/>
          </w:tcPr>
          <w:p w14:paraId="6DCB38E5">
            <w:pPr>
              <w:pStyle w:val="35"/>
              <w:snapToGrid w:val="0"/>
              <w:spacing w:line="240" w:lineRule="auto"/>
              <w:jc w:val="center"/>
              <w:rPr>
                <w:rFonts w:hint="default" w:ascii="Times New Roman" w:hAnsi="Times New Roman" w:cs="Times New Roman"/>
                <w:color w:val="auto"/>
                <w:highlight w:val="none"/>
                <w:lang w:val="en-US"/>
              </w:rPr>
            </w:pPr>
            <w:r>
              <w:rPr>
                <w:rFonts w:hint="default" w:ascii="Times New Roman" w:hAnsi="Times New Roman" w:cs="Times New Roman"/>
                <w:color w:val="auto"/>
                <w:highlight w:val="none"/>
                <w:lang w:val="en-US"/>
              </w:rPr>
              <w:t>污染物名称</w:t>
            </w:r>
          </w:p>
        </w:tc>
        <w:tc>
          <w:tcPr>
            <w:tcW w:w="1823" w:type="dxa"/>
            <w:noWrap w:val="0"/>
            <w:tcMar>
              <w:top w:w="0" w:type="dxa"/>
              <w:left w:w="0" w:type="dxa"/>
              <w:bottom w:w="0" w:type="dxa"/>
              <w:right w:w="0" w:type="dxa"/>
            </w:tcMar>
            <w:vAlign w:val="center"/>
          </w:tcPr>
          <w:p w14:paraId="02E3F9EE">
            <w:pPr>
              <w:pStyle w:val="35"/>
              <w:snapToGrid w:val="0"/>
              <w:spacing w:line="240" w:lineRule="auto"/>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现有工程排放量（固体废物产生量）①</w:t>
            </w:r>
          </w:p>
        </w:tc>
        <w:tc>
          <w:tcPr>
            <w:tcW w:w="1417" w:type="dxa"/>
            <w:noWrap w:val="0"/>
            <w:tcMar>
              <w:top w:w="0" w:type="dxa"/>
              <w:left w:w="0" w:type="dxa"/>
              <w:bottom w:w="0" w:type="dxa"/>
              <w:right w:w="0" w:type="dxa"/>
            </w:tcMar>
            <w:vAlign w:val="center"/>
          </w:tcPr>
          <w:p w14:paraId="01C58809">
            <w:pPr>
              <w:pStyle w:val="35"/>
              <w:snapToGrid w:val="0"/>
              <w:spacing w:line="240" w:lineRule="auto"/>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现有工程许可排放量</w:t>
            </w:r>
          </w:p>
          <w:p w14:paraId="3C6569FA">
            <w:pPr>
              <w:pStyle w:val="35"/>
              <w:snapToGrid w:val="0"/>
              <w:spacing w:line="240" w:lineRule="auto"/>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②</w:t>
            </w:r>
          </w:p>
        </w:tc>
        <w:tc>
          <w:tcPr>
            <w:tcW w:w="1492" w:type="dxa"/>
            <w:noWrap w:val="0"/>
            <w:tcMar>
              <w:top w:w="0" w:type="dxa"/>
              <w:left w:w="0" w:type="dxa"/>
              <w:bottom w:w="0" w:type="dxa"/>
              <w:right w:w="0" w:type="dxa"/>
            </w:tcMar>
            <w:vAlign w:val="center"/>
          </w:tcPr>
          <w:p w14:paraId="7F3AEB16">
            <w:pPr>
              <w:pStyle w:val="35"/>
              <w:snapToGrid w:val="0"/>
              <w:spacing w:line="240" w:lineRule="auto"/>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在建工程排放量（固体废物产生量）③</w:t>
            </w:r>
          </w:p>
        </w:tc>
        <w:tc>
          <w:tcPr>
            <w:tcW w:w="1609" w:type="dxa"/>
            <w:noWrap w:val="0"/>
            <w:tcMar>
              <w:top w:w="0" w:type="dxa"/>
              <w:left w:w="0" w:type="dxa"/>
              <w:bottom w:w="0" w:type="dxa"/>
              <w:right w:w="0" w:type="dxa"/>
            </w:tcMar>
            <w:vAlign w:val="center"/>
          </w:tcPr>
          <w:p w14:paraId="319142A2">
            <w:pPr>
              <w:pStyle w:val="35"/>
              <w:snapToGrid w:val="0"/>
              <w:spacing w:line="240" w:lineRule="auto"/>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本项目排放量（固体废物产生量）④</w:t>
            </w:r>
          </w:p>
        </w:tc>
        <w:tc>
          <w:tcPr>
            <w:tcW w:w="1743" w:type="dxa"/>
            <w:noWrap w:val="0"/>
            <w:tcMar>
              <w:top w:w="0" w:type="dxa"/>
              <w:left w:w="0" w:type="dxa"/>
              <w:bottom w:w="0" w:type="dxa"/>
              <w:right w:w="0" w:type="dxa"/>
            </w:tcMar>
            <w:vAlign w:val="center"/>
          </w:tcPr>
          <w:p w14:paraId="5D8CD485">
            <w:pPr>
              <w:pStyle w:val="35"/>
              <w:snapToGrid w:val="0"/>
              <w:spacing w:line="240" w:lineRule="auto"/>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以新带老削减量（新建项目不填）⑤</w:t>
            </w:r>
          </w:p>
        </w:tc>
        <w:tc>
          <w:tcPr>
            <w:tcW w:w="1605" w:type="dxa"/>
            <w:noWrap w:val="0"/>
            <w:tcMar>
              <w:top w:w="0" w:type="dxa"/>
              <w:left w:w="0" w:type="dxa"/>
              <w:bottom w:w="0" w:type="dxa"/>
              <w:right w:w="0" w:type="dxa"/>
            </w:tcMar>
            <w:vAlign w:val="center"/>
          </w:tcPr>
          <w:p w14:paraId="15207916">
            <w:pPr>
              <w:pStyle w:val="35"/>
              <w:snapToGrid w:val="0"/>
              <w:spacing w:line="240" w:lineRule="auto"/>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本项目建成后</w:t>
            </w:r>
          </w:p>
          <w:p w14:paraId="1D556546">
            <w:pPr>
              <w:pStyle w:val="35"/>
              <w:snapToGrid w:val="0"/>
              <w:spacing w:line="240" w:lineRule="auto"/>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全厂排放量（固体废物产生量）⑥</w:t>
            </w:r>
          </w:p>
        </w:tc>
        <w:tc>
          <w:tcPr>
            <w:tcW w:w="1503" w:type="dxa"/>
            <w:noWrap w:val="0"/>
            <w:tcMar>
              <w:top w:w="0" w:type="dxa"/>
              <w:left w:w="0" w:type="dxa"/>
              <w:bottom w:w="0" w:type="dxa"/>
              <w:right w:w="0" w:type="dxa"/>
            </w:tcMar>
            <w:vAlign w:val="center"/>
          </w:tcPr>
          <w:p w14:paraId="2D82EA0C">
            <w:pPr>
              <w:pStyle w:val="35"/>
              <w:snapToGrid w:val="0"/>
              <w:spacing w:line="240" w:lineRule="auto"/>
              <w:jc w:val="center"/>
              <w:rPr>
                <w:rFonts w:hint="default" w:ascii="Times New Roman" w:hAnsi="Times New Roman" w:cs="Times New Roman"/>
                <w:color w:val="auto"/>
                <w:highlight w:val="none"/>
                <w:lang w:val="en-US"/>
              </w:rPr>
            </w:pPr>
            <w:r>
              <w:rPr>
                <w:rFonts w:hint="default" w:ascii="Times New Roman" w:hAnsi="Times New Roman" w:cs="Times New Roman"/>
                <w:color w:val="auto"/>
                <w:highlight w:val="none"/>
                <w:lang w:val="en-US"/>
              </w:rPr>
              <w:t>变化量</w:t>
            </w:r>
          </w:p>
          <w:p w14:paraId="08EB5742">
            <w:pPr>
              <w:pStyle w:val="35"/>
              <w:snapToGrid w:val="0"/>
              <w:spacing w:line="240" w:lineRule="auto"/>
              <w:jc w:val="center"/>
              <w:rPr>
                <w:rFonts w:hint="default" w:ascii="Times New Roman" w:hAnsi="Times New Roman" w:cs="Times New Roman"/>
                <w:color w:val="auto"/>
                <w:highlight w:val="none"/>
                <w:lang w:val="en-US"/>
              </w:rPr>
            </w:pPr>
            <w:r>
              <w:rPr>
                <w:rFonts w:hint="default" w:ascii="Times New Roman" w:hAnsi="Times New Roman" w:cs="Times New Roman"/>
                <w:color w:val="auto"/>
                <w:highlight w:val="none"/>
                <w:lang w:val="en-US"/>
              </w:rPr>
              <w:t>⑦</w:t>
            </w:r>
          </w:p>
        </w:tc>
      </w:tr>
      <w:tr w14:paraId="63F9A4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8" w:hRule="exact"/>
          <w:jc w:val="center"/>
        </w:trPr>
        <w:tc>
          <w:tcPr>
            <w:tcW w:w="752" w:type="dxa"/>
            <w:tcBorders>
              <w:top w:val="single" w:color="auto" w:sz="2" w:space="0"/>
            </w:tcBorders>
            <w:noWrap w:val="0"/>
            <w:tcMar>
              <w:top w:w="0" w:type="dxa"/>
              <w:left w:w="0" w:type="dxa"/>
              <w:bottom w:w="0" w:type="dxa"/>
              <w:right w:w="0" w:type="dxa"/>
            </w:tcMar>
            <w:vAlign w:val="center"/>
          </w:tcPr>
          <w:p w14:paraId="749907CE">
            <w:pPr>
              <w:pStyle w:val="35"/>
              <w:snapToGrid w:val="0"/>
              <w:jc w:val="center"/>
              <w:rPr>
                <w:rFonts w:hint="default" w:ascii="Times New Roman" w:hAnsi="Times New Roman" w:cs="Times New Roman"/>
                <w:color w:val="auto"/>
                <w:highlight w:val="none"/>
                <w:lang w:val="en-US"/>
              </w:rPr>
            </w:pPr>
            <w:r>
              <w:rPr>
                <w:rFonts w:hint="default" w:ascii="Times New Roman" w:hAnsi="Times New Roman" w:cs="Times New Roman"/>
                <w:color w:val="auto"/>
                <w:highlight w:val="none"/>
                <w:lang w:val="en-US"/>
              </w:rPr>
              <w:t>废气</w:t>
            </w:r>
          </w:p>
        </w:tc>
        <w:tc>
          <w:tcPr>
            <w:tcW w:w="1849" w:type="dxa"/>
            <w:tcBorders>
              <w:top w:val="single" w:color="auto" w:sz="4" w:space="0"/>
            </w:tcBorders>
            <w:noWrap w:val="0"/>
            <w:tcMar>
              <w:top w:w="0" w:type="dxa"/>
              <w:left w:w="0" w:type="dxa"/>
              <w:bottom w:w="0" w:type="dxa"/>
              <w:right w:w="0" w:type="dxa"/>
            </w:tcMar>
            <w:vAlign w:val="center"/>
          </w:tcPr>
          <w:p w14:paraId="24787D78">
            <w:pPr>
              <w:pStyle w:val="35"/>
              <w:snapToGrid w:val="0"/>
              <w:spacing w:line="240" w:lineRule="auto"/>
              <w:jc w:val="center"/>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w:t>
            </w:r>
          </w:p>
        </w:tc>
        <w:tc>
          <w:tcPr>
            <w:tcW w:w="1823" w:type="dxa"/>
            <w:noWrap w:val="0"/>
            <w:tcMar>
              <w:top w:w="0" w:type="dxa"/>
              <w:left w:w="0" w:type="dxa"/>
              <w:bottom w:w="0" w:type="dxa"/>
              <w:right w:w="0" w:type="dxa"/>
            </w:tcMar>
            <w:vAlign w:val="center"/>
          </w:tcPr>
          <w:p w14:paraId="71FFBA7A">
            <w:pPr>
              <w:pStyle w:val="35"/>
              <w:keepNext w:val="0"/>
              <w:keepLines w:val="0"/>
              <w:pageBreakBefore w:val="0"/>
              <w:widowControl/>
              <w:kinsoku w:val="0"/>
              <w:wordWrap/>
              <w:overflowPunct/>
              <w:topLinePunct w:val="0"/>
              <w:autoSpaceDE w:val="0"/>
              <w:autoSpaceDN w:val="0"/>
              <w:bidi w:val="0"/>
              <w:adjustRightInd/>
              <w:snapToGrid w:val="0"/>
              <w:spacing w:line="240" w:lineRule="auto"/>
              <w:ind w:firstLine="0" w:firstLineChars="0"/>
              <w:jc w:val="center"/>
              <w:textAlignment w:val="baseline"/>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1417" w:type="dxa"/>
            <w:noWrap w:val="0"/>
            <w:tcMar>
              <w:top w:w="0" w:type="dxa"/>
              <w:left w:w="0" w:type="dxa"/>
              <w:bottom w:w="0" w:type="dxa"/>
              <w:right w:w="0" w:type="dxa"/>
            </w:tcMar>
            <w:vAlign w:val="center"/>
          </w:tcPr>
          <w:p w14:paraId="7A96B1CD">
            <w:pPr>
              <w:keepNext w:val="0"/>
              <w:keepLines w:val="0"/>
              <w:pageBreakBefore w:val="0"/>
              <w:widowControl/>
              <w:kinsoku w:val="0"/>
              <w:wordWrap/>
              <w:overflowPunct/>
              <w:topLinePunct w:val="0"/>
              <w:autoSpaceDE w:val="0"/>
              <w:autoSpaceDN w:val="0"/>
              <w:bidi w:val="0"/>
              <w:adjustRightInd/>
              <w:snapToGrid w:val="0"/>
              <w:spacing w:line="240" w:lineRule="auto"/>
              <w:ind w:firstLine="0" w:firstLineChars="0"/>
              <w:jc w:val="center"/>
              <w:textAlignment w:val="baseline"/>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1492" w:type="dxa"/>
            <w:noWrap w:val="0"/>
            <w:tcMar>
              <w:top w:w="0" w:type="dxa"/>
              <w:left w:w="0" w:type="dxa"/>
              <w:bottom w:w="0" w:type="dxa"/>
              <w:right w:w="0" w:type="dxa"/>
            </w:tcMar>
            <w:vAlign w:val="center"/>
          </w:tcPr>
          <w:p w14:paraId="535BC467">
            <w:pPr>
              <w:keepNext w:val="0"/>
              <w:keepLines w:val="0"/>
              <w:pageBreakBefore w:val="0"/>
              <w:widowControl/>
              <w:kinsoku w:val="0"/>
              <w:wordWrap/>
              <w:overflowPunct/>
              <w:topLinePunct w:val="0"/>
              <w:autoSpaceDE w:val="0"/>
              <w:autoSpaceDN w:val="0"/>
              <w:bidi w:val="0"/>
              <w:adjustRightInd/>
              <w:snapToGrid w:val="0"/>
              <w:spacing w:line="240" w:lineRule="auto"/>
              <w:ind w:firstLine="0" w:firstLineChars="0"/>
              <w:jc w:val="center"/>
              <w:textAlignment w:val="baseline"/>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1609" w:type="dxa"/>
            <w:noWrap w:val="0"/>
            <w:tcMar>
              <w:top w:w="0" w:type="dxa"/>
              <w:left w:w="0" w:type="dxa"/>
              <w:bottom w:w="0" w:type="dxa"/>
              <w:right w:w="0" w:type="dxa"/>
            </w:tcMar>
            <w:vAlign w:val="center"/>
          </w:tcPr>
          <w:p w14:paraId="1AC1574F">
            <w:pPr>
              <w:pStyle w:val="35"/>
              <w:snapToGrid w:val="0"/>
              <w:spacing w:line="240" w:lineRule="auto"/>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w:t>
            </w:r>
          </w:p>
        </w:tc>
        <w:tc>
          <w:tcPr>
            <w:tcW w:w="1743" w:type="dxa"/>
            <w:noWrap w:val="0"/>
            <w:tcMar>
              <w:top w:w="0" w:type="dxa"/>
              <w:left w:w="0" w:type="dxa"/>
              <w:bottom w:w="0" w:type="dxa"/>
              <w:right w:w="0" w:type="dxa"/>
            </w:tcMar>
            <w:vAlign w:val="center"/>
          </w:tcPr>
          <w:p w14:paraId="391682D5">
            <w:pPr>
              <w:snapToGrid w:val="0"/>
              <w:spacing w:line="240" w:lineRule="auto"/>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1605" w:type="dxa"/>
            <w:noWrap w:val="0"/>
            <w:tcMar>
              <w:top w:w="0" w:type="dxa"/>
              <w:left w:w="0" w:type="dxa"/>
              <w:bottom w:w="0" w:type="dxa"/>
              <w:right w:w="0" w:type="dxa"/>
            </w:tcMar>
            <w:vAlign w:val="center"/>
          </w:tcPr>
          <w:p w14:paraId="3CD6EEFB">
            <w:pPr>
              <w:pStyle w:val="35"/>
              <w:snapToGrid w:val="0"/>
              <w:spacing w:line="240" w:lineRule="auto"/>
              <w:jc w:val="center"/>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w:t>
            </w:r>
          </w:p>
        </w:tc>
        <w:tc>
          <w:tcPr>
            <w:tcW w:w="1503" w:type="dxa"/>
            <w:tcBorders>
              <w:bottom w:val="single" w:color="auto" w:sz="8" w:space="0"/>
            </w:tcBorders>
            <w:noWrap w:val="0"/>
            <w:tcMar>
              <w:top w:w="0" w:type="dxa"/>
              <w:left w:w="0" w:type="dxa"/>
              <w:bottom w:w="0" w:type="dxa"/>
              <w:right w:w="0" w:type="dxa"/>
            </w:tcMar>
            <w:vAlign w:val="center"/>
          </w:tcPr>
          <w:p w14:paraId="36B54F26">
            <w:pPr>
              <w:pStyle w:val="35"/>
              <w:snapToGrid w:val="0"/>
              <w:spacing w:line="240" w:lineRule="auto"/>
              <w:jc w:val="center"/>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w:t>
            </w:r>
          </w:p>
        </w:tc>
      </w:tr>
      <w:tr w14:paraId="2B686F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exact"/>
          <w:jc w:val="center"/>
        </w:trPr>
        <w:tc>
          <w:tcPr>
            <w:tcW w:w="752" w:type="dxa"/>
            <w:noWrap w:val="0"/>
            <w:tcMar>
              <w:top w:w="0" w:type="dxa"/>
              <w:left w:w="0" w:type="dxa"/>
              <w:bottom w:w="0" w:type="dxa"/>
              <w:right w:w="0" w:type="dxa"/>
            </w:tcMar>
            <w:vAlign w:val="center"/>
          </w:tcPr>
          <w:p w14:paraId="35DC6732">
            <w:pPr>
              <w:pStyle w:val="35"/>
              <w:snapToGrid w:val="0"/>
              <w:spacing w:line="240" w:lineRule="auto"/>
              <w:jc w:val="center"/>
              <w:rPr>
                <w:rFonts w:hint="default" w:ascii="Times New Roman" w:hAnsi="Times New Roman" w:cs="Times New Roman"/>
                <w:color w:val="auto"/>
                <w:highlight w:val="none"/>
                <w:lang w:val="en-US"/>
              </w:rPr>
            </w:pPr>
            <w:r>
              <w:rPr>
                <w:rFonts w:hint="default" w:ascii="Times New Roman" w:hAnsi="Times New Roman" w:cs="Times New Roman"/>
                <w:color w:val="auto"/>
                <w:highlight w:val="none"/>
                <w:lang w:val="en-US"/>
              </w:rPr>
              <w:t>废水</w:t>
            </w:r>
          </w:p>
        </w:tc>
        <w:tc>
          <w:tcPr>
            <w:tcW w:w="1849" w:type="dxa"/>
            <w:tcBorders>
              <w:top w:val="single" w:color="auto" w:sz="8" w:space="0"/>
              <w:bottom w:val="single" w:color="auto" w:sz="4" w:space="0"/>
            </w:tcBorders>
            <w:noWrap w:val="0"/>
            <w:tcMar>
              <w:top w:w="0" w:type="dxa"/>
              <w:left w:w="0" w:type="dxa"/>
              <w:bottom w:w="0" w:type="dxa"/>
              <w:right w:w="0" w:type="dxa"/>
            </w:tcMar>
            <w:vAlign w:val="center"/>
          </w:tcPr>
          <w:p w14:paraId="5DDB5968">
            <w:pPr>
              <w:pStyle w:val="35"/>
              <w:snapToGrid w:val="0"/>
              <w:spacing w:line="240" w:lineRule="auto"/>
              <w:jc w:val="center"/>
              <w:rPr>
                <w:rFonts w:hint="eastAsia" w:ascii="Times New Roman" w:hAnsi="Times New Roman" w:eastAsia="宋体" w:cs="Times New Roman"/>
                <w:color w:val="auto"/>
                <w:highlight w:val="none"/>
                <w:lang w:val="en-US" w:eastAsia="zh-CN"/>
              </w:rPr>
            </w:pPr>
            <w:r>
              <w:rPr>
                <w:rFonts w:hint="eastAsia" w:cs="Times New Roman"/>
                <w:color w:val="auto"/>
                <w:highlight w:val="none"/>
                <w:lang w:val="en-US" w:eastAsia="zh-CN"/>
              </w:rPr>
              <w:t>/</w:t>
            </w:r>
          </w:p>
        </w:tc>
        <w:tc>
          <w:tcPr>
            <w:tcW w:w="1823" w:type="dxa"/>
            <w:noWrap w:val="0"/>
            <w:tcMar>
              <w:top w:w="0" w:type="dxa"/>
              <w:left w:w="0" w:type="dxa"/>
              <w:bottom w:w="0" w:type="dxa"/>
              <w:right w:w="0" w:type="dxa"/>
            </w:tcMar>
            <w:vAlign w:val="center"/>
          </w:tcPr>
          <w:p w14:paraId="7407A5F8">
            <w:pPr>
              <w:keepNext w:val="0"/>
              <w:keepLines w:val="0"/>
              <w:pageBreakBefore w:val="0"/>
              <w:widowControl/>
              <w:kinsoku w:val="0"/>
              <w:wordWrap/>
              <w:overflowPunct/>
              <w:topLinePunct w:val="0"/>
              <w:autoSpaceDE w:val="0"/>
              <w:autoSpaceDN w:val="0"/>
              <w:bidi w:val="0"/>
              <w:adjustRightInd/>
              <w:snapToGrid w:val="0"/>
              <w:spacing w:line="240" w:lineRule="auto"/>
              <w:ind w:firstLine="0" w:firstLineChars="0"/>
              <w:jc w:val="center"/>
              <w:textAlignment w:val="baseline"/>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highlight w:val="none"/>
                <w:lang w:val="en-US" w:eastAsia="zh-CN"/>
              </w:rPr>
              <w:t>/</w:t>
            </w:r>
          </w:p>
        </w:tc>
        <w:tc>
          <w:tcPr>
            <w:tcW w:w="1417" w:type="dxa"/>
            <w:noWrap w:val="0"/>
            <w:tcMar>
              <w:top w:w="0" w:type="dxa"/>
              <w:left w:w="0" w:type="dxa"/>
              <w:bottom w:w="0" w:type="dxa"/>
              <w:right w:w="0" w:type="dxa"/>
            </w:tcMar>
            <w:vAlign w:val="center"/>
          </w:tcPr>
          <w:p w14:paraId="72D242C7">
            <w:pPr>
              <w:keepNext w:val="0"/>
              <w:keepLines w:val="0"/>
              <w:pageBreakBefore w:val="0"/>
              <w:widowControl/>
              <w:kinsoku w:val="0"/>
              <w:wordWrap/>
              <w:overflowPunct/>
              <w:topLinePunct w:val="0"/>
              <w:autoSpaceDE w:val="0"/>
              <w:autoSpaceDN w:val="0"/>
              <w:bidi w:val="0"/>
              <w:adjustRightInd/>
              <w:snapToGrid w:val="0"/>
              <w:spacing w:line="240" w:lineRule="auto"/>
              <w:ind w:firstLine="0" w:firstLineChars="0"/>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highlight w:val="none"/>
                <w:lang w:val="en-US" w:eastAsia="zh-CN"/>
              </w:rPr>
              <w:t>/</w:t>
            </w:r>
          </w:p>
        </w:tc>
        <w:tc>
          <w:tcPr>
            <w:tcW w:w="1492" w:type="dxa"/>
            <w:noWrap w:val="0"/>
            <w:tcMar>
              <w:top w:w="0" w:type="dxa"/>
              <w:left w:w="0" w:type="dxa"/>
              <w:bottom w:w="0" w:type="dxa"/>
              <w:right w:w="0" w:type="dxa"/>
            </w:tcMar>
            <w:vAlign w:val="center"/>
          </w:tcPr>
          <w:p w14:paraId="56F00793">
            <w:pPr>
              <w:keepNext w:val="0"/>
              <w:keepLines w:val="0"/>
              <w:pageBreakBefore w:val="0"/>
              <w:widowControl/>
              <w:kinsoku w:val="0"/>
              <w:wordWrap/>
              <w:overflowPunct/>
              <w:topLinePunct w:val="0"/>
              <w:autoSpaceDE w:val="0"/>
              <w:autoSpaceDN w:val="0"/>
              <w:bidi w:val="0"/>
              <w:adjustRightInd/>
              <w:snapToGrid w:val="0"/>
              <w:spacing w:line="240" w:lineRule="auto"/>
              <w:ind w:firstLine="0" w:firstLineChars="0"/>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highlight w:val="none"/>
                <w:lang w:val="en-US" w:eastAsia="zh-CN"/>
              </w:rPr>
              <w:t>/</w:t>
            </w:r>
          </w:p>
        </w:tc>
        <w:tc>
          <w:tcPr>
            <w:tcW w:w="1609" w:type="dxa"/>
            <w:noWrap w:val="0"/>
            <w:tcMar>
              <w:top w:w="0" w:type="dxa"/>
              <w:left w:w="0" w:type="dxa"/>
              <w:bottom w:w="0" w:type="dxa"/>
              <w:right w:w="0" w:type="dxa"/>
            </w:tcMar>
            <w:vAlign w:val="center"/>
          </w:tcPr>
          <w:p w14:paraId="67F58D45">
            <w:pPr>
              <w:pStyle w:val="43"/>
              <w:bidi w:val="0"/>
              <w:ind w:firstLine="0" w:firstLineChars="0"/>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cs="Times New Roman"/>
                <w:color w:val="auto"/>
                <w:highlight w:val="none"/>
                <w:lang w:val="en-US" w:eastAsia="zh-CN"/>
              </w:rPr>
              <w:t>/</w:t>
            </w:r>
          </w:p>
        </w:tc>
        <w:tc>
          <w:tcPr>
            <w:tcW w:w="1743" w:type="dxa"/>
            <w:noWrap w:val="0"/>
            <w:tcMar>
              <w:top w:w="0" w:type="dxa"/>
              <w:left w:w="0" w:type="dxa"/>
              <w:bottom w:w="0" w:type="dxa"/>
              <w:right w:w="0" w:type="dxa"/>
            </w:tcMar>
            <w:vAlign w:val="center"/>
          </w:tcPr>
          <w:p w14:paraId="2B830548">
            <w:pPr>
              <w:snapToGrid w:val="0"/>
              <w:spacing w:line="240" w:lineRule="auto"/>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1605" w:type="dxa"/>
            <w:noWrap w:val="0"/>
            <w:tcMar>
              <w:top w:w="0" w:type="dxa"/>
              <w:left w:w="0" w:type="dxa"/>
              <w:bottom w:w="0" w:type="dxa"/>
              <w:right w:w="0" w:type="dxa"/>
            </w:tcMar>
            <w:vAlign w:val="center"/>
          </w:tcPr>
          <w:p w14:paraId="4F99C27C">
            <w:pPr>
              <w:bidi w:val="0"/>
              <w:ind w:firstLine="0" w:firstLineChars="0"/>
              <w:jc w:val="center"/>
              <w:rPr>
                <w:rFonts w:hint="default" w:ascii="Times New Roman" w:hAnsi="Times New Roman" w:cs="Times New Roman"/>
                <w:color w:val="auto"/>
                <w:highlight w:val="yellow"/>
                <w:lang w:val="en-US" w:eastAsia="zh-CN"/>
              </w:rPr>
            </w:pPr>
            <w:r>
              <w:rPr>
                <w:rFonts w:hint="default" w:ascii="Times New Roman" w:hAnsi="Times New Roman" w:cs="Times New Roman"/>
                <w:color w:val="auto"/>
                <w:highlight w:val="none"/>
                <w:lang w:val="en-US" w:eastAsia="zh-CN"/>
              </w:rPr>
              <w:t>/</w:t>
            </w:r>
          </w:p>
        </w:tc>
        <w:tc>
          <w:tcPr>
            <w:tcW w:w="1503" w:type="dxa"/>
            <w:noWrap w:val="0"/>
            <w:tcMar>
              <w:top w:w="0" w:type="dxa"/>
              <w:left w:w="0" w:type="dxa"/>
              <w:bottom w:w="0" w:type="dxa"/>
              <w:right w:w="0" w:type="dxa"/>
            </w:tcMar>
            <w:vAlign w:val="center"/>
          </w:tcPr>
          <w:p w14:paraId="223C3C7F">
            <w:pPr>
              <w:bidi w:val="0"/>
              <w:ind w:firstLine="0" w:firstLineChars="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r>
      <w:tr w14:paraId="40D4FC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0" w:hRule="atLeast"/>
          <w:jc w:val="center"/>
        </w:trPr>
        <w:tc>
          <w:tcPr>
            <w:tcW w:w="752" w:type="dxa"/>
            <w:vMerge w:val="restart"/>
            <w:tcBorders>
              <w:right w:val="single" w:color="auto" w:sz="4" w:space="0"/>
            </w:tcBorders>
            <w:noWrap w:val="0"/>
            <w:tcMar>
              <w:top w:w="0" w:type="dxa"/>
              <w:left w:w="0" w:type="dxa"/>
              <w:bottom w:w="0" w:type="dxa"/>
              <w:right w:w="0" w:type="dxa"/>
            </w:tcMar>
            <w:vAlign w:val="center"/>
          </w:tcPr>
          <w:p w14:paraId="4E8354B0">
            <w:pPr>
              <w:pStyle w:val="35"/>
              <w:snapToGrid w:val="0"/>
              <w:spacing w:line="240" w:lineRule="auto"/>
              <w:jc w:val="center"/>
              <w:rPr>
                <w:rFonts w:hint="default" w:ascii="Times New Roman" w:hAnsi="Times New Roman" w:cs="Times New Roman"/>
                <w:color w:val="auto"/>
                <w:highlight w:val="none"/>
                <w:lang w:val="en-US" w:eastAsia="zh-CN"/>
              </w:rPr>
            </w:pPr>
            <w:bookmarkStart w:id="77" w:name="OLE_LINK77" w:colFirst="5" w:colLast="5"/>
            <w:r>
              <w:rPr>
                <w:rFonts w:hint="default" w:ascii="Times New Roman" w:hAnsi="Times New Roman" w:cs="Times New Roman"/>
                <w:color w:val="auto"/>
                <w:highlight w:val="none"/>
                <w:lang w:val="en-US" w:eastAsia="zh-CN"/>
              </w:rPr>
              <w:t>一般</w:t>
            </w:r>
          </w:p>
          <w:p w14:paraId="74BC59F2">
            <w:pPr>
              <w:pStyle w:val="35"/>
              <w:snapToGrid w:val="0"/>
              <w:spacing w:line="240" w:lineRule="auto"/>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固废</w:t>
            </w:r>
          </w:p>
        </w:tc>
        <w:tc>
          <w:tcPr>
            <w:tcW w:w="1849" w:type="dxa"/>
            <w:tcBorders>
              <w:left w:val="single" w:color="auto" w:sz="4" w:space="0"/>
              <w:bottom w:val="single" w:color="auto" w:sz="4" w:space="0"/>
            </w:tcBorders>
            <w:noWrap w:val="0"/>
            <w:tcMar>
              <w:top w:w="0" w:type="dxa"/>
              <w:left w:w="0" w:type="dxa"/>
              <w:bottom w:w="0" w:type="dxa"/>
              <w:right w:w="0" w:type="dxa"/>
            </w:tcMar>
            <w:vAlign w:val="center"/>
          </w:tcPr>
          <w:p w14:paraId="325F9CC4">
            <w:pPr>
              <w:pStyle w:val="40"/>
              <w:snapToGrid w:val="0"/>
              <w:rPr>
                <w:rFonts w:hint="default" w:ascii="Times New Roman" w:hAnsi="Times New Roman" w:cs="Times New Roman"/>
                <w:color w:val="auto"/>
                <w:highlight w:val="none"/>
                <w:lang w:val="en-US" w:eastAsia="zh-CN"/>
              </w:rPr>
            </w:pPr>
            <w:r>
              <w:rPr>
                <w:rStyle w:val="41"/>
                <w:rFonts w:hint="default" w:ascii="Times New Roman" w:hAnsi="Times New Roman" w:eastAsia="宋体" w:cs="Times New Roman"/>
                <w:color w:val="auto"/>
                <w:sz w:val="21"/>
                <w:szCs w:val="21"/>
                <w:highlight w:val="none"/>
                <w:lang w:val="en-US" w:eastAsia="zh-CN"/>
              </w:rPr>
              <w:t>拆包过程产生的废包装物、输液过程产生的输液瓶（袋）</w:t>
            </w:r>
          </w:p>
        </w:tc>
        <w:tc>
          <w:tcPr>
            <w:tcW w:w="1823" w:type="dxa"/>
            <w:noWrap w:val="0"/>
            <w:tcMar>
              <w:top w:w="0" w:type="dxa"/>
              <w:left w:w="0" w:type="dxa"/>
              <w:bottom w:w="0" w:type="dxa"/>
              <w:right w:w="0" w:type="dxa"/>
            </w:tcMar>
            <w:vAlign w:val="center"/>
          </w:tcPr>
          <w:p w14:paraId="113FEFBE">
            <w:pPr>
              <w:keepNext w:val="0"/>
              <w:keepLines w:val="0"/>
              <w:pageBreakBefore w:val="0"/>
              <w:widowControl/>
              <w:kinsoku w:val="0"/>
              <w:wordWrap/>
              <w:overflowPunct/>
              <w:topLinePunct w:val="0"/>
              <w:autoSpaceDE w:val="0"/>
              <w:autoSpaceDN w:val="0"/>
              <w:bidi w:val="0"/>
              <w:adjustRightInd/>
              <w:snapToGrid w:val="0"/>
              <w:spacing w:line="240" w:lineRule="auto"/>
              <w:ind w:firstLine="0" w:firstLineChars="0"/>
              <w:jc w:val="center"/>
              <w:textAlignment w:val="baseline"/>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1417" w:type="dxa"/>
            <w:noWrap w:val="0"/>
            <w:tcMar>
              <w:top w:w="0" w:type="dxa"/>
              <w:left w:w="0" w:type="dxa"/>
              <w:bottom w:w="0" w:type="dxa"/>
              <w:right w:w="0" w:type="dxa"/>
            </w:tcMar>
            <w:vAlign w:val="center"/>
          </w:tcPr>
          <w:p w14:paraId="11C61D20">
            <w:pPr>
              <w:keepNext w:val="0"/>
              <w:keepLines w:val="0"/>
              <w:pageBreakBefore w:val="0"/>
              <w:widowControl/>
              <w:kinsoku w:val="0"/>
              <w:wordWrap/>
              <w:overflowPunct/>
              <w:topLinePunct w:val="0"/>
              <w:autoSpaceDE w:val="0"/>
              <w:autoSpaceDN w:val="0"/>
              <w:bidi w:val="0"/>
              <w:adjustRightInd/>
              <w:snapToGrid w:val="0"/>
              <w:spacing w:line="240" w:lineRule="auto"/>
              <w:ind w:firstLine="0" w:firstLineChars="0"/>
              <w:jc w:val="center"/>
              <w:textAlignment w:val="baseline"/>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1492" w:type="dxa"/>
            <w:noWrap w:val="0"/>
            <w:tcMar>
              <w:top w:w="0" w:type="dxa"/>
              <w:left w:w="0" w:type="dxa"/>
              <w:bottom w:w="0" w:type="dxa"/>
              <w:right w:w="0" w:type="dxa"/>
            </w:tcMar>
            <w:vAlign w:val="center"/>
          </w:tcPr>
          <w:p w14:paraId="1BB97023">
            <w:pPr>
              <w:keepNext w:val="0"/>
              <w:keepLines w:val="0"/>
              <w:pageBreakBefore w:val="0"/>
              <w:widowControl/>
              <w:kinsoku w:val="0"/>
              <w:wordWrap/>
              <w:overflowPunct/>
              <w:topLinePunct w:val="0"/>
              <w:autoSpaceDE w:val="0"/>
              <w:autoSpaceDN w:val="0"/>
              <w:bidi w:val="0"/>
              <w:adjustRightInd/>
              <w:snapToGrid w:val="0"/>
              <w:spacing w:line="240" w:lineRule="auto"/>
              <w:ind w:firstLine="0" w:firstLineChars="0"/>
              <w:jc w:val="center"/>
              <w:textAlignment w:val="baseline"/>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highlight w:val="none"/>
                <w:lang w:val="en-US" w:eastAsia="zh-CN"/>
              </w:rPr>
              <w:t>/</w:t>
            </w:r>
          </w:p>
        </w:tc>
        <w:tc>
          <w:tcPr>
            <w:tcW w:w="1609" w:type="dxa"/>
            <w:noWrap w:val="0"/>
            <w:tcMar>
              <w:top w:w="0" w:type="dxa"/>
              <w:left w:w="0" w:type="dxa"/>
              <w:bottom w:w="0" w:type="dxa"/>
              <w:right w:w="0" w:type="dxa"/>
            </w:tcMar>
            <w:vAlign w:val="center"/>
          </w:tcPr>
          <w:p w14:paraId="11BFBD75">
            <w:pPr>
              <w:pStyle w:val="40"/>
              <w:snapToGrid w:val="0"/>
              <w:ind w:firstLine="0" w:firstLineChars="0"/>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snapToGrid w:val="0"/>
                <w:color w:val="auto"/>
                <w:kern w:val="0"/>
                <w:sz w:val="21"/>
                <w:szCs w:val="21"/>
                <w:highlight w:val="none"/>
                <w:lang w:val="en-US" w:eastAsia="zh-CN" w:bidi="ar-SA"/>
              </w:rPr>
              <w:t>0.0</w:t>
            </w:r>
            <w:r>
              <w:rPr>
                <w:rFonts w:hint="eastAsia" w:ascii="Times New Roman" w:hAnsi="Times New Roman" w:eastAsia="宋体" w:cs="Times New Roman"/>
                <w:snapToGrid w:val="0"/>
                <w:color w:val="auto"/>
                <w:kern w:val="0"/>
                <w:sz w:val="21"/>
                <w:szCs w:val="21"/>
                <w:highlight w:val="none"/>
                <w:lang w:val="en-US" w:eastAsia="zh-CN" w:bidi="ar-SA"/>
              </w:rPr>
              <w:t>2</w:t>
            </w:r>
            <w:r>
              <w:rPr>
                <w:rFonts w:hint="default" w:ascii="Times New Roman" w:hAnsi="Times New Roman" w:eastAsia="宋体" w:cs="Times New Roman"/>
                <w:snapToGrid w:val="0"/>
                <w:color w:val="auto"/>
                <w:kern w:val="0"/>
                <w:sz w:val="21"/>
                <w:szCs w:val="21"/>
                <w:highlight w:val="none"/>
                <w:lang w:val="en-US" w:eastAsia="zh-CN" w:bidi="ar-SA"/>
              </w:rPr>
              <w:t>t/a</w:t>
            </w:r>
          </w:p>
        </w:tc>
        <w:tc>
          <w:tcPr>
            <w:tcW w:w="1743" w:type="dxa"/>
            <w:noWrap w:val="0"/>
            <w:tcMar>
              <w:top w:w="0" w:type="dxa"/>
              <w:left w:w="0" w:type="dxa"/>
              <w:bottom w:w="0" w:type="dxa"/>
              <w:right w:w="0" w:type="dxa"/>
            </w:tcMar>
            <w:vAlign w:val="center"/>
          </w:tcPr>
          <w:p w14:paraId="3AFBDDD0">
            <w:pPr>
              <w:snapToGrid w:val="0"/>
              <w:spacing w:line="240" w:lineRule="auto"/>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1605" w:type="dxa"/>
            <w:noWrap w:val="0"/>
            <w:tcMar>
              <w:top w:w="0" w:type="dxa"/>
              <w:left w:w="0" w:type="dxa"/>
              <w:bottom w:w="0" w:type="dxa"/>
              <w:right w:w="0" w:type="dxa"/>
            </w:tcMar>
            <w:vAlign w:val="center"/>
          </w:tcPr>
          <w:p w14:paraId="556FA56F">
            <w:pPr>
              <w:pStyle w:val="40"/>
              <w:snapToGrid w:val="0"/>
              <w:ind w:firstLine="0" w:firstLineChars="0"/>
              <w:rPr>
                <w:rFonts w:hint="default" w:ascii="Times New Roman" w:hAnsi="Times New Roman" w:cs="Times New Roman"/>
                <w:color w:val="auto"/>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bidi="ar-SA"/>
              </w:rPr>
              <w:t>0.0</w:t>
            </w:r>
            <w:r>
              <w:rPr>
                <w:rFonts w:hint="eastAsia" w:ascii="Times New Roman" w:hAnsi="Times New Roman" w:eastAsia="宋体" w:cs="Times New Roman"/>
                <w:snapToGrid w:val="0"/>
                <w:color w:val="auto"/>
                <w:kern w:val="0"/>
                <w:sz w:val="21"/>
                <w:szCs w:val="21"/>
                <w:highlight w:val="none"/>
                <w:lang w:val="en-US" w:eastAsia="zh-CN" w:bidi="ar-SA"/>
              </w:rPr>
              <w:t>2</w:t>
            </w:r>
            <w:r>
              <w:rPr>
                <w:rFonts w:hint="default" w:ascii="Times New Roman" w:hAnsi="Times New Roman" w:eastAsia="宋体" w:cs="Times New Roman"/>
                <w:snapToGrid w:val="0"/>
                <w:color w:val="auto"/>
                <w:kern w:val="0"/>
                <w:sz w:val="21"/>
                <w:szCs w:val="21"/>
                <w:highlight w:val="none"/>
                <w:lang w:val="en-US" w:eastAsia="zh-CN" w:bidi="ar-SA"/>
              </w:rPr>
              <w:t>t/a</w:t>
            </w:r>
          </w:p>
        </w:tc>
        <w:tc>
          <w:tcPr>
            <w:tcW w:w="1503" w:type="dxa"/>
            <w:noWrap w:val="0"/>
            <w:tcMar>
              <w:top w:w="0" w:type="dxa"/>
              <w:left w:w="0" w:type="dxa"/>
              <w:bottom w:w="0" w:type="dxa"/>
              <w:right w:w="0" w:type="dxa"/>
            </w:tcMar>
            <w:vAlign w:val="center"/>
          </w:tcPr>
          <w:p w14:paraId="0B1B693C">
            <w:pPr>
              <w:pStyle w:val="40"/>
              <w:snapToGrid w:val="0"/>
              <w:ind w:firstLine="0" w:firstLineChars="0"/>
              <w:rPr>
                <w:rFonts w:hint="default" w:ascii="Times New Roman" w:hAnsi="Times New Roman" w:cs="Times New Roman"/>
                <w:color w:val="auto"/>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bidi="ar-SA"/>
              </w:rPr>
              <w:t>+</w:t>
            </w:r>
            <w:r>
              <w:rPr>
                <w:rFonts w:hint="default" w:ascii="Times New Roman" w:hAnsi="Times New Roman" w:eastAsia="宋体" w:cs="Times New Roman"/>
                <w:snapToGrid w:val="0"/>
                <w:color w:val="auto"/>
                <w:kern w:val="0"/>
                <w:sz w:val="21"/>
                <w:szCs w:val="21"/>
                <w:highlight w:val="none"/>
                <w:lang w:val="en-US" w:eastAsia="zh-CN" w:bidi="ar-SA"/>
              </w:rPr>
              <w:t>0.0</w:t>
            </w:r>
            <w:r>
              <w:rPr>
                <w:rFonts w:hint="eastAsia" w:ascii="Times New Roman" w:hAnsi="Times New Roman" w:eastAsia="宋体" w:cs="Times New Roman"/>
                <w:snapToGrid w:val="0"/>
                <w:color w:val="auto"/>
                <w:kern w:val="0"/>
                <w:sz w:val="21"/>
                <w:szCs w:val="21"/>
                <w:highlight w:val="none"/>
                <w:lang w:val="en-US" w:eastAsia="zh-CN" w:bidi="ar-SA"/>
              </w:rPr>
              <w:t>2</w:t>
            </w:r>
            <w:r>
              <w:rPr>
                <w:rFonts w:hint="default" w:ascii="Times New Roman" w:hAnsi="Times New Roman" w:eastAsia="宋体" w:cs="Times New Roman"/>
                <w:snapToGrid w:val="0"/>
                <w:color w:val="auto"/>
                <w:kern w:val="0"/>
                <w:sz w:val="21"/>
                <w:szCs w:val="21"/>
                <w:highlight w:val="none"/>
                <w:lang w:val="en-US" w:eastAsia="zh-CN" w:bidi="ar-SA"/>
              </w:rPr>
              <w:t>t/a</w:t>
            </w:r>
          </w:p>
        </w:tc>
      </w:tr>
      <w:tr w14:paraId="1CDE7D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2" w:hRule="atLeast"/>
          <w:jc w:val="center"/>
        </w:trPr>
        <w:tc>
          <w:tcPr>
            <w:tcW w:w="752" w:type="dxa"/>
            <w:vMerge w:val="continue"/>
            <w:tcBorders>
              <w:right w:val="single" w:color="auto" w:sz="4" w:space="0"/>
            </w:tcBorders>
            <w:noWrap w:val="0"/>
            <w:tcMar>
              <w:top w:w="0" w:type="dxa"/>
              <w:left w:w="0" w:type="dxa"/>
              <w:bottom w:w="0" w:type="dxa"/>
              <w:right w:w="0" w:type="dxa"/>
            </w:tcMar>
            <w:vAlign w:val="center"/>
          </w:tcPr>
          <w:p w14:paraId="4FDCA4B8">
            <w:pPr>
              <w:pStyle w:val="35"/>
              <w:snapToGrid w:val="0"/>
              <w:spacing w:line="240" w:lineRule="auto"/>
              <w:jc w:val="center"/>
              <w:rPr>
                <w:rFonts w:hint="default" w:ascii="Times New Roman" w:hAnsi="Times New Roman" w:cs="Times New Roman"/>
                <w:color w:val="auto"/>
                <w:highlight w:val="none"/>
                <w:lang w:val="en-US" w:eastAsia="zh-CN"/>
              </w:rPr>
            </w:pPr>
          </w:p>
        </w:tc>
        <w:tc>
          <w:tcPr>
            <w:tcW w:w="1849" w:type="dxa"/>
            <w:tcBorders>
              <w:left w:val="single" w:color="auto" w:sz="4" w:space="0"/>
              <w:bottom w:val="single" w:color="auto" w:sz="4" w:space="0"/>
            </w:tcBorders>
            <w:noWrap w:val="0"/>
            <w:tcMar>
              <w:top w:w="0" w:type="dxa"/>
              <w:left w:w="0" w:type="dxa"/>
              <w:bottom w:w="0" w:type="dxa"/>
              <w:right w:w="0" w:type="dxa"/>
            </w:tcMar>
            <w:vAlign w:val="center"/>
          </w:tcPr>
          <w:p w14:paraId="15D3C99D">
            <w:pPr>
              <w:pStyle w:val="40"/>
              <w:snapToGrid w:val="0"/>
              <w:ind w:firstLine="0" w:firstLineChars="0"/>
              <w:rPr>
                <w:rFonts w:hint="default" w:ascii="Times New Roman" w:hAnsi="Times New Roman" w:cs="Times New Roman"/>
                <w:color w:val="auto"/>
                <w:sz w:val="21"/>
                <w:szCs w:val="21"/>
                <w:highlight w:val="none"/>
                <w:lang w:val="en-US" w:eastAsia="zh-CN"/>
              </w:rPr>
            </w:pPr>
            <w:r>
              <w:rPr>
                <w:rStyle w:val="41"/>
                <w:rFonts w:hint="default" w:ascii="Times New Roman" w:hAnsi="Times New Roman" w:eastAsia="宋体" w:cs="Times New Roman"/>
                <w:color w:val="auto"/>
                <w:sz w:val="21"/>
                <w:szCs w:val="21"/>
                <w:highlight w:val="none"/>
                <w:lang w:val="en-US" w:eastAsia="zh-CN"/>
              </w:rPr>
              <w:t>宠物毛发</w:t>
            </w:r>
          </w:p>
        </w:tc>
        <w:tc>
          <w:tcPr>
            <w:tcW w:w="1823" w:type="dxa"/>
            <w:noWrap w:val="0"/>
            <w:tcMar>
              <w:top w:w="0" w:type="dxa"/>
              <w:left w:w="0" w:type="dxa"/>
              <w:bottom w:w="0" w:type="dxa"/>
              <w:right w:w="0" w:type="dxa"/>
            </w:tcMar>
            <w:vAlign w:val="center"/>
          </w:tcPr>
          <w:p w14:paraId="4D93EAED">
            <w:pPr>
              <w:keepNext w:val="0"/>
              <w:keepLines w:val="0"/>
              <w:pageBreakBefore w:val="0"/>
              <w:widowControl/>
              <w:kinsoku w:val="0"/>
              <w:wordWrap/>
              <w:overflowPunct/>
              <w:topLinePunct w:val="0"/>
              <w:autoSpaceDE w:val="0"/>
              <w:autoSpaceDN w:val="0"/>
              <w:bidi w:val="0"/>
              <w:adjustRightInd/>
              <w:snapToGrid w:val="0"/>
              <w:spacing w:line="240" w:lineRule="auto"/>
              <w:ind w:firstLine="0" w:firstLineChars="0"/>
              <w:jc w:val="center"/>
              <w:textAlignment w:val="baseline"/>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1417" w:type="dxa"/>
            <w:noWrap w:val="0"/>
            <w:tcMar>
              <w:top w:w="0" w:type="dxa"/>
              <w:left w:w="0" w:type="dxa"/>
              <w:bottom w:w="0" w:type="dxa"/>
              <w:right w:w="0" w:type="dxa"/>
            </w:tcMar>
            <w:vAlign w:val="center"/>
          </w:tcPr>
          <w:p w14:paraId="295C62D9">
            <w:pPr>
              <w:keepNext w:val="0"/>
              <w:keepLines w:val="0"/>
              <w:pageBreakBefore w:val="0"/>
              <w:widowControl/>
              <w:kinsoku w:val="0"/>
              <w:wordWrap/>
              <w:overflowPunct/>
              <w:topLinePunct w:val="0"/>
              <w:autoSpaceDE w:val="0"/>
              <w:autoSpaceDN w:val="0"/>
              <w:bidi w:val="0"/>
              <w:adjustRightInd/>
              <w:snapToGrid w:val="0"/>
              <w:spacing w:line="240" w:lineRule="auto"/>
              <w:ind w:firstLine="0" w:firstLineChars="0"/>
              <w:jc w:val="center"/>
              <w:textAlignment w:val="baseline"/>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1492" w:type="dxa"/>
            <w:noWrap w:val="0"/>
            <w:tcMar>
              <w:top w:w="0" w:type="dxa"/>
              <w:left w:w="0" w:type="dxa"/>
              <w:bottom w:w="0" w:type="dxa"/>
              <w:right w:w="0" w:type="dxa"/>
            </w:tcMar>
            <w:vAlign w:val="center"/>
          </w:tcPr>
          <w:p w14:paraId="582E9EDC">
            <w:pPr>
              <w:keepNext w:val="0"/>
              <w:keepLines w:val="0"/>
              <w:pageBreakBefore w:val="0"/>
              <w:widowControl/>
              <w:kinsoku w:val="0"/>
              <w:wordWrap/>
              <w:overflowPunct/>
              <w:topLinePunct w:val="0"/>
              <w:autoSpaceDE w:val="0"/>
              <w:autoSpaceDN w:val="0"/>
              <w:bidi w:val="0"/>
              <w:adjustRightInd/>
              <w:snapToGrid w:val="0"/>
              <w:spacing w:line="240" w:lineRule="auto"/>
              <w:ind w:firstLine="0" w:firstLineChars="0"/>
              <w:jc w:val="center"/>
              <w:textAlignment w:val="baseline"/>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highlight w:val="none"/>
                <w:lang w:val="en-US" w:eastAsia="zh-CN"/>
              </w:rPr>
              <w:t>/</w:t>
            </w:r>
          </w:p>
        </w:tc>
        <w:tc>
          <w:tcPr>
            <w:tcW w:w="1609" w:type="dxa"/>
            <w:noWrap w:val="0"/>
            <w:tcMar>
              <w:top w:w="0" w:type="dxa"/>
              <w:left w:w="0" w:type="dxa"/>
              <w:bottom w:w="0" w:type="dxa"/>
              <w:right w:w="0" w:type="dxa"/>
            </w:tcMar>
            <w:vAlign w:val="center"/>
          </w:tcPr>
          <w:p w14:paraId="13C76347">
            <w:pPr>
              <w:pStyle w:val="40"/>
              <w:snapToGrid w:val="0"/>
              <w:ind w:firstLine="0" w:firstLineChars="0"/>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snapToGrid w:val="0"/>
                <w:color w:val="auto"/>
                <w:kern w:val="0"/>
                <w:sz w:val="21"/>
                <w:szCs w:val="21"/>
                <w:highlight w:val="none"/>
                <w:lang w:val="en-US" w:eastAsia="zh-CN" w:bidi="ar-SA"/>
              </w:rPr>
              <w:t>0.0</w:t>
            </w:r>
            <w:r>
              <w:rPr>
                <w:rFonts w:hint="eastAsia" w:ascii="Times New Roman" w:hAnsi="Times New Roman" w:eastAsia="宋体" w:cs="Times New Roman"/>
                <w:snapToGrid w:val="0"/>
                <w:color w:val="auto"/>
                <w:kern w:val="0"/>
                <w:sz w:val="21"/>
                <w:szCs w:val="21"/>
                <w:highlight w:val="none"/>
                <w:lang w:val="en-US" w:eastAsia="zh-CN" w:bidi="ar-SA"/>
              </w:rPr>
              <w:t>4</w:t>
            </w:r>
            <w:r>
              <w:rPr>
                <w:rFonts w:hint="default" w:ascii="Times New Roman" w:hAnsi="Times New Roman" w:eastAsia="宋体" w:cs="Times New Roman"/>
                <w:snapToGrid w:val="0"/>
                <w:color w:val="auto"/>
                <w:kern w:val="0"/>
                <w:sz w:val="21"/>
                <w:szCs w:val="21"/>
                <w:highlight w:val="none"/>
                <w:lang w:val="en-US" w:eastAsia="zh-CN" w:bidi="ar-SA"/>
              </w:rPr>
              <w:t>t/a</w:t>
            </w:r>
          </w:p>
        </w:tc>
        <w:tc>
          <w:tcPr>
            <w:tcW w:w="1743" w:type="dxa"/>
            <w:noWrap w:val="0"/>
            <w:tcMar>
              <w:top w:w="0" w:type="dxa"/>
              <w:left w:w="0" w:type="dxa"/>
              <w:bottom w:w="0" w:type="dxa"/>
              <w:right w:w="0" w:type="dxa"/>
            </w:tcMar>
            <w:vAlign w:val="center"/>
          </w:tcPr>
          <w:p w14:paraId="2D6F4077">
            <w:pPr>
              <w:snapToGrid w:val="0"/>
              <w:spacing w:line="240" w:lineRule="auto"/>
              <w:jc w:val="center"/>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highlight w:val="none"/>
                <w:lang w:val="en-US" w:eastAsia="zh-CN"/>
              </w:rPr>
              <w:t>/</w:t>
            </w:r>
          </w:p>
        </w:tc>
        <w:tc>
          <w:tcPr>
            <w:tcW w:w="1605" w:type="dxa"/>
            <w:noWrap w:val="0"/>
            <w:tcMar>
              <w:top w:w="0" w:type="dxa"/>
              <w:left w:w="0" w:type="dxa"/>
              <w:bottom w:w="0" w:type="dxa"/>
              <w:right w:w="0" w:type="dxa"/>
            </w:tcMar>
            <w:vAlign w:val="center"/>
          </w:tcPr>
          <w:p w14:paraId="53B6886F">
            <w:pPr>
              <w:pStyle w:val="40"/>
              <w:snapToGrid w:val="0"/>
              <w:ind w:firstLine="0" w:firstLineChars="0"/>
              <w:rPr>
                <w:rFonts w:hint="default" w:ascii="Times New Roman" w:hAnsi="Times New Roman" w:cs="Times New Roman"/>
                <w:color w:val="auto"/>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bidi="ar-SA"/>
              </w:rPr>
              <w:t>0.0</w:t>
            </w:r>
            <w:r>
              <w:rPr>
                <w:rFonts w:hint="eastAsia" w:ascii="Times New Roman" w:hAnsi="Times New Roman" w:eastAsia="宋体" w:cs="Times New Roman"/>
                <w:snapToGrid w:val="0"/>
                <w:color w:val="auto"/>
                <w:kern w:val="0"/>
                <w:sz w:val="21"/>
                <w:szCs w:val="21"/>
                <w:highlight w:val="none"/>
                <w:lang w:val="en-US" w:eastAsia="zh-CN" w:bidi="ar-SA"/>
              </w:rPr>
              <w:t>4</w:t>
            </w:r>
            <w:r>
              <w:rPr>
                <w:rFonts w:hint="default" w:ascii="Times New Roman" w:hAnsi="Times New Roman" w:eastAsia="宋体" w:cs="Times New Roman"/>
                <w:snapToGrid w:val="0"/>
                <w:color w:val="auto"/>
                <w:kern w:val="0"/>
                <w:sz w:val="21"/>
                <w:szCs w:val="21"/>
                <w:highlight w:val="none"/>
                <w:lang w:val="en-US" w:eastAsia="zh-CN" w:bidi="ar-SA"/>
              </w:rPr>
              <w:t>t/a</w:t>
            </w:r>
          </w:p>
        </w:tc>
        <w:tc>
          <w:tcPr>
            <w:tcW w:w="1503" w:type="dxa"/>
            <w:noWrap w:val="0"/>
            <w:tcMar>
              <w:top w:w="0" w:type="dxa"/>
              <w:left w:w="0" w:type="dxa"/>
              <w:bottom w:w="0" w:type="dxa"/>
              <w:right w:w="0" w:type="dxa"/>
            </w:tcMar>
            <w:vAlign w:val="center"/>
          </w:tcPr>
          <w:p w14:paraId="1A305F88">
            <w:pPr>
              <w:pStyle w:val="40"/>
              <w:snapToGrid w:val="0"/>
              <w:ind w:firstLine="0" w:firstLineChars="0"/>
              <w:rPr>
                <w:rFonts w:hint="default" w:ascii="Times New Roman" w:hAnsi="Times New Roman" w:cs="Times New Roman"/>
                <w:color w:val="auto"/>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bidi="ar-SA"/>
              </w:rPr>
              <w:t>+</w:t>
            </w:r>
            <w:r>
              <w:rPr>
                <w:rFonts w:hint="default" w:ascii="Times New Roman" w:hAnsi="Times New Roman" w:eastAsia="宋体" w:cs="Times New Roman"/>
                <w:snapToGrid w:val="0"/>
                <w:color w:val="auto"/>
                <w:kern w:val="0"/>
                <w:sz w:val="21"/>
                <w:szCs w:val="21"/>
                <w:highlight w:val="none"/>
                <w:lang w:val="en-US" w:eastAsia="zh-CN" w:bidi="ar-SA"/>
              </w:rPr>
              <w:t>0.0</w:t>
            </w:r>
            <w:r>
              <w:rPr>
                <w:rFonts w:hint="eastAsia" w:ascii="Times New Roman" w:hAnsi="Times New Roman" w:eastAsia="宋体" w:cs="Times New Roman"/>
                <w:snapToGrid w:val="0"/>
                <w:color w:val="auto"/>
                <w:kern w:val="0"/>
                <w:sz w:val="21"/>
                <w:szCs w:val="21"/>
                <w:highlight w:val="none"/>
                <w:lang w:val="en-US" w:eastAsia="zh-CN" w:bidi="ar-SA"/>
              </w:rPr>
              <w:t>4</w:t>
            </w:r>
            <w:r>
              <w:rPr>
                <w:rFonts w:hint="default" w:ascii="Times New Roman" w:hAnsi="Times New Roman" w:eastAsia="宋体" w:cs="Times New Roman"/>
                <w:snapToGrid w:val="0"/>
                <w:color w:val="auto"/>
                <w:kern w:val="0"/>
                <w:sz w:val="21"/>
                <w:szCs w:val="21"/>
                <w:highlight w:val="none"/>
                <w:lang w:val="en-US" w:eastAsia="zh-CN" w:bidi="ar-SA"/>
              </w:rPr>
              <w:t>t/a</w:t>
            </w:r>
          </w:p>
        </w:tc>
      </w:tr>
      <w:tr w14:paraId="39E522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2" w:hRule="atLeast"/>
          <w:jc w:val="center"/>
        </w:trPr>
        <w:tc>
          <w:tcPr>
            <w:tcW w:w="752" w:type="dxa"/>
            <w:vMerge w:val="continue"/>
            <w:tcBorders>
              <w:right w:val="single" w:color="auto" w:sz="4" w:space="0"/>
            </w:tcBorders>
            <w:noWrap w:val="0"/>
            <w:tcMar>
              <w:top w:w="0" w:type="dxa"/>
              <w:left w:w="0" w:type="dxa"/>
              <w:bottom w:w="0" w:type="dxa"/>
              <w:right w:w="0" w:type="dxa"/>
            </w:tcMar>
            <w:vAlign w:val="center"/>
          </w:tcPr>
          <w:p w14:paraId="235BE4AC">
            <w:pPr>
              <w:pStyle w:val="35"/>
              <w:snapToGrid w:val="0"/>
              <w:spacing w:line="240" w:lineRule="auto"/>
              <w:jc w:val="center"/>
              <w:rPr>
                <w:rFonts w:hint="default" w:ascii="Times New Roman" w:hAnsi="Times New Roman" w:cs="Times New Roman"/>
                <w:color w:val="auto"/>
                <w:highlight w:val="none"/>
                <w:lang w:val="en-US" w:eastAsia="zh-CN"/>
              </w:rPr>
            </w:pPr>
          </w:p>
        </w:tc>
        <w:tc>
          <w:tcPr>
            <w:tcW w:w="1849" w:type="dxa"/>
            <w:tcBorders>
              <w:left w:val="single" w:color="auto" w:sz="4" w:space="0"/>
              <w:bottom w:val="single" w:color="auto" w:sz="4" w:space="0"/>
            </w:tcBorders>
            <w:noWrap w:val="0"/>
            <w:tcMar>
              <w:top w:w="0" w:type="dxa"/>
              <w:left w:w="0" w:type="dxa"/>
              <w:bottom w:w="0" w:type="dxa"/>
              <w:right w:w="0" w:type="dxa"/>
            </w:tcMar>
            <w:vAlign w:val="center"/>
          </w:tcPr>
          <w:p w14:paraId="721F87A3">
            <w:pPr>
              <w:pStyle w:val="40"/>
              <w:snapToGrid w:val="0"/>
              <w:ind w:firstLine="0" w:firstLineChars="0"/>
              <w:rPr>
                <w:rFonts w:hint="default" w:ascii="Times New Roman" w:hAnsi="Times New Roman" w:cs="Times New Roman"/>
                <w:color w:val="auto"/>
                <w:sz w:val="21"/>
                <w:szCs w:val="21"/>
                <w:highlight w:val="none"/>
                <w:lang w:val="en-US" w:eastAsia="zh-CN"/>
              </w:rPr>
            </w:pPr>
            <w:r>
              <w:rPr>
                <w:rStyle w:val="41"/>
                <w:rFonts w:hint="eastAsia" w:ascii="Times New Roman" w:hAnsi="Times New Roman" w:eastAsia="宋体" w:cs="Times New Roman"/>
                <w:color w:val="auto"/>
                <w:sz w:val="21"/>
                <w:szCs w:val="21"/>
                <w:highlight w:val="none"/>
                <w:lang w:val="en-US" w:eastAsia="zh-CN"/>
              </w:rPr>
              <w:t>健康</w:t>
            </w:r>
            <w:r>
              <w:rPr>
                <w:rStyle w:val="41"/>
                <w:rFonts w:hint="default" w:ascii="Times New Roman" w:hAnsi="Times New Roman" w:eastAsia="宋体" w:cs="Times New Roman"/>
                <w:color w:val="auto"/>
                <w:sz w:val="21"/>
                <w:szCs w:val="21"/>
                <w:highlight w:val="none"/>
                <w:lang w:val="en-US" w:eastAsia="zh-CN"/>
              </w:rPr>
              <w:t>宠物粪便及猫砂</w:t>
            </w:r>
          </w:p>
        </w:tc>
        <w:tc>
          <w:tcPr>
            <w:tcW w:w="1823" w:type="dxa"/>
            <w:noWrap w:val="0"/>
            <w:tcMar>
              <w:top w:w="0" w:type="dxa"/>
              <w:left w:w="0" w:type="dxa"/>
              <w:bottom w:w="0" w:type="dxa"/>
              <w:right w:w="0" w:type="dxa"/>
            </w:tcMar>
            <w:vAlign w:val="center"/>
          </w:tcPr>
          <w:p w14:paraId="1167F2AF">
            <w:pPr>
              <w:keepNext w:val="0"/>
              <w:keepLines w:val="0"/>
              <w:pageBreakBefore w:val="0"/>
              <w:widowControl/>
              <w:kinsoku w:val="0"/>
              <w:wordWrap/>
              <w:overflowPunct/>
              <w:topLinePunct w:val="0"/>
              <w:autoSpaceDE w:val="0"/>
              <w:autoSpaceDN w:val="0"/>
              <w:bidi w:val="0"/>
              <w:adjustRightInd/>
              <w:snapToGrid w:val="0"/>
              <w:spacing w:line="240" w:lineRule="auto"/>
              <w:ind w:firstLine="0" w:firstLineChars="0"/>
              <w:jc w:val="center"/>
              <w:textAlignment w:val="baseline"/>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1417" w:type="dxa"/>
            <w:noWrap w:val="0"/>
            <w:tcMar>
              <w:top w:w="0" w:type="dxa"/>
              <w:left w:w="0" w:type="dxa"/>
              <w:bottom w:w="0" w:type="dxa"/>
              <w:right w:w="0" w:type="dxa"/>
            </w:tcMar>
            <w:vAlign w:val="center"/>
          </w:tcPr>
          <w:p w14:paraId="5238E9A8">
            <w:pPr>
              <w:keepNext w:val="0"/>
              <w:keepLines w:val="0"/>
              <w:pageBreakBefore w:val="0"/>
              <w:widowControl/>
              <w:kinsoku w:val="0"/>
              <w:wordWrap/>
              <w:overflowPunct/>
              <w:topLinePunct w:val="0"/>
              <w:autoSpaceDE w:val="0"/>
              <w:autoSpaceDN w:val="0"/>
              <w:bidi w:val="0"/>
              <w:adjustRightInd/>
              <w:snapToGrid w:val="0"/>
              <w:spacing w:line="240" w:lineRule="auto"/>
              <w:ind w:firstLine="0" w:firstLineChars="0"/>
              <w:jc w:val="center"/>
              <w:textAlignment w:val="baseline"/>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1492" w:type="dxa"/>
            <w:noWrap w:val="0"/>
            <w:tcMar>
              <w:top w:w="0" w:type="dxa"/>
              <w:left w:w="0" w:type="dxa"/>
              <w:bottom w:w="0" w:type="dxa"/>
              <w:right w:w="0" w:type="dxa"/>
            </w:tcMar>
            <w:vAlign w:val="center"/>
          </w:tcPr>
          <w:p w14:paraId="3FBFE60B">
            <w:pPr>
              <w:keepNext w:val="0"/>
              <w:keepLines w:val="0"/>
              <w:pageBreakBefore w:val="0"/>
              <w:widowControl/>
              <w:kinsoku w:val="0"/>
              <w:wordWrap/>
              <w:overflowPunct/>
              <w:topLinePunct w:val="0"/>
              <w:autoSpaceDE w:val="0"/>
              <w:autoSpaceDN w:val="0"/>
              <w:bidi w:val="0"/>
              <w:adjustRightInd/>
              <w:snapToGrid w:val="0"/>
              <w:spacing w:line="240" w:lineRule="auto"/>
              <w:ind w:firstLine="0" w:firstLineChars="0"/>
              <w:jc w:val="center"/>
              <w:textAlignment w:val="baseline"/>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1609" w:type="dxa"/>
            <w:noWrap w:val="0"/>
            <w:tcMar>
              <w:top w:w="0" w:type="dxa"/>
              <w:left w:w="0" w:type="dxa"/>
              <w:bottom w:w="0" w:type="dxa"/>
              <w:right w:w="0" w:type="dxa"/>
            </w:tcMar>
            <w:vAlign w:val="center"/>
          </w:tcPr>
          <w:p w14:paraId="2C87B522">
            <w:pPr>
              <w:pStyle w:val="40"/>
              <w:snapToGrid w:val="0"/>
              <w:ind w:firstLine="0" w:firstLineChars="0"/>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snapToGrid w:val="0"/>
                <w:color w:val="auto"/>
                <w:kern w:val="0"/>
                <w:sz w:val="21"/>
                <w:szCs w:val="21"/>
                <w:highlight w:val="none"/>
                <w:lang w:val="en-US" w:eastAsia="zh-CN" w:bidi="ar-SA"/>
              </w:rPr>
              <w:t>0.</w:t>
            </w:r>
            <w:r>
              <w:rPr>
                <w:rFonts w:hint="eastAsia" w:ascii="Times New Roman" w:hAnsi="Times New Roman" w:eastAsia="宋体" w:cs="Times New Roman"/>
                <w:snapToGrid w:val="0"/>
                <w:color w:val="auto"/>
                <w:kern w:val="0"/>
                <w:sz w:val="21"/>
                <w:szCs w:val="21"/>
                <w:highlight w:val="none"/>
                <w:lang w:val="en-US" w:eastAsia="zh-CN" w:bidi="ar-SA"/>
              </w:rPr>
              <w:t>3</w:t>
            </w:r>
            <w:r>
              <w:rPr>
                <w:rFonts w:hint="default" w:ascii="Times New Roman" w:hAnsi="Times New Roman" w:eastAsia="宋体" w:cs="Times New Roman"/>
                <w:snapToGrid w:val="0"/>
                <w:color w:val="auto"/>
                <w:kern w:val="0"/>
                <w:sz w:val="21"/>
                <w:szCs w:val="21"/>
                <w:highlight w:val="none"/>
                <w:lang w:val="en-US" w:eastAsia="zh-CN" w:bidi="ar-SA"/>
              </w:rPr>
              <w:t>t/a</w:t>
            </w:r>
          </w:p>
        </w:tc>
        <w:tc>
          <w:tcPr>
            <w:tcW w:w="1743" w:type="dxa"/>
            <w:noWrap w:val="0"/>
            <w:tcMar>
              <w:top w:w="0" w:type="dxa"/>
              <w:left w:w="0" w:type="dxa"/>
              <w:bottom w:w="0" w:type="dxa"/>
              <w:right w:w="0" w:type="dxa"/>
            </w:tcMar>
            <w:vAlign w:val="center"/>
          </w:tcPr>
          <w:p w14:paraId="0873E7C2">
            <w:pPr>
              <w:snapToGrid w:val="0"/>
              <w:spacing w:line="240" w:lineRule="auto"/>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1605" w:type="dxa"/>
            <w:noWrap w:val="0"/>
            <w:tcMar>
              <w:top w:w="0" w:type="dxa"/>
              <w:left w:w="0" w:type="dxa"/>
              <w:bottom w:w="0" w:type="dxa"/>
              <w:right w:w="0" w:type="dxa"/>
            </w:tcMar>
            <w:vAlign w:val="center"/>
          </w:tcPr>
          <w:p w14:paraId="64AF5772">
            <w:pPr>
              <w:pStyle w:val="40"/>
              <w:snapToGrid w:val="0"/>
              <w:ind w:firstLine="0" w:firstLineChars="0"/>
              <w:rPr>
                <w:rFonts w:hint="default" w:ascii="Times New Roman" w:hAnsi="Times New Roman" w:cs="Times New Roman"/>
                <w:color w:val="auto"/>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bidi="ar-SA"/>
              </w:rPr>
              <w:t>0.</w:t>
            </w:r>
            <w:r>
              <w:rPr>
                <w:rFonts w:hint="eastAsia" w:ascii="Times New Roman" w:hAnsi="Times New Roman" w:eastAsia="宋体" w:cs="Times New Roman"/>
                <w:snapToGrid w:val="0"/>
                <w:color w:val="auto"/>
                <w:kern w:val="0"/>
                <w:sz w:val="21"/>
                <w:szCs w:val="21"/>
                <w:highlight w:val="none"/>
                <w:lang w:val="en-US" w:eastAsia="zh-CN" w:bidi="ar-SA"/>
              </w:rPr>
              <w:t>3</w:t>
            </w:r>
            <w:r>
              <w:rPr>
                <w:rFonts w:hint="default" w:ascii="Times New Roman" w:hAnsi="Times New Roman" w:eastAsia="宋体" w:cs="Times New Roman"/>
                <w:snapToGrid w:val="0"/>
                <w:color w:val="auto"/>
                <w:kern w:val="0"/>
                <w:sz w:val="21"/>
                <w:szCs w:val="21"/>
                <w:highlight w:val="none"/>
                <w:lang w:val="en-US" w:eastAsia="zh-CN" w:bidi="ar-SA"/>
              </w:rPr>
              <w:t>t/a</w:t>
            </w:r>
          </w:p>
        </w:tc>
        <w:tc>
          <w:tcPr>
            <w:tcW w:w="1503" w:type="dxa"/>
            <w:noWrap w:val="0"/>
            <w:tcMar>
              <w:top w:w="0" w:type="dxa"/>
              <w:left w:w="0" w:type="dxa"/>
              <w:bottom w:w="0" w:type="dxa"/>
              <w:right w:w="0" w:type="dxa"/>
            </w:tcMar>
            <w:vAlign w:val="center"/>
          </w:tcPr>
          <w:p w14:paraId="48442966">
            <w:pPr>
              <w:pStyle w:val="40"/>
              <w:snapToGrid w:val="0"/>
              <w:ind w:firstLine="0" w:firstLineChars="0"/>
              <w:rPr>
                <w:rFonts w:hint="default" w:ascii="Times New Roman" w:hAnsi="Times New Roman" w:cs="Times New Roman"/>
                <w:color w:val="auto"/>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bidi="ar-SA"/>
              </w:rPr>
              <w:t>+</w:t>
            </w:r>
            <w:r>
              <w:rPr>
                <w:rFonts w:hint="default" w:ascii="Times New Roman" w:hAnsi="Times New Roman" w:eastAsia="宋体" w:cs="Times New Roman"/>
                <w:snapToGrid w:val="0"/>
                <w:color w:val="auto"/>
                <w:kern w:val="0"/>
                <w:sz w:val="21"/>
                <w:szCs w:val="21"/>
                <w:highlight w:val="none"/>
                <w:lang w:val="en-US" w:eastAsia="zh-CN" w:bidi="ar-SA"/>
              </w:rPr>
              <w:t>0.</w:t>
            </w:r>
            <w:r>
              <w:rPr>
                <w:rFonts w:hint="eastAsia" w:ascii="Times New Roman" w:hAnsi="Times New Roman" w:eastAsia="宋体" w:cs="Times New Roman"/>
                <w:snapToGrid w:val="0"/>
                <w:color w:val="auto"/>
                <w:kern w:val="0"/>
                <w:sz w:val="21"/>
                <w:szCs w:val="21"/>
                <w:highlight w:val="none"/>
                <w:lang w:val="en-US" w:eastAsia="zh-CN" w:bidi="ar-SA"/>
              </w:rPr>
              <w:t>3</w:t>
            </w:r>
            <w:r>
              <w:rPr>
                <w:rFonts w:hint="default" w:ascii="Times New Roman" w:hAnsi="Times New Roman" w:eastAsia="宋体" w:cs="Times New Roman"/>
                <w:snapToGrid w:val="0"/>
                <w:color w:val="auto"/>
                <w:kern w:val="0"/>
                <w:sz w:val="21"/>
                <w:szCs w:val="21"/>
                <w:highlight w:val="none"/>
                <w:lang w:val="en-US" w:eastAsia="zh-CN" w:bidi="ar-SA"/>
              </w:rPr>
              <w:t>t/a</w:t>
            </w:r>
          </w:p>
        </w:tc>
      </w:tr>
      <w:tr w14:paraId="3F88C3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2" w:hRule="atLeast"/>
          <w:jc w:val="center"/>
        </w:trPr>
        <w:tc>
          <w:tcPr>
            <w:tcW w:w="752" w:type="dxa"/>
            <w:vMerge w:val="continue"/>
            <w:tcBorders>
              <w:right w:val="single" w:color="auto" w:sz="4" w:space="0"/>
            </w:tcBorders>
            <w:noWrap w:val="0"/>
            <w:tcMar>
              <w:top w:w="0" w:type="dxa"/>
              <w:left w:w="0" w:type="dxa"/>
              <w:bottom w:w="0" w:type="dxa"/>
              <w:right w:w="0" w:type="dxa"/>
            </w:tcMar>
            <w:vAlign w:val="center"/>
          </w:tcPr>
          <w:p w14:paraId="67724FF0">
            <w:pPr>
              <w:pStyle w:val="35"/>
              <w:snapToGrid w:val="0"/>
              <w:spacing w:line="240" w:lineRule="auto"/>
              <w:jc w:val="center"/>
              <w:rPr>
                <w:rFonts w:hint="default" w:ascii="Times New Roman" w:hAnsi="Times New Roman" w:cs="Times New Roman"/>
                <w:color w:val="auto"/>
                <w:highlight w:val="none"/>
                <w:lang w:val="en-US" w:eastAsia="zh-CN"/>
              </w:rPr>
            </w:pPr>
          </w:p>
        </w:tc>
        <w:tc>
          <w:tcPr>
            <w:tcW w:w="1849" w:type="dxa"/>
            <w:tcBorders>
              <w:left w:val="single" w:color="auto" w:sz="4" w:space="0"/>
              <w:bottom w:val="single" w:color="auto" w:sz="4" w:space="0"/>
            </w:tcBorders>
            <w:noWrap w:val="0"/>
            <w:tcMar>
              <w:top w:w="0" w:type="dxa"/>
              <w:left w:w="0" w:type="dxa"/>
              <w:bottom w:w="0" w:type="dxa"/>
              <w:right w:w="0" w:type="dxa"/>
            </w:tcMar>
            <w:vAlign w:val="center"/>
          </w:tcPr>
          <w:p w14:paraId="05646E2E">
            <w:pPr>
              <w:pStyle w:val="40"/>
              <w:snapToGrid w:val="0"/>
              <w:ind w:firstLine="0" w:firstLineChars="0"/>
              <w:rPr>
                <w:rFonts w:hint="default" w:ascii="Times New Roman" w:hAnsi="Times New Roman" w:cs="Times New Roman"/>
                <w:color w:val="auto"/>
                <w:sz w:val="21"/>
                <w:szCs w:val="21"/>
                <w:highlight w:val="none"/>
                <w:lang w:val="en-US" w:eastAsia="zh-CN"/>
              </w:rPr>
            </w:pPr>
            <w:r>
              <w:rPr>
                <w:rStyle w:val="41"/>
                <w:rFonts w:hint="default" w:ascii="Times New Roman" w:hAnsi="Times New Roman" w:eastAsia="宋体" w:cs="Times New Roman"/>
                <w:color w:val="auto"/>
                <w:sz w:val="21"/>
                <w:szCs w:val="21"/>
                <w:highlight w:val="none"/>
                <w:lang w:val="en-US" w:eastAsia="zh-CN"/>
              </w:rPr>
              <w:t>生活垃圾</w:t>
            </w:r>
          </w:p>
        </w:tc>
        <w:tc>
          <w:tcPr>
            <w:tcW w:w="1823" w:type="dxa"/>
            <w:noWrap w:val="0"/>
            <w:tcMar>
              <w:top w:w="0" w:type="dxa"/>
              <w:left w:w="0" w:type="dxa"/>
              <w:bottom w:w="0" w:type="dxa"/>
              <w:right w:w="0" w:type="dxa"/>
            </w:tcMar>
            <w:vAlign w:val="center"/>
          </w:tcPr>
          <w:p w14:paraId="7EA8DA40">
            <w:pPr>
              <w:keepNext w:val="0"/>
              <w:keepLines w:val="0"/>
              <w:pageBreakBefore w:val="0"/>
              <w:widowControl/>
              <w:kinsoku w:val="0"/>
              <w:wordWrap/>
              <w:overflowPunct/>
              <w:topLinePunct w:val="0"/>
              <w:autoSpaceDE w:val="0"/>
              <w:autoSpaceDN w:val="0"/>
              <w:bidi w:val="0"/>
              <w:adjustRightInd/>
              <w:snapToGrid w:val="0"/>
              <w:spacing w:line="240" w:lineRule="auto"/>
              <w:ind w:firstLine="0" w:firstLineChars="0"/>
              <w:jc w:val="center"/>
              <w:textAlignment w:val="baseline"/>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1417" w:type="dxa"/>
            <w:noWrap w:val="0"/>
            <w:tcMar>
              <w:top w:w="0" w:type="dxa"/>
              <w:left w:w="0" w:type="dxa"/>
              <w:bottom w:w="0" w:type="dxa"/>
              <w:right w:w="0" w:type="dxa"/>
            </w:tcMar>
            <w:vAlign w:val="center"/>
          </w:tcPr>
          <w:p w14:paraId="5ED97AA7">
            <w:pPr>
              <w:keepNext w:val="0"/>
              <w:keepLines w:val="0"/>
              <w:pageBreakBefore w:val="0"/>
              <w:widowControl/>
              <w:kinsoku w:val="0"/>
              <w:wordWrap/>
              <w:overflowPunct/>
              <w:topLinePunct w:val="0"/>
              <w:autoSpaceDE w:val="0"/>
              <w:autoSpaceDN w:val="0"/>
              <w:bidi w:val="0"/>
              <w:adjustRightInd/>
              <w:snapToGrid w:val="0"/>
              <w:spacing w:line="240" w:lineRule="auto"/>
              <w:ind w:firstLine="0" w:firstLineChars="0"/>
              <w:jc w:val="center"/>
              <w:textAlignment w:val="baseline"/>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1492" w:type="dxa"/>
            <w:noWrap w:val="0"/>
            <w:tcMar>
              <w:top w:w="0" w:type="dxa"/>
              <w:left w:w="0" w:type="dxa"/>
              <w:bottom w:w="0" w:type="dxa"/>
              <w:right w:w="0" w:type="dxa"/>
            </w:tcMar>
            <w:vAlign w:val="center"/>
          </w:tcPr>
          <w:p w14:paraId="6E3610F8">
            <w:pPr>
              <w:keepNext w:val="0"/>
              <w:keepLines w:val="0"/>
              <w:pageBreakBefore w:val="0"/>
              <w:widowControl/>
              <w:kinsoku w:val="0"/>
              <w:wordWrap/>
              <w:overflowPunct/>
              <w:topLinePunct w:val="0"/>
              <w:autoSpaceDE w:val="0"/>
              <w:autoSpaceDN w:val="0"/>
              <w:bidi w:val="0"/>
              <w:adjustRightInd/>
              <w:snapToGrid w:val="0"/>
              <w:spacing w:line="240" w:lineRule="auto"/>
              <w:ind w:firstLine="0" w:firstLineChars="0"/>
              <w:jc w:val="center"/>
              <w:textAlignment w:val="baseline"/>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1609" w:type="dxa"/>
            <w:noWrap w:val="0"/>
            <w:tcMar>
              <w:top w:w="0" w:type="dxa"/>
              <w:left w:w="0" w:type="dxa"/>
              <w:bottom w:w="0" w:type="dxa"/>
              <w:right w:w="0" w:type="dxa"/>
            </w:tcMar>
            <w:vAlign w:val="center"/>
          </w:tcPr>
          <w:p w14:paraId="7785DF6E">
            <w:pPr>
              <w:pStyle w:val="40"/>
              <w:snapToGrid w:val="0"/>
              <w:ind w:firstLine="0" w:firstLineChars="0"/>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hAnsi="Times New Roman" w:eastAsia="宋体" w:cs="Times New Roman"/>
                <w:snapToGrid w:val="0"/>
                <w:color w:val="auto"/>
                <w:kern w:val="0"/>
                <w:sz w:val="21"/>
                <w:szCs w:val="21"/>
                <w:highlight w:val="none"/>
                <w:lang w:val="en-US" w:eastAsia="zh-CN" w:bidi="ar-SA"/>
              </w:rPr>
              <w:t>1.095</w:t>
            </w:r>
            <w:r>
              <w:rPr>
                <w:rFonts w:hint="default" w:ascii="Times New Roman" w:hAnsi="Times New Roman" w:eastAsia="宋体" w:cs="Times New Roman"/>
                <w:snapToGrid w:val="0"/>
                <w:color w:val="auto"/>
                <w:kern w:val="0"/>
                <w:sz w:val="21"/>
                <w:szCs w:val="21"/>
                <w:highlight w:val="none"/>
                <w:lang w:val="en-US" w:eastAsia="zh-CN" w:bidi="ar-SA"/>
              </w:rPr>
              <w:t>t/a</w:t>
            </w:r>
          </w:p>
        </w:tc>
        <w:tc>
          <w:tcPr>
            <w:tcW w:w="1743" w:type="dxa"/>
            <w:noWrap w:val="0"/>
            <w:tcMar>
              <w:top w:w="0" w:type="dxa"/>
              <w:left w:w="0" w:type="dxa"/>
              <w:bottom w:w="0" w:type="dxa"/>
              <w:right w:w="0" w:type="dxa"/>
            </w:tcMar>
            <w:vAlign w:val="center"/>
          </w:tcPr>
          <w:p w14:paraId="1AD56AD2">
            <w:pPr>
              <w:snapToGrid w:val="0"/>
              <w:spacing w:line="240" w:lineRule="auto"/>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1605" w:type="dxa"/>
            <w:noWrap w:val="0"/>
            <w:tcMar>
              <w:top w:w="0" w:type="dxa"/>
              <w:left w:w="0" w:type="dxa"/>
              <w:bottom w:w="0" w:type="dxa"/>
              <w:right w:w="0" w:type="dxa"/>
            </w:tcMar>
            <w:vAlign w:val="center"/>
          </w:tcPr>
          <w:p w14:paraId="10384A59">
            <w:pPr>
              <w:pStyle w:val="40"/>
              <w:snapToGrid w:val="0"/>
              <w:ind w:firstLine="0" w:firstLineChars="0"/>
              <w:rPr>
                <w:rFonts w:hint="default" w:ascii="Times New Roman" w:hAnsi="Times New Roman" w:cs="Times New Roman"/>
                <w:color w:val="auto"/>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bidi="ar-SA"/>
              </w:rPr>
              <w:t>1.095</w:t>
            </w:r>
            <w:r>
              <w:rPr>
                <w:rFonts w:hint="default" w:ascii="Times New Roman" w:hAnsi="Times New Roman" w:eastAsia="宋体" w:cs="Times New Roman"/>
                <w:snapToGrid w:val="0"/>
                <w:color w:val="auto"/>
                <w:kern w:val="0"/>
                <w:sz w:val="21"/>
                <w:szCs w:val="21"/>
                <w:highlight w:val="none"/>
                <w:lang w:val="en-US" w:eastAsia="zh-CN" w:bidi="ar-SA"/>
              </w:rPr>
              <w:t>t/a</w:t>
            </w:r>
          </w:p>
        </w:tc>
        <w:tc>
          <w:tcPr>
            <w:tcW w:w="1503" w:type="dxa"/>
            <w:noWrap w:val="0"/>
            <w:tcMar>
              <w:top w:w="0" w:type="dxa"/>
              <w:left w:w="0" w:type="dxa"/>
              <w:bottom w:w="0" w:type="dxa"/>
              <w:right w:w="0" w:type="dxa"/>
            </w:tcMar>
            <w:vAlign w:val="center"/>
          </w:tcPr>
          <w:p w14:paraId="6154717B">
            <w:pPr>
              <w:pStyle w:val="40"/>
              <w:snapToGrid w:val="0"/>
              <w:ind w:firstLine="0" w:firstLineChars="0"/>
              <w:rPr>
                <w:rFonts w:hint="default" w:ascii="Times New Roman" w:hAnsi="Times New Roman" w:cs="Times New Roman"/>
                <w:color w:val="auto"/>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bidi="ar-SA"/>
              </w:rPr>
              <w:t>+1.095</w:t>
            </w:r>
            <w:r>
              <w:rPr>
                <w:rFonts w:hint="default" w:ascii="Times New Roman" w:hAnsi="Times New Roman" w:eastAsia="宋体" w:cs="Times New Roman"/>
                <w:snapToGrid w:val="0"/>
                <w:color w:val="auto"/>
                <w:kern w:val="0"/>
                <w:sz w:val="21"/>
                <w:szCs w:val="21"/>
                <w:highlight w:val="none"/>
                <w:lang w:val="en-US" w:eastAsia="zh-CN" w:bidi="ar-SA"/>
              </w:rPr>
              <w:t>t/a</w:t>
            </w:r>
          </w:p>
        </w:tc>
      </w:tr>
      <w:tr w14:paraId="43FD0C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2" w:hRule="atLeast"/>
          <w:jc w:val="center"/>
        </w:trPr>
        <w:tc>
          <w:tcPr>
            <w:tcW w:w="752" w:type="dxa"/>
            <w:vMerge w:val="continue"/>
            <w:tcBorders>
              <w:right w:val="single" w:color="auto" w:sz="4" w:space="0"/>
            </w:tcBorders>
            <w:noWrap w:val="0"/>
            <w:tcMar>
              <w:top w:w="0" w:type="dxa"/>
              <w:left w:w="0" w:type="dxa"/>
              <w:bottom w:w="0" w:type="dxa"/>
              <w:right w:w="0" w:type="dxa"/>
            </w:tcMar>
            <w:vAlign w:val="center"/>
          </w:tcPr>
          <w:p w14:paraId="2A328A5E">
            <w:pPr>
              <w:pStyle w:val="35"/>
              <w:snapToGrid w:val="0"/>
              <w:spacing w:line="240" w:lineRule="auto"/>
              <w:jc w:val="center"/>
              <w:rPr>
                <w:rFonts w:hint="default" w:ascii="Times New Roman" w:hAnsi="Times New Roman" w:cs="Times New Roman"/>
                <w:color w:val="auto"/>
                <w:highlight w:val="none"/>
                <w:lang w:val="en-US" w:eastAsia="zh-CN"/>
              </w:rPr>
            </w:pPr>
          </w:p>
        </w:tc>
        <w:tc>
          <w:tcPr>
            <w:tcW w:w="1849" w:type="dxa"/>
            <w:tcBorders>
              <w:left w:val="single" w:color="auto" w:sz="4" w:space="0"/>
              <w:bottom w:val="single" w:color="auto" w:sz="4" w:space="0"/>
            </w:tcBorders>
            <w:noWrap w:val="0"/>
            <w:tcMar>
              <w:top w:w="0" w:type="dxa"/>
              <w:left w:w="0" w:type="dxa"/>
              <w:bottom w:w="0" w:type="dxa"/>
              <w:right w:w="0" w:type="dxa"/>
            </w:tcMar>
            <w:vAlign w:val="center"/>
          </w:tcPr>
          <w:p w14:paraId="3F615A7D">
            <w:pPr>
              <w:pStyle w:val="40"/>
              <w:snapToGrid w:val="0"/>
              <w:ind w:firstLine="0" w:firstLineChars="0"/>
              <w:rPr>
                <w:rStyle w:val="41"/>
                <w:rFonts w:hint="default" w:ascii="Times New Roman" w:hAnsi="Times New Roman" w:eastAsia="宋体" w:cs="Times New Roman"/>
                <w:color w:val="auto"/>
                <w:sz w:val="21"/>
                <w:szCs w:val="21"/>
                <w:highlight w:val="none"/>
                <w:lang w:val="en-US" w:eastAsia="zh-CN"/>
              </w:rPr>
            </w:pPr>
            <w:r>
              <w:rPr>
                <w:rStyle w:val="41"/>
                <w:rFonts w:hint="default" w:ascii="Times New Roman" w:hAnsi="Times New Roman" w:eastAsia="宋体" w:cs="Times New Roman"/>
                <w:color w:val="auto"/>
                <w:sz w:val="21"/>
                <w:szCs w:val="21"/>
                <w:lang w:val="en-US" w:eastAsia="zh-CN"/>
              </w:rPr>
              <w:t>动物尸体</w:t>
            </w:r>
          </w:p>
        </w:tc>
        <w:tc>
          <w:tcPr>
            <w:tcW w:w="1823" w:type="dxa"/>
            <w:noWrap w:val="0"/>
            <w:tcMar>
              <w:top w:w="0" w:type="dxa"/>
              <w:left w:w="0" w:type="dxa"/>
              <w:bottom w:w="0" w:type="dxa"/>
              <w:right w:w="0" w:type="dxa"/>
            </w:tcMar>
            <w:vAlign w:val="center"/>
          </w:tcPr>
          <w:p w14:paraId="402D1FD4">
            <w:pPr>
              <w:snapToGrid w:val="0"/>
              <w:spacing w:line="240" w:lineRule="auto"/>
              <w:ind w:firstLine="480" w:firstLineChars="200"/>
              <w:jc w:val="center"/>
              <w:rPr>
                <w:rFonts w:hint="default" w:ascii="Times New Roman" w:hAnsi="Times New Roman" w:cs="Times New Roman"/>
                <w:color w:val="auto"/>
                <w:highlight w:val="none"/>
                <w:lang w:val="en-US" w:eastAsia="zh-CN"/>
              </w:rPr>
            </w:pPr>
            <w:r>
              <w:rPr>
                <w:rFonts w:hint="eastAsia"/>
                <w:color w:val="auto"/>
                <w:lang w:val="en-US" w:eastAsia="zh-CN"/>
              </w:rPr>
              <w:t>/</w:t>
            </w:r>
          </w:p>
        </w:tc>
        <w:tc>
          <w:tcPr>
            <w:tcW w:w="1417" w:type="dxa"/>
            <w:noWrap w:val="0"/>
            <w:tcMar>
              <w:top w:w="0" w:type="dxa"/>
              <w:left w:w="0" w:type="dxa"/>
              <w:bottom w:w="0" w:type="dxa"/>
              <w:right w:w="0" w:type="dxa"/>
            </w:tcMar>
            <w:vAlign w:val="center"/>
          </w:tcPr>
          <w:p w14:paraId="1B87636B">
            <w:pPr>
              <w:snapToGrid w:val="0"/>
              <w:spacing w:line="240" w:lineRule="auto"/>
              <w:ind w:firstLine="480" w:firstLineChars="200"/>
              <w:jc w:val="center"/>
              <w:rPr>
                <w:rFonts w:hint="default" w:ascii="Times New Roman" w:hAnsi="Times New Roman" w:cs="Times New Roman"/>
                <w:color w:val="auto"/>
                <w:highlight w:val="none"/>
                <w:lang w:val="en-US" w:eastAsia="zh-CN"/>
              </w:rPr>
            </w:pPr>
            <w:r>
              <w:rPr>
                <w:rFonts w:hint="eastAsia"/>
                <w:color w:val="auto"/>
                <w:lang w:val="en-US" w:eastAsia="zh-CN"/>
              </w:rPr>
              <w:t>/</w:t>
            </w:r>
          </w:p>
        </w:tc>
        <w:tc>
          <w:tcPr>
            <w:tcW w:w="1492" w:type="dxa"/>
            <w:noWrap w:val="0"/>
            <w:tcMar>
              <w:top w:w="0" w:type="dxa"/>
              <w:left w:w="0" w:type="dxa"/>
              <w:bottom w:w="0" w:type="dxa"/>
              <w:right w:w="0" w:type="dxa"/>
            </w:tcMar>
            <w:vAlign w:val="center"/>
          </w:tcPr>
          <w:p w14:paraId="66B6FC1C">
            <w:pPr>
              <w:snapToGrid w:val="0"/>
              <w:spacing w:line="240" w:lineRule="auto"/>
              <w:ind w:firstLine="480" w:firstLineChars="200"/>
              <w:jc w:val="center"/>
              <w:rPr>
                <w:rFonts w:hint="default" w:ascii="Times New Roman" w:hAnsi="Times New Roman" w:cs="Times New Roman"/>
                <w:color w:val="auto"/>
                <w:highlight w:val="none"/>
                <w:lang w:val="en-US" w:eastAsia="zh-CN"/>
              </w:rPr>
            </w:pPr>
            <w:r>
              <w:rPr>
                <w:rFonts w:hint="eastAsia"/>
                <w:color w:val="auto"/>
                <w:lang w:val="en-US" w:eastAsia="zh-CN"/>
              </w:rPr>
              <w:t>/</w:t>
            </w:r>
          </w:p>
        </w:tc>
        <w:tc>
          <w:tcPr>
            <w:tcW w:w="1609" w:type="dxa"/>
            <w:noWrap w:val="0"/>
            <w:tcMar>
              <w:top w:w="0" w:type="dxa"/>
              <w:left w:w="0" w:type="dxa"/>
              <w:bottom w:w="0" w:type="dxa"/>
              <w:right w:w="0" w:type="dxa"/>
            </w:tcMar>
            <w:vAlign w:val="center"/>
          </w:tcPr>
          <w:p w14:paraId="493AD615">
            <w:pPr>
              <w:pStyle w:val="40"/>
              <w:snapToGrid w:val="0"/>
              <w:ind w:firstLine="0" w:firstLineChars="0"/>
              <w:rPr>
                <w:rFonts w:hint="eastAsia" w:ascii="Times New Roman" w:hAnsi="Times New Roman" w:eastAsia="宋体" w:cs="Times New Roman"/>
                <w:snapToGrid w:val="0"/>
                <w:color w:val="auto"/>
                <w:kern w:val="0"/>
                <w:sz w:val="21"/>
                <w:szCs w:val="21"/>
                <w:highlight w:val="none"/>
                <w:lang w:val="en-US" w:eastAsia="zh-CN" w:bidi="ar-SA"/>
              </w:rPr>
            </w:pPr>
            <w:r>
              <w:rPr>
                <w:rFonts w:hint="eastAsia" w:ascii="Times New Roman" w:hAnsi="Times New Roman" w:eastAsia="宋体" w:cs="Times New Roman"/>
                <w:snapToGrid w:val="0"/>
                <w:color w:val="auto"/>
                <w:kern w:val="0"/>
                <w:sz w:val="21"/>
                <w:szCs w:val="21"/>
                <w:lang w:val="en-US" w:eastAsia="zh-CN" w:bidi="ar-SA"/>
              </w:rPr>
              <w:t>0.024t/a</w:t>
            </w:r>
          </w:p>
        </w:tc>
        <w:tc>
          <w:tcPr>
            <w:tcW w:w="1743" w:type="dxa"/>
            <w:noWrap w:val="0"/>
            <w:tcMar>
              <w:top w:w="0" w:type="dxa"/>
              <w:left w:w="0" w:type="dxa"/>
              <w:bottom w:w="0" w:type="dxa"/>
              <w:right w:w="0" w:type="dxa"/>
            </w:tcMar>
            <w:vAlign w:val="center"/>
          </w:tcPr>
          <w:p w14:paraId="110BA0B2">
            <w:pPr>
              <w:snapToGrid w:val="0"/>
              <w:spacing w:line="240" w:lineRule="auto"/>
              <w:ind w:firstLine="480" w:firstLineChars="200"/>
              <w:jc w:val="center"/>
              <w:rPr>
                <w:rFonts w:hint="default" w:ascii="Times New Roman" w:hAnsi="Times New Roman" w:cs="Times New Roman"/>
                <w:color w:val="auto"/>
                <w:highlight w:val="none"/>
                <w:lang w:val="en-US" w:eastAsia="zh-CN"/>
              </w:rPr>
            </w:pPr>
            <w:r>
              <w:rPr>
                <w:rFonts w:hint="eastAsia"/>
                <w:color w:val="auto"/>
                <w:lang w:val="en-US" w:eastAsia="zh-CN"/>
              </w:rPr>
              <w:t>/</w:t>
            </w:r>
          </w:p>
        </w:tc>
        <w:tc>
          <w:tcPr>
            <w:tcW w:w="1605" w:type="dxa"/>
            <w:noWrap w:val="0"/>
            <w:tcMar>
              <w:top w:w="0" w:type="dxa"/>
              <w:left w:w="0" w:type="dxa"/>
              <w:bottom w:w="0" w:type="dxa"/>
              <w:right w:w="0" w:type="dxa"/>
            </w:tcMar>
            <w:vAlign w:val="center"/>
          </w:tcPr>
          <w:p w14:paraId="655883F1">
            <w:pPr>
              <w:pStyle w:val="40"/>
              <w:snapToGrid w:val="0"/>
              <w:ind w:firstLine="0" w:firstLineChars="0"/>
              <w:rPr>
                <w:rFonts w:hint="eastAsia" w:ascii="Times New Roman" w:hAnsi="Times New Roman" w:eastAsia="宋体" w:cs="Times New Roman"/>
                <w:snapToGrid w:val="0"/>
                <w:color w:val="auto"/>
                <w:kern w:val="0"/>
                <w:sz w:val="21"/>
                <w:szCs w:val="21"/>
                <w:highlight w:val="none"/>
                <w:lang w:val="en-US" w:eastAsia="zh-CN" w:bidi="ar-SA"/>
              </w:rPr>
            </w:pPr>
            <w:r>
              <w:rPr>
                <w:rFonts w:hint="eastAsia" w:ascii="Times New Roman" w:hAnsi="Times New Roman" w:eastAsia="宋体" w:cs="Times New Roman"/>
                <w:snapToGrid w:val="0"/>
                <w:color w:val="auto"/>
                <w:kern w:val="0"/>
                <w:sz w:val="21"/>
                <w:szCs w:val="21"/>
                <w:lang w:val="en-US" w:eastAsia="zh-CN" w:bidi="ar-SA"/>
              </w:rPr>
              <w:t>0.024t/a</w:t>
            </w:r>
          </w:p>
        </w:tc>
        <w:tc>
          <w:tcPr>
            <w:tcW w:w="1503" w:type="dxa"/>
            <w:noWrap w:val="0"/>
            <w:tcMar>
              <w:top w:w="0" w:type="dxa"/>
              <w:left w:w="0" w:type="dxa"/>
              <w:bottom w:w="0" w:type="dxa"/>
              <w:right w:w="0" w:type="dxa"/>
            </w:tcMar>
            <w:vAlign w:val="center"/>
          </w:tcPr>
          <w:p w14:paraId="0D7F4324">
            <w:pPr>
              <w:pStyle w:val="40"/>
              <w:snapToGrid w:val="0"/>
              <w:ind w:firstLine="0" w:firstLineChars="0"/>
              <w:rPr>
                <w:rFonts w:hint="eastAsia" w:ascii="Times New Roman" w:hAnsi="Times New Roman" w:eastAsia="宋体" w:cs="Times New Roman"/>
                <w:snapToGrid w:val="0"/>
                <w:color w:val="auto"/>
                <w:kern w:val="0"/>
                <w:sz w:val="21"/>
                <w:szCs w:val="21"/>
                <w:highlight w:val="none"/>
                <w:lang w:val="en-US" w:eastAsia="zh-CN" w:bidi="ar-SA"/>
              </w:rPr>
            </w:pPr>
            <w:r>
              <w:rPr>
                <w:rFonts w:hint="eastAsia" w:ascii="Times New Roman" w:hAnsi="Times New Roman" w:eastAsia="宋体" w:cs="Times New Roman"/>
                <w:snapToGrid w:val="0"/>
                <w:color w:val="auto"/>
                <w:kern w:val="0"/>
                <w:sz w:val="21"/>
                <w:szCs w:val="21"/>
                <w:lang w:val="en-US" w:eastAsia="zh-CN" w:bidi="ar-SA"/>
              </w:rPr>
              <w:t>+0.024t/a</w:t>
            </w:r>
          </w:p>
        </w:tc>
      </w:tr>
      <w:tr w14:paraId="0399D7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8" w:hRule="atLeast"/>
          <w:jc w:val="center"/>
        </w:trPr>
        <w:tc>
          <w:tcPr>
            <w:tcW w:w="752" w:type="dxa"/>
            <w:vMerge w:val="restart"/>
            <w:tcBorders>
              <w:right w:val="single" w:color="auto" w:sz="4" w:space="0"/>
            </w:tcBorders>
            <w:noWrap w:val="0"/>
            <w:tcMar>
              <w:top w:w="0" w:type="dxa"/>
              <w:left w:w="0" w:type="dxa"/>
              <w:bottom w:w="0" w:type="dxa"/>
              <w:right w:w="0" w:type="dxa"/>
            </w:tcMar>
            <w:vAlign w:val="center"/>
          </w:tcPr>
          <w:p w14:paraId="60CABAFB">
            <w:pPr>
              <w:pStyle w:val="35"/>
              <w:snapToGrid w:val="0"/>
              <w:spacing w:line="240" w:lineRule="auto"/>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危险废物</w:t>
            </w:r>
          </w:p>
        </w:tc>
        <w:tc>
          <w:tcPr>
            <w:tcW w:w="1849" w:type="dxa"/>
            <w:tcBorders>
              <w:left w:val="single" w:color="auto" w:sz="4" w:space="0"/>
            </w:tcBorders>
            <w:noWrap w:val="0"/>
            <w:tcMar>
              <w:top w:w="0" w:type="dxa"/>
              <w:left w:w="0" w:type="dxa"/>
              <w:bottom w:w="0" w:type="dxa"/>
              <w:right w:w="0" w:type="dxa"/>
            </w:tcMar>
            <w:vAlign w:val="center"/>
          </w:tcPr>
          <w:p w14:paraId="243C6F2C">
            <w:pPr>
              <w:pStyle w:val="40"/>
              <w:snapToGrid w:val="0"/>
              <w:ind w:firstLine="0" w:firstLineChars="0"/>
              <w:rPr>
                <w:rFonts w:hint="default" w:ascii="Times New Roman" w:hAnsi="Times New Roman" w:eastAsia="宋体" w:cs="Times New Roman"/>
                <w:color w:val="auto"/>
                <w:sz w:val="21"/>
                <w:szCs w:val="21"/>
                <w:highlight w:val="none"/>
              </w:rPr>
            </w:pPr>
            <w:r>
              <w:rPr>
                <w:rStyle w:val="41"/>
                <w:rFonts w:hint="default" w:ascii="Times New Roman" w:hAnsi="Times New Roman" w:eastAsia="宋体" w:cs="Times New Roman"/>
                <w:color w:val="auto"/>
                <w:sz w:val="21"/>
                <w:szCs w:val="21"/>
                <w:highlight w:val="none"/>
                <w:lang w:val="en-US" w:eastAsia="zh-CN"/>
              </w:rPr>
              <w:t>医疗废物</w:t>
            </w:r>
          </w:p>
        </w:tc>
        <w:tc>
          <w:tcPr>
            <w:tcW w:w="1823" w:type="dxa"/>
            <w:noWrap w:val="0"/>
            <w:tcMar>
              <w:top w:w="0" w:type="dxa"/>
              <w:left w:w="0" w:type="dxa"/>
              <w:bottom w:w="0" w:type="dxa"/>
              <w:right w:w="0" w:type="dxa"/>
            </w:tcMar>
            <w:vAlign w:val="center"/>
          </w:tcPr>
          <w:p w14:paraId="3C2D194B">
            <w:pPr>
              <w:keepNext w:val="0"/>
              <w:keepLines w:val="0"/>
              <w:pageBreakBefore w:val="0"/>
              <w:widowControl/>
              <w:kinsoku w:val="0"/>
              <w:wordWrap/>
              <w:overflowPunct/>
              <w:topLinePunct w:val="0"/>
              <w:autoSpaceDE w:val="0"/>
              <w:autoSpaceDN w:val="0"/>
              <w:bidi w:val="0"/>
              <w:adjustRightInd/>
              <w:snapToGrid w:val="0"/>
              <w:spacing w:line="240" w:lineRule="auto"/>
              <w:ind w:firstLine="0" w:firstLineChars="0"/>
              <w:jc w:val="center"/>
              <w:textAlignment w:val="baseline"/>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val="en-US" w:eastAsia="zh-CN"/>
              </w:rPr>
              <w:t>/</w:t>
            </w:r>
          </w:p>
        </w:tc>
        <w:tc>
          <w:tcPr>
            <w:tcW w:w="1417" w:type="dxa"/>
            <w:noWrap w:val="0"/>
            <w:tcMar>
              <w:top w:w="0" w:type="dxa"/>
              <w:left w:w="0" w:type="dxa"/>
              <w:bottom w:w="0" w:type="dxa"/>
              <w:right w:w="0" w:type="dxa"/>
            </w:tcMar>
            <w:vAlign w:val="center"/>
          </w:tcPr>
          <w:p w14:paraId="3E65F2B0">
            <w:pPr>
              <w:keepNext w:val="0"/>
              <w:keepLines w:val="0"/>
              <w:pageBreakBefore w:val="0"/>
              <w:widowControl/>
              <w:kinsoku w:val="0"/>
              <w:wordWrap/>
              <w:overflowPunct/>
              <w:topLinePunct w:val="0"/>
              <w:autoSpaceDE w:val="0"/>
              <w:autoSpaceDN w:val="0"/>
              <w:bidi w:val="0"/>
              <w:adjustRightInd/>
              <w:snapToGrid w:val="0"/>
              <w:spacing w:line="240" w:lineRule="auto"/>
              <w:ind w:firstLine="0" w:firstLineChars="0"/>
              <w:jc w:val="center"/>
              <w:textAlignment w:val="baseline"/>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val="en-US" w:eastAsia="zh-CN"/>
              </w:rPr>
              <w:t>/</w:t>
            </w:r>
          </w:p>
        </w:tc>
        <w:tc>
          <w:tcPr>
            <w:tcW w:w="1492" w:type="dxa"/>
            <w:noWrap w:val="0"/>
            <w:tcMar>
              <w:top w:w="0" w:type="dxa"/>
              <w:left w:w="0" w:type="dxa"/>
              <w:bottom w:w="0" w:type="dxa"/>
              <w:right w:w="0" w:type="dxa"/>
            </w:tcMar>
            <w:vAlign w:val="center"/>
          </w:tcPr>
          <w:p w14:paraId="26453521">
            <w:pPr>
              <w:keepNext w:val="0"/>
              <w:keepLines w:val="0"/>
              <w:pageBreakBefore w:val="0"/>
              <w:widowControl/>
              <w:kinsoku w:val="0"/>
              <w:wordWrap/>
              <w:overflowPunct/>
              <w:topLinePunct w:val="0"/>
              <w:autoSpaceDE w:val="0"/>
              <w:autoSpaceDN w:val="0"/>
              <w:bidi w:val="0"/>
              <w:adjustRightInd/>
              <w:snapToGrid w:val="0"/>
              <w:ind w:firstLine="0" w:firstLine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cs="Times New Roman"/>
                <w:color w:val="auto"/>
                <w:highlight w:val="none"/>
                <w:lang w:val="en-US" w:eastAsia="zh-CN"/>
              </w:rPr>
              <w:t>/</w:t>
            </w:r>
          </w:p>
        </w:tc>
        <w:tc>
          <w:tcPr>
            <w:tcW w:w="1609" w:type="dxa"/>
            <w:noWrap w:val="0"/>
            <w:tcMar>
              <w:top w:w="0" w:type="dxa"/>
              <w:left w:w="0" w:type="dxa"/>
              <w:bottom w:w="0" w:type="dxa"/>
              <w:right w:w="0" w:type="dxa"/>
            </w:tcMar>
            <w:vAlign w:val="center"/>
          </w:tcPr>
          <w:p w14:paraId="192F3F5E">
            <w:pPr>
              <w:pStyle w:val="40"/>
              <w:snapToGrid w:val="0"/>
              <w:ind w:firstLine="0" w:firstLineChars="0"/>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hAnsi="Times New Roman" w:eastAsia="宋体" w:cs="Times New Roman"/>
                <w:snapToGrid w:val="0"/>
                <w:color w:val="auto"/>
                <w:kern w:val="0"/>
                <w:sz w:val="21"/>
                <w:szCs w:val="21"/>
                <w:highlight w:val="none"/>
                <w:lang w:val="en-US" w:eastAsia="zh-CN" w:bidi="ar-SA"/>
              </w:rPr>
              <w:t>0.161</w:t>
            </w:r>
            <w:r>
              <w:rPr>
                <w:rFonts w:hint="default" w:ascii="Times New Roman" w:hAnsi="Times New Roman" w:eastAsia="宋体" w:cs="Times New Roman"/>
                <w:snapToGrid w:val="0"/>
                <w:color w:val="auto"/>
                <w:kern w:val="0"/>
                <w:sz w:val="21"/>
                <w:szCs w:val="21"/>
                <w:highlight w:val="none"/>
                <w:lang w:val="en-US" w:eastAsia="zh-CN" w:bidi="ar-SA"/>
              </w:rPr>
              <w:t>t/a</w:t>
            </w:r>
          </w:p>
        </w:tc>
        <w:tc>
          <w:tcPr>
            <w:tcW w:w="1743" w:type="dxa"/>
            <w:noWrap w:val="0"/>
            <w:tcMar>
              <w:top w:w="0" w:type="dxa"/>
              <w:left w:w="0" w:type="dxa"/>
              <w:bottom w:w="0" w:type="dxa"/>
              <w:right w:w="0" w:type="dxa"/>
            </w:tcMar>
            <w:vAlign w:val="center"/>
          </w:tcPr>
          <w:p w14:paraId="5A5936AF">
            <w:pPr>
              <w:snapToGrid w:val="0"/>
              <w:spacing w:line="240" w:lineRule="auto"/>
              <w:jc w:val="center"/>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highlight w:val="none"/>
                <w:lang w:val="en-US" w:eastAsia="zh-CN"/>
              </w:rPr>
              <w:t>/</w:t>
            </w:r>
          </w:p>
        </w:tc>
        <w:tc>
          <w:tcPr>
            <w:tcW w:w="1605" w:type="dxa"/>
            <w:noWrap w:val="0"/>
            <w:tcMar>
              <w:top w:w="0" w:type="dxa"/>
              <w:left w:w="0" w:type="dxa"/>
              <w:bottom w:w="0" w:type="dxa"/>
              <w:right w:w="0" w:type="dxa"/>
            </w:tcMar>
            <w:vAlign w:val="center"/>
          </w:tcPr>
          <w:p w14:paraId="2034D49C">
            <w:pPr>
              <w:pStyle w:val="40"/>
              <w:snapToGrid w:val="0"/>
              <w:ind w:firstLine="0" w:firstLineChars="0"/>
              <w:rPr>
                <w:rFonts w:hint="default" w:ascii="Times New Roman" w:hAnsi="Times New Roman" w:cs="Times New Roman"/>
                <w:color w:val="auto"/>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bidi="ar-SA"/>
              </w:rPr>
              <w:t>0.161</w:t>
            </w:r>
            <w:r>
              <w:rPr>
                <w:rFonts w:hint="default" w:ascii="Times New Roman" w:hAnsi="Times New Roman" w:eastAsia="宋体" w:cs="Times New Roman"/>
                <w:snapToGrid w:val="0"/>
                <w:color w:val="auto"/>
                <w:kern w:val="0"/>
                <w:sz w:val="21"/>
                <w:szCs w:val="21"/>
                <w:highlight w:val="none"/>
                <w:lang w:val="en-US" w:eastAsia="zh-CN" w:bidi="ar-SA"/>
              </w:rPr>
              <w:t>t/a</w:t>
            </w:r>
          </w:p>
        </w:tc>
        <w:tc>
          <w:tcPr>
            <w:tcW w:w="1503" w:type="dxa"/>
            <w:noWrap w:val="0"/>
            <w:tcMar>
              <w:top w:w="0" w:type="dxa"/>
              <w:left w:w="0" w:type="dxa"/>
              <w:bottom w:w="0" w:type="dxa"/>
              <w:right w:w="0" w:type="dxa"/>
            </w:tcMar>
            <w:vAlign w:val="center"/>
          </w:tcPr>
          <w:p w14:paraId="0C6433BB">
            <w:pPr>
              <w:pStyle w:val="40"/>
              <w:snapToGrid w:val="0"/>
              <w:ind w:firstLine="0" w:firstLineChars="0"/>
              <w:rPr>
                <w:rFonts w:hint="default" w:ascii="Times New Roman" w:hAnsi="Times New Roman" w:cs="Times New Roman"/>
                <w:color w:val="auto"/>
                <w:highlight w:val="none"/>
                <w:lang w:val="en-US"/>
              </w:rPr>
            </w:pPr>
            <w:r>
              <w:rPr>
                <w:rFonts w:hint="default" w:ascii="Times New Roman" w:hAnsi="Times New Roman" w:eastAsia="宋体" w:cs="Times New Roman"/>
                <w:snapToGrid w:val="0"/>
                <w:color w:val="auto"/>
                <w:kern w:val="0"/>
                <w:sz w:val="21"/>
                <w:szCs w:val="21"/>
                <w:highlight w:val="none"/>
                <w:lang w:val="en-US" w:eastAsia="zh-CN" w:bidi="ar-SA"/>
              </w:rPr>
              <w:t>+</w:t>
            </w:r>
            <w:r>
              <w:rPr>
                <w:rFonts w:hint="eastAsia" w:ascii="Times New Roman" w:hAnsi="Times New Roman" w:eastAsia="宋体" w:cs="Times New Roman"/>
                <w:snapToGrid w:val="0"/>
                <w:color w:val="auto"/>
                <w:kern w:val="0"/>
                <w:sz w:val="21"/>
                <w:szCs w:val="21"/>
                <w:highlight w:val="none"/>
                <w:lang w:val="en-US" w:eastAsia="zh-CN" w:bidi="ar-SA"/>
              </w:rPr>
              <w:t>0.161</w:t>
            </w:r>
            <w:r>
              <w:rPr>
                <w:rFonts w:hint="default" w:ascii="Times New Roman" w:hAnsi="Times New Roman" w:eastAsia="宋体" w:cs="Times New Roman"/>
                <w:snapToGrid w:val="0"/>
                <w:color w:val="auto"/>
                <w:kern w:val="0"/>
                <w:sz w:val="21"/>
                <w:szCs w:val="21"/>
                <w:highlight w:val="none"/>
                <w:lang w:val="en-US" w:eastAsia="zh-CN" w:bidi="ar-SA"/>
              </w:rPr>
              <w:t>t/a</w:t>
            </w:r>
          </w:p>
        </w:tc>
      </w:tr>
      <w:tr w14:paraId="5CFB8E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8" w:hRule="atLeast"/>
          <w:jc w:val="center"/>
        </w:trPr>
        <w:tc>
          <w:tcPr>
            <w:tcW w:w="752" w:type="dxa"/>
            <w:vMerge w:val="continue"/>
            <w:tcBorders>
              <w:right w:val="single" w:color="auto" w:sz="4" w:space="0"/>
            </w:tcBorders>
            <w:noWrap w:val="0"/>
            <w:tcMar>
              <w:top w:w="0" w:type="dxa"/>
              <w:left w:w="0" w:type="dxa"/>
              <w:bottom w:w="0" w:type="dxa"/>
              <w:right w:w="0" w:type="dxa"/>
            </w:tcMar>
            <w:vAlign w:val="center"/>
          </w:tcPr>
          <w:p w14:paraId="73C80628">
            <w:pPr>
              <w:pStyle w:val="35"/>
              <w:snapToGrid w:val="0"/>
              <w:spacing w:line="240" w:lineRule="auto"/>
              <w:jc w:val="center"/>
              <w:rPr>
                <w:rFonts w:hint="default" w:ascii="Times New Roman" w:hAnsi="Times New Roman" w:cs="Times New Roman"/>
                <w:color w:val="auto"/>
                <w:highlight w:val="none"/>
                <w:lang w:val="en-US" w:eastAsia="zh-CN"/>
              </w:rPr>
            </w:pPr>
          </w:p>
        </w:tc>
        <w:tc>
          <w:tcPr>
            <w:tcW w:w="1849" w:type="dxa"/>
            <w:tcBorders>
              <w:left w:val="single" w:color="auto" w:sz="4" w:space="0"/>
            </w:tcBorders>
            <w:noWrap w:val="0"/>
            <w:tcMar>
              <w:top w:w="0" w:type="dxa"/>
              <w:left w:w="0" w:type="dxa"/>
              <w:bottom w:w="0" w:type="dxa"/>
              <w:right w:w="0" w:type="dxa"/>
            </w:tcMar>
            <w:vAlign w:val="center"/>
          </w:tcPr>
          <w:p w14:paraId="2AD43831">
            <w:pPr>
              <w:pStyle w:val="40"/>
              <w:snapToGrid w:val="0"/>
              <w:ind w:firstLine="0" w:firstLineChars="0"/>
              <w:rPr>
                <w:rFonts w:hint="default" w:ascii="Times New Roman" w:hAnsi="Times New Roman" w:eastAsia="宋体" w:cs="Times New Roman"/>
                <w:color w:val="auto"/>
                <w:sz w:val="21"/>
                <w:szCs w:val="21"/>
                <w:highlight w:val="none"/>
              </w:rPr>
            </w:pPr>
            <w:r>
              <w:rPr>
                <w:rStyle w:val="41"/>
                <w:rFonts w:hint="default" w:ascii="Times New Roman" w:hAnsi="Times New Roman" w:eastAsia="宋体" w:cs="Times New Roman"/>
                <w:color w:val="auto"/>
                <w:sz w:val="21"/>
                <w:szCs w:val="21"/>
                <w:highlight w:val="none"/>
                <w:lang w:val="en-US" w:eastAsia="zh-CN"/>
              </w:rPr>
              <w:t>废紫外线灯管</w:t>
            </w:r>
          </w:p>
        </w:tc>
        <w:tc>
          <w:tcPr>
            <w:tcW w:w="1823" w:type="dxa"/>
            <w:noWrap w:val="0"/>
            <w:tcMar>
              <w:top w:w="0" w:type="dxa"/>
              <w:left w:w="0" w:type="dxa"/>
              <w:bottom w:w="0" w:type="dxa"/>
              <w:right w:w="0" w:type="dxa"/>
            </w:tcMar>
            <w:vAlign w:val="center"/>
          </w:tcPr>
          <w:p w14:paraId="21D1B059">
            <w:pPr>
              <w:keepNext w:val="0"/>
              <w:keepLines w:val="0"/>
              <w:pageBreakBefore w:val="0"/>
              <w:widowControl/>
              <w:kinsoku w:val="0"/>
              <w:wordWrap/>
              <w:overflowPunct/>
              <w:topLinePunct w:val="0"/>
              <w:autoSpaceDE w:val="0"/>
              <w:autoSpaceDN w:val="0"/>
              <w:bidi w:val="0"/>
              <w:adjustRightInd/>
              <w:snapToGrid w:val="0"/>
              <w:spacing w:line="240" w:lineRule="auto"/>
              <w:ind w:firstLine="0" w:firstLineChars="0"/>
              <w:jc w:val="center"/>
              <w:textAlignment w:val="baseline"/>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highlight w:val="none"/>
                <w:lang w:val="en-US" w:eastAsia="zh-CN"/>
              </w:rPr>
              <w:t>/</w:t>
            </w:r>
          </w:p>
        </w:tc>
        <w:tc>
          <w:tcPr>
            <w:tcW w:w="1417" w:type="dxa"/>
            <w:noWrap w:val="0"/>
            <w:tcMar>
              <w:top w:w="0" w:type="dxa"/>
              <w:left w:w="0" w:type="dxa"/>
              <w:bottom w:w="0" w:type="dxa"/>
              <w:right w:w="0" w:type="dxa"/>
            </w:tcMar>
            <w:vAlign w:val="center"/>
          </w:tcPr>
          <w:p w14:paraId="67533BF6">
            <w:pPr>
              <w:keepNext w:val="0"/>
              <w:keepLines w:val="0"/>
              <w:pageBreakBefore w:val="0"/>
              <w:widowControl/>
              <w:kinsoku w:val="0"/>
              <w:wordWrap/>
              <w:overflowPunct/>
              <w:topLinePunct w:val="0"/>
              <w:autoSpaceDE w:val="0"/>
              <w:autoSpaceDN w:val="0"/>
              <w:bidi w:val="0"/>
              <w:adjustRightInd/>
              <w:snapToGrid w:val="0"/>
              <w:spacing w:line="240" w:lineRule="auto"/>
              <w:ind w:firstLine="0" w:firstLineChars="0"/>
              <w:jc w:val="center"/>
              <w:textAlignment w:val="baseline"/>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highlight w:val="none"/>
                <w:lang w:val="en-US" w:eastAsia="zh-CN"/>
              </w:rPr>
              <w:t>/</w:t>
            </w:r>
          </w:p>
        </w:tc>
        <w:tc>
          <w:tcPr>
            <w:tcW w:w="1492" w:type="dxa"/>
            <w:noWrap w:val="0"/>
            <w:tcMar>
              <w:top w:w="0" w:type="dxa"/>
              <w:left w:w="0" w:type="dxa"/>
              <w:bottom w:w="0" w:type="dxa"/>
              <w:right w:w="0" w:type="dxa"/>
            </w:tcMar>
            <w:vAlign w:val="center"/>
          </w:tcPr>
          <w:p w14:paraId="02185C60">
            <w:pPr>
              <w:keepNext w:val="0"/>
              <w:keepLines w:val="0"/>
              <w:pageBreakBefore w:val="0"/>
              <w:widowControl/>
              <w:kinsoku w:val="0"/>
              <w:wordWrap/>
              <w:overflowPunct/>
              <w:topLinePunct w:val="0"/>
              <w:autoSpaceDE w:val="0"/>
              <w:autoSpaceDN w:val="0"/>
              <w:bidi w:val="0"/>
              <w:adjustRightInd/>
              <w:snapToGrid w:val="0"/>
              <w:spacing w:line="240" w:lineRule="auto"/>
              <w:ind w:firstLine="0" w:firstLineChars="0"/>
              <w:jc w:val="center"/>
              <w:textAlignment w:val="baseline"/>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highlight w:val="none"/>
                <w:lang w:val="en-US" w:eastAsia="zh-CN"/>
              </w:rPr>
              <w:t>/</w:t>
            </w:r>
          </w:p>
        </w:tc>
        <w:tc>
          <w:tcPr>
            <w:tcW w:w="1609" w:type="dxa"/>
            <w:noWrap w:val="0"/>
            <w:tcMar>
              <w:top w:w="0" w:type="dxa"/>
              <w:left w:w="0" w:type="dxa"/>
              <w:bottom w:w="0" w:type="dxa"/>
              <w:right w:w="0" w:type="dxa"/>
            </w:tcMar>
            <w:vAlign w:val="center"/>
          </w:tcPr>
          <w:p w14:paraId="6DB6FDFC">
            <w:pPr>
              <w:pStyle w:val="40"/>
              <w:snapToGrid w:val="0"/>
              <w:ind w:firstLine="0" w:firstLineChars="0"/>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snapToGrid w:val="0"/>
                <w:color w:val="auto"/>
                <w:kern w:val="0"/>
                <w:sz w:val="21"/>
                <w:szCs w:val="21"/>
                <w:highlight w:val="none"/>
                <w:lang w:val="en-US" w:eastAsia="zh-CN" w:bidi="ar-SA"/>
              </w:rPr>
              <w:t>0.0</w:t>
            </w:r>
            <w:r>
              <w:rPr>
                <w:rFonts w:hint="eastAsia" w:ascii="Times New Roman" w:hAnsi="Times New Roman" w:eastAsia="宋体" w:cs="Times New Roman"/>
                <w:snapToGrid w:val="0"/>
                <w:color w:val="auto"/>
                <w:kern w:val="0"/>
                <w:sz w:val="21"/>
                <w:szCs w:val="21"/>
                <w:highlight w:val="none"/>
                <w:lang w:val="en-US" w:eastAsia="zh-CN" w:bidi="ar-SA"/>
              </w:rPr>
              <w:t>02</w:t>
            </w:r>
            <w:r>
              <w:rPr>
                <w:rFonts w:hint="default" w:ascii="Times New Roman" w:hAnsi="Times New Roman" w:eastAsia="宋体" w:cs="Times New Roman"/>
                <w:snapToGrid w:val="0"/>
                <w:color w:val="auto"/>
                <w:kern w:val="0"/>
                <w:sz w:val="21"/>
                <w:szCs w:val="21"/>
                <w:highlight w:val="none"/>
                <w:lang w:val="en-US" w:eastAsia="zh-CN" w:bidi="ar-SA"/>
              </w:rPr>
              <w:t>t/a</w:t>
            </w:r>
          </w:p>
        </w:tc>
        <w:tc>
          <w:tcPr>
            <w:tcW w:w="1743" w:type="dxa"/>
            <w:noWrap w:val="0"/>
            <w:tcMar>
              <w:top w:w="0" w:type="dxa"/>
              <w:left w:w="0" w:type="dxa"/>
              <w:bottom w:w="0" w:type="dxa"/>
              <w:right w:w="0" w:type="dxa"/>
            </w:tcMar>
            <w:vAlign w:val="center"/>
          </w:tcPr>
          <w:p w14:paraId="69333263">
            <w:pPr>
              <w:snapToGrid w:val="0"/>
              <w:spacing w:line="240" w:lineRule="auto"/>
              <w:jc w:val="center"/>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highlight w:val="none"/>
                <w:lang w:val="en-US" w:eastAsia="zh-CN"/>
              </w:rPr>
              <w:t>/</w:t>
            </w:r>
          </w:p>
        </w:tc>
        <w:tc>
          <w:tcPr>
            <w:tcW w:w="1605" w:type="dxa"/>
            <w:noWrap w:val="0"/>
            <w:tcMar>
              <w:top w:w="0" w:type="dxa"/>
              <w:left w:w="0" w:type="dxa"/>
              <w:bottom w:w="0" w:type="dxa"/>
              <w:right w:w="0" w:type="dxa"/>
            </w:tcMar>
            <w:vAlign w:val="center"/>
          </w:tcPr>
          <w:p w14:paraId="0442388D">
            <w:pPr>
              <w:pStyle w:val="40"/>
              <w:snapToGrid w:val="0"/>
              <w:ind w:firstLine="0" w:firstLineChars="0"/>
              <w:rPr>
                <w:rFonts w:hint="default" w:ascii="Times New Roman" w:hAnsi="Times New Roman" w:cs="Times New Roman"/>
                <w:color w:val="auto"/>
                <w:sz w:val="21"/>
                <w:szCs w:val="21"/>
                <w:highlight w:val="none"/>
                <w:lang w:val="en-US"/>
              </w:rPr>
            </w:pPr>
            <w:r>
              <w:rPr>
                <w:rFonts w:hint="default" w:ascii="Times New Roman" w:hAnsi="Times New Roman" w:eastAsia="宋体" w:cs="Times New Roman"/>
                <w:snapToGrid w:val="0"/>
                <w:color w:val="auto"/>
                <w:kern w:val="0"/>
                <w:sz w:val="21"/>
                <w:szCs w:val="21"/>
                <w:highlight w:val="none"/>
                <w:lang w:val="en-US" w:eastAsia="zh-CN" w:bidi="ar-SA"/>
              </w:rPr>
              <w:t>0.0</w:t>
            </w:r>
            <w:r>
              <w:rPr>
                <w:rFonts w:hint="eastAsia" w:ascii="Times New Roman" w:hAnsi="Times New Roman" w:eastAsia="宋体" w:cs="Times New Roman"/>
                <w:snapToGrid w:val="0"/>
                <w:color w:val="auto"/>
                <w:kern w:val="0"/>
                <w:sz w:val="21"/>
                <w:szCs w:val="21"/>
                <w:highlight w:val="none"/>
                <w:lang w:val="en-US" w:eastAsia="zh-CN" w:bidi="ar-SA"/>
              </w:rPr>
              <w:t>02</w:t>
            </w:r>
            <w:r>
              <w:rPr>
                <w:rFonts w:hint="default" w:ascii="Times New Roman" w:hAnsi="Times New Roman" w:eastAsia="宋体" w:cs="Times New Roman"/>
                <w:snapToGrid w:val="0"/>
                <w:color w:val="auto"/>
                <w:kern w:val="0"/>
                <w:sz w:val="21"/>
                <w:szCs w:val="21"/>
                <w:highlight w:val="none"/>
                <w:lang w:val="en-US" w:eastAsia="zh-CN" w:bidi="ar-SA"/>
              </w:rPr>
              <w:t>t/a</w:t>
            </w:r>
          </w:p>
        </w:tc>
        <w:tc>
          <w:tcPr>
            <w:tcW w:w="1503" w:type="dxa"/>
            <w:noWrap w:val="0"/>
            <w:tcMar>
              <w:top w:w="0" w:type="dxa"/>
              <w:left w:w="0" w:type="dxa"/>
              <w:bottom w:w="0" w:type="dxa"/>
              <w:right w:w="0" w:type="dxa"/>
            </w:tcMar>
            <w:vAlign w:val="center"/>
          </w:tcPr>
          <w:p w14:paraId="74330C46">
            <w:pPr>
              <w:pStyle w:val="40"/>
              <w:snapToGrid w:val="0"/>
              <w:ind w:firstLine="0" w:firstLineChars="0"/>
              <w:rPr>
                <w:rFonts w:hint="default" w:ascii="Times New Roman" w:hAnsi="Times New Roman" w:cs="Times New Roman"/>
                <w:color w:val="auto"/>
                <w:sz w:val="21"/>
                <w:szCs w:val="21"/>
                <w:highlight w:val="none"/>
                <w:lang w:val="en-US"/>
              </w:rPr>
            </w:pPr>
            <w:r>
              <w:rPr>
                <w:rFonts w:hint="default" w:ascii="Times New Roman" w:hAnsi="Times New Roman" w:eastAsia="宋体" w:cs="Times New Roman"/>
                <w:snapToGrid w:val="0"/>
                <w:color w:val="auto"/>
                <w:kern w:val="0"/>
                <w:sz w:val="21"/>
                <w:szCs w:val="21"/>
                <w:highlight w:val="none"/>
                <w:lang w:val="en-US" w:eastAsia="zh-CN" w:bidi="ar-SA"/>
              </w:rPr>
              <w:t>+0.0</w:t>
            </w:r>
            <w:r>
              <w:rPr>
                <w:rFonts w:hint="eastAsia" w:ascii="Times New Roman" w:hAnsi="Times New Roman" w:eastAsia="宋体" w:cs="Times New Roman"/>
                <w:snapToGrid w:val="0"/>
                <w:color w:val="auto"/>
                <w:kern w:val="0"/>
                <w:sz w:val="21"/>
                <w:szCs w:val="21"/>
                <w:highlight w:val="none"/>
                <w:lang w:val="en-US" w:eastAsia="zh-CN" w:bidi="ar-SA"/>
              </w:rPr>
              <w:t>02</w:t>
            </w:r>
            <w:r>
              <w:rPr>
                <w:rFonts w:hint="default" w:ascii="Times New Roman" w:hAnsi="Times New Roman" w:eastAsia="宋体" w:cs="Times New Roman"/>
                <w:snapToGrid w:val="0"/>
                <w:color w:val="auto"/>
                <w:kern w:val="0"/>
                <w:sz w:val="21"/>
                <w:szCs w:val="21"/>
                <w:highlight w:val="none"/>
                <w:lang w:val="en-US" w:eastAsia="zh-CN" w:bidi="ar-SA"/>
              </w:rPr>
              <w:t>t/a</w:t>
            </w:r>
          </w:p>
        </w:tc>
      </w:tr>
      <w:tr w14:paraId="62F9A8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8" w:hRule="atLeast"/>
          <w:jc w:val="center"/>
        </w:trPr>
        <w:tc>
          <w:tcPr>
            <w:tcW w:w="752" w:type="dxa"/>
            <w:vMerge w:val="continue"/>
            <w:tcBorders>
              <w:right w:val="single" w:color="auto" w:sz="4" w:space="0"/>
            </w:tcBorders>
            <w:noWrap w:val="0"/>
            <w:tcMar>
              <w:top w:w="0" w:type="dxa"/>
              <w:left w:w="0" w:type="dxa"/>
              <w:bottom w:w="0" w:type="dxa"/>
              <w:right w:w="0" w:type="dxa"/>
            </w:tcMar>
            <w:vAlign w:val="center"/>
          </w:tcPr>
          <w:p w14:paraId="17A7E848">
            <w:pPr>
              <w:pStyle w:val="35"/>
              <w:snapToGrid w:val="0"/>
              <w:spacing w:line="240" w:lineRule="auto"/>
              <w:jc w:val="center"/>
              <w:rPr>
                <w:rFonts w:hint="default" w:ascii="Times New Roman" w:hAnsi="Times New Roman" w:cs="Times New Roman"/>
                <w:color w:val="auto"/>
                <w:highlight w:val="none"/>
                <w:lang w:val="en-US" w:eastAsia="zh-CN"/>
              </w:rPr>
            </w:pPr>
          </w:p>
        </w:tc>
        <w:tc>
          <w:tcPr>
            <w:tcW w:w="1849" w:type="dxa"/>
            <w:tcBorders>
              <w:left w:val="single" w:color="auto" w:sz="4" w:space="0"/>
            </w:tcBorders>
            <w:noWrap w:val="0"/>
            <w:tcMar>
              <w:top w:w="0" w:type="dxa"/>
              <w:left w:w="0" w:type="dxa"/>
              <w:bottom w:w="0" w:type="dxa"/>
              <w:right w:w="0" w:type="dxa"/>
            </w:tcMar>
            <w:vAlign w:val="center"/>
          </w:tcPr>
          <w:p w14:paraId="58E6ED7B">
            <w:pPr>
              <w:pStyle w:val="40"/>
              <w:snapToGrid w:val="0"/>
              <w:ind w:firstLine="0" w:firstLineChars="0"/>
              <w:rPr>
                <w:rFonts w:hint="default" w:ascii="Times New Roman" w:hAnsi="Times New Roman" w:eastAsia="宋体" w:cs="Times New Roman"/>
                <w:color w:val="auto"/>
                <w:sz w:val="21"/>
                <w:szCs w:val="21"/>
                <w:highlight w:val="none"/>
              </w:rPr>
            </w:pPr>
            <w:r>
              <w:rPr>
                <w:rStyle w:val="41"/>
                <w:rFonts w:hint="default" w:ascii="Times New Roman" w:hAnsi="Times New Roman" w:eastAsia="宋体" w:cs="Times New Roman"/>
                <w:color w:val="auto"/>
                <w:sz w:val="21"/>
                <w:szCs w:val="21"/>
                <w:highlight w:val="none"/>
                <w:lang w:val="en-US" w:eastAsia="zh-CN"/>
              </w:rPr>
              <w:t>医疗废水处理设施废渣</w:t>
            </w:r>
          </w:p>
        </w:tc>
        <w:tc>
          <w:tcPr>
            <w:tcW w:w="1823" w:type="dxa"/>
            <w:noWrap w:val="0"/>
            <w:tcMar>
              <w:top w:w="0" w:type="dxa"/>
              <w:left w:w="0" w:type="dxa"/>
              <w:bottom w:w="0" w:type="dxa"/>
              <w:right w:w="0" w:type="dxa"/>
            </w:tcMar>
            <w:vAlign w:val="center"/>
          </w:tcPr>
          <w:p w14:paraId="537705FB">
            <w:pPr>
              <w:keepNext w:val="0"/>
              <w:keepLines w:val="0"/>
              <w:pageBreakBefore w:val="0"/>
              <w:widowControl/>
              <w:kinsoku w:val="0"/>
              <w:wordWrap/>
              <w:overflowPunct/>
              <w:topLinePunct w:val="0"/>
              <w:autoSpaceDE w:val="0"/>
              <w:autoSpaceDN w:val="0"/>
              <w:bidi w:val="0"/>
              <w:adjustRightInd/>
              <w:snapToGrid w:val="0"/>
              <w:spacing w:line="240" w:lineRule="auto"/>
              <w:ind w:firstLine="0" w:firstLineChars="0"/>
              <w:jc w:val="center"/>
              <w:textAlignment w:val="baseline"/>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1417" w:type="dxa"/>
            <w:noWrap w:val="0"/>
            <w:tcMar>
              <w:top w:w="0" w:type="dxa"/>
              <w:left w:w="0" w:type="dxa"/>
              <w:bottom w:w="0" w:type="dxa"/>
              <w:right w:w="0" w:type="dxa"/>
            </w:tcMar>
            <w:vAlign w:val="center"/>
          </w:tcPr>
          <w:p w14:paraId="591646D4">
            <w:pPr>
              <w:keepNext w:val="0"/>
              <w:keepLines w:val="0"/>
              <w:pageBreakBefore w:val="0"/>
              <w:widowControl/>
              <w:kinsoku w:val="0"/>
              <w:wordWrap/>
              <w:overflowPunct/>
              <w:topLinePunct w:val="0"/>
              <w:autoSpaceDE w:val="0"/>
              <w:autoSpaceDN w:val="0"/>
              <w:bidi w:val="0"/>
              <w:adjustRightInd/>
              <w:snapToGrid w:val="0"/>
              <w:spacing w:line="240" w:lineRule="auto"/>
              <w:ind w:firstLine="0" w:firstLineChars="0"/>
              <w:jc w:val="center"/>
              <w:textAlignment w:val="baseline"/>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1492" w:type="dxa"/>
            <w:noWrap w:val="0"/>
            <w:tcMar>
              <w:top w:w="0" w:type="dxa"/>
              <w:left w:w="0" w:type="dxa"/>
              <w:bottom w:w="0" w:type="dxa"/>
              <w:right w:w="0" w:type="dxa"/>
            </w:tcMar>
            <w:vAlign w:val="center"/>
          </w:tcPr>
          <w:p w14:paraId="3E35C249">
            <w:pPr>
              <w:keepNext w:val="0"/>
              <w:keepLines w:val="0"/>
              <w:pageBreakBefore w:val="0"/>
              <w:widowControl/>
              <w:kinsoku w:val="0"/>
              <w:wordWrap/>
              <w:overflowPunct/>
              <w:topLinePunct w:val="0"/>
              <w:autoSpaceDE w:val="0"/>
              <w:autoSpaceDN w:val="0"/>
              <w:bidi w:val="0"/>
              <w:adjustRightInd/>
              <w:snapToGrid w:val="0"/>
              <w:spacing w:line="240" w:lineRule="auto"/>
              <w:ind w:firstLine="0" w:firstLineChars="0"/>
              <w:jc w:val="center"/>
              <w:textAlignment w:val="baseline"/>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1609" w:type="dxa"/>
            <w:noWrap w:val="0"/>
            <w:tcMar>
              <w:top w:w="0" w:type="dxa"/>
              <w:left w:w="0" w:type="dxa"/>
              <w:bottom w:w="0" w:type="dxa"/>
              <w:right w:w="0" w:type="dxa"/>
            </w:tcMar>
            <w:vAlign w:val="center"/>
          </w:tcPr>
          <w:p w14:paraId="4FB6208A">
            <w:pPr>
              <w:pStyle w:val="40"/>
              <w:snapToGrid w:val="0"/>
              <w:ind w:firstLine="0" w:firstLineChars="0"/>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hAnsi="Times New Roman" w:eastAsia="宋体" w:cs="Times New Roman"/>
                <w:snapToGrid w:val="0"/>
                <w:color w:val="auto"/>
                <w:kern w:val="0"/>
                <w:sz w:val="21"/>
                <w:szCs w:val="21"/>
                <w:highlight w:val="none"/>
                <w:lang w:val="en-US" w:eastAsia="zh-CN" w:bidi="ar-SA"/>
              </w:rPr>
              <w:t>0.00426</w:t>
            </w:r>
            <w:r>
              <w:rPr>
                <w:rFonts w:hint="default" w:ascii="Times New Roman" w:hAnsi="Times New Roman" w:eastAsia="宋体" w:cs="Times New Roman"/>
                <w:snapToGrid w:val="0"/>
                <w:color w:val="auto"/>
                <w:kern w:val="0"/>
                <w:sz w:val="21"/>
                <w:szCs w:val="21"/>
                <w:highlight w:val="none"/>
                <w:lang w:val="en-US" w:eastAsia="zh-CN" w:bidi="ar-SA"/>
              </w:rPr>
              <w:t>t/a</w:t>
            </w:r>
          </w:p>
        </w:tc>
        <w:tc>
          <w:tcPr>
            <w:tcW w:w="1743" w:type="dxa"/>
            <w:noWrap w:val="0"/>
            <w:tcMar>
              <w:top w:w="0" w:type="dxa"/>
              <w:left w:w="0" w:type="dxa"/>
              <w:bottom w:w="0" w:type="dxa"/>
              <w:right w:w="0" w:type="dxa"/>
            </w:tcMar>
            <w:vAlign w:val="center"/>
          </w:tcPr>
          <w:p w14:paraId="1C7FDC03">
            <w:pPr>
              <w:snapToGrid w:val="0"/>
              <w:spacing w:line="240" w:lineRule="auto"/>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1605" w:type="dxa"/>
            <w:noWrap w:val="0"/>
            <w:tcMar>
              <w:top w:w="0" w:type="dxa"/>
              <w:left w:w="0" w:type="dxa"/>
              <w:bottom w:w="0" w:type="dxa"/>
              <w:right w:w="0" w:type="dxa"/>
            </w:tcMar>
            <w:vAlign w:val="center"/>
          </w:tcPr>
          <w:p w14:paraId="079085E3">
            <w:pPr>
              <w:pStyle w:val="40"/>
              <w:snapToGrid w:val="0"/>
              <w:ind w:firstLine="0" w:firstLineChars="0"/>
              <w:rPr>
                <w:rFonts w:hint="default" w:ascii="Times New Roman" w:hAnsi="Times New Roman" w:cs="Times New Roman"/>
                <w:color w:val="auto"/>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bidi="ar-SA"/>
              </w:rPr>
              <w:t>0.00426</w:t>
            </w:r>
            <w:r>
              <w:rPr>
                <w:rFonts w:hint="default" w:ascii="Times New Roman" w:hAnsi="Times New Roman" w:eastAsia="宋体" w:cs="Times New Roman"/>
                <w:snapToGrid w:val="0"/>
                <w:color w:val="auto"/>
                <w:kern w:val="0"/>
                <w:sz w:val="21"/>
                <w:szCs w:val="21"/>
                <w:highlight w:val="none"/>
                <w:lang w:val="en-US" w:eastAsia="zh-CN" w:bidi="ar-SA"/>
              </w:rPr>
              <w:t>t/a</w:t>
            </w:r>
          </w:p>
        </w:tc>
        <w:tc>
          <w:tcPr>
            <w:tcW w:w="1503" w:type="dxa"/>
            <w:noWrap w:val="0"/>
            <w:tcMar>
              <w:top w:w="0" w:type="dxa"/>
              <w:left w:w="0" w:type="dxa"/>
              <w:bottom w:w="0" w:type="dxa"/>
              <w:right w:w="0" w:type="dxa"/>
            </w:tcMar>
            <w:vAlign w:val="center"/>
          </w:tcPr>
          <w:p w14:paraId="07B46EF0">
            <w:pPr>
              <w:pStyle w:val="40"/>
              <w:snapToGrid w:val="0"/>
              <w:ind w:firstLine="0" w:firstLineChars="0"/>
              <w:rPr>
                <w:rFonts w:hint="default" w:ascii="Times New Roman" w:hAnsi="Times New Roman" w:cs="Times New Roman"/>
                <w:color w:val="auto"/>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bidi="ar-SA"/>
              </w:rPr>
              <w:t>+</w:t>
            </w:r>
            <w:r>
              <w:rPr>
                <w:rFonts w:hint="eastAsia" w:ascii="Times New Roman" w:hAnsi="Times New Roman" w:eastAsia="宋体" w:cs="Times New Roman"/>
                <w:snapToGrid w:val="0"/>
                <w:color w:val="auto"/>
                <w:kern w:val="0"/>
                <w:sz w:val="21"/>
                <w:szCs w:val="21"/>
                <w:highlight w:val="none"/>
                <w:lang w:val="en-US" w:eastAsia="zh-CN" w:bidi="ar-SA"/>
              </w:rPr>
              <w:t>0.00426</w:t>
            </w:r>
            <w:r>
              <w:rPr>
                <w:rFonts w:hint="default" w:ascii="Times New Roman" w:hAnsi="Times New Roman" w:eastAsia="宋体" w:cs="Times New Roman"/>
                <w:snapToGrid w:val="0"/>
                <w:color w:val="auto"/>
                <w:kern w:val="0"/>
                <w:sz w:val="21"/>
                <w:szCs w:val="21"/>
                <w:highlight w:val="none"/>
                <w:lang w:val="en-US" w:eastAsia="zh-CN" w:bidi="ar-SA"/>
              </w:rPr>
              <w:t>t/a</w:t>
            </w:r>
          </w:p>
        </w:tc>
      </w:tr>
      <w:tr w14:paraId="4CBA57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8" w:hRule="atLeast"/>
          <w:jc w:val="center"/>
        </w:trPr>
        <w:tc>
          <w:tcPr>
            <w:tcW w:w="752" w:type="dxa"/>
            <w:vMerge w:val="continue"/>
            <w:tcBorders>
              <w:right w:val="single" w:color="auto" w:sz="4" w:space="0"/>
            </w:tcBorders>
            <w:noWrap w:val="0"/>
            <w:tcMar>
              <w:top w:w="0" w:type="dxa"/>
              <w:left w:w="0" w:type="dxa"/>
              <w:bottom w:w="0" w:type="dxa"/>
              <w:right w:w="0" w:type="dxa"/>
            </w:tcMar>
            <w:vAlign w:val="center"/>
          </w:tcPr>
          <w:p w14:paraId="65CAE2FC">
            <w:pPr>
              <w:pStyle w:val="35"/>
              <w:snapToGrid w:val="0"/>
              <w:spacing w:line="240" w:lineRule="auto"/>
              <w:jc w:val="center"/>
              <w:rPr>
                <w:rFonts w:hint="default" w:ascii="Times New Roman" w:hAnsi="Times New Roman" w:cs="Times New Roman"/>
                <w:color w:val="auto"/>
                <w:highlight w:val="none"/>
                <w:lang w:val="en-US" w:eastAsia="zh-CN"/>
              </w:rPr>
            </w:pPr>
          </w:p>
        </w:tc>
        <w:tc>
          <w:tcPr>
            <w:tcW w:w="1849" w:type="dxa"/>
            <w:tcBorders>
              <w:left w:val="single" w:color="auto" w:sz="4" w:space="0"/>
            </w:tcBorders>
            <w:noWrap w:val="0"/>
            <w:tcMar>
              <w:top w:w="0" w:type="dxa"/>
              <w:left w:w="0" w:type="dxa"/>
              <w:bottom w:w="0" w:type="dxa"/>
              <w:right w:w="0" w:type="dxa"/>
            </w:tcMar>
            <w:vAlign w:val="center"/>
          </w:tcPr>
          <w:p w14:paraId="3AEC3E94">
            <w:pPr>
              <w:pStyle w:val="40"/>
              <w:snapToGrid w:val="0"/>
              <w:ind w:firstLine="0" w:firstLineChars="0"/>
              <w:rPr>
                <w:rFonts w:hint="default" w:ascii="Times New Roman" w:hAnsi="Times New Roman" w:eastAsia="宋体" w:cs="Times New Roman"/>
                <w:color w:val="auto"/>
                <w:sz w:val="21"/>
                <w:szCs w:val="21"/>
                <w:highlight w:val="none"/>
              </w:rPr>
            </w:pPr>
            <w:r>
              <w:rPr>
                <w:rStyle w:val="41"/>
                <w:rFonts w:hint="default" w:ascii="Times New Roman" w:hAnsi="Times New Roman" w:eastAsia="宋体" w:cs="Times New Roman"/>
                <w:color w:val="auto"/>
                <w:sz w:val="21"/>
                <w:szCs w:val="21"/>
                <w:highlight w:val="none"/>
                <w:lang w:val="en-US" w:eastAsia="zh-CN"/>
              </w:rPr>
              <w:t>患病宠物排泄物及猫砂</w:t>
            </w:r>
          </w:p>
        </w:tc>
        <w:tc>
          <w:tcPr>
            <w:tcW w:w="1823" w:type="dxa"/>
            <w:noWrap w:val="0"/>
            <w:tcMar>
              <w:top w:w="0" w:type="dxa"/>
              <w:left w:w="0" w:type="dxa"/>
              <w:bottom w:w="0" w:type="dxa"/>
              <w:right w:w="0" w:type="dxa"/>
            </w:tcMar>
            <w:vAlign w:val="center"/>
          </w:tcPr>
          <w:p w14:paraId="50789FA2">
            <w:pPr>
              <w:keepNext w:val="0"/>
              <w:keepLines w:val="0"/>
              <w:pageBreakBefore w:val="0"/>
              <w:widowControl/>
              <w:kinsoku w:val="0"/>
              <w:wordWrap/>
              <w:overflowPunct/>
              <w:topLinePunct w:val="0"/>
              <w:autoSpaceDE w:val="0"/>
              <w:autoSpaceDN w:val="0"/>
              <w:bidi w:val="0"/>
              <w:adjustRightInd/>
              <w:snapToGrid w:val="0"/>
              <w:spacing w:line="240" w:lineRule="auto"/>
              <w:ind w:firstLine="0" w:firstLineChars="0"/>
              <w:jc w:val="center"/>
              <w:textAlignment w:val="baseline"/>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1417" w:type="dxa"/>
            <w:noWrap w:val="0"/>
            <w:tcMar>
              <w:top w:w="0" w:type="dxa"/>
              <w:left w:w="0" w:type="dxa"/>
              <w:bottom w:w="0" w:type="dxa"/>
              <w:right w:w="0" w:type="dxa"/>
            </w:tcMar>
            <w:vAlign w:val="center"/>
          </w:tcPr>
          <w:p w14:paraId="18656213">
            <w:pPr>
              <w:keepNext w:val="0"/>
              <w:keepLines w:val="0"/>
              <w:pageBreakBefore w:val="0"/>
              <w:widowControl/>
              <w:kinsoku w:val="0"/>
              <w:wordWrap/>
              <w:overflowPunct/>
              <w:topLinePunct w:val="0"/>
              <w:autoSpaceDE w:val="0"/>
              <w:autoSpaceDN w:val="0"/>
              <w:bidi w:val="0"/>
              <w:adjustRightInd/>
              <w:snapToGrid w:val="0"/>
              <w:spacing w:line="240" w:lineRule="auto"/>
              <w:ind w:firstLine="0" w:firstLineChars="0"/>
              <w:jc w:val="center"/>
              <w:textAlignment w:val="baseline"/>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1492" w:type="dxa"/>
            <w:noWrap w:val="0"/>
            <w:tcMar>
              <w:top w:w="0" w:type="dxa"/>
              <w:left w:w="0" w:type="dxa"/>
              <w:bottom w:w="0" w:type="dxa"/>
              <w:right w:w="0" w:type="dxa"/>
            </w:tcMar>
            <w:vAlign w:val="center"/>
          </w:tcPr>
          <w:p w14:paraId="2C6AA9E6">
            <w:pPr>
              <w:keepNext w:val="0"/>
              <w:keepLines w:val="0"/>
              <w:pageBreakBefore w:val="0"/>
              <w:widowControl/>
              <w:kinsoku w:val="0"/>
              <w:wordWrap/>
              <w:overflowPunct/>
              <w:topLinePunct w:val="0"/>
              <w:autoSpaceDE w:val="0"/>
              <w:autoSpaceDN w:val="0"/>
              <w:bidi w:val="0"/>
              <w:adjustRightInd/>
              <w:snapToGrid w:val="0"/>
              <w:spacing w:line="240" w:lineRule="auto"/>
              <w:ind w:firstLine="0" w:firstLineChars="0"/>
              <w:jc w:val="center"/>
              <w:textAlignment w:val="baseline"/>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1609" w:type="dxa"/>
            <w:noWrap w:val="0"/>
            <w:tcMar>
              <w:top w:w="0" w:type="dxa"/>
              <w:left w:w="0" w:type="dxa"/>
              <w:bottom w:w="0" w:type="dxa"/>
              <w:right w:w="0" w:type="dxa"/>
            </w:tcMar>
            <w:vAlign w:val="center"/>
          </w:tcPr>
          <w:p w14:paraId="2C9E5F35">
            <w:pPr>
              <w:pStyle w:val="40"/>
              <w:snapToGrid w:val="0"/>
              <w:ind w:firstLine="0" w:firstLineChars="0"/>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snapToGrid w:val="0"/>
                <w:color w:val="auto"/>
                <w:kern w:val="0"/>
                <w:sz w:val="21"/>
                <w:szCs w:val="21"/>
                <w:highlight w:val="none"/>
                <w:lang w:val="en-US" w:eastAsia="zh-CN" w:bidi="ar-SA"/>
              </w:rPr>
              <w:t>0.0</w:t>
            </w:r>
            <w:r>
              <w:rPr>
                <w:rFonts w:hint="eastAsia" w:ascii="Times New Roman" w:hAnsi="Times New Roman" w:eastAsia="宋体" w:cs="Times New Roman"/>
                <w:snapToGrid w:val="0"/>
                <w:color w:val="auto"/>
                <w:kern w:val="0"/>
                <w:sz w:val="21"/>
                <w:szCs w:val="21"/>
                <w:highlight w:val="none"/>
                <w:lang w:val="en-US" w:eastAsia="zh-CN" w:bidi="ar-SA"/>
              </w:rPr>
              <w:t>146</w:t>
            </w:r>
            <w:r>
              <w:rPr>
                <w:rFonts w:hint="default" w:ascii="Times New Roman" w:hAnsi="Times New Roman" w:eastAsia="宋体" w:cs="Times New Roman"/>
                <w:snapToGrid w:val="0"/>
                <w:color w:val="auto"/>
                <w:kern w:val="0"/>
                <w:sz w:val="21"/>
                <w:szCs w:val="21"/>
                <w:highlight w:val="none"/>
                <w:lang w:val="en-US" w:eastAsia="zh-CN" w:bidi="ar-SA"/>
              </w:rPr>
              <w:t>t/a</w:t>
            </w:r>
          </w:p>
        </w:tc>
        <w:tc>
          <w:tcPr>
            <w:tcW w:w="1743" w:type="dxa"/>
            <w:noWrap w:val="0"/>
            <w:tcMar>
              <w:top w:w="0" w:type="dxa"/>
              <w:left w:w="0" w:type="dxa"/>
              <w:bottom w:w="0" w:type="dxa"/>
              <w:right w:w="0" w:type="dxa"/>
            </w:tcMar>
            <w:vAlign w:val="center"/>
          </w:tcPr>
          <w:p w14:paraId="08F7FC96">
            <w:pPr>
              <w:snapToGrid w:val="0"/>
              <w:spacing w:line="240" w:lineRule="auto"/>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1605" w:type="dxa"/>
            <w:noWrap w:val="0"/>
            <w:tcMar>
              <w:top w:w="0" w:type="dxa"/>
              <w:left w:w="0" w:type="dxa"/>
              <w:bottom w:w="0" w:type="dxa"/>
              <w:right w:w="0" w:type="dxa"/>
            </w:tcMar>
            <w:vAlign w:val="center"/>
          </w:tcPr>
          <w:p w14:paraId="365A63D2">
            <w:pPr>
              <w:pStyle w:val="40"/>
              <w:snapToGrid w:val="0"/>
              <w:ind w:firstLine="0" w:firstLineChars="0"/>
              <w:rPr>
                <w:rFonts w:hint="default" w:ascii="Times New Roman" w:hAnsi="Times New Roman" w:cs="Times New Roman"/>
                <w:color w:val="auto"/>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bidi="ar-SA"/>
              </w:rPr>
              <w:t>0.0</w:t>
            </w:r>
            <w:r>
              <w:rPr>
                <w:rFonts w:hint="eastAsia" w:ascii="Times New Roman" w:hAnsi="Times New Roman" w:eastAsia="宋体" w:cs="Times New Roman"/>
                <w:snapToGrid w:val="0"/>
                <w:color w:val="auto"/>
                <w:kern w:val="0"/>
                <w:sz w:val="21"/>
                <w:szCs w:val="21"/>
                <w:highlight w:val="none"/>
                <w:lang w:val="en-US" w:eastAsia="zh-CN" w:bidi="ar-SA"/>
              </w:rPr>
              <w:t>146</w:t>
            </w:r>
            <w:r>
              <w:rPr>
                <w:rFonts w:hint="default" w:ascii="Times New Roman" w:hAnsi="Times New Roman" w:eastAsia="宋体" w:cs="Times New Roman"/>
                <w:snapToGrid w:val="0"/>
                <w:color w:val="auto"/>
                <w:kern w:val="0"/>
                <w:sz w:val="21"/>
                <w:szCs w:val="21"/>
                <w:highlight w:val="none"/>
                <w:lang w:val="en-US" w:eastAsia="zh-CN" w:bidi="ar-SA"/>
              </w:rPr>
              <w:t>t/a</w:t>
            </w:r>
          </w:p>
        </w:tc>
        <w:tc>
          <w:tcPr>
            <w:tcW w:w="1503" w:type="dxa"/>
            <w:noWrap w:val="0"/>
            <w:tcMar>
              <w:top w:w="0" w:type="dxa"/>
              <w:left w:w="0" w:type="dxa"/>
              <w:bottom w:w="0" w:type="dxa"/>
              <w:right w:w="0" w:type="dxa"/>
            </w:tcMar>
            <w:vAlign w:val="center"/>
          </w:tcPr>
          <w:p w14:paraId="655BF319">
            <w:pPr>
              <w:pStyle w:val="40"/>
              <w:snapToGrid w:val="0"/>
              <w:ind w:firstLine="0" w:firstLineChars="0"/>
              <w:rPr>
                <w:rFonts w:hint="default" w:ascii="Times New Roman" w:hAnsi="Times New Roman" w:cs="Times New Roman"/>
                <w:color w:val="auto"/>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bidi="ar-SA"/>
              </w:rPr>
              <w:t>+0.0</w:t>
            </w:r>
            <w:r>
              <w:rPr>
                <w:rFonts w:hint="eastAsia" w:ascii="Times New Roman" w:hAnsi="Times New Roman" w:eastAsia="宋体" w:cs="Times New Roman"/>
                <w:snapToGrid w:val="0"/>
                <w:color w:val="auto"/>
                <w:kern w:val="0"/>
                <w:sz w:val="21"/>
                <w:szCs w:val="21"/>
                <w:highlight w:val="none"/>
                <w:lang w:val="en-US" w:eastAsia="zh-CN" w:bidi="ar-SA"/>
              </w:rPr>
              <w:t>146</w:t>
            </w:r>
            <w:r>
              <w:rPr>
                <w:rFonts w:hint="default" w:ascii="Times New Roman" w:hAnsi="Times New Roman" w:eastAsia="宋体" w:cs="Times New Roman"/>
                <w:snapToGrid w:val="0"/>
                <w:color w:val="auto"/>
                <w:kern w:val="0"/>
                <w:sz w:val="21"/>
                <w:szCs w:val="21"/>
                <w:highlight w:val="none"/>
                <w:lang w:val="en-US" w:eastAsia="zh-CN" w:bidi="ar-SA"/>
              </w:rPr>
              <w:t>t/a</w:t>
            </w:r>
          </w:p>
        </w:tc>
      </w:tr>
      <w:bookmarkEnd w:id="77"/>
    </w:tbl>
    <w:p w14:paraId="41FCE9CD">
      <w:pPr>
        <w:bidi w:val="0"/>
        <w:rPr>
          <w:rFonts w:hint="default" w:ascii="Times New Roman" w:hAnsi="Times New Roman" w:cs="Times New Roman"/>
          <w:color w:val="auto"/>
          <w:highlight w:val="none"/>
        </w:rPr>
        <w:sectPr>
          <w:footerReference r:id="rId10" w:type="default"/>
          <w:pgSz w:w="16838" w:h="11906" w:orient="landscape"/>
          <w:pgMar w:top="720" w:right="720" w:bottom="720" w:left="720" w:header="851" w:footer="992" w:gutter="0"/>
          <w:pgBorders>
            <w:top w:val="none" w:sz="0" w:space="0"/>
            <w:left w:val="none" w:sz="0" w:space="0"/>
            <w:bottom w:val="none" w:sz="0" w:space="0"/>
            <w:right w:val="none" w:sz="0" w:space="0"/>
          </w:pgBorders>
          <w:pgNumType w:fmt="decimal"/>
          <w:cols w:space="0" w:num="1"/>
          <w:rtlGutter w:val="0"/>
          <w:docGrid w:type="lines" w:linePitch="332" w:charSpace="0"/>
        </w:sectPr>
      </w:pPr>
      <w:r>
        <w:rPr>
          <w:rFonts w:hint="default" w:ascii="Times New Roman" w:hAnsi="Times New Roman" w:cs="Times New Roman"/>
          <w:color w:val="auto"/>
          <w:highlight w:val="none"/>
        </w:rPr>
        <w:t>注：⑥=①+③+④-⑤；⑦=⑥-①</w:t>
      </w:r>
    </w:p>
    <w:p w14:paraId="17786871">
      <w:pPr>
        <w:bidi w:val="0"/>
        <w:rPr>
          <w:rFonts w:hint="default" w:ascii="Times New Roman" w:hAnsi="Times New Roman" w:cs="Times New Roman"/>
          <w:color w:val="auto"/>
          <w:highlight w:val="none"/>
        </w:rPr>
      </w:pPr>
    </w:p>
    <w:sectPr>
      <w:footerReference r:id="rId11" w:type="default"/>
      <w:pgSz w:w="11906" w:h="16838"/>
      <w:pgMar w:top="720" w:right="720" w:bottom="720" w:left="720" w:header="851" w:footer="992" w:gutter="0"/>
      <w:pgBorders>
        <w:top w:val="none" w:sz="0" w:space="0"/>
        <w:left w:val="none" w:sz="0" w:space="0"/>
        <w:bottom w:val="none" w:sz="0" w:space="0"/>
        <w:right w:val="none" w:sz="0" w:space="0"/>
      </w:pgBorders>
      <w:pgNumType w:fmt="decimal"/>
      <w:cols w:space="0" w:num="1"/>
      <w:rtlGutter w:val="0"/>
      <w:docGrid w:type="lines" w:linePitch="33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书宋">
    <w:altName w:val="仿宋"/>
    <w:panose1 w:val="00000000000000000000"/>
    <w:charset w:val="86"/>
    <w:family w:val="script"/>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方正仿宋_GBK">
    <w:panose1 w:val="02000000000000000000"/>
    <w:charset w:val="86"/>
    <w:family w:val="script"/>
    <w:pitch w:val="default"/>
    <w:sig w:usb0="A00002BF" w:usb1="38CF7CFA" w:usb2="00082016" w:usb3="00000000" w:csb0="00040001"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TimesNewRomanPSMT">
    <w:altName w:val="Times New Roman"/>
    <w:panose1 w:val="00000000000000000000"/>
    <w:charset w:val="00"/>
    <w:family w:val="roman"/>
    <w:pitch w:val="default"/>
    <w:sig w:usb0="00000000" w:usb1="00000000" w:usb2="00000000" w:usb3="00000000" w:csb0="00040001" w:csb1="00000000"/>
  </w:font>
  <w:font w:name="Wingdings 2">
    <w:panose1 w:val="05020102010507070707"/>
    <w:charset w:val="02"/>
    <w:family w:val="auto"/>
    <w:pitch w:val="default"/>
    <w:sig w:usb0="00000000" w:usb1="00000000" w:usb2="00000000" w:usb3="00000000" w:csb0="8000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7464D5">
    <w:pPr>
      <w:spacing w:line="176" w:lineRule="auto"/>
      <w:jc w:val="right"/>
      <w:rPr>
        <w:rFonts w:ascii="宋体" w:hAnsi="宋体" w:eastAsia="宋体" w:cs="宋体"/>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299533">
    <w:pPr>
      <w:spacing w:line="177" w:lineRule="auto"/>
      <w:ind w:left="31"/>
      <w:rPr>
        <w:rFonts w:ascii="宋体" w:hAnsi="宋体" w:eastAsia="宋体" w:cs="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8FDFE0">
                          <w:pPr>
                            <w:tabs>
                              <w:tab w:val="center" w:pos="4153"/>
                              <w:tab w:val="right" w:pos="8306"/>
                            </w:tabs>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648FDFE0">
                    <w:pPr>
                      <w:tabs>
                        <w:tab w:val="center" w:pos="4153"/>
                        <w:tab w:val="right" w:pos="8306"/>
                      </w:tabs>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46E64B">
    <w:pPr>
      <w:spacing w:line="173" w:lineRule="auto"/>
      <w:ind w:right="71"/>
      <w:jc w:val="center"/>
      <w:rPr>
        <w:rFonts w:ascii="宋体" w:hAnsi="宋体" w:eastAsia="宋体" w:cs="宋体"/>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B6948A">
                          <w:pPr>
                            <w:tabs>
                              <w:tab w:val="center" w:pos="4153"/>
                              <w:tab w:val="right" w:pos="8306"/>
                            </w:tabs>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2CB6948A">
                    <w:pPr>
                      <w:tabs>
                        <w:tab w:val="center" w:pos="4153"/>
                        <w:tab w:val="right" w:pos="8306"/>
                      </w:tabs>
                    </w:pPr>
                    <w:r>
                      <w:fldChar w:fldCharType="begin"/>
                    </w:r>
                    <w:r>
                      <w:instrText xml:space="preserve"> PAGE  \* MERGEFORMAT </w:instrText>
                    </w:r>
                    <w:r>
                      <w:fldChar w:fldCharType="separate"/>
                    </w:r>
                    <w:r>
                      <w:t>10</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FA963E">
    <w:pPr>
      <w:spacing w:line="175" w:lineRule="auto"/>
      <w:ind w:right="31"/>
      <w:jc w:val="center"/>
      <w:rPr>
        <w:rFonts w:ascii="宋体" w:hAnsi="宋体" w:eastAsia="宋体" w:cs="宋体"/>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BA6E96">
                          <w:pPr>
                            <w:tabs>
                              <w:tab w:val="center" w:pos="4153"/>
                              <w:tab w:val="right" w:pos="8306"/>
                            </w:tabs>
                          </w:pPr>
                          <w:r>
                            <w:fldChar w:fldCharType="begin"/>
                          </w:r>
                          <w:r>
                            <w:instrText xml:space="preserve"> PAGE  \* MERGEFORMAT </w:instrText>
                          </w:r>
                          <w:r>
                            <w:fldChar w:fldCharType="separate"/>
                          </w:r>
                          <w:r>
                            <w:t>26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4DBA6E96">
                    <w:pPr>
                      <w:tabs>
                        <w:tab w:val="center" w:pos="4153"/>
                        <w:tab w:val="right" w:pos="8306"/>
                      </w:tabs>
                    </w:pPr>
                    <w:r>
                      <w:fldChar w:fldCharType="begin"/>
                    </w:r>
                    <w:r>
                      <w:instrText xml:space="preserve"> PAGE  \* MERGEFORMAT </w:instrText>
                    </w:r>
                    <w:r>
                      <w:fldChar w:fldCharType="separate"/>
                    </w:r>
                    <w:r>
                      <w:t>26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9682C9">
    <w:pPr>
      <w:spacing w:line="174" w:lineRule="auto"/>
      <w:ind w:right="11"/>
      <w:jc w:val="center"/>
      <w:rPr>
        <w:rFonts w:ascii="宋体" w:hAnsi="宋体" w:eastAsia="宋体" w:cs="宋体"/>
        <w:sz w:val="28"/>
        <w:szCs w:val="28"/>
      </w:rPr>
    </w:pPr>
    <w:r>
      <w:rPr>
        <w:sz w:val="2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C91A3B">
                          <w:pPr>
                            <w:tabs>
                              <w:tab w:val="center" w:pos="4153"/>
                              <w:tab w:val="right" w:pos="8306"/>
                            </w:tabs>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13C91A3B">
                    <w:pPr>
                      <w:tabs>
                        <w:tab w:val="center" w:pos="4153"/>
                        <w:tab w:val="right" w:pos="8306"/>
                      </w:tabs>
                    </w:pPr>
                    <w:r>
                      <w:fldChar w:fldCharType="begin"/>
                    </w:r>
                    <w:r>
                      <w:instrText xml:space="preserve"> PAGE  \* MERGEFORMAT </w:instrText>
                    </w:r>
                    <w:r>
                      <w:fldChar w:fldCharType="separate"/>
                    </w:r>
                    <w:r>
                      <w:t>27</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982F34">
    <w:pPr>
      <w:spacing w:line="175" w:lineRule="auto"/>
      <w:ind w:left="6324"/>
      <w:rPr>
        <w:rFonts w:ascii="宋体" w:hAnsi="宋体" w:eastAsia="宋体" w:cs="宋体"/>
        <w:sz w:val="28"/>
        <w:szCs w:val="28"/>
      </w:rPr>
    </w:pPr>
    <w:r>
      <w:rPr>
        <w:sz w:val="2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974748">
                          <w:pPr>
                            <w:tabs>
                              <w:tab w:val="center" w:pos="4153"/>
                              <w:tab w:val="right" w:pos="8306"/>
                            </w:tabs>
                          </w:pPr>
                          <w:r>
                            <w:fldChar w:fldCharType="begin"/>
                          </w:r>
                          <w:r>
                            <w:instrText xml:space="preserve"> PAGE  \* MERGEFORMAT </w:instrText>
                          </w:r>
                          <w:r>
                            <w:fldChar w:fldCharType="separate"/>
                          </w:r>
                          <w:r>
                            <w:t>29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54974748">
                    <w:pPr>
                      <w:tabs>
                        <w:tab w:val="center" w:pos="4153"/>
                        <w:tab w:val="right" w:pos="8306"/>
                      </w:tabs>
                    </w:pPr>
                    <w:r>
                      <w:fldChar w:fldCharType="begin"/>
                    </w:r>
                    <w:r>
                      <w:instrText xml:space="preserve"> PAGE  \* MERGEFORMAT </w:instrText>
                    </w:r>
                    <w:r>
                      <w:fldChar w:fldCharType="separate"/>
                    </w:r>
                    <w:r>
                      <w:t>29</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91DE30">
    <w:pPr>
      <w:spacing w:line="175" w:lineRule="auto"/>
      <w:ind w:left="6324"/>
      <w:rPr>
        <w:rFonts w:ascii="宋体" w:hAnsi="宋体" w:eastAsia="宋体" w:cs="宋体"/>
        <w:sz w:val="2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DF70D87"/>
    <w:multiLevelType w:val="singleLevel"/>
    <w:tmpl w:val="DDF70D87"/>
    <w:lvl w:ilvl="0" w:tentative="0">
      <w:start w:val="4"/>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6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I4OGNhYzU2ODM2OWU2YzlhM2ZjODI2OWU3ZDAyM2YifQ=="/>
  </w:docVars>
  <w:rsids>
    <w:rsidRoot w:val="00172A27"/>
    <w:rsid w:val="0009075B"/>
    <w:rsid w:val="00126691"/>
    <w:rsid w:val="00237A6E"/>
    <w:rsid w:val="003B04F4"/>
    <w:rsid w:val="00461E5D"/>
    <w:rsid w:val="00501EE6"/>
    <w:rsid w:val="008811BF"/>
    <w:rsid w:val="009E0322"/>
    <w:rsid w:val="00AC3FD6"/>
    <w:rsid w:val="00CB3C62"/>
    <w:rsid w:val="00CF61E8"/>
    <w:rsid w:val="00D92392"/>
    <w:rsid w:val="00DB3805"/>
    <w:rsid w:val="01017A0E"/>
    <w:rsid w:val="01072F48"/>
    <w:rsid w:val="010B405F"/>
    <w:rsid w:val="011457FD"/>
    <w:rsid w:val="01282E62"/>
    <w:rsid w:val="015754F6"/>
    <w:rsid w:val="0159301C"/>
    <w:rsid w:val="015E4AD6"/>
    <w:rsid w:val="018865F4"/>
    <w:rsid w:val="019B53E2"/>
    <w:rsid w:val="01CA3F1A"/>
    <w:rsid w:val="01D06248"/>
    <w:rsid w:val="02112FB3"/>
    <w:rsid w:val="02331D9E"/>
    <w:rsid w:val="023A7F51"/>
    <w:rsid w:val="023D6D84"/>
    <w:rsid w:val="023E2B96"/>
    <w:rsid w:val="02405F8A"/>
    <w:rsid w:val="024C256A"/>
    <w:rsid w:val="024F7F60"/>
    <w:rsid w:val="02557C87"/>
    <w:rsid w:val="025742A9"/>
    <w:rsid w:val="0296394E"/>
    <w:rsid w:val="029640FE"/>
    <w:rsid w:val="029A38EC"/>
    <w:rsid w:val="02A039BD"/>
    <w:rsid w:val="02AF717B"/>
    <w:rsid w:val="02CE3596"/>
    <w:rsid w:val="02EC5721"/>
    <w:rsid w:val="02F62427"/>
    <w:rsid w:val="03205208"/>
    <w:rsid w:val="032C4136"/>
    <w:rsid w:val="03563CB7"/>
    <w:rsid w:val="036C3FD7"/>
    <w:rsid w:val="036C573B"/>
    <w:rsid w:val="036C58F1"/>
    <w:rsid w:val="03737614"/>
    <w:rsid w:val="038F0F77"/>
    <w:rsid w:val="03C37C93"/>
    <w:rsid w:val="03E26ED3"/>
    <w:rsid w:val="03E3303D"/>
    <w:rsid w:val="044944C2"/>
    <w:rsid w:val="04714B20"/>
    <w:rsid w:val="047A1C27"/>
    <w:rsid w:val="04A46CA4"/>
    <w:rsid w:val="04A90CC6"/>
    <w:rsid w:val="04AF62B0"/>
    <w:rsid w:val="04B944C7"/>
    <w:rsid w:val="04BE4571"/>
    <w:rsid w:val="04D23811"/>
    <w:rsid w:val="04FF7439"/>
    <w:rsid w:val="05257DE5"/>
    <w:rsid w:val="052F2A11"/>
    <w:rsid w:val="053A13B6"/>
    <w:rsid w:val="054F5054"/>
    <w:rsid w:val="05940103"/>
    <w:rsid w:val="05940AC6"/>
    <w:rsid w:val="05CF7D50"/>
    <w:rsid w:val="05E859B2"/>
    <w:rsid w:val="05F571C5"/>
    <w:rsid w:val="060B2DF1"/>
    <w:rsid w:val="06206A3C"/>
    <w:rsid w:val="0631328E"/>
    <w:rsid w:val="06764670"/>
    <w:rsid w:val="06A74829"/>
    <w:rsid w:val="06AB4FE9"/>
    <w:rsid w:val="06D575E9"/>
    <w:rsid w:val="06DC2725"/>
    <w:rsid w:val="06FD269B"/>
    <w:rsid w:val="070954E4"/>
    <w:rsid w:val="07464C93"/>
    <w:rsid w:val="074F4495"/>
    <w:rsid w:val="07811674"/>
    <w:rsid w:val="07CA0837"/>
    <w:rsid w:val="07E85E2B"/>
    <w:rsid w:val="07EF6488"/>
    <w:rsid w:val="08000695"/>
    <w:rsid w:val="08070BB6"/>
    <w:rsid w:val="081964AC"/>
    <w:rsid w:val="08314CF2"/>
    <w:rsid w:val="083B791F"/>
    <w:rsid w:val="08422274"/>
    <w:rsid w:val="086C3FDB"/>
    <w:rsid w:val="087E795F"/>
    <w:rsid w:val="0883181F"/>
    <w:rsid w:val="089D343C"/>
    <w:rsid w:val="08CD4E27"/>
    <w:rsid w:val="08E04AE9"/>
    <w:rsid w:val="08E729FB"/>
    <w:rsid w:val="08FA21C4"/>
    <w:rsid w:val="090369F3"/>
    <w:rsid w:val="091343F8"/>
    <w:rsid w:val="091E294D"/>
    <w:rsid w:val="095C18FB"/>
    <w:rsid w:val="09741A2E"/>
    <w:rsid w:val="097A733B"/>
    <w:rsid w:val="09931095"/>
    <w:rsid w:val="099D3B73"/>
    <w:rsid w:val="09B25B49"/>
    <w:rsid w:val="09BC5EBB"/>
    <w:rsid w:val="09D973F0"/>
    <w:rsid w:val="09DE4A06"/>
    <w:rsid w:val="09F465B4"/>
    <w:rsid w:val="0A307BEE"/>
    <w:rsid w:val="0A426D43"/>
    <w:rsid w:val="0A5F2FE8"/>
    <w:rsid w:val="0A942C23"/>
    <w:rsid w:val="0A981059"/>
    <w:rsid w:val="0AAA48E8"/>
    <w:rsid w:val="0AB72ADA"/>
    <w:rsid w:val="0ABE2142"/>
    <w:rsid w:val="0AC73158"/>
    <w:rsid w:val="0AD33E3F"/>
    <w:rsid w:val="0ADE3BB0"/>
    <w:rsid w:val="0B010570"/>
    <w:rsid w:val="0B745622"/>
    <w:rsid w:val="0B83153D"/>
    <w:rsid w:val="0B8769D7"/>
    <w:rsid w:val="0B9B4AEA"/>
    <w:rsid w:val="0BB632A9"/>
    <w:rsid w:val="0BC910AF"/>
    <w:rsid w:val="0BCE4606"/>
    <w:rsid w:val="0BDB1AFB"/>
    <w:rsid w:val="0C1666D9"/>
    <w:rsid w:val="0C1F4E62"/>
    <w:rsid w:val="0C236700"/>
    <w:rsid w:val="0C500E65"/>
    <w:rsid w:val="0C7563F3"/>
    <w:rsid w:val="0C94770E"/>
    <w:rsid w:val="0C994AB9"/>
    <w:rsid w:val="0CBA73BF"/>
    <w:rsid w:val="0CF55A4D"/>
    <w:rsid w:val="0D2B79F7"/>
    <w:rsid w:val="0D2D73F1"/>
    <w:rsid w:val="0D4B3C84"/>
    <w:rsid w:val="0D4D0A3C"/>
    <w:rsid w:val="0D521FEF"/>
    <w:rsid w:val="0D78233C"/>
    <w:rsid w:val="0DED5218"/>
    <w:rsid w:val="0DF0289C"/>
    <w:rsid w:val="0E2715C7"/>
    <w:rsid w:val="0E372DD1"/>
    <w:rsid w:val="0E8B67DF"/>
    <w:rsid w:val="0F58780D"/>
    <w:rsid w:val="0F694D72"/>
    <w:rsid w:val="0F9D243D"/>
    <w:rsid w:val="0FA311DA"/>
    <w:rsid w:val="0FEC4D99"/>
    <w:rsid w:val="100E1475"/>
    <w:rsid w:val="101F791A"/>
    <w:rsid w:val="10307CC5"/>
    <w:rsid w:val="1065378B"/>
    <w:rsid w:val="107A6D85"/>
    <w:rsid w:val="107C6E9C"/>
    <w:rsid w:val="107F6DB2"/>
    <w:rsid w:val="10846189"/>
    <w:rsid w:val="10975619"/>
    <w:rsid w:val="10B0361A"/>
    <w:rsid w:val="10D601E5"/>
    <w:rsid w:val="10DC3454"/>
    <w:rsid w:val="10E105C1"/>
    <w:rsid w:val="10E2541E"/>
    <w:rsid w:val="10FD7E68"/>
    <w:rsid w:val="11056D1C"/>
    <w:rsid w:val="11300EBB"/>
    <w:rsid w:val="11426C33"/>
    <w:rsid w:val="11447845"/>
    <w:rsid w:val="117F6ACF"/>
    <w:rsid w:val="11BC16A5"/>
    <w:rsid w:val="11BE5EDC"/>
    <w:rsid w:val="11F36B75"/>
    <w:rsid w:val="11FF05D9"/>
    <w:rsid w:val="12172C9E"/>
    <w:rsid w:val="12340750"/>
    <w:rsid w:val="123E24E6"/>
    <w:rsid w:val="12486EC1"/>
    <w:rsid w:val="125468A5"/>
    <w:rsid w:val="125E2AC4"/>
    <w:rsid w:val="126943A9"/>
    <w:rsid w:val="126D1B09"/>
    <w:rsid w:val="1270692A"/>
    <w:rsid w:val="12930F4F"/>
    <w:rsid w:val="12FE16DE"/>
    <w:rsid w:val="131A3AEA"/>
    <w:rsid w:val="132E7F43"/>
    <w:rsid w:val="13426006"/>
    <w:rsid w:val="135D4EC8"/>
    <w:rsid w:val="13A520F1"/>
    <w:rsid w:val="13C702B9"/>
    <w:rsid w:val="13C84843"/>
    <w:rsid w:val="13D6439F"/>
    <w:rsid w:val="13E8544E"/>
    <w:rsid w:val="14251B3D"/>
    <w:rsid w:val="14832432"/>
    <w:rsid w:val="148E5263"/>
    <w:rsid w:val="14C5765E"/>
    <w:rsid w:val="14D06F4D"/>
    <w:rsid w:val="14DC6AD9"/>
    <w:rsid w:val="14FE41AE"/>
    <w:rsid w:val="1514752E"/>
    <w:rsid w:val="151F6A31"/>
    <w:rsid w:val="15353F92"/>
    <w:rsid w:val="154047C7"/>
    <w:rsid w:val="15503C2B"/>
    <w:rsid w:val="155147A7"/>
    <w:rsid w:val="15573E98"/>
    <w:rsid w:val="15A032C1"/>
    <w:rsid w:val="15A9236C"/>
    <w:rsid w:val="15B24AB7"/>
    <w:rsid w:val="15C846B4"/>
    <w:rsid w:val="15EE4223"/>
    <w:rsid w:val="15F3195A"/>
    <w:rsid w:val="15F31AB7"/>
    <w:rsid w:val="161812A0"/>
    <w:rsid w:val="16356C4B"/>
    <w:rsid w:val="16655D64"/>
    <w:rsid w:val="16842491"/>
    <w:rsid w:val="168B3820"/>
    <w:rsid w:val="16AF027D"/>
    <w:rsid w:val="16C12CF0"/>
    <w:rsid w:val="16DB7867"/>
    <w:rsid w:val="16FC64CC"/>
    <w:rsid w:val="1706559C"/>
    <w:rsid w:val="170959E4"/>
    <w:rsid w:val="17233A58"/>
    <w:rsid w:val="17325DB2"/>
    <w:rsid w:val="17514A69"/>
    <w:rsid w:val="17566C51"/>
    <w:rsid w:val="17620A24"/>
    <w:rsid w:val="17942BA8"/>
    <w:rsid w:val="17944956"/>
    <w:rsid w:val="17981331"/>
    <w:rsid w:val="179901BE"/>
    <w:rsid w:val="179C04B1"/>
    <w:rsid w:val="179D1A5D"/>
    <w:rsid w:val="179E0C62"/>
    <w:rsid w:val="17B374D2"/>
    <w:rsid w:val="17C214C3"/>
    <w:rsid w:val="17DD454F"/>
    <w:rsid w:val="17E520D8"/>
    <w:rsid w:val="182932F0"/>
    <w:rsid w:val="185A2304"/>
    <w:rsid w:val="187720F7"/>
    <w:rsid w:val="18B828C6"/>
    <w:rsid w:val="18C70CEC"/>
    <w:rsid w:val="18DD40DB"/>
    <w:rsid w:val="18DD597D"/>
    <w:rsid w:val="18DF7E53"/>
    <w:rsid w:val="18ED431E"/>
    <w:rsid w:val="19076BFC"/>
    <w:rsid w:val="19157D18"/>
    <w:rsid w:val="191E6BCD"/>
    <w:rsid w:val="1938245E"/>
    <w:rsid w:val="195E521C"/>
    <w:rsid w:val="196D1903"/>
    <w:rsid w:val="196D545F"/>
    <w:rsid w:val="19907DE4"/>
    <w:rsid w:val="199663FA"/>
    <w:rsid w:val="19BC76D4"/>
    <w:rsid w:val="19BD0194"/>
    <w:rsid w:val="19C21C4E"/>
    <w:rsid w:val="19DE635C"/>
    <w:rsid w:val="19FA3A39"/>
    <w:rsid w:val="1A086C20"/>
    <w:rsid w:val="1A4851CB"/>
    <w:rsid w:val="1A826A90"/>
    <w:rsid w:val="1A98475D"/>
    <w:rsid w:val="1AAB0BB5"/>
    <w:rsid w:val="1AAE5418"/>
    <w:rsid w:val="1ABE7431"/>
    <w:rsid w:val="1AC5607F"/>
    <w:rsid w:val="1B0B4F2F"/>
    <w:rsid w:val="1B16252D"/>
    <w:rsid w:val="1B19589E"/>
    <w:rsid w:val="1B3B6643"/>
    <w:rsid w:val="1B3E5305"/>
    <w:rsid w:val="1B574618"/>
    <w:rsid w:val="1B5E6CE5"/>
    <w:rsid w:val="1B8003C8"/>
    <w:rsid w:val="1BCA16D3"/>
    <w:rsid w:val="1BCF6FEE"/>
    <w:rsid w:val="1BEF65FF"/>
    <w:rsid w:val="1C026332"/>
    <w:rsid w:val="1C114776"/>
    <w:rsid w:val="1C1F427D"/>
    <w:rsid w:val="1C312204"/>
    <w:rsid w:val="1C4701E9"/>
    <w:rsid w:val="1C4D0C6E"/>
    <w:rsid w:val="1C595EF6"/>
    <w:rsid w:val="1C5E0883"/>
    <w:rsid w:val="1C5F51C6"/>
    <w:rsid w:val="1C8D27C8"/>
    <w:rsid w:val="1C8F393E"/>
    <w:rsid w:val="1C9911BF"/>
    <w:rsid w:val="1CCE0EDC"/>
    <w:rsid w:val="1D3D3A24"/>
    <w:rsid w:val="1D5442F4"/>
    <w:rsid w:val="1D61177E"/>
    <w:rsid w:val="1D633073"/>
    <w:rsid w:val="1D715BBC"/>
    <w:rsid w:val="1D8F1536"/>
    <w:rsid w:val="1DBE272D"/>
    <w:rsid w:val="1DCD16D9"/>
    <w:rsid w:val="1DF423BD"/>
    <w:rsid w:val="1DFE701D"/>
    <w:rsid w:val="1E185931"/>
    <w:rsid w:val="1E221E36"/>
    <w:rsid w:val="1E3E73CA"/>
    <w:rsid w:val="1E8171B6"/>
    <w:rsid w:val="1EB171F2"/>
    <w:rsid w:val="1EB27F3B"/>
    <w:rsid w:val="1EC41FC5"/>
    <w:rsid w:val="1F096B60"/>
    <w:rsid w:val="1F3F33F9"/>
    <w:rsid w:val="1F4B4494"/>
    <w:rsid w:val="1F520CB4"/>
    <w:rsid w:val="1F69491A"/>
    <w:rsid w:val="1FA77D59"/>
    <w:rsid w:val="1FAD0CAB"/>
    <w:rsid w:val="1FD40D0E"/>
    <w:rsid w:val="1FE174C1"/>
    <w:rsid w:val="203C5EE5"/>
    <w:rsid w:val="20E83ABC"/>
    <w:rsid w:val="20EC6894"/>
    <w:rsid w:val="210501EA"/>
    <w:rsid w:val="211907DF"/>
    <w:rsid w:val="2133032D"/>
    <w:rsid w:val="21543E5D"/>
    <w:rsid w:val="217355DC"/>
    <w:rsid w:val="218B3F2B"/>
    <w:rsid w:val="21B06830"/>
    <w:rsid w:val="21B801FE"/>
    <w:rsid w:val="21CA6F17"/>
    <w:rsid w:val="21F262FA"/>
    <w:rsid w:val="220D373F"/>
    <w:rsid w:val="22153965"/>
    <w:rsid w:val="22235254"/>
    <w:rsid w:val="22396826"/>
    <w:rsid w:val="22575ED3"/>
    <w:rsid w:val="2277156C"/>
    <w:rsid w:val="22800451"/>
    <w:rsid w:val="22A42520"/>
    <w:rsid w:val="22A568A0"/>
    <w:rsid w:val="22A669C7"/>
    <w:rsid w:val="22C83F67"/>
    <w:rsid w:val="22CE0F25"/>
    <w:rsid w:val="22D4169E"/>
    <w:rsid w:val="22FC2204"/>
    <w:rsid w:val="2319012B"/>
    <w:rsid w:val="231D0A39"/>
    <w:rsid w:val="23704816"/>
    <w:rsid w:val="23775858"/>
    <w:rsid w:val="237D267E"/>
    <w:rsid w:val="239A1546"/>
    <w:rsid w:val="23A23D1D"/>
    <w:rsid w:val="23A92664"/>
    <w:rsid w:val="23AD74CB"/>
    <w:rsid w:val="23BC3F4D"/>
    <w:rsid w:val="23BF71FF"/>
    <w:rsid w:val="23CE7442"/>
    <w:rsid w:val="23D22A8E"/>
    <w:rsid w:val="23E65081"/>
    <w:rsid w:val="2417728C"/>
    <w:rsid w:val="241A26DC"/>
    <w:rsid w:val="244E18AF"/>
    <w:rsid w:val="245108D2"/>
    <w:rsid w:val="24557A0A"/>
    <w:rsid w:val="247A6377"/>
    <w:rsid w:val="248A15BB"/>
    <w:rsid w:val="249B1395"/>
    <w:rsid w:val="24B451B2"/>
    <w:rsid w:val="24B81EA4"/>
    <w:rsid w:val="24D32F62"/>
    <w:rsid w:val="24D62678"/>
    <w:rsid w:val="2503311B"/>
    <w:rsid w:val="25107857"/>
    <w:rsid w:val="25113A8A"/>
    <w:rsid w:val="251E4A80"/>
    <w:rsid w:val="252B1641"/>
    <w:rsid w:val="253F4E90"/>
    <w:rsid w:val="25672D36"/>
    <w:rsid w:val="258650C2"/>
    <w:rsid w:val="25AF5AD6"/>
    <w:rsid w:val="25C1725E"/>
    <w:rsid w:val="25F018F1"/>
    <w:rsid w:val="25F70A2A"/>
    <w:rsid w:val="26024279"/>
    <w:rsid w:val="260303B6"/>
    <w:rsid w:val="26173619"/>
    <w:rsid w:val="261D22B3"/>
    <w:rsid w:val="262670C1"/>
    <w:rsid w:val="262B46D7"/>
    <w:rsid w:val="263133EF"/>
    <w:rsid w:val="263402EE"/>
    <w:rsid w:val="263733E1"/>
    <w:rsid w:val="26543C2E"/>
    <w:rsid w:val="2684198C"/>
    <w:rsid w:val="26B02E2F"/>
    <w:rsid w:val="26B07FD0"/>
    <w:rsid w:val="26E66747"/>
    <w:rsid w:val="271E423C"/>
    <w:rsid w:val="278D6728"/>
    <w:rsid w:val="279D1605"/>
    <w:rsid w:val="27AE3812"/>
    <w:rsid w:val="27C21DAD"/>
    <w:rsid w:val="27CA5B5A"/>
    <w:rsid w:val="27CA7D2B"/>
    <w:rsid w:val="27F37477"/>
    <w:rsid w:val="28110042"/>
    <w:rsid w:val="281C51F0"/>
    <w:rsid w:val="282C4737"/>
    <w:rsid w:val="282F7D23"/>
    <w:rsid w:val="283102D9"/>
    <w:rsid w:val="28740FEB"/>
    <w:rsid w:val="287F6F5C"/>
    <w:rsid w:val="289F0515"/>
    <w:rsid w:val="28AE3FF9"/>
    <w:rsid w:val="28C45A67"/>
    <w:rsid w:val="28C655E7"/>
    <w:rsid w:val="28C9029D"/>
    <w:rsid w:val="28EF40E2"/>
    <w:rsid w:val="295312A9"/>
    <w:rsid w:val="29564161"/>
    <w:rsid w:val="29641FB0"/>
    <w:rsid w:val="296E737B"/>
    <w:rsid w:val="29917B09"/>
    <w:rsid w:val="299A1CC3"/>
    <w:rsid w:val="299F3CC8"/>
    <w:rsid w:val="29A1218F"/>
    <w:rsid w:val="29AE7EFD"/>
    <w:rsid w:val="29B6551D"/>
    <w:rsid w:val="29BA6811"/>
    <w:rsid w:val="29DB76DC"/>
    <w:rsid w:val="29E96D83"/>
    <w:rsid w:val="29EE7EF6"/>
    <w:rsid w:val="29EF3CD9"/>
    <w:rsid w:val="29F870BA"/>
    <w:rsid w:val="2A067935"/>
    <w:rsid w:val="2A1069B8"/>
    <w:rsid w:val="2A1A0CEB"/>
    <w:rsid w:val="2A1D189D"/>
    <w:rsid w:val="2A225DF1"/>
    <w:rsid w:val="2A4E636C"/>
    <w:rsid w:val="2A716636"/>
    <w:rsid w:val="2A85557D"/>
    <w:rsid w:val="2A8645D2"/>
    <w:rsid w:val="2AA809EC"/>
    <w:rsid w:val="2ABB6FE0"/>
    <w:rsid w:val="2AF23B9B"/>
    <w:rsid w:val="2B12230A"/>
    <w:rsid w:val="2B123603"/>
    <w:rsid w:val="2B152610"/>
    <w:rsid w:val="2B164C3A"/>
    <w:rsid w:val="2B1B15F8"/>
    <w:rsid w:val="2B2161DA"/>
    <w:rsid w:val="2B2250C2"/>
    <w:rsid w:val="2B3E30FF"/>
    <w:rsid w:val="2B5A2D9A"/>
    <w:rsid w:val="2B6640B7"/>
    <w:rsid w:val="2B727C26"/>
    <w:rsid w:val="2B7E290D"/>
    <w:rsid w:val="2BA50044"/>
    <w:rsid w:val="2BA56A96"/>
    <w:rsid w:val="2BD2217D"/>
    <w:rsid w:val="2BF770A9"/>
    <w:rsid w:val="2C0B2FE1"/>
    <w:rsid w:val="2C0D687E"/>
    <w:rsid w:val="2C29627A"/>
    <w:rsid w:val="2C45434C"/>
    <w:rsid w:val="2C514199"/>
    <w:rsid w:val="2C525285"/>
    <w:rsid w:val="2C5A7AC4"/>
    <w:rsid w:val="2C7A3CC3"/>
    <w:rsid w:val="2C857D6F"/>
    <w:rsid w:val="2C9A4365"/>
    <w:rsid w:val="2CC344ED"/>
    <w:rsid w:val="2CF47A58"/>
    <w:rsid w:val="2CF5626A"/>
    <w:rsid w:val="2CF968A4"/>
    <w:rsid w:val="2D0143E4"/>
    <w:rsid w:val="2D1B36F8"/>
    <w:rsid w:val="2D1C7470"/>
    <w:rsid w:val="2D2C7FCB"/>
    <w:rsid w:val="2D320A41"/>
    <w:rsid w:val="2D4A661B"/>
    <w:rsid w:val="2D6F134E"/>
    <w:rsid w:val="2D724EA0"/>
    <w:rsid w:val="2D797CA7"/>
    <w:rsid w:val="2D9A0226"/>
    <w:rsid w:val="2DA90D03"/>
    <w:rsid w:val="2DB066EE"/>
    <w:rsid w:val="2DB66F7C"/>
    <w:rsid w:val="2DCE2518"/>
    <w:rsid w:val="2DF4767C"/>
    <w:rsid w:val="2E0B7B98"/>
    <w:rsid w:val="2E0C5CFF"/>
    <w:rsid w:val="2E1667C1"/>
    <w:rsid w:val="2E3558C9"/>
    <w:rsid w:val="2E3F2D37"/>
    <w:rsid w:val="2E491967"/>
    <w:rsid w:val="2E5175C2"/>
    <w:rsid w:val="2E711609"/>
    <w:rsid w:val="2E7806D6"/>
    <w:rsid w:val="2E84083D"/>
    <w:rsid w:val="2EE03DA8"/>
    <w:rsid w:val="2EF57F78"/>
    <w:rsid w:val="2F0B2F1A"/>
    <w:rsid w:val="2F486DA5"/>
    <w:rsid w:val="2F4D31EB"/>
    <w:rsid w:val="2F4E5CF5"/>
    <w:rsid w:val="2F6B1FE9"/>
    <w:rsid w:val="2F6C29B3"/>
    <w:rsid w:val="2F7C41F6"/>
    <w:rsid w:val="2F8977EC"/>
    <w:rsid w:val="2F9257C7"/>
    <w:rsid w:val="2FAB3346"/>
    <w:rsid w:val="2FAF1ED5"/>
    <w:rsid w:val="2FC82F97"/>
    <w:rsid w:val="2FCD1C02"/>
    <w:rsid w:val="2FD87D3F"/>
    <w:rsid w:val="2FF410E3"/>
    <w:rsid w:val="2FF676D8"/>
    <w:rsid w:val="300264A9"/>
    <w:rsid w:val="30302F49"/>
    <w:rsid w:val="306C7DC6"/>
    <w:rsid w:val="30C97BDC"/>
    <w:rsid w:val="30DD2A72"/>
    <w:rsid w:val="30DF2C8E"/>
    <w:rsid w:val="30F962A3"/>
    <w:rsid w:val="30FE230E"/>
    <w:rsid w:val="3143321D"/>
    <w:rsid w:val="318168DD"/>
    <w:rsid w:val="318F6462"/>
    <w:rsid w:val="31AB2B70"/>
    <w:rsid w:val="31C94406"/>
    <w:rsid w:val="31CB082A"/>
    <w:rsid w:val="31E1781B"/>
    <w:rsid w:val="31E534E7"/>
    <w:rsid w:val="31FC517A"/>
    <w:rsid w:val="321866F2"/>
    <w:rsid w:val="323B3EF4"/>
    <w:rsid w:val="32472B70"/>
    <w:rsid w:val="32585D2D"/>
    <w:rsid w:val="328F13DA"/>
    <w:rsid w:val="329D4BAF"/>
    <w:rsid w:val="32AE16AE"/>
    <w:rsid w:val="32AE2918"/>
    <w:rsid w:val="32CC0FF0"/>
    <w:rsid w:val="32D305D1"/>
    <w:rsid w:val="32F00926"/>
    <w:rsid w:val="32F72D85"/>
    <w:rsid w:val="33244988"/>
    <w:rsid w:val="33664FA1"/>
    <w:rsid w:val="33743B62"/>
    <w:rsid w:val="340F73E6"/>
    <w:rsid w:val="34264730"/>
    <w:rsid w:val="342D3D10"/>
    <w:rsid w:val="3431496E"/>
    <w:rsid w:val="34390C2D"/>
    <w:rsid w:val="345B262C"/>
    <w:rsid w:val="345D45F6"/>
    <w:rsid w:val="34724719"/>
    <w:rsid w:val="34815534"/>
    <w:rsid w:val="34A62E75"/>
    <w:rsid w:val="34D06958"/>
    <w:rsid w:val="34D97E94"/>
    <w:rsid w:val="35042CC3"/>
    <w:rsid w:val="350845A4"/>
    <w:rsid w:val="353B411E"/>
    <w:rsid w:val="356A6A74"/>
    <w:rsid w:val="35DA1C76"/>
    <w:rsid w:val="35F175B9"/>
    <w:rsid w:val="35F25212"/>
    <w:rsid w:val="35FE5964"/>
    <w:rsid w:val="36077976"/>
    <w:rsid w:val="36274EBB"/>
    <w:rsid w:val="36307945"/>
    <w:rsid w:val="36441FAD"/>
    <w:rsid w:val="36513CE6"/>
    <w:rsid w:val="36525CC9"/>
    <w:rsid w:val="36576ABC"/>
    <w:rsid w:val="365C49EA"/>
    <w:rsid w:val="365C5588"/>
    <w:rsid w:val="36696B76"/>
    <w:rsid w:val="366A124C"/>
    <w:rsid w:val="366A6D9B"/>
    <w:rsid w:val="36A35226"/>
    <w:rsid w:val="36C070BE"/>
    <w:rsid w:val="36D96EFB"/>
    <w:rsid w:val="370451FC"/>
    <w:rsid w:val="37465815"/>
    <w:rsid w:val="37824FDC"/>
    <w:rsid w:val="378D5AE2"/>
    <w:rsid w:val="37A24350"/>
    <w:rsid w:val="37A360D2"/>
    <w:rsid w:val="37C52BDE"/>
    <w:rsid w:val="37C60BC9"/>
    <w:rsid w:val="37CD35C7"/>
    <w:rsid w:val="37CF2144"/>
    <w:rsid w:val="37F30DCD"/>
    <w:rsid w:val="37F3448A"/>
    <w:rsid w:val="37F533BF"/>
    <w:rsid w:val="38266128"/>
    <w:rsid w:val="38425956"/>
    <w:rsid w:val="38433B03"/>
    <w:rsid w:val="384375D4"/>
    <w:rsid w:val="385F290D"/>
    <w:rsid w:val="38606463"/>
    <w:rsid w:val="38645696"/>
    <w:rsid w:val="386E418B"/>
    <w:rsid w:val="38762B57"/>
    <w:rsid w:val="38773776"/>
    <w:rsid w:val="387C1278"/>
    <w:rsid w:val="388859B9"/>
    <w:rsid w:val="389F4B99"/>
    <w:rsid w:val="38A071A7"/>
    <w:rsid w:val="38AB76D3"/>
    <w:rsid w:val="38AC78FA"/>
    <w:rsid w:val="38B478C6"/>
    <w:rsid w:val="38B81E0D"/>
    <w:rsid w:val="38CF7102"/>
    <w:rsid w:val="38DD7AB3"/>
    <w:rsid w:val="38DE377B"/>
    <w:rsid w:val="3902576C"/>
    <w:rsid w:val="39094D4C"/>
    <w:rsid w:val="39131AA6"/>
    <w:rsid w:val="39201487"/>
    <w:rsid w:val="393B3739"/>
    <w:rsid w:val="399117BF"/>
    <w:rsid w:val="39CB3760"/>
    <w:rsid w:val="39E3734B"/>
    <w:rsid w:val="39F74022"/>
    <w:rsid w:val="3A064DE8"/>
    <w:rsid w:val="3A2A0158"/>
    <w:rsid w:val="3A4E3696"/>
    <w:rsid w:val="3A6E5CA8"/>
    <w:rsid w:val="3A9B3714"/>
    <w:rsid w:val="3AA54601"/>
    <w:rsid w:val="3AA57114"/>
    <w:rsid w:val="3AB57B20"/>
    <w:rsid w:val="3ADF4F75"/>
    <w:rsid w:val="3AE02C12"/>
    <w:rsid w:val="3AE35129"/>
    <w:rsid w:val="3AE54C08"/>
    <w:rsid w:val="3B295232"/>
    <w:rsid w:val="3B2B48D8"/>
    <w:rsid w:val="3B3C1E3A"/>
    <w:rsid w:val="3B512BAF"/>
    <w:rsid w:val="3B5B1163"/>
    <w:rsid w:val="3B5D3DA9"/>
    <w:rsid w:val="3B751CEE"/>
    <w:rsid w:val="3B7B74BF"/>
    <w:rsid w:val="3B833BB4"/>
    <w:rsid w:val="3B8F2C3B"/>
    <w:rsid w:val="3B922D1B"/>
    <w:rsid w:val="3B9659D1"/>
    <w:rsid w:val="3B9B7648"/>
    <w:rsid w:val="3B9C2E33"/>
    <w:rsid w:val="3BA5444D"/>
    <w:rsid w:val="3BC671C9"/>
    <w:rsid w:val="3BDD426E"/>
    <w:rsid w:val="3BEF38F1"/>
    <w:rsid w:val="3BF917C9"/>
    <w:rsid w:val="3C0C0FAE"/>
    <w:rsid w:val="3C17152E"/>
    <w:rsid w:val="3C1E4716"/>
    <w:rsid w:val="3C291261"/>
    <w:rsid w:val="3C3C7B42"/>
    <w:rsid w:val="3C3E67B3"/>
    <w:rsid w:val="3C5207B8"/>
    <w:rsid w:val="3C522566"/>
    <w:rsid w:val="3C5F269F"/>
    <w:rsid w:val="3C8A1488"/>
    <w:rsid w:val="3C8B0953"/>
    <w:rsid w:val="3C942B7F"/>
    <w:rsid w:val="3CAF79B9"/>
    <w:rsid w:val="3CC57C93"/>
    <w:rsid w:val="3CCE7556"/>
    <w:rsid w:val="3CE20142"/>
    <w:rsid w:val="3CE6572A"/>
    <w:rsid w:val="3D5757BF"/>
    <w:rsid w:val="3D5A5DFB"/>
    <w:rsid w:val="3DB650F7"/>
    <w:rsid w:val="3DBA03C3"/>
    <w:rsid w:val="3DC76F84"/>
    <w:rsid w:val="3DE125E5"/>
    <w:rsid w:val="3DF97023"/>
    <w:rsid w:val="3DFA15CC"/>
    <w:rsid w:val="3E0259CC"/>
    <w:rsid w:val="3E0F1060"/>
    <w:rsid w:val="3E391C63"/>
    <w:rsid w:val="3E47765D"/>
    <w:rsid w:val="3E4F3C62"/>
    <w:rsid w:val="3E571641"/>
    <w:rsid w:val="3E7D55A4"/>
    <w:rsid w:val="3E9B6FFF"/>
    <w:rsid w:val="3ECF4C3A"/>
    <w:rsid w:val="3ED41958"/>
    <w:rsid w:val="3ED93797"/>
    <w:rsid w:val="3EEE15F4"/>
    <w:rsid w:val="3EEE5950"/>
    <w:rsid w:val="3EF3180E"/>
    <w:rsid w:val="3F6C12E5"/>
    <w:rsid w:val="3FBF1272"/>
    <w:rsid w:val="3FC419CD"/>
    <w:rsid w:val="40065ED8"/>
    <w:rsid w:val="400E2C48"/>
    <w:rsid w:val="40381640"/>
    <w:rsid w:val="403B2990"/>
    <w:rsid w:val="4053700E"/>
    <w:rsid w:val="40550877"/>
    <w:rsid w:val="40926606"/>
    <w:rsid w:val="40AB493B"/>
    <w:rsid w:val="40D23C76"/>
    <w:rsid w:val="40EC7305"/>
    <w:rsid w:val="40F313EE"/>
    <w:rsid w:val="40F6019D"/>
    <w:rsid w:val="40FA29EA"/>
    <w:rsid w:val="410417E6"/>
    <w:rsid w:val="412546F1"/>
    <w:rsid w:val="413A08F4"/>
    <w:rsid w:val="414A4154"/>
    <w:rsid w:val="414D607D"/>
    <w:rsid w:val="417402CF"/>
    <w:rsid w:val="417567E6"/>
    <w:rsid w:val="41763CF2"/>
    <w:rsid w:val="418105AD"/>
    <w:rsid w:val="419D0C5C"/>
    <w:rsid w:val="41A24AFA"/>
    <w:rsid w:val="41BB5EDF"/>
    <w:rsid w:val="41D66AFC"/>
    <w:rsid w:val="41E313BB"/>
    <w:rsid w:val="41FD2F74"/>
    <w:rsid w:val="41FD7285"/>
    <w:rsid w:val="420C6AF7"/>
    <w:rsid w:val="421C0E4B"/>
    <w:rsid w:val="42232D34"/>
    <w:rsid w:val="422378A4"/>
    <w:rsid w:val="42481F0F"/>
    <w:rsid w:val="42611755"/>
    <w:rsid w:val="426E477F"/>
    <w:rsid w:val="427C5EA9"/>
    <w:rsid w:val="428216CB"/>
    <w:rsid w:val="42B5384F"/>
    <w:rsid w:val="42E94CE2"/>
    <w:rsid w:val="430B1025"/>
    <w:rsid w:val="431E285B"/>
    <w:rsid w:val="432068E8"/>
    <w:rsid w:val="43217136"/>
    <w:rsid w:val="43736DBA"/>
    <w:rsid w:val="439C24FA"/>
    <w:rsid w:val="43B318AF"/>
    <w:rsid w:val="43BD76E4"/>
    <w:rsid w:val="43C26223"/>
    <w:rsid w:val="43C33D49"/>
    <w:rsid w:val="43DB14C5"/>
    <w:rsid w:val="44055BE3"/>
    <w:rsid w:val="44061844"/>
    <w:rsid w:val="4414797E"/>
    <w:rsid w:val="44385937"/>
    <w:rsid w:val="443F7636"/>
    <w:rsid w:val="44406A3F"/>
    <w:rsid w:val="444F55DD"/>
    <w:rsid w:val="445552E9"/>
    <w:rsid w:val="44665C2E"/>
    <w:rsid w:val="446C5274"/>
    <w:rsid w:val="447253F9"/>
    <w:rsid w:val="447E32A5"/>
    <w:rsid w:val="44922631"/>
    <w:rsid w:val="4496320C"/>
    <w:rsid w:val="4496596D"/>
    <w:rsid w:val="44DD7355"/>
    <w:rsid w:val="452A789A"/>
    <w:rsid w:val="45450D0E"/>
    <w:rsid w:val="45815C6A"/>
    <w:rsid w:val="45DE61D5"/>
    <w:rsid w:val="45E84113"/>
    <w:rsid w:val="45FE550D"/>
    <w:rsid w:val="460D11C7"/>
    <w:rsid w:val="460E7C18"/>
    <w:rsid w:val="4642189D"/>
    <w:rsid w:val="464F6676"/>
    <w:rsid w:val="46577098"/>
    <w:rsid w:val="465B64BB"/>
    <w:rsid w:val="46926531"/>
    <w:rsid w:val="46E725EC"/>
    <w:rsid w:val="47321912"/>
    <w:rsid w:val="474B300D"/>
    <w:rsid w:val="474E29E4"/>
    <w:rsid w:val="47713E34"/>
    <w:rsid w:val="477E30E1"/>
    <w:rsid w:val="4783216D"/>
    <w:rsid w:val="47BC11DC"/>
    <w:rsid w:val="47CF0F0F"/>
    <w:rsid w:val="47D324F0"/>
    <w:rsid w:val="47E349BA"/>
    <w:rsid w:val="47EA3F9B"/>
    <w:rsid w:val="480078A2"/>
    <w:rsid w:val="480935A0"/>
    <w:rsid w:val="48117779"/>
    <w:rsid w:val="48192949"/>
    <w:rsid w:val="481A2416"/>
    <w:rsid w:val="481C3B08"/>
    <w:rsid w:val="48265C20"/>
    <w:rsid w:val="48275073"/>
    <w:rsid w:val="48322837"/>
    <w:rsid w:val="483A0DD5"/>
    <w:rsid w:val="484D6167"/>
    <w:rsid w:val="48512412"/>
    <w:rsid w:val="48561630"/>
    <w:rsid w:val="48733E61"/>
    <w:rsid w:val="48933B3D"/>
    <w:rsid w:val="48A312B9"/>
    <w:rsid w:val="48BD731E"/>
    <w:rsid w:val="48BF5427"/>
    <w:rsid w:val="48D875A2"/>
    <w:rsid w:val="48DE19EA"/>
    <w:rsid w:val="48E217EB"/>
    <w:rsid w:val="494F67AB"/>
    <w:rsid w:val="495B184D"/>
    <w:rsid w:val="497C50C6"/>
    <w:rsid w:val="4993038A"/>
    <w:rsid w:val="49AD5280"/>
    <w:rsid w:val="49C9005F"/>
    <w:rsid w:val="49CA27DC"/>
    <w:rsid w:val="49D7054F"/>
    <w:rsid w:val="49DE327F"/>
    <w:rsid w:val="4A056E6A"/>
    <w:rsid w:val="4A190B67"/>
    <w:rsid w:val="4A3E672A"/>
    <w:rsid w:val="4A9208B7"/>
    <w:rsid w:val="4AAC5537"/>
    <w:rsid w:val="4AB123F6"/>
    <w:rsid w:val="4B0C247A"/>
    <w:rsid w:val="4B1D5099"/>
    <w:rsid w:val="4B2F2FC4"/>
    <w:rsid w:val="4B4512D8"/>
    <w:rsid w:val="4B4C6F7E"/>
    <w:rsid w:val="4B5005B9"/>
    <w:rsid w:val="4B5538D6"/>
    <w:rsid w:val="4B7A5291"/>
    <w:rsid w:val="4B996B08"/>
    <w:rsid w:val="4B9F272A"/>
    <w:rsid w:val="4BBB3FA1"/>
    <w:rsid w:val="4BBD05CA"/>
    <w:rsid w:val="4BC915C7"/>
    <w:rsid w:val="4C17077C"/>
    <w:rsid w:val="4C2A0F65"/>
    <w:rsid w:val="4C514F01"/>
    <w:rsid w:val="4C6C1422"/>
    <w:rsid w:val="4C6E5295"/>
    <w:rsid w:val="4C7B1DB8"/>
    <w:rsid w:val="4C8612E4"/>
    <w:rsid w:val="4C8845CA"/>
    <w:rsid w:val="4C9600B7"/>
    <w:rsid w:val="4CA43DA3"/>
    <w:rsid w:val="4CAC7A71"/>
    <w:rsid w:val="4CAE464D"/>
    <w:rsid w:val="4CB644F0"/>
    <w:rsid w:val="4CBA03DF"/>
    <w:rsid w:val="4CE1714D"/>
    <w:rsid w:val="4CE90CC5"/>
    <w:rsid w:val="4CE941C6"/>
    <w:rsid w:val="4CF03E01"/>
    <w:rsid w:val="4CFA1B21"/>
    <w:rsid w:val="4CFE6AD7"/>
    <w:rsid w:val="4D572089"/>
    <w:rsid w:val="4D595DDE"/>
    <w:rsid w:val="4D72372E"/>
    <w:rsid w:val="4D764DF5"/>
    <w:rsid w:val="4D926B17"/>
    <w:rsid w:val="4DB20B35"/>
    <w:rsid w:val="4DFF1E22"/>
    <w:rsid w:val="4E1028CD"/>
    <w:rsid w:val="4E154DD9"/>
    <w:rsid w:val="4E2B509C"/>
    <w:rsid w:val="4E5B174E"/>
    <w:rsid w:val="4E66502B"/>
    <w:rsid w:val="4E821AC1"/>
    <w:rsid w:val="4E893423"/>
    <w:rsid w:val="4E9B7735"/>
    <w:rsid w:val="4EB90223"/>
    <w:rsid w:val="4EC512BE"/>
    <w:rsid w:val="4ECF55EC"/>
    <w:rsid w:val="4ED908C5"/>
    <w:rsid w:val="4EDE0581"/>
    <w:rsid w:val="4F0C78AF"/>
    <w:rsid w:val="4F11117A"/>
    <w:rsid w:val="4F2C1AA1"/>
    <w:rsid w:val="4F477E13"/>
    <w:rsid w:val="4F4A531F"/>
    <w:rsid w:val="4F58775A"/>
    <w:rsid w:val="4FA03191"/>
    <w:rsid w:val="4FA51434"/>
    <w:rsid w:val="4FAB1C08"/>
    <w:rsid w:val="4FAE01EC"/>
    <w:rsid w:val="4FCE41A2"/>
    <w:rsid w:val="4FD34552"/>
    <w:rsid w:val="4FE043B3"/>
    <w:rsid w:val="4FF35C09"/>
    <w:rsid w:val="50090642"/>
    <w:rsid w:val="500F0348"/>
    <w:rsid w:val="50104B02"/>
    <w:rsid w:val="505521CD"/>
    <w:rsid w:val="506616A5"/>
    <w:rsid w:val="50684182"/>
    <w:rsid w:val="509501CB"/>
    <w:rsid w:val="50B25444"/>
    <w:rsid w:val="50D37FE8"/>
    <w:rsid w:val="50D407E0"/>
    <w:rsid w:val="50DA4369"/>
    <w:rsid w:val="50DC4BB9"/>
    <w:rsid w:val="50EE4AFC"/>
    <w:rsid w:val="50F60038"/>
    <w:rsid w:val="5105348C"/>
    <w:rsid w:val="510C6D30"/>
    <w:rsid w:val="51143E36"/>
    <w:rsid w:val="511650A1"/>
    <w:rsid w:val="5126535E"/>
    <w:rsid w:val="515661FD"/>
    <w:rsid w:val="51855697"/>
    <w:rsid w:val="51864D83"/>
    <w:rsid w:val="51BB2504"/>
    <w:rsid w:val="51D004F0"/>
    <w:rsid w:val="51E93115"/>
    <w:rsid w:val="52041D74"/>
    <w:rsid w:val="520E4374"/>
    <w:rsid w:val="521813F1"/>
    <w:rsid w:val="521D7FFF"/>
    <w:rsid w:val="52293911"/>
    <w:rsid w:val="52313183"/>
    <w:rsid w:val="523B78D6"/>
    <w:rsid w:val="524332CB"/>
    <w:rsid w:val="524751DF"/>
    <w:rsid w:val="524939F1"/>
    <w:rsid w:val="525070F0"/>
    <w:rsid w:val="52737CC4"/>
    <w:rsid w:val="529E60AD"/>
    <w:rsid w:val="52BC6534"/>
    <w:rsid w:val="52EE03C2"/>
    <w:rsid w:val="53234805"/>
    <w:rsid w:val="53275046"/>
    <w:rsid w:val="532C5EFC"/>
    <w:rsid w:val="533D58C6"/>
    <w:rsid w:val="534112A6"/>
    <w:rsid w:val="537A21E1"/>
    <w:rsid w:val="53881CC6"/>
    <w:rsid w:val="538C62D8"/>
    <w:rsid w:val="53994B28"/>
    <w:rsid w:val="53A51C0B"/>
    <w:rsid w:val="53BD6A07"/>
    <w:rsid w:val="53D05D53"/>
    <w:rsid w:val="53D578AD"/>
    <w:rsid w:val="53D87451"/>
    <w:rsid w:val="53DF5F6C"/>
    <w:rsid w:val="53E84C7E"/>
    <w:rsid w:val="53EC3BAC"/>
    <w:rsid w:val="5424183B"/>
    <w:rsid w:val="542B1DD4"/>
    <w:rsid w:val="542D5D29"/>
    <w:rsid w:val="54521413"/>
    <w:rsid w:val="546C033B"/>
    <w:rsid w:val="54C47957"/>
    <w:rsid w:val="54D650B1"/>
    <w:rsid w:val="54D933CD"/>
    <w:rsid w:val="54E579B0"/>
    <w:rsid w:val="54FC530D"/>
    <w:rsid w:val="550B72FE"/>
    <w:rsid w:val="55284BFA"/>
    <w:rsid w:val="55436A98"/>
    <w:rsid w:val="556A59B3"/>
    <w:rsid w:val="55710874"/>
    <w:rsid w:val="557B2451"/>
    <w:rsid w:val="55B67488"/>
    <w:rsid w:val="55D900D5"/>
    <w:rsid w:val="55DF2C65"/>
    <w:rsid w:val="55F06C20"/>
    <w:rsid w:val="55F80244"/>
    <w:rsid w:val="55FB374B"/>
    <w:rsid w:val="56097CE2"/>
    <w:rsid w:val="565B1A48"/>
    <w:rsid w:val="56617B1E"/>
    <w:rsid w:val="566D1835"/>
    <w:rsid w:val="56884AE3"/>
    <w:rsid w:val="569945BB"/>
    <w:rsid w:val="56A619D5"/>
    <w:rsid w:val="56D73191"/>
    <w:rsid w:val="570E6FC5"/>
    <w:rsid w:val="571D3601"/>
    <w:rsid w:val="571F1304"/>
    <w:rsid w:val="575E70BA"/>
    <w:rsid w:val="57646B6A"/>
    <w:rsid w:val="57967CD6"/>
    <w:rsid w:val="57B35D3A"/>
    <w:rsid w:val="57D51F55"/>
    <w:rsid w:val="58006EC2"/>
    <w:rsid w:val="581110D0"/>
    <w:rsid w:val="5817113B"/>
    <w:rsid w:val="581E3DE2"/>
    <w:rsid w:val="58277A1F"/>
    <w:rsid w:val="584274DB"/>
    <w:rsid w:val="5846521D"/>
    <w:rsid w:val="58511B64"/>
    <w:rsid w:val="58564D34"/>
    <w:rsid w:val="585D2567"/>
    <w:rsid w:val="586C58ED"/>
    <w:rsid w:val="58A27F7A"/>
    <w:rsid w:val="58BF6D7E"/>
    <w:rsid w:val="58C3061C"/>
    <w:rsid w:val="58DF4D2A"/>
    <w:rsid w:val="58FB698C"/>
    <w:rsid w:val="591B47EB"/>
    <w:rsid w:val="594A6647"/>
    <w:rsid w:val="596516D3"/>
    <w:rsid w:val="59753E42"/>
    <w:rsid w:val="59914E4A"/>
    <w:rsid w:val="5A0F4038"/>
    <w:rsid w:val="5A2C67D8"/>
    <w:rsid w:val="5A421A14"/>
    <w:rsid w:val="5A554E5B"/>
    <w:rsid w:val="5A5F0E54"/>
    <w:rsid w:val="5A7F67C4"/>
    <w:rsid w:val="5A867B53"/>
    <w:rsid w:val="5A985A61"/>
    <w:rsid w:val="5AA5317A"/>
    <w:rsid w:val="5ABE706E"/>
    <w:rsid w:val="5B101B12"/>
    <w:rsid w:val="5B2561DF"/>
    <w:rsid w:val="5B3279BC"/>
    <w:rsid w:val="5B4F58A4"/>
    <w:rsid w:val="5B5E63DA"/>
    <w:rsid w:val="5B6037EF"/>
    <w:rsid w:val="5B70610D"/>
    <w:rsid w:val="5B987D76"/>
    <w:rsid w:val="5C13058E"/>
    <w:rsid w:val="5C1473E0"/>
    <w:rsid w:val="5C2240B4"/>
    <w:rsid w:val="5C245875"/>
    <w:rsid w:val="5C430981"/>
    <w:rsid w:val="5C4952DC"/>
    <w:rsid w:val="5C4A082C"/>
    <w:rsid w:val="5C7E46C1"/>
    <w:rsid w:val="5CF214D0"/>
    <w:rsid w:val="5CF60E57"/>
    <w:rsid w:val="5D024FAB"/>
    <w:rsid w:val="5D210F03"/>
    <w:rsid w:val="5D290307"/>
    <w:rsid w:val="5D2C7751"/>
    <w:rsid w:val="5D4B45B0"/>
    <w:rsid w:val="5D4D110B"/>
    <w:rsid w:val="5D4D1CFD"/>
    <w:rsid w:val="5D7A0E3C"/>
    <w:rsid w:val="5D8D51D4"/>
    <w:rsid w:val="5DB06EBA"/>
    <w:rsid w:val="5DC97E04"/>
    <w:rsid w:val="5DE52DE2"/>
    <w:rsid w:val="5E1360BA"/>
    <w:rsid w:val="5E1748FD"/>
    <w:rsid w:val="5E1A6CE7"/>
    <w:rsid w:val="5E2C27BF"/>
    <w:rsid w:val="5E371164"/>
    <w:rsid w:val="5E5461ED"/>
    <w:rsid w:val="5E696E34"/>
    <w:rsid w:val="5E7E0AD5"/>
    <w:rsid w:val="5EA467FA"/>
    <w:rsid w:val="5F494A17"/>
    <w:rsid w:val="5F5924E9"/>
    <w:rsid w:val="5F6758BD"/>
    <w:rsid w:val="5FA07832"/>
    <w:rsid w:val="5FD17AC2"/>
    <w:rsid w:val="5FD404A6"/>
    <w:rsid w:val="600532C8"/>
    <w:rsid w:val="60327E35"/>
    <w:rsid w:val="60723BC2"/>
    <w:rsid w:val="607466A0"/>
    <w:rsid w:val="60755E5E"/>
    <w:rsid w:val="608C0D72"/>
    <w:rsid w:val="609E0F38"/>
    <w:rsid w:val="60D66C29"/>
    <w:rsid w:val="60E45417"/>
    <w:rsid w:val="60EC67B1"/>
    <w:rsid w:val="6110461A"/>
    <w:rsid w:val="613A7976"/>
    <w:rsid w:val="6147235A"/>
    <w:rsid w:val="614F743B"/>
    <w:rsid w:val="61581B1D"/>
    <w:rsid w:val="616D5E79"/>
    <w:rsid w:val="61914F52"/>
    <w:rsid w:val="61B41449"/>
    <w:rsid w:val="61BA25A4"/>
    <w:rsid w:val="61BE4076"/>
    <w:rsid w:val="61C139EE"/>
    <w:rsid w:val="61C176C2"/>
    <w:rsid w:val="61CB663A"/>
    <w:rsid w:val="61D3513B"/>
    <w:rsid w:val="61D90EB0"/>
    <w:rsid w:val="61E20F08"/>
    <w:rsid w:val="61E25C21"/>
    <w:rsid w:val="61E52DC7"/>
    <w:rsid w:val="61EC405B"/>
    <w:rsid w:val="6213404B"/>
    <w:rsid w:val="62223D7A"/>
    <w:rsid w:val="623068C3"/>
    <w:rsid w:val="6235791C"/>
    <w:rsid w:val="62403FC4"/>
    <w:rsid w:val="6249032A"/>
    <w:rsid w:val="627C183B"/>
    <w:rsid w:val="62C16498"/>
    <w:rsid w:val="630D75F8"/>
    <w:rsid w:val="630F3C41"/>
    <w:rsid w:val="63140612"/>
    <w:rsid w:val="631756B0"/>
    <w:rsid w:val="633349ED"/>
    <w:rsid w:val="635268F9"/>
    <w:rsid w:val="63536A40"/>
    <w:rsid w:val="63612F0B"/>
    <w:rsid w:val="637F3391"/>
    <w:rsid w:val="637F56FA"/>
    <w:rsid w:val="638B28E8"/>
    <w:rsid w:val="63996C58"/>
    <w:rsid w:val="63AA623B"/>
    <w:rsid w:val="63B53257"/>
    <w:rsid w:val="641A615C"/>
    <w:rsid w:val="642208FC"/>
    <w:rsid w:val="6424218B"/>
    <w:rsid w:val="64610CE9"/>
    <w:rsid w:val="64654DEB"/>
    <w:rsid w:val="648E53EF"/>
    <w:rsid w:val="64A0031F"/>
    <w:rsid w:val="64A10CEF"/>
    <w:rsid w:val="64AA2690"/>
    <w:rsid w:val="64B14965"/>
    <w:rsid w:val="64CE0B72"/>
    <w:rsid w:val="64E63CF2"/>
    <w:rsid w:val="64E90FE5"/>
    <w:rsid w:val="65377372"/>
    <w:rsid w:val="65444892"/>
    <w:rsid w:val="657447EF"/>
    <w:rsid w:val="65A43583"/>
    <w:rsid w:val="65AC2438"/>
    <w:rsid w:val="65BF59C6"/>
    <w:rsid w:val="65BF7B30"/>
    <w:rsid w:val="65C60DEB"/>
    <w:rsid w:val="65DA7C44"/>
    <w:rsid w:val="65DC7951"/>
    <w:rsid w:val="65E6594A"/>
    <w:rsid w:val="65F242EE"/>
    <w:rsid w:val="66240220"/>
    <w:rsid w:val="66372633"/>
    <w:rsid w:val="6646463A"/>
    <w:rsid w:val="66633E9A"/>
    <w:rsid w:val="667D088C"/>
    <w:rsid w:val="66846EFD"/>
    <w:rsid w:val="668C3B5D"/>
    <w:rsid w:val="668C4743"/>
    <w:rsid w:val="669E4476"/>
    <w:rsid w:val="669F3353"/>
    <w:rsid w:val="66A034CB"/>
    <w:rsid w:val="66A517EB"/>
    <w:rsid w:val="66AC79F5"/>
    <w:rsid w:val="66F4354F"/>
    <w:rsid w:val="66FB3E37"/>
    <w:rsid w:val="67291611"/>
    <w:rsid w:val="674D315A"/>
    <w:rsid w:val="674E0FD2"/>
    <w:rsid w:val="6759039D"/>
    <w:rsid w:val="677D408C"/>
    <w:rsid w:val="67844BAB"/>
    <w:rsid w:val="679766E8"/>
    <w:rsid w:val="679E375C"/>
    <w:rsid w:val="67AA2C7D"/>
    <w:rsid w:val="67DB0933"/>
    <w:rsid w:val="67DD1BB0"/>
    <w:rsid w:val="67E564E7"/>
    <w:rsid w:val="680227E3"/>
    <w:rsid w:val="680622D3"/>
    <w:rsid w:val="68077DF9"/>
    <w:rsid w:val="6832131A"/>
    <w:rsid w:val="68440261"/>
    <w:rsid w:val="68632C80"/>
    <w:rsid w:val="687D7FB3"/>
    <w:rsid w:val="68A63D7A"/>
    <w:rsid w:val="68C22BD8"/>
    <w:rsid w:val="69116A62"/>
    <w:rsid w:val="691B0000"/>
    <w:rsid w:val="691E0497"/>
    <w:rsid w:val="693469CC"/>
    <w:rsid w:val="69403897"/>
    <w:rsid w:val="694C0422"/>
    <w:rsid w:val="698C4A5A"/>
    <w:rsid w:val="69943AEF"/>
    <w:rsid w:val="69A34123"/>
    <w:rsid w:val="69A973BA"/>
    <w:rsid w:val="69BB7EAF"/>
    <w:rsid w:val="69CC6B7C"/>
    <w:rsid w:val="69D87020"/>
    <w:rsid w:val="69DB537D"/>
    <w:rsid w:val="69E76134"/>
    <w:rsid w:val="6A150CDB"/>
    <w:rsid w:val="6A152CA1"/>
    <w:rsid w:val="6AA329CD"/>
    <w:rsid w:val="6B2009D5"/>
    <w:rsid w:val="6B2A6098"/>
    <w:rsid w:val="6B4F5000"/>
    <w:rsid w:val="6B5275DD"/>
    <w:rsid w:val="6B546E00"/>
    <w:rsid w:val="6B6567F1"/>
    <w:rsid w:val="6B6B77A0"/>
    <w:rsid w:val="6B720C7C"/>
    <w:rsid w:val="6B7B7D93"/>
    <w:rsid w:val="6BD72BFA"/>
    <w:rsid w:val="6C0C7A7C"/>
    <w:rsid w:val="6C292A34"/>
    <w:rsid w:val="6C2C6080"/>
    <w:rsid w:val="6C67286D"/>
    <w:rsid w:val="6C691F43"/>
    <w:rsid w:val="6CB467A2"/>
    <w:rsid w:val="6CB7442A"/>
    <w:rsid w:val="6CC462B9"/>
    <w:rsid w:val="6CDF5129"/>
    <w:rsid w:val="6CE26F7D"/>
    <w:rsid w:val="6CF92406"/>
    <w:rsid w:val="6D1C6524"/>
    <w:rsid w:val="6D276D15"/>
    <w:rsid w:val="6D36185D"/>
    <w:rsid w:val="6D4B3F19"/>
    <w:rsid w:val="6D9D0818"/>
    <w:rsid w:val="6DA456E9"/>
    <w:rsid w:val="6DA751E6"/>
    <w:rsid w:val="6DC63340"/>
    <w:rsid w:val="6DC9002B"/>
    <w:rsid w:val="6E1F5C10"/>
    <w:rsid w:val="6E344E0D"/>
    <w:rsid w:val="6E8C5638"/>
    <w:rsid w:val="6E9D506D"/>
    <w:rsid w:val="6EA049AC"/>
    <w:rsid w:val="6ECE494B"/>
    <w:rsid w:val="6EDC1070"/>
    <w:rsid w:val="6EE5224F"/>
    <w:rsid w:val="6F24076C"/>
    <w:rsid w:val="6F4551EB"/>
    <w:rsid w:val="6F4575BC"/>
    <w:rsid w:val="6F710730"/>
    <w:rsid w:val="6F963F3C"/>
    <w:rsid w:val="6F9D1989"/>
    <w:rsid w:val="6F9D66F8"/>
    <w:rsid w:val="6FB91A91"/>
    <w:rsid w:val="6FC457BC"/>
    <w:rsid w:val="70124EFA"/>
    <w:rsid w:val="702F4391"/>
    <w:rsid w:val="70342B6D"/>
    <w:rsid w:val="70543131"/>
    <w:rsid w:val="706A3CF7"/>
    <w:rsid w:val="706E6C67"/>
    <w:rsid w:val="70785D38"/>
    <w:rsid w:val="70C04FE9"/>
    <w:rsid w:val="70C666FD"/>
    <w:rsid w:val="70D07EC3"/>
    <w:rsid w:val="70E209BC"/>
    <w:rsid w:val="70F829D5"/>
    <w:rsid w:val="70F96E79"/>
    <w:rsid w:val="70FC7F1F"/>
    <w:rsid w:val="710846D2"/>
    <w:rsid w:val="713165C8"/>
    <w:rsid w:val="71423A9C"/>
    <w:rsid w:val="714B6FA9"/>
    <w:rsid w:val="714C1131"/>
    <w:rsid w:val="71791D68"/>
    <w:rsid w:val="717A6635"/>
    <w:rsid w:val="718C61C9"/>
    <w:rsid w:val="71DF6C29"/>
    <w:rsid w:val="72126B16"/>
    <w:rsid w:val="72220DAF"/>
    <w:rsid w:val="7238577F"/>
    <w:rsid w:val="72411CAD"/>
    <w:rsid w:val="7298763E"/>
    <w:rsid w:val="729C46EB"/>
    <w:rsid w:val="729D4CC8"/>
    <w:rsid w:val="72F71196"/>
    <w:rsid w:val="72FB055A"/>
    <w:rsid w:val="73326919"/>
    <w:rsid w:val="733B0192"/>
    <w:rsid w:val="735A3288"/>
    <w:rsid w:val="737005A1"/>
    <w:rsid w:val="73874456"/>
    <w:rsid w:val="738844E4"/>
    <w:rsid w:val="73AA445A"/>
    <w:rsid w:val="73AC6F46"/>
    <w:rsid w:val="73B057E9"/>
    <w:rsid w:val="73CC1B31"/>
    <w:rsid w:val="73D613AB"/>
    <w:rsid w:val="73D9089C"/>
    <w:rsid w:val="73EE3425"/>
    <w:rsid w:val="73F6144E"/>
    <w:rsid w:val="73FB2F08"/>
    <w:rsid w:val="74046E1C"/>
    <w:rsid w:val="74145D78"/>
    <w:rsid w:val="741E09A4"/>
    <w:rsid w:val="743369B7"/>
    <w:rsid w:val="74414007"/>
    <w:rsid w:val="746E5488"/>
    <w:rsid w:val="746F1ED0"/>
    <w:rsid w:val="748C0004"/>
    <w:rsid w:val="74A16D28"/>
    <w:rsid w:val="74C564D1"/>
    <w:rsid w:val="74DE4FB2"/>
    <w:rsid w:val="74E67A04"/>
    <w:rsid w:val="74F6722B"/>
    <w:rsid w:val="75266DA7"/>
    <w:rsid w:val="752913AF"/>
    <w:rsid w:val="75377B38"/>
    <w:rsid w:val="753A74C2"/>
    <w:rsid w:val="754040AE"/>
    <w:rsid w:val="75454A9D"/>
    <w:rsid w:val="755A7E89"/>
    <w:rsid w:val="755C79D6"/>
    <w:rsid w:val="757765BE"/>
    <w:rsid w:val="759751DA"/>
    <w:rsid w:val="759D2392"/>
    <w:rsid w:val="75AD4450"/>
    <w:rsid w:val="75CC232F"/>
    <w:rsid w:val="75D80998"/>
    <w:rsid w:val="75F4035E"/>
    <w:rsid w:val="75F61BD9"/>
    <w:rsid w:val="760F67F7"/>
    <w:rsid w:val="761A44EC"/>
    <w:rsid w:val="76240B19"/>
    <w:rsid w:val="763612C0"/>
    <w:rsid w:val="76404C02"/>
    <w:rsid w:val="7650620D"/>
    <w:rsid w:val="76866E1C"/>
    <w:rsid w:val="7688510D"/>
    <w:rsid w:val="76AA6412"/>
    <w:rsid w:val="76BE1721"/>
    <w:rsid w:val="76E4473C"/>
    <w:rsid w:val="76EC08E6"/>
    <w:rsid w:val="76F679B7"/>
    <w:rsid w:val="76FC03FE"/>
    <w:rsid w:val="76FD0D45"/>
    <w:rsid w:val="77147E3D"/>
    <w:rsid w:val="7729225E"/>
    <w:rsid w:val="77453A38"/>
    <w:rsid w:val="777036F0"/>
    <w:rsid w:val="77837D9A"/>
    <w:rsid w:val="778A312C"/>
    <w:rsid w:val="77966528"/>
    <w:rsid w:val="77A80CB1"/>
    <w:rsid w:val="77ED2B68"/>
    <w:rsid w:val="77EE7E79"/>
    <w:rsid w:val="77FF08D7"/>
    <w:rsid w:val="78044AA5"/>
    <w:rsid w:val="78136355"/>
    <w:rsid w:val="781546CD"/>
    <w:rsid w:val="78197E01"/>
    <w:rsid w:val="781D027F"/>
    <w:rsid w:val="78236589"/>
    <w:rsid w:val="784309DA"/>
    <w:rsid w:val="784A5EBD"/>
    <w:rsid w:val="78520C1D"/>
    <w:rsid w:val="78627980"/>
    <w:rsid w:val="786D5A56"/>
    <w:rsid w:val="7875085A"/>
    <w:rsid w:val="787F4DC1"/>
    <w:rsid w:val="78AE679B"/>
    <w:rsid w:val="78BB2C66"/>
    <w:rsid w:val="78C139E5"/>
    <w:rsid w:val="7929374A"/>
    <w:rsid w:val="79312F28"/>
    <w:rsid w:val="793451C4"/>
    <w:rsid w:val="795B7D6A"/>
    <w:rsid w:val="795D3716"/>
    <w:rsid w:val="79604C65"/>
    <w:rsid w:val="7962262E"/>
    <w:rsid w:val="797E3479"/>
    <w:rsid w:val="798968C0"/>
    <w:rsid w:val="799F60E4"/>
    <w:rsid w:val="79A16564"/>
    <w:rsid w:val="79A74F98"/>
    <w:rsid w:val="7A1A1E8C"/>
    <w:rsid w:val="7A201051"/>
    <w:rsid w:val="7A4647B1"/>
    <w:rsid w:val="7A4D1FE3"/>
    <w:rsid w:val="7AA360D0"/>
    <w:rsid w:val="7AA37E55"/>
    <w:rsid w:val="7B064814"/>
    <w:rsid w:val="7B367106"/>
    <w:rsid w:val="7B42141C"/>
    <w:rsid w:val="7B7F61CD"/>
    <w:rsid w:val="7B833D31"/>
    <w:rsid w:val="7B846A51"/>
    <w:rsid w:val="7B9A4DB4"/>
    <w:rsid w:val="7BB75966"/>
    <w:rsid w:val="7BC80CA2"/>
    <w:rsid w:val="7BDC4B9B"/>
    <w:rsid w:val="7BEB4002"/>
    <w:rsid w:val="7C056D62"/>
    <w:rsid w:val="7C102D04"/>
    <w:rsid w:val="7C105077"/>
    <w:rsid w:val="7C4822C7"/>
    <w:rsid w:val="7C602D80"/>
    <w:rsid w:val="7C740E72"/>
    <w:rsid w:val="7C7616FE"/>
    <w:rsid w:val="7C921F30"/>
    <w:rsid w:val="7CAA1027"/>
    <w:rsid w:val="7CEB1AAB"/>
    <w:rsid w:val="7CF341EB"/>
    <w:rsid w:val="7CF343F2"/>
    <w:rsid w:val="7CF966D2"/>
    <w:rsid w:val="7D0C268E"/>
    <w:rsid w:val="7D181A6A"/>
    <w:rsid w:val="7D1B3CD3"/>
    <w:rsid w:val="7D1D356C"/>
    <w:rsid w:val="7D3B05B6"/>
    <w:rsid w:val="7D470F6C"/>
    <w:rsid w:val="7D53760E"/>
    <w:rsid w:val="7D7013E0"/>
    <w:rsid w:val="7D8760D5"/>
    <w:rsid w:val="7DBC080E"/>
    <w:rsid w:val="7DE844FD"/>
    <w:rsid w:val="7DF13E34"/>
    <w:rsid w:val="7E094473"/>
    <w:rsid w:val="7E097603"/>
    <w:rsid w:val="7E1114AB"/>
    <w:rsid w:val="7E265025"/>
    <w:rsid w:val="7E2C20BD"/>
    <w:rsid w:val="7E3F7A9A"/>
    <w:rsid w:val="7E434424"/>
    <w:rsid w:val="7E4365D3"/>
    <w:rsid w:val="7E5C0A47"/>
    <w:rsid w:val="7E6310A1"/>
    <w:rsid w:val="7E7A4D36"/>
    <w:rsid w:val="7E800B59"/>
    <w:rsid w:val="7E906943"/>
    <w:rsid w:val="7EC9775F"/>
    <w:rsid w:val="7ECB1729"/>
    <w:rsid w:val="7EF47ED5"/>
    <w:rsid w:val="7EF86D3E"/>
    <w:rsid w:val="7F054DF0"/>
    <w:rsid w:val="7F1E3F4E"/>
    <w:rsid w:val="7F475253"/>
    <w:rsid w:val="7F5D6825"/>
    <w:rsid w:val="7F6077DC"/>
    <w:rsid w:val="7F741DC0"/>
    <w:rsid w:val="7F9939A3"/>
    <w:rsid w:val="7F9E4E91"/>
    <w:rsid w:val="7FAE30EA"/>
    <w:rsid w:val="7FB17668"/>
    <w:rsid w:val="7FC82489"/>
    <w:rsid w:val="7FF013FF"/>
    <w:rsid w:val="7FF50C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qFormat="1" w:uiPriority="99"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snapToGrid/>
      <w:spacing w:line="360" w:lineRule="auto"/>
      <w:jc w:val="left"/>
      <w:textAlignment w:val="baseline"/>
    </w:pPr>
    <w:rPr>
      <w:rFonts w:ascii="Times New Roman" w:hAnsi="Times New Roman" w:eastAsia="宋体" w:cs="Arial"/>
      <w:snapToGrid w:val="0"/>
      <w:color w:val="000000"/>
      <w:kern w:val="0"/>
      <w:sz w:val="24"/>
      <w:szCs w:val="21"/>
    </w:rPr>
  </w:style>
  <w:style w:type="paragraph" w:styleId="2">
    <w:name w:val="heading 1"/>
    <w:basedOn w:val="1"/>
    <w:next w:val="1"/>
    <w:qFormat/>
    <w:uiPriority w:val="0"/>
    <w:pPr>
      <w:keepNext/>
      <w:keepLines/>
      <w:adjustRightInd/>
      <w:snapToGrid/>
      <w:spacing w:beforeLines="0" w:beforeAutospacing="0" w:afterLines="0" w:afterAutospacing="0" w:line="240" w:lineRule="auto"/>
      <w:jc w:val="center"/>
      <w:outlineLvl w:val="0"/>
    </w:pPr>
    <w:rPr>
      <w:b/>
      <w:kern w:val="44"/>
      <w:sz w:val="36"/>
    </w:rPr>
  </w:style>
  <w:style w:type="paragraph" w:styleId="3">
    <w:name w:val="heading 2"/>
    <w:basedOn w:val="1"/>
    <w:next w:val="1"/>
    <w:unhideWhenUsed/>
    <w:qFormat/>
    <w:uiPriority w:val="0"/>
    <w:pPr>
      <w:keepNext/>
      <w:keepLines/>
      <w:adjustRightInd/>
      <w:snapToGrid/>
      <w:spacing w:beforeLines="0" w:beforeAutospacing="0" w:afterLines="0" w:afterAutospacing="0" w:line="360" w:lineRule="auto"/>
      <w:outlineLvl w:val="1"/>
    </w:pPr>
    <w:rPr>
      <w:rFonts w:ascii="Times New Roman" w:hAnsi="Times New Roman" w:eastAsia="宋体"/>
      <w:b/>
      <w:sz w:val="28"/>
    </w:rPr>
  </w:style>
  <w:style w:type="paragraph" w:styleId="4">
    <w:name w:val="heading 3"/>
    <w:basedOn w:val="1"/>
    <w:next w:val="1"/>
    <w:link w:val="33"/>
    <w:unhideWhenUsed/>
    <w:qFormat/>
    <w:uiPriority w:val="0"/>
    <w:pPr>
      <w:keepNext/>
      <w:keepLines/>
      <w:adjustRightInd/>
      <w:snapToGrid/>
      <w:spacing w:beforeLines="0" w:beforeAutospacing="0" w:afterLines="0" w:afterAutospacing="0" w:line="360" w:lineRule="auto"/>
      <w:outlineLvl w:val="2"/>
    </w:pPr>
    <w:rPr>
      <w:rFonts w:ascii="Times New Roman" w:hAnsi="Times New Roman" w:eastAsia="宋体"/>
      <w:b/>
      <w:sz w:val="24"/>
    </w:rPr>
  </w:style>
  <w:style w:type="paragraph" w:styleId="5">
    <w:name w:val="heading 4"/>
    <w:basedOn w:val="1"/>
    <w:next w:val="1"/>
    <w:semiHidden/>
    <w:unhideWhenUsed/>
    <w:qFormat/>
    <w:uiPriority w:val="0"/>
    <w:pPr>
      <w:keepNext/>
      <w:keepLines/>
      <w:adjustRightInd/>
      <w:snapToGrid/>
      <w:spacing w:beforeLines="0" w:beforeAutospacing="0" w:afterLines="0" w:afterAutospacing="0" w:line="240" w:lineRule="auto"/>
      <w:outlineLvl w:val="3"/>
    </w:pPr>
    <w:rPr>
      <w:rFonts w:ascii="Times New Roman" w:hAnsi="Times New Roman" w:eastAsia="宋体"/>
      <w:b/>
      <w:sz w:val="24"/>
    </w:rPr>
  </w:style>
  <w:style w:type="character" w:default="1" w:styleId="20">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6">
    <w:name w:val="table of authorities"/>
    <w:basedOn w:val="1"/>
    <w:next w:val="1"/>
    <w:unhideWhenUsed/>
    <w:qFormat/>
    <w:uiPriority w:val="99"/>
    <w:pPr>
      <w:ind w:left="420" w:leftChars="200"/>
    </w:pPr>
  </w:style>
  <w:style w:type="paragraph" w:styleId="7">
    <w:name w:val="Normal Indent"/>
    <w:basedOn w:val="1"/>
    <w:next w:val="1"/>
    <w:unhideWhenUsed/>
    <w:qFormat/>
    <w:uiPriority w:val="99"/>
    <w:pPr>
      <w:ind w:firstLine="420"/>
    </w:pPr>
  </w:style>
  <w:style w:type="paragraph" w:styleId="8">
    <w:name w:val="annotation text"/>
    <w:basedOn w:val="1"/>
    <w:qFormat/>
    <w:uiPriority w:val="0"/>
    <w:pPr>
      <w:jc w:val="left"/>
    </w:pPr>
  </w:style>
  <w:style w:type="paragraph" w:styleId="9">
    <w:name w:val="Body Text"/>
    <w:basedOn w:val="1"/>
    <w:qFormat/>
    <w:uiPriority w:val="0"/>
    <w:pPr>
      <w:spacing w:before="155"/>
      <w:ind w:left="588"/>
    </w:pPr>
    <w:rPr>
      <w:rFonts w:ascii="宋体" w:hAnsi="宋体" w:eastAsia="宋体"/>
      <w:sz w:val="24"/>
      <w:szCs w:val="24"/>
    </w:rPr>
  </w:style>
  <w:style w:type="paragraph" w:styleId="10">
    <w:name w:val="Body Text Indent"/>
    <w:basedOn w:val="1"/>
    <w:qFormat/>
    <w:uiPriority w:val="99"/>
    <w:pPr>
      <w:widowControl w:val="0"/>
      <w:spacing w:after="120"/>
      <w:ind w:left="420" w:leftChars="200"/>
      <w:jc w:val="both"/>
    </w:pPr>
    <w:rPr>
      <w:rFonts w:asciiTheme="minorHAnsi" w:hAnsiTheme="minorHAnsi" w:eastAsiaTheme="minorEastAsia" w:cstheme="minorBidi"/>
      <w:kern w:val="2"/>
      <w:sz w:val="21"/>
      <w:szCs w:val="22"/>
    </w:rPr>
  </w:style>
  <w:style w:type="paragraph" w:styleId="11">
    <w:name w:val="Body Text Indent 2"/>
    <w:basedOn w:val="1"/>
    <w:next w:val="1"/>
    <w:qFormat/>
    <w:uiPriority w:val="0"/>
    <w:pPr>
      <w:ind w:left="-140" w:firstLine="560"/>
      <w:jc w:val="left"/>
      <w:outlineLvl w:val="0"/>
    </w:pPr>
    <w:rPr>
      <w:sz w:val="28"/>
      <w:szCs w:val="20"/>
    </w:rPr>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List"/>
    <w:basedOn w:val="1"/>
    <w:next w:val="1"/>
    <w:qFormat/>
    <w:uiPriority w:val="0"/>
    <w:pPr>
      <w:adjustRightInd w:val="0"/>
      <w:snapToGrid w:val="0"/>
      <w:spacing w:line="500" w:lineRule="exact"/>
      <w:ind w:left="200" w:hanging="200" w:hangingChars="200"/>
      <w:contextualSpacing/>
    </w:pPr>
    <w:rPr>
      <w:rFonts w:ascii="Times New Roman" w:hAnsi="Times New Roman" w:eastAsia="宋体"/>
      <w:b/>
      <w:szCs w:val="24"/>
    </w:rPr>
  </w:style>
  <w:style w:type="paragraph" w:styleId="15">
    <w:name w:val="Body Text 2"/>
    <w:basedOn w:val="1"/>
    <w:unhideWhenUsed/>
    <w:qFormat/>
    <w:uiPriority w:val="99"/>
    <w:pPr>
      <w:spacing w:after="120" w:line="480" w:lineRule="auto"/>
    </w:pPr>
  </w:style>
  <w:style w:type="paragraph" w:styleId="1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7">
    <w:name w:val="Body Text First Indent 2"/>
    <w:basedOn w:val="10"/>
    <w:next w:val="10"/>
    <w:qFormat/>
    <w:uiPriority w:val="99"/>
    <w:pPr>
      <w:ind w:firstLine="420"/>
    </w:p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0"/>
    <w:rPr>
      <w:b/>
    </w:rPr>
  </w:style>
  <w:style w:type="paragraph" w:customStyle="1" w:styleId="22">
    <w:name w:val="Default"/>
    <w:basedOn w:val="23"/>
    <w:next w:val="24"/>
    <w:qFormat/>
    <w:uiPriority w:val="0"/>
    <w:pPr>
      <w:widowControl w:val="0"/>
      <w:tabs>
        <w:tab w:val="left" w:pos="2760"/>
      </w:tabs>
      <w:autoSpaceDE w:val="0"/>
      <w:autoSpaceDN w:val="0"/>
    </w:pPr>
    <w:rPr>
      <w:rFonts w:hAnsi="Times New Roman"/>
      <w:b/>
      <w:color w:val="000000"/>
      <w:szCs w:val="24"/>
    </w:rPr>
  </w:style>
  <w:style w:type="paragraph" w:customStyle="1" w:styleId="23">
    <w:name w:val="纯文本1"/>
    <w:basedOn w:val="1"/>
    <w:next w:val="1"/>
    <w:autoRedefine/>
    <w:qFormat/>
    <w:uiPriority w:val="0"/>
    <w:pPr>
      <w:adjustRightInd w:val="0"/>
      <w:snapToGrid w:val="0"/>
      <w:spacing w:line="312" w:lineRule="atLeast"/>
      <w:textAlignment w:val="baseline"/>
    </w:pPr>
    <w:rPr>
      <w:rFonts w:hAnsi="Courier New"/>
      <w:kern w:val="0"/>
    </w:rPr>
  </w:style>
  <w:style w:type="paragraph" w:customStyle="1" w:styleId="24">
    <w:name w:val="正文文字 6"/>
    <w:next w:val="1"/>
    <w:qFormat/>
    <w:uiPriority w:val="0"/>
    <w:pPr>
      <w:widowControl w:val="0"/>
      <w:ind w:left="240"/>
      <w:jc w:val="both"/>
    </w:pPr>
    <w:rPr>
      <w:rFonts w:ascii="宋体" w:hAnsi="Times New Roman" w:eastAsia="宋体" w:cs="Times New Roman"/>
      <w:b/>
      <w:bCs/>
      <w:kern w:val="2"/>
      <w:sz w:val="32"/>
      <w:szCs w:val="32"/>
      <w:lang w:val="en-US" w:eastAsia="zh-CN" w:bidi="ar-SA"/>
    </w:rPr>
  </w:style>
  <w:style w:type="paragraph" w:customStyle="1" w:styleId="25">
    <w:name w:val="报告表正文"/>
    <w:basedOn w:val="26"/>
    <w:qFormat/>
    <w:uiPriority w:val="0"/>
    <w:pPr>
      <w:adjustRightInd w:val="0"/>
      <w:spacing w:line="360" w:lineRule="auto"/>
      <w:ind w:left="0" w:leftChars="0" w:right="0" w:firstLine="482"/>
      <w:jc w:val="both"/>
      <w:textAlignment w:val="baseline"/>
    </w:pPr>
    <w:rPr>
      <w:rFonts w:ascii="Times New Roman" w:hAnsi="Times New Roman" w:eastAsia="宋体"/>
      <w:kern w:val="0"/>
    </w:rPr>
  </w:style>
  <w:style w:type="paragraph" w:customStyle="1" w:styleId="26">
    <w:name w:val="报告正文"/>
    <w:basedOn w:val="27"/>
    <w:qFormat/>
    <w:uiPriority w:val="0"/>
    <w:pPr>
      <w:widowControl w:val="0"/>
      <w:snapToGrid w:val="0"/>
      <w:spacing w:line="360" w:lineRule="auto"/>
      <w:ind w:firstLine="200" w:firstLineChars="200"/>
    </w:pPr>
    <w:rPr>
      <w:rFonts w:ascii="Times New Roman" w:hAnsi="Times New Roman" w:cs="Times New Roman"/>
      <w:snapToGrid w:val="0"/>
      <w:sz w:val="24"/>
      <w:szCs w:val="28"/>
    </w:rPr>
  </w:style>
  <w:style w:type="paragraph" w:customStyle="1" w:styleId="27">
    <w:name w:val="p17"/>
    <w:basedOn w:val="1"/>
    <w:qFormat/>
    <w:uiPriority w:val="0"/>
    <w:pPr>
      <w:widowControl/>
    </w:pPr>
    <w:rPr>
      <w:rFonts w:ascii="宋体" w:hAnsi="宋体" w:cs="宋体"/>
      <w:kern w:val="0"/>
      <w:szCs w:val="21"/>
    </w:rPr>
  </w:style>
  <w:style w:type="table" w:customStyle="1" w:styleId="28">
    <w:name w:val="Table Normal"/>
    <w:semiHidden/>
    <w:unhideWhenUsed/>
    <w:qFormat/>
    <w:uiPriority w:val="0"/>
    <w:tblPr>
      <w:tblCellMar>
        <w:top w:w="0" w:type="dxa"/>
        <w:left w:w="0" w:type="dxa"/>
        <w:bottom w:w="0" w:type="dxa"/>
        <w:right w:w="0" w:type="dxa"/>
      </w:tblCellMar>
    </w:tblPr>
  </w:style>
  <w:style w:type="paragraph" w:customStyle="1" w:styleId="29">
    <w:name w:val="表头"/>
    <w:basedOn w:val="7"/>
    <w:next w:val="1"/>
    <w:link w:val="32"/>
    <w:qFormat/>
    <w:uiPriority w:val="0"/>
    <w:pPr>
      <w:spacing w:line="240" w:lineRule="auto"/>
      <w:ind w:firstLine="0"/>
      <w:jc w:val="center"/>
    </w:pPr>
    <w:rPr>
      <w:rFonts w:ascii="Times New Roman" w:hAnsi="Times New Roman" w:eastAsia="宋体" w:cs="Times New Roman"/>
      <w:b/>
      <w:bCs/>
      <w:spacing w:val="8"/>
      <w:sz w:val="21"/>
      <w:szCs w:val="72"/>
    </w:rPr>
  </w:style>
  <w:style w:type="paragraph" w:customStyle="1" w:styleId="30">
    <w:name w:val="表格内容"/>
    <w:basedOn w:val="1"/>
    <w:qFormat/>
    <w:uiPriority w:val="0"/>
    <w:pPr>
      <w:spacing w:line="240" w:lineRule="auto"/>
      <w:jc w:val="center"/>
    </w:pPr>
    <w:rPr>
      <w:rFonts w:cs="Times New Roman"/>
      <w:bCs/>
      <w:spacing w:val="8"/>
      <w:sz w:val="21"/>
      <w:szCs w:val="72"/>
    </w:rPr>
  </w:style>
  <w:style w:type="paragraph" w:customStyle="1" w:styleId="31">
    <w:name w:val="首行！"/>
    <w:basedOn w:val="1"/>
    <w:link w:val="34"/>
    <w:qFormat/>
    <w:uiPriority w:val="0"/>
    <w:pPr>
      <w:spacing w:line="360" w:lineRule="auto"/>
      <w:ind w:firstLine="420" w:firstLineChars="200"/>
      <w:jc w:val="left"/>
    </w:pPr>
    <w:rPr>
      <w:rFonts w:ascii="Times New Roman" w:hAnsi="Times New Roman" w:eastAsia="宋体" w:cs="Times New Roman"/>
      <w:bCs/>
      <w:spacing w:val="8"/>
      <w:szCs w:val="72"/>
      <w:lang w:val="en-US" w:eastAsia="zh-CN"/>
    </w:rPr>
  </w:style>
  <w:style w:type="character" w:customStyle="1" w:styleId="32">
    <w:name w:val="表头 Char"/>
    <w:link w:val="29"/>
    <w:qFormat/>
    <w:uiPriority w:val="0"/>
    <w:rPr>
      <w:rFonts w:ascii="Times New Roman" w:hAnsi="Times New Roman" w:eastAsia="宋体" w:cs="Times New Roman"/>
      <w:b/>
      <w:bCs/>
      <w:spacing w:val="8"/>
      <w:sz w:val="21"/>
      <w:szCs w:val="72"/>
    </w:rPr>
  </w:style>
  <w:style w:type="character" w:customStyle="1" w:styleId="33">
    <w:name w:val="标题 3 Char"/>
    <w:link w:val="4"/>
    <w:qFormat/>
    <w:uiPriority w:val="0"/>
    <w:rPr>
      <w:rFonts w:ascii="Times New Roman" w:hAnsi="Times New Roman" w:eastAsia="宋体"/>
      <w:b/>
      <w:sz w:val="24"/>
    </w:rPr>
  </w:style>
  <w:style w:type="character" w:customStyle="1" w:styleId="34">
    <w:name w:val="首行！ Char"/>
    <w:link w:val="31"/>
    <w:qFormat/>
    <w:uiPriority w:val="0"/>
    <w:rPr>
      <w:rFonts w:ascii="Times New Roman" w:hAnsi="Times New Roman" w:eastAsia="宋体" w:cs="Times New Roman"/>
      <w:bCs/>
      <w:spacing w:val="8"/>
      <w:szCs w:val="72"/>
      <w:lang w:val="en-US" w:eastAsia="zh-CN"/>
    </w:rPr>
  </w:style>
  <w:style w:type="paragraph" w:customStyle="1" w:styleId="35">
    <w:name w:val="表格"/>
    <w:basedOn w:val="1"/>
    <w:next w:val="1"/>
    <w:qFormat/>
    <w:uiPriority w:val="0"/>
    <w:pPr>
      <w:spacing w:line="240" w:lineRule="atLeast"/>
      <w:ind w:firstLine="0" w:firstLineChars="0"/>
    </w:pPr>
    <w:rPr>
      <w:sz w:val="21"/>
      <w:szCs w:val="21"/>
    </w:rPr>
  </w:style>
  <w:style w:type="paragraph" w:customStyle="1" w:styleId="36">
    <w:name w:val="B正文"/>
    <w:basedOn w:val="1"/>
    <w:qFormat/>
    <w:uiPriority w:val="0"/>
    <w:pPr>
      <w:widowControl w:val="0"/>
      <w:ind w:firstLine="200"/>
      <w:jc w:val="both"/>
    </w:pPr>
    <w:rPr>
      <w:lang w:eastAsia="zh-CN"/>
    </w:rPr>
  </w:style>
  <w:style w:type="paragraph" w:customStyle="1" w:styleId="37">
    <w:name w:val="B表内"/>
    <w:basedOn w:val="1"/>
    <w:qFormat/>
    <w:uiPriority w:val="0"/>
    <w:pPr>
      <w:widowControl w:val="0"/>
      <w:spacing w:line="0" w:lineRule="atLeast"/>
      <w:ind w:firstLine="0" w:firstLineChars="0"/>
      <w:jc w:val="center"/>
    </w:pPr>
    <w:rPr>
      <w:rFonts w:ascii="宋体" w:hAnsi="宋体"/>
      <w:kern w:val="2"/>
      <w:sz w:val="21"/>
      <w:szCs w:val="20"/>
    </w:rPr>
  </w:style>
  <w:style w:type="paragraph" w:customStyle="1" w:styleId="38">
    <w:name w:val="批注文字1"/>
    <w:qFormat/>
    <w:uiPriority w:val="0"/>
    <w:pPr>
      <w:widowControl w:val="0"/>
    </w:pPr>
    <w:rPr>
      <w:rFonts w:ascii="Times New Roman" w:hAnsi="Times New Roman" w:eastAsia="宋体" w:cs="Times New Roman"/>
      <w:color w:val="000000"/>
      <w:kern w:val="2"/>
      <w:sz w:val="21"/>
      <w:szCs w:val="24"/>
      <w:lang w:val="en-US" w:eastAsia="zh-CN" w:bidi="ar-SA"/>
    </w:rPr>
  </w:style>
  <w:style w:type="paragraph" w:customStyle="1" w:styleId="39">
    <w:name w:val="Char"/>
    <w:basedOn w:val="1"/>
    <w:qFormat/>
    <w:uiPriority w:val="99"/>
    <w:pPr>
      <w:snapToGrid w:val="0"/>
      <w:ind w:firstLine="529"/>
    </w:pPr>
    <w:rPr>
      <w:rFonts w:ascii="宋体" w:hAnsi="宋体"/>
      <w:b/>
    </w:rPr>
  </w:style>
  <w:style w:type="paragraph" w:customStyle="1" w:styleId="40">
    <w:name w:val="表格内文字 小5"/>
    <w:basedOn w:val="1"/>
    <w:next w:val="1"/>
    <w:qFormat/>
    <w:locked/>
    <w:uiPriority w:val="0"/>
    <w:pPr>
      <w:spacing w:line="240" w:lineRule="auto"/>
      <w:ind w:firstLine="0" w:firstLineChars="0"/>
      <w:jc w:val="center"/>
    </w:pPr>
    <w:rPr>
      <w:rFonts w:ascii="方正书宋" w:hAnsi="宋体" w:eastAsia="方正书宋"/>
      <w:color w:val="000000"/>
      <w:sz w:val="18"/>
      <w:szCs w:val="18"/>
      <w:lang w:eastAsia="zh-CN"/>
    </w:rPr>
  </w:style>
  <w:style w:type="character" w:customStyle="1" w:styleId="41">
    <w:name w:val="正文文本 (2) Exact"/>
    <w:unhideWhenUsed/>
    <w:qFormat/>
    <w:uiPriority w:val="99"/>
    <w:rPr>
      <w:rFonts w:hint="eastAsia" w:ascii="MingLiU" w:hAnsi="MingLiU" w:eastAsia="MingLiU"/>
      <w:sz w:val="34"/>
    </w:rPr>
  </w:style>
  <w:style w:type="paragraph" w:customStyle="1" w:styleId="42">
    <w:name w:val="表格1"/>
    <w:basedOn w:val="1"/>
    <w:qFormat/>
    <w:uiPriority w:val="0"/>
    <w:pPr>
      <w:adjustRightInd w:val="0"/>
      <w:snapToGrid w:val="0"/>
      <w:jc w:val="center"/>
    </w:pPr>
    <w:rPr>
      <w:rFonts w:ascii="Times New Roman" w:hAnsi="Times New Roman" w:eastAsia="方正仿宋_GBK"/>
      <w:color w:val="000000"/>
    </w:rPr>
  </w:style>
  <w:style w:type="paragraph" w:customStyle="1" w:styleId="43">
    <w:name w:val="表格内容1"/>
    <w:basedOn w:val="1"/>
    <w:qFormat/>
    <w:uiPriority w:val="0"/>
    <w:pPr>
      <w:adjustRightInd w:val="0"/>
      <w:snapToGrid w:val="0"/>
      <w:spacing w:line="240" w:lineRule="auto"/>
      <w:ind w:firstLine="0" w:firstLineChars="0"/>
      <w:jc w:val="center"/>
      <w:textAlignment w:val="baseline"/>
    </w:pPr>
    <w:rPr>
      <w:rFonts w:ascii="Times New Roman" w:hAnsi="Times New Roman"/>
      <w:sz w:val="21"/>
      <w:szCs w:val="21"/>
    </w:rPr>
  </w:style>
  <w:style w:type="paragraph" w:customStyle="1" w:styleId="44">
    <w:name w:val="表内文本正文"/>
    <w:basedOn w:val="1"/>
    <w:qFormat/>
    <w:uiPriority w:val="0"/>
    <w:pPr>
      <w:spacing w:line="360" w:lineRule="auto"/>
      <w:ind w:firstLine="420" w:firstLineChars="200"/>
    </w:pPr>
    <w:rPr>
      <w:rFonts w:ascii="Times New Roman" w:hAnsi="Times New Roman"/>
    </w:rPr>
  </w:style>
  <w:style w:type="paragraph" w:customStyle="1" w:styleId="45">
    <w:name w:val="样式 正文缩进正文缩进2正文缩进 Char Char正文缩进 Char Char Char Char正文缩进 Char ..."/>
    <w:basedOn w:val="7"/>
    <w:qFormat/>
    <w:uiPriority w:val="0"/>
    <w:pPr>
      <w:spacing w:line="360" w:lineRule="auto"/>
      <w:ind w:firstLine="200"/>
    </w:pPr>
    <w:rPr>
      <w:rFonts w:cs="宋体"/>
      <w:sz w:val="24"/>
    </w:rPr>
  </w:style>
  <w:style w:type="paragraph" w:styleId="46">
    <w:name w:val="List Paragraph"/>
    <w:basedOn w:val="1"/>
    <w:qFormat/>
    <w:uiPriority w:val="99"/>
    <w:pPr>
      <w:spacing w:line="500" w:lineRule="exact"/>
      <w:ind w:firstLine="420" w:firstLineChars="200"/>
    </w:pPr>
    <w:rPr>
      <w:sz w:val="24"/>
    </w:rPr>
  </w:style>
  <w:style w:type="paragraph" w:customStyle="1" w:styleId="47">
    <w:name w:val="lh-正文-报告表"/>
    <w:basedOn w:val="1"/>
    <w:autoRedefine/>
    <w:qFormat/>
    <w:uiPriority w:val="0"/>
    <w:pPr>
      <w:spacing w:line="360" w:lineRule="auto"/>
      <w:ind w:firstLine="480" w:firstLineChars="200"/>
    </w:pPr>
    <w:rPr>
      <w:kern w:val="0"/>
      <w:sz w:val="24"/>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1" Type="http://schemas.openxmlformats.org/officeDocument/2006/relationships/fontTable" Target="fontTable.xml"/><Relationship Id="rId40" Type="http://schemas.openxmlformats.org/officeDocument/2006/relationships/customXml" Target="../customXml/item2.xml"/><Relationship Id="rId4" Type="http://schemas.openxmlformats.org/officeDocument/2006/relationships/endnotes" Target="endnotes.xml"/><Relationship Id="rId39" Type="http://schemas.openxmlformats.org/officeDocument/2006/relationships/numbering" Target="numbering.xml"/><Relationship Id="rId38" Type="http://schemas.openxmlformats.org/officeDocument/2006/relationships/customXml" Target="../customXml/item1.xml"/><Relationship Id="rId37" Type="http://schemas.openxmlformats.org/officeDocument/2006/relationships/image" Target="media/image20.jpeg"/><Relationship Id="rId36" Type="http://schemas.openxmlformats.org/officeDocument/2006/relationships/image" Target="media/image19.jpeg"/><Relationship Id="rId35" Type="http://schemas.openxmlformats.org/officeDocument/2006/relationships/image" Target="media/image18.png"/><Relationship Id="rId34" Type="http://schemas.openxmlformats.org/officeDocument/2006/relationships/image" Target="media/image17.png"/><Relationship Id="rId33" Type="http://schemas.openxmlformats.org/officeDocument/2006/relationships/image" Target="media/image16.png"/><Relationship Id="rId32" Type="http://schemas.openxmlformats.org/officeDocument/2006/relationships/image" Target="media/image15.jpeg"/><Relationship Id="rId31" Type="http://schemas.openxmlformats.org/officeDocument/2006/relationships/image" Target="media/image14.jpeg"/><Relationship Id="rId30" Type="http://schemas.openxmlformats.org/officeDocument/2006/relationships/image" Target="media/image13.jpeg"/><Relationship Id="rId3" Type="http://schemas.openxmlformats.org/officeDocument/2006/relationships/footnotes" Target="footnotes.xml"/><Relationship Id="rId29" Type="http://schemas.openxmlformats.org/officeDocument/2006/relationships/image" Target="media/image12.jpeg"/><Relationship Id="rId28" Type="http://schemas.openxmlformats.org/officeDocument/2006/relationships/image" Target="media/image11.png"/><Relationship Id="rId27" Type="http://schemas.openxmlformats.org/officeDocument/2006/relationships/image" Target="media/image10.png"/><Relationship Id="rId26" Type="http://schemas.openxmlformats.org/officeDocument/2006/relationships/image" Target="media/image9.png"/><Relationship Id="rId25" Type="http://schemas.openxmlformats.org/officeDocument/2006/relationships/image" Target="media/image8.png"/><Relationship Id="rId24" Type="http://schemas.openxmlformats.org/officeDocument/2006/relationships/image" Target="media/image7.wmf"/><Relationship Id="rId23" Type="http://schemas.openxmlformats.org/officeDocument/2006/relationships/oleObject" Target="embeddings/oleObject5.bin"/><Relationship Id="rId22" Type="http://schemas.openxmlformats.org/officeDocument/2006/relationships/image" Target="media/image6.png"/><Relationship Id="rId21" Type="http://schemas.openxmlformats.org/officeDocument/2006/relationships/image" Target="media/image5.emf"/><Relationship Id="rId20" Type="http://schemas.openxmlformats.org/officeDocument/2006/relationships/oleObject" Target="embeddings/oleObject4.bin"/><Relationship Id="rId2" Type="http://schemas.openxmlformats.org/officeDocument/2006/relationships/settings" Target="settings.xml"/><Relationship Id="rId19" Type="http://schemas.openxmlformats.org/officeDocument/2006/relationships/image" Target="media/image4.emf"/><Relationship Id="rId18" Type="http://schemas.openxmlformats.org/officeDocument/2006/relationships/oleObject" Target="embeddings/oleObject3.bin"/><Relationship Id="rId17" Type="http://schemas.openxmlformats.org/officeDocument/2006/relationships/image" Target="media/image3.emf"/><Relationship Id="rId16" Type="http://schemas.openxmlformats.org/officeDocument/2006/relationships/oleObject" Target="embeddings/oleObject2.bin"/><Relationship Id="rId15" Type="http://schemas.openxmlformats.org/officeDocument/2006/relationships/image" Target="media/image2.png"/><Relationship Id="rId14" Type="http://schemas.openxmlformats.org/officeDocument/2006/relationships/image" Target="media/image1.emf"/><Relationship Id="rId13" Type="http://schemas.openxmlformats.org/officeDocument/2006/relationships/oleObject" Target="embeddings/oleObject1.bin"/><Relationship Id="rId12" Type="http://schemas.openxmlformats.org/officeDocument/2006/relationships/theme" Target="theme/theme1.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extobjs>
    <extobj name="ECB019B1-382A-4266-B25C-5B523AA43C14-1">
      <extobjdata type="ECB019B1-382A-4266-B25C-5B523AA43C14" data="ewoJIkZpbGVJZCIgOiAiNDIxMjE0MTMxNTIyIiwKCSJHcm91cElkIiA6ICI2NTk4NjUyNDQiLAoJIkltYWdlIiA6ICJpVkJPUncwS0dnb0FBQUFOU1VoRVVnQUFBcmtBQUFGMUNBWUFBQURzblBMbUFBQUFBWE5TUjBJQXJzNGM2UUFBSUFCSlJFRlVlSnpzM1hsNFRHZi9QL0QzbVptc0pFS0NTR043S3JVVkNWS3R0R3F2VWxHMHRsS2txcGFXcU5hK1ZOVldzZFphU3NXdTFwYllpaXExUzhqbUs1UllHNlNSVFRMSkxQZnZqeWJuWjJReEljbE1qdmZydXA3cmVlYWNXVDdIazgrWjk1eHpuL3NB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cxb1A4SHdFSStuMnFYdnZBQUFBQUFTVVZPUks1Q1lJST0iLAoJIlRoZW1lIiA6ICIiLAoJIlR5cGUiIDogImZsb3ciLAoJIlVzZXJJZCIgOiAiNTIzOTUwMTMyIiwKCSJWZXJzaW9uIiA6ICIyNiIKfQo="/>
    </extobj>
  </extobjs>
</s:customData>
</file>

<file path=customXml/item2.xml><?xml version="1.0" encoding="utf-8"?>
<contractReview xmlns="http://schemas.wps.cn/vas-ai-hub/contract-review">
  <reviewItems>
    <reviewItem>
      <errorID>206fb757-42f1-453d-830c-47243f9b0f42</errorID>
      <errorWord>(</errorWord>
      <group>L1_Format</group>
      <groupName>格式问题</groupName>
      <ability>L2_HalfPunc_CN</ability>
      <abilityName>全半角问题</abilityName>
      <candidateList>
        <item>（</item>
      </candidateList>
      <explain>文本全半角错误。</explain>
      <paraID>5F90DF77</paraID>
      <start>0</start>
      <end>1</end>
      <status>modified</status>
      <modifiedWord>（</modifiedWord>
      <trackRevisions>false</trackRevisions>
    </reviewItem>
    <reviewItem>
      <errorID>eb19cde5-0a1d-4155-8301-046649f4e5d2</errorID>
      <errorWord>)</errorWord>
      <group>L1_Format</group>
      <groupName>格式问题</groupName>
      <ability>L2_HalfPunc_CN</ability>
      <abilityName>全半角问题</abilityName>
      <candidateList>
        <item>）</item>
      </candidateList>
      <explain>文本全半角错误。</explain>
      <paraID>5F90DF77</paraID>
      <start>6</start>
      <end>7</end>
      <status>modified</status>
      <modifiedWord>）</modifiedWord>
      <trackRevisions>false</trackRevisions>
    </reviewItem>
    <reviewItem>
      <errorID>c295d782-f966-4d83-8f42-641aad6146fe</errorID>
      <errorWord>(</errorWord>
      <group>L1_Format</group>
      <groupName>格式问题</groupName>
      <ability>L2_HalfPunc_CN</ability>
      <abilityName>全半角问题</abilityName>
      <candidateList>
        <item>（</item>
      </candidateList>
      <explain>文本全半角错误。</explain>
      <paraID>7D4BF8E1</paraID>
      <start>4</start>
      <end>5</end>
      <status>modified</status>
      <modifiedWord>（</modifiedWord>
      <trackRevisions>false</trackRevisions>
    </reviewItem>
    <reviewItem>
      <errorID>258be5b7-fc11-453c-9427-a189646d32cf</errorID>
      <errorWord>)</errorWord>
      <group>L1_Format</group>
      <groupName>格式问题</groupName>
      <ability>L2_HalfPunc_CN</ability>
      <abilityName>全半角问题</abilityName>
      <candidateList>
        <item>）</item>
      </candidateList>
      <explain>文本全半角错误。</explain>
      <paraID>7D4BF8E1</paraID>
      <start>7</start>
      <end>8</end>
      <status>modified</status>
      <modifiedWord>）</modifiedWord>
      <trackRevisions>false</trackRevisions>
    </reviewItem>
    <reviewItem>
      <errorID>d31239d2-7a63-436a-a29c-20d10662bceb</errorID>
      <errorWord>(</errorWord>
      <group>L1_Format</group>
      <groupName>格式问题</groupName>
      <ability>L2_HalfPunc_CN</ability>
      <abilityName>全半角问题</abilityName>
      <candidateList>
        <item>（</item>
      </candidateList>
      <explain>文本全半角错误。</explain>
      <paraID>25A9185D</paraID>
      <start>0</start>
      <end>1</end>
      <status>modified</status>
      <modifiedWord>（</modifiedWord>
      <trackRevisions>false</trackRevisions>
    </reviewItem>
    <reviewItem>
      <errorID>225d09be-cee8-472c-990d-6d830e2c3c38</errorID>
      <errorWord>)</errorWord>
      <group>L1_Format</group>
      <groupName>格式问题</groupName>
      <ability>L2_HalfPunc_CN</ability>
      <abilityName>全半角问题</abilityName>
      <candidateList>
        <item>）</item>
      </candidateList>
      <explain>文本全半角错误。</explain>
      <paraID>25A9185D</paraID>
      <start>34</start>
      <end>35</end>
      <status>modified</status>
      <modifiedWord>）</modifiedWord>
      <trackRevisions>false</trackRevisions>
    </reviewItem>
    <reviewItem>
      <errorID>b09478ad-e09e-4299-9ca9-98c6d6c85fdb</errorID>
      <errorWord>(</errorWord>
      <group>L1_Format</group>
      <groupName>格式问题</groupName>
      <ability>L2_HalfPunc_CN</ability>
      <abilityName>全半角问题</abilityName>
      <candidateList>
        <item>（</item>
      </candidateList>
      <explain>文本全半角错误。</explain>
      <paraID>252F87DE</paraID>
      <start>3</start>
      <end>4</end>
      <status>modified</status>
      <modifiedWord>（</modifiedWord>
      <trackRevisions>false</trackRevisions>
    </reviewItem>
    <reviewItem>
      <errorID>0f360485-5727-4b77-98d1-14380c908bf4</errorID>
      <errorWord>)</errorWord>
      <group>L1_Format</group>
      <groupName>格式问题</groupName>
      <ability>L2_HalfPunc_CN</ability>
      <abilityName>全半角问题</abilityName>
      <candidateList>
        <item>）</item>
      </candidateList>
      <explain>文本全半角错误。</explain>
      <paraID>252F87DE</paraID>
      <start>6</start>
      <end>7</end>
      <status>modified</status>
      <modifiedWord>）</modifiedWord>
      <trackRevisions>false</trackRevisions>
    </reviewItem>
    <reviewItem>
      <errorID>85e56b35-bdbe-493a-b30e-bf8d1f7a36eb</errorID>
      <errorWord>(</errorWord>
      <group>L1_Format</group>
      <groupName>格式问题</groupName>
      <ability>L2_HalfPunc_CN</ability>
      <abilityName>全半角问题</abilityName>
      <candidateList>
        <item>（</item>
      </candidateList>
      <explain>文本全半角错误。</explain>
      <paraID>52A0F412</paraID>
      <start>4</start>
      <end>5</end>
      <status>modified</status>
      <modifiedWord>（</modifiedWord>
      <trackRevisions>false</trackRevisions>
    </reviewItem>
    <reviewItem>
      <errorID>6c075239-c51a-4a0c-8806-0b1cdd62cdd4</errorID>
      <errorWord>)</errorWord>
      <group>L1_Format</group>
      <groupName>格式问题</groupName>
      <ability>L2_HalfPunc_CN</ability>
      <abilityName>全半角问题</abilityName>
      <candidateList>
        <item>）</item>
      </candidateList>
      <explain>文本全半角错误。</explain>
      <paraID>52A0F412</paraID>
      <start>10</start>
      <end>11</end>
      <status>modified</status>
      <modifiedWord>）</modifiedWord>
      <trackRevisions>false</trackRevisions>
    </reviewItem>
    <reviewItem>
      <errorID>81864582-4834-403e-a2c8-4e0e814d4f9b</errorID>
      <errorWord>(</errorWord>
      <group>L1_Format</group>
      <groupName>格式问题</groupName>
      <ability>L2_HalfPunc_CN</ability>
      <abilityName>全半角问题</abilityName>
      <candidateList>
        <item>（</item>
      </candidateList>
      <explain>文本全半角错误。</explain>
      <paraID>52A0F412</paraID>
      <start>13</start>
      <end>14</end>
      <status>modified</status>
      <modifiedWord>（</modifiedWord>
      <trackRevisions>false</trackRevisions>
    </reviewItem>
    <reviewItem>
      <errorID>1c768fe2-d470-4d56-9927-f83ffc244121</errorID>
      <errorWord>)</errorWord>
      <group>L1_Format</group>
      <groupName>格式问题</groupName>
      <ability>L2_HalfPunc_CN</ability>
      <abilityName>全半角问题</abilityName>
      <candidateList>
        <item>）</item>
      </candidateList>
      <explain>文本全半角错误。</explain>
      <paraID>52A0F412</paraID>
      <start>16</start>
      <end>17</end>
      <status>modified</status>
      <modifiedWord>）</modifiedWord>
      <trackRevisions>false</trackRevisions>
    </reviewItem>
    <reviewItem>
      <errorID>6a3aef02-3920-4ae0-9099-af378f4385e1</errorID>
      <errorWord>(</errorWord>
      <group>L1_Format</group>
      <groupName>格式问题</groupName>
      <ability>L2_HalfPunc_CN</ability>
      <abilityName>全半角问题</abilityName>
      <candidateList>
        <item>（</item>
      </candidateList>
      <explain>文本全半角错误。</explain>
      <paraID>31EB87E7</paraID>
      <start>4</start>
      <end>5</end>
      <status>modified</status>
      <modifiedWord>（</modifiedWord>
      <trackRevisions>false</trackRevisions>
    </reviewItem>
    <reviewItem>
      <errorID>7872c176-e9f3-42f5-bfd3-f3abd60a15f0</errorID>
      <errorWord>)</errorWord>
      <group>L1_Format</group>
      <groupName>格式问题</groupName>
      <ability>L2_HalfPunc_CN</ability>
      <abilityName>全半角问题</abilityName>
      <candidateList>
        <item>）</item>
      </candidateList>
      <explain>文本全半角错误。</explain>
      <paraID>31EB87E7</paraID>
      <start>10</start>
      <end>11</end>
      <status>modified</status>
      <modifiedWord>）</modifiedWord>
      <trackRevisions>false</trackRevisions>
    </reviewItem>
    <reviewItem>
      <errorID>ffaf00af-5766-474e-bf21-d37247db3da3</errorID>
      <errorWord>(</errorWord>
      <group>L1_Format</group>
      <groupName>格式问题</groupName>
      <ability>L2_HalfPunc_CN</ability>
      <abilityName>全半角问题</abilityName>
      <candidateList>
        <item>（</item>
      </candidateList>
      <explain>文本全半角错误。</explain>
      <paraID>31EB87E7</paraID>
      <start>13</start>
      <end>14</end>
      <status>modified</status>
      <modifiedWord>（</modifiedWord>
      <trackRevisions>false</trackRevisions>
    </reviewItem>
    <reviewItem>
      <errorID>d7925296-50af-4f4b-a6d1-f72ce6279b12</errorID>
      <errorWord>)</errorWord>
      <group>L1_Format</group>
      <groupName>格式问题</groupName>
      <ability>L2_HalfPunc_CN</ability>
      <abilityName>全半角问题</abilityName>
      <candidateList>
        <item>）</item>
      </candidateList>
      <explain>文本全半角错误。</explain>
      <paraID>31EB87E7</paraID>
      <start>16</start>
      <end>17</end>
      <status>modified</status>
      <modifiedWord>）</modifiedWord>
      <trackRevisions>false</trackRevisions>
    </reviewItem>
    <reviewItem>
      <errorID>04bbdd99-3e44-426d-98d6-356deee1901a</errorID>
      <errorWord>(</errorWord>
      <group>L1_Format</group>
      <groupName>格式问题</groupName>
      <ability>L2_HalfPunc_CN</ability>
      <abilityName>全半角问题</abilityName>
      <candidateList>
        <item>（</item>
      </candidateList>
      <explain>文本全半角错误。</explain>
      <paraID>71354012</paraID>
      <start>3</start>
      <end>4</end>
      <status>modified</status>
      <modifiedWord>（</modifiedWord>
      <trackRevisions>false</trackRevisions>
    </reviewItem>
    <reviewItem>
      <errorID>16f015d2-56fa-435d-b7d6-3ab6a3ec9a48</errorID>
      <errorWord>)</errorWord>
      <group>L1_Format</group>
      <groupName>格式问题</groupName>
      <ability>L2_HalfPunc_CN</ability>
      <abilityName>全半角问题</abilityName>
      <candidateList>
        <item>）</item>
      </candidateList>
      <explain>文本全半角错误。</explain>
      <paraID>71354012</paraID>
      <start>6</start>
      <end>7</end>
      <status>modified</status>
      <modifiedWord>）</modifiedWord>
      <trackRevisions>false</trackRevisions>
    </reviewItem>
    <reviewItem>
      <errorID>6dfad79e-95ec-4ee5-9c9b-e47ac6b2d475</errorID>
      <errorWord>(</errorWord>
      <group>L1_Format</group>
      <groupName>格式问题</groupName>
      <ability>L2_HalfPunc_CN</ability>
      <abilityName>全半角问题</abilityName>
      <candidateList>
        <item>（</item>
      </candidateList>
      <explain>文本全半角错误。</explain>
      <paraID>45CAED94</paraID>
      <start>4</start>
      <end>5</end>
      <status>modified</status>
      <modifiedWord>（</modifiedWord>
      <trackRevisions>false</trackRevisions>
    </reviewItem>
    <reviewItem>
      <errorID>db511ccb-8d13-40be-849c-b3a4c46faaf7</errorID>
      <errorWord>)</errorWord>
      <group>L1_Format</group>
      <groupName>格式问题</groupName>
      <ability>L2_HalfPunc_CN</ability>
      <abilityName>全半角问题</abilityName>
      <candidateList>
        <item>）</item>
      </candidateList>
      <explain>文本全半角错误。</explain>
      <paraID>45CAED94</paraID>
      <start>7</start>
      <end>8</end>
      <status>modified</status>
      <modifiedWord>）</modifiedWord>
      <trackRevisions>false</trackRevisions>
    </reviewItem>
    <reviewItem>
      <errorID>f7f865a9-6328-47f5-8267-21843de29da7</errorID>
      <errorWord>(</errorWord>
      <group>L1_Format</group>
      <groupName>格式问题</groupName>
      <ability>L2_HalfPunc_CN</ability>
      <abilityName>全半角问题</abilityName>
      <candidateList>
        <item>（</item>
      </candidateList>
      <explain>文本全半角错误。</explain>
      <paraID>2410F714</paraID>
      <start>6</start>
      <end>7</end>
      <status>modified</status>
      <modifiedWord>（</modifiedWord>
      <trackRevisions>false</trackRevisions>
    </reviewItem>
    <reviewItem>
      <errorID>e084ef66-d528-4d76-90b0-eac216cadcc5</errorID>
      <errorWord>)</errorWord>
      <group>L1_Format</group>
      <groupName>格式问题</groupName>
      <ability>L2_HalfPunc_CN</ability>
      <abilityName>全半角问题</abilityName>
      <candidateList>
        <item>）</item>
      </candidateList>
      <explain>文本全半角错误。</explain>
      <paraID>2410F714</paraID>
      <start>8</start>
      <end>9</end>
      <status>modified</status>
      <modifiedWord>）</modifiedWord>
      <trackRevisions>false</trackRevisions>
    </reviewItem>
    <reviewItem>
      <errorID>70a0689e-d45c-48b5-9403-f9c56e2548da</errorID>
      <errorWord>(</errorWord>
      <group>L1_Format</group>
      <groupName>格式问题</groupName>
      <ability>L2_HalfPunc_CN</ability>
      <abilityName>全半角问题</abilityName>
      <candidateList>
        <item>（</item>
      </candidateList>
      <explain>文本全半角错误。</explain>
      <paraID> 803932A</paraID>
      <start>2</start>
      <end>3</end>
      <status>modified</status>
      <modifiedWord>（</modifiedWord>
      <trackRevisions>false</trackRevisions>
    </reviewItem>
    <reviewItem>
      <errorID>48cc3c89-fd87-491b-8f59-ae7206cf03ce</errorID>
      <errorWord>)</errorWord>
      <group>L1_Format</group>
      <groupName>格式问题</groupName>
      <ability>L2_HalfPunc_CN</ability>
      <abilityName>全半角问题</abilityName>
      <candidateList>
        <item>）</item>
      </candidateList>
      <explain>文本全半角错误。</explain>
      <paraID> 803932A</paraID>
      <start>5</start>
      <end>6</end>
      <status>modified</status>
      <modifiedWord>）</modifiedWord>
      <trackRevisions>false</trackRevisions>
    </reviewItem>
    <reviewItem>
      <errorID>99466586-bb91-4538-ac3e-e82dad4219ed</errorID>
      <errorWord>(</errorWord>
      <group>L1_Format</group>
      <groupName>格式问题</groupName>
      <ability>L2_HalfPunc_CN</ability>
      <abilityName>全半角问题</abilityName>
      <candidateList>
        <item>（</item>
      </candidateList>
      <explain>文本全半角错误。</explain>
      <paraID>316E8824</paraID>
      <start>2</start>
      <end>3</end>
      <status>modified</status>
      <modifiedWord>（</modifiedWord>
      <trackRevisions>false</trackRevisions>
    </reviewItem>
    <reviewItem>
      <errorID>257144e5-3543-4155-a03b-5c670729e1db</errorID>
      <errorWord>)</errorWord>
      <group>L1_Format</group>
      <groupName>格式问题</groupName>
      <ability>L2_HalfPunc_CN</ability>
      <abilityName>全半角问题</abilityName>
      <candidateList>
        <item>）</item>
      </candidateList>
      <explain>文本全半角错误。</explain>
      <paraID>316E8824</paraID>
      <start>5</start>
      <end>6</end>
      <status>modified</status>
      <modifiedWord>）</modifiedWord>
      <trackRevisions>false</trackRevisions>
    </reviewItem>
    <reviewItem>
      <errorID>bb867d64-4b24-40f2-ad76-43922a4af4de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2C8054C5</paraID>
      <start>0</start>
      <end>2</end>
      <status>ignored</status>
      <modifiedWord/>
      <trackRevisions>false</trackRevisions>
    </reviewItem>
    <reviewItem>
      <errorID>e9936953-d24b-42f4-9005-9b96f4bf9de8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1839C1C3</paraID>
      <start>0</start>
      <end>2</end>
      <status>ignored</status>
      <modifiedWord/>
      <trackRevisions>false</trackRevisions>
    </reviewItem>
    <reviewItem>
      <errorID>02978421-1f8d-49b0-b0b5-40d925298b5a</errorID>
      <errorWord>(</errorWord>
      <group>L1_Format</group>
      <groupName>格式问题</groupName>
      <ability>L2_HalfPunc_CN</ability>
      <abilityName>全半角问题</abilityName>
      <candidateList>
        <item>（</item>
      </candidateList>
      <explain>文本全半角错误。</explain>
      <paraID>41AD4705</paraID>
      <start>229</start>
      <end>230</end>
      <status>modified</status>
      <modifiedWord>（</modifiedWord>
      <trackRevisions>false</trackRevisions>
    </reviewItem>
    <reviewItem>
      <errorID>d7213801-0f5b-4215-afd1-fd01ececd164</errorID>
      <errorWord>)</errorWord>
      <group>L1_Format</group>
      <groupName>格式问题</groupName>
      <ability>L2_HalfPunc_CN</ability>
      <abilityName>全半角问题</abilityName>
      <candidateList>
        <item>）</item>
      </candidateList>
      <explain>文本全半角错误。</explain>
      <paraID>41AD4705</paraID>
      <start>231</start>
      <end>232</end>
      <status>modified</status>
      <modifiedWord>）</modifiedWord>
      <trackRevisions>false</trackRevisions>
    </reviewItem>
    <reviewItem>
      <errorID>f85531f9-e15c-4c2a-a433-5cf232fa76b5</errorID>
      <errorWord>饮用水水源补给区</errorWord>
      <group>L1_Political</group>
      <groupName>政治性问题</groupName>
      <ability>L2_Keyword</ability>
      <abilityName>固定表述</abilityName>
      <candidateList>
        <item>饮用水水源保护区</item>
      </candidateList>
      <explain>词汇“饮用水水源保护区”在特定场景下为固定表述形式，请确认此处的“饮用水水源补给区”是否存在不当。</explain>
      <paraID>4397AAE1</paraID>
      <start>15</start>
      <end>23</end>
      <status>ignored</status>
      <modifiedWord/>
      <trackRevisions>false</trackRevisions>
    </reviewItem>
    <reviewItem>
      <errorID>620e74fc-078e-48ac-b4fd-f9bfe1e779df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16E432FE</paraID>
      <start>130</start>
      <end>131</end>
      <status>ignored</status>
      <modifiedWord/>
      <trackRevisions>false</trackRevisions>
    </reviewItem>
    <reviewItem>
      <errorID>e7bd29da-b368-440d-b71c-418197a84970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5FF158AE</paraID>
      <start>0</start>
      <end>2</end>
      <status>ignored</status>
      <modifiedWord/>
      <trackRevisions>false</trackRevisions>
    </reviewItem>
    <reviewItem>
      <errorID>b65eda4f-94f9-4416-8e55-af3c97208a28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6033DB2C</paraID>
      <start>0</start>
      <end>2</end>
      <status>ignored</status>
      <modifiedWord/>
      <trackRevisions>false</trackRevisions>
    </reviewItem>
    <reviewItem>
      <errorID>591e2bf4-eac6-4ece-80b0-04d09c4ef5fa</errorID>
      <errorWord>部令</errorWord>
      <group>L1_Sensitive</group>
      <groupName>敏感问题</groupName>
      <ability>L2_UserSensitive</ability>
      <abilityName>自定义敏感词</abilityName>
      <candidateList/>
      <explain>来自自定义敏感词库。</explain>
      <paraID>6033DB2C</paraID>
      <start>20</start>
      <end>22</end>
      <status>ignored</status>
      <modifiedWord/>
      <trackRevisions>false</trackRevisions>
    </reviewItem>
    <reviewItem>
      <errorID>a5b526e4-5d1d-441f-8dba-6748f95e4c0a</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CB08BE2</paraID>
      <start>0</start>
      <end>3</end>
      <status>modified</status>
      <modifiedWord>（一）</modifiedWord>
      <trackRevisions>false</trackRevisions>
    </reviewItem>
    <reviewItem>
      <errorID>b2aee857-f050-4e1b-8fc7-afaef5b7a48e</errorID>
      <errorWord>)</errorWord>
      <group>L1_Format</group>
      <groupName>格式问题</groupName>
      <ability>L2_HalfPunc_CN</ability>
      <abilityName>全半角问题</abilityName>
      <candidateList>
        <item>）</item>
      </candidateList>
      <explain>文本全半角错误。</explain>
      <paraID>760803E7</paraID>
      <start>2</start>
      <end>3</end>
      <status>modified</status>
      <modifiedWord>）</modifiedWord>
      <trackRevisions>false</trackRevisions>
    </reviewItem>
    <reviewItem>
      <errorID>e4a97085-73e8-46a7-bcfb-9017116e965a</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2ACE86A5</paraID>
      <start>0</start>
      <end>3</end>
      <status>modified</status>
      <modifiedWord>（三）</modifiedWord>
      <trackRevisions>false</trackRevisions>
    </reviewItem>
    <reviewItem>
      <errorID>2285ba30-4b81-44bf-9be6-cbcd3fc21bd2</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7DA2B0BA</paraID>
      <start>0</start>
      <end>3</end>
      <status>modified</status>
      <modifiedWord>（四）</modifiedWord>
      <trackRevisions>false</trackRevisions>
    </reviewItem>
    <reviewItem>
      <errorID>c164a7b2-97be-49c3-a2c8-9cc214d16b5c</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466CF3FE</paraID>
      <start>0</start>
      <end>3</end>
      <status>modified</status>
      <modifiedWord>（五）</modifiedWord>
      <trackRevisions>false</trackRevisions>
    </reviewItem>
    <reviewItem>
      <errorID>58007299-9b72-44bd-8639-9ccce1ef5307</errorID>
      <errorWord>(六)</errorWord>
      <group>L1_Format</group>
      <groupName>格式问题</groupName>
      <ability>L2_Ordinal</ability>
      <abilityName>序号格式</abilityName>
      <candidateList>
        <item>（六）</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777D1649</paraID>
      <start>0</start>
      <end>3</end>
      <status>modified</status>
      <modifiedWord>（六）</modifiedWord>
      <trackRevisions>false</trackRevisions>
    </reviewItem>
    <reviewItem>
      <errorID>964df835-8db5-45ff-9efe-7e3a1c286df7</errorID>
      <errorWord>(七)</errorWord>
      <group>L1_Format</group>
      <groupName>格式问题</groupName>
      <ability>L2_Ordinal</ability>
      <abilityName>序号格式</abilityName>
      <candidateList>
        <item>（七）</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1DD8FD66</paraID>
      <start>0</start>
      <end>3</end>
      <status>modified</status>
      <modifiedWord>（七）</modifiedWord>
      <trackRevisions>false</trackRevisions>
    </reviewItem>
    <reviewItem>
      <errorID>3208d0b8-17b2-4978-9ba6-c22d3f3974a8</errorID>
      <errorWord>(八)</errorWord>
      <group>L1_Format</group>
      <groupName>格式问题</groupName>
      <ability>L2_Ordinal</ability>
      <abilityName>序号格式</abilityName>
      <candidateList>
        <item>（八）</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14F31D63</paraID>
      <start>0</start>
      <end>3</end>
      <status>modified</status>
      <modifiedWord>（八）</modifiedWord>
      <trackRevisions>false</trackRevisions>
    </reviewItem>
    <reviewItem>
      <errorID>9bbd3248-3a61-4b96-ab83-59b12e14a274</errorID>
      <errorWord>(九)</errorWord>
      <group>L1_Format</group>
      <groupName>格式问题</groupName>
      <ability>L2_Ordinal</ability>
      <abilityName>序号格式</abilityName>
      <candidateList>
        <item>（九）</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48C24483</paraID>
      <start>0</start>
      <end>3</end>
      <status>modified</status>
      <modifiedWord>（九）</modifiedWord>
      <trackRevisions>false</trackRevisions>
    </reviewItem>
    <reviewItem>
      <errorID>91e90bd0-5326-4ed1-b87a-7b397cfc0d2e</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49A07734</paraID>
      <start>0</start>
      <end>3</end>
      <status>modified</status>
      <modifiedWord>（一）</modifiedWord>
      <trackRevisions>false</trackRevisions>
    </reviewItem>
    <reviewItem>
      <errorID>4e1212a5-1bc8-4804-a325-9b66e3c3dbf0</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52015200</paraID>
      <start>0</start>
      <end>3</end>
      <status>modified</status>
      <modifiedWord>（二）</modifiedWord>
      <trackRevisions>false</trackRevisions>
    </reviewItem>
    <reviewItem>
      <errorID>9ff9fce3-3013-41b7-a54c-e8da7651d0f1</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4365E004</paraID>
      <start>0</start>
      <end>3</end>
      <status>modified</status>
      <modifiedWord>（三）</modifiedWord>
      <trackRevisions>false</trackRevisions>
    </reviewItem>
    <reviewItem>
      <errorID>d96a1641-dbf0-4332-9360-6e4e7b06211e</errorID>
      <errorWord>如若</errorWord>
      <group>L1_Word</group>
      <groupName>字词问题</groupName>
      <ability>L2_Typo</ability>
      <abilityName>字词错误</abilityName>
      <candidateList>
        <item>若</item>
      </candidateList>
      <explain/>
      <paraID>71266670</paraID>
      <start>18</start>
      <end>19</end>
      <status>modified</status>
      <modifiedWord>若</modifiedWord>
      <trackRevisions>false</trackRevisions>
    </reviewItem>
    <reviewItem>
      <errorID>63ce5aec-878a-4f59-8256-1fcdf1183c05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552C7F7B</paraID>
      <start>0</start>
      <end>2</end>
      <status>ignored</status>
      <modifiedWord/>
      <trackRevisions>false</trackRevisions>
    </reviewItem>
    <reviewItem>
      <errorID>ff763b27-53ef-459b-b341-79d536945ce7</errorID>
      <errorWord>其它缺陷</errorWord>
      <group>L1_Word</group>
      <groupName>字词问题</groupName>
      <ability>L2_Alias</ability>
      <abilityName>也作/曾用词</abilityName>
      <candidateList>
        <item>其他缺陷</item>
      </candidateList>
      <explain>词汇[其它缺陷]为不规范表述或旧称，其规范书面表述为[其他缺陷]。</explain>
      <paraID>18EAF109</paraID>
      <start>42</start>
      <end>46</end>
      <status>modified</status>
      <modifiedWord>其他缺陷</modifiedWord>
      <trackRevisions>false</trackRevisions>
    </reviewItem>
    <reviewItem>
      <errorID>b5709d49-c6a3-470c-9fcc-f9327989811e</errorID>
      <errorWord>各类别</errorWord>
      <group>L1_Word</group>
      <groupName>字词问题</groupName>
      <ability>L2_Typo</ability>
      <abilityName>字词错误</abilityName>
      <candidateList>
        <item>各类</item>
      </candidateList>
      <explain/>
      <paraID>18CAAECD</paraID>
      <start>67</start>
      <end>69</end>
      <status>modified</status>
      <modifiedWord>各类</modifiedWord>
      <trackRevisions>false</trackRevisions>
    </reviewItem>
    <reviewItem>
      <errorID>64b3cfa4-1596-4b0c-8d75-0c18b95ca4f1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47B40EE6</paraID>
      <start>0</start>
      <end>2</end>
      <status>ignored</status>
      <modifiedWord/>
      <trackRevisions>false</trackRevisions>
    </reviewItem>
    <reviewItem>
      <errorID>641c545c-dd5e-4946-9c33-0a3591a6ad88</errorID>
      <errorWord>第五十、</errorWord>
      <group>L1_Punc</group>
      <groupName>标点问题</groupName>
      <ability>L2_Punc_CN</ability>
      <abilityName>标点符号问题</abilityName>
      <candidateList>
        <item>第五十，</item>
      </candidateList>
      <explain>连接词前后不宜使用顿号，建议使用逗号。</explain>
      <paraID>3D29E85A</paraID>
      <start>163</start>
      <end>167</end>
      <status>ignored</status>
      <modifiedWord/>
      <trackRevisions>false</trackRevisions>
    </reviewItem>
    <reviewItem>
      <errorID>ecf2982b-2091-4050-aad5-c80fc2f87b03</errorID>
      <errorWord>0.67~0.70%</errorWord>
      <group>L1_Knowledge</group>
      <groupName>知识性问题</groupName>
      <ability>L2_Knowledge</ability>
      <abilityName>其他知识</abilityName>
      <candidateList>
        <item>0.67%～0.70%</item>
      </candidateList>
      <explain>1. “0.67~0.70%”中的单位“%”仅出现在后一个数字上，容易引起歧义；根据《现代汉语标点符号数字用法规范手册》，数字表示范围两边需要使用统一的格式。2. 根据标点国标 4.13 中的规则，数字、时间或地域连接符应使用（视觉上更长的）“—”或“～”。</explain>
      <paraID>1A502E17</paraID>
      <start>67</start>
      <end>78</end>
      <status>modified</status>
      <modifiedWord>0.67%～0.70%</modifiedWord>
      <trackRevisions>false</trackRevisions>
    </reviewItem>
    <reviewItem>
      <errorID>2455d1d7-5f48-4ace-9c6c-ba4c7509fdaf</errorID>
      <errorWord>0.85-0.9%</errorWord>
      <group>L1_Knowledge</group>
      <groupName>知识性问题</groupName>
      <ability>L2_Knowledge</ability>
      <abilityName>其他知识</abilityName>
      <candidateList>
        <item>0.85%—0.9%</item>
      </candidateList>
      <explain>1. “0.85-0.9%”中的单位“%”仅出现在后一个数字上，容易引起歧义；根据《现代汉语标点符号数字用法规范手册》，数字表示范围两边需要使用统一的格式。2. 根据标点国标 4.13 中的规则，数字、时间或地域连接符应使用（视觉上更长的）“—”或“～”。</explain>
      <paraID>1A502E17</paraID>
      <start>91</start>
      <end>101</end>
      <status>modified</status>
      <modifiedWord>0.85%—0.9%</modifiedWord>
      <trackRevisions>false</trackRevisions>
    </reviewItem>
    <reviewItem>
      <errorID>04adb056-e2dc-4b4c-a768-db0f0058efa8</errorID>
      <errorWord>一元酵</errorWord>
      <group>L1_Word</group>
      <groupName>字词问题</groupName>
      <ability>L2_Typo</ability>
      <abilityName>字词错误</abilityName>
      <candidateList>
        <item>一元醇</item>
      </candidateList>
      <explain>存在字形相近字词的误用。</explain>
      <paraID>36328D86</paraID>
      <start>33</start>
      <end>36</end>
      <status>modified</status>
      <modifiedWord>一元醇</modifiedWord>
      <trackRevisions>false</trackRevisions>
    </reviewItem>
    <reviewItem>
      <errorID>880a84ed-50be-41d0-9c44-ca951ffaf023</errorID>
      <errorWord>乙酵</errorWord>
      <group>L1_Word</group>
      <groupName>字词问题</groupName>
      <ability>L2_Typo</ability>
      <abilityName>字词错误</abilityName>
      <candidateList>
        <item>乙醇</item>
      </candidateList>
      <explain/>
      <paraID>36328D86</paraID>
      <start>97</start>
      <end>99</end>
      <status>modified</status>
      <modifiedWord>乙醇</modifiedWord>
      <trackRevisions>false</trackRevisions>
    </reviewItem>
    <reviewItem>
      <errorID>005a8e8e-83a4-4e11-be4b-fab856064b3b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50F44DF9</paraID>
      <start>81</start>
      <end>82</end>
      <status>modified</status>
      <modifiedWord>—</modifiedWord>
      <trackRevisions>false</trackRevisions>
    </reviewItem>
    <reviewItem>
      <errorID>4fe66dd3-391a-457d-bfc2-05c07307eaef</errorID>
      <errorWord>计</errorWord>
      <group>L1_Word</group>
      <groupName>字词问题</groupName>
      <ability>L2_Typo</ability>
      <abilityName>字词错误</abilityName>
      <candidateList>
        <item>计算</item>
      </candidateList>
      <explain/>
      <paraID>38A8677F</paraID>
      <start>20</start>
      <end>21</end>
      <status>ignored</status>
      <modifiedWord/>
      <trackRevisions>false</trackRevisions>
    </reviewItem>
    <reviewItem>
      <errorID>1e29faae-7512-4c60-b5cf-a7526c906cad</errorID>
      <errorWord>:</errorWord>
      <group>L1_Format</group>
      <groupName>格式问题</groupName>
      <ability>L2_HalfPunc_CN</ability>
      <abilityName>全半角问题</abilityName>
      <candidateList>
        <item>：</item>
      </candidateList>
      <explain>文本全半角错误。</explain>
      <paraID>6D829E52</paraID>
      <start>21</start>
      <end>22</end>
      <status>modified</status>
      <modifiedWord>：</modifiedWord>
      <trackRevisions>false</trackRevisions>
    </reviewItem>
    <reviewItem>
      <errorID>0ba17913-3f48-4117-837d-82e0c6a66324</errorID>
      <errorWord>项目在</errorWord>
      <group>L1_Word</group>
      <groupName>字词问题</groupName>
      <ability>L2_Typo</ability>
      <abilityName>字词错误</abilityName>
      <candidateList>
        <item>项目</item>
      </candidateList>
      <explain/>
      <paraID>7D213C58</paraID>
      <start>100</start>
      <end>102</end>
      <status>modified</status>
      <modifiedWord>项目</modifiedWord>
      <trackRevisions>false</trackRevisions>
    </reviewItem>
    <reviewItem>
      <errorID>b3cf44f2-9185-45a3-9893-1ccafd319820</errorID>
      <errorWord>-</errorWord>
      <group>L1_Format</group>
      <groupName>格式问题</groupName>
      <ability>L2_HalfPunc_CN</ability>
      <abilityName>全半角问题</abilityName>
      <candidateList>
        <item>－</item>
      </candidateList>
      <explain>文本全半角错误。</explain>
      <paraID>761AF1CB</paraID>
      <start>87</start>
      <end>88</end>
      <status>modified</status>
      <modifiedWord>－</modifiedWord>
      <trackRevisions>false</trackRevisions>
    </reviewItem>
    <reviewItem>
      <errorID>f976355a-0aad-4be1-abe3-c84e69fa7999</errorID>
      <errorWord>-</errorWord>
      <group>L1_Format</group>
      <groupName>格式问题</groupName>
      <ability>L2_HalfPunc_CN</ability>
      <abilityName>全半角问题</abilityName>
      <candidateList>
        <item>－</item>
      </candidateList>
      <explain>文本全半角错误。</explain>
      <paraID>761AF1CB</paraID>
      <start>142</start>
      <end>143</end>
      <status>modified</status>
      <modifiedWord>－</modifiedWord>
      <trackRevisions>false</trackRevisions>
    </reviewItem>
    <reviewItem>
      <errorID>3691ff93-f4b2-4b97-9071-07fa811cdce6</errorID>
      <errorWord>(</errorWord>
      <group>L1_Format</group>
      <groupName>格式问题</groupName>
      <ability>L2_HalfPunc_CN</ability>
      <abilityName>全半角问题</abilityName>
      <candidateList>
        <item>（</item>
      </candidateList>
      <explain>文本全半角错误。</explain>
      <paraID>6DFAD3F0</paraID>
      <start>20</start>
      <end>21</end>
      <status>modified</status>
      <modifiedWord>（</modifiedWord>
      <trackRevisions>false</trackRevisions>
    </reviewItem>
    <reviewItem>
      <errorID>314ba4a9-7e30-45f1-a290-ef80335cadf2</errorID>
      <errorWord>)</errorWord>
      <group>L1_Format</group>
      <groupName>格式问题</groupName>
      <ability>L2_HalfPunc_CN</ability>
      <abilityName>全半角问题</abilityName>
      <candidateList>
        <item>）</item>
      </candidateList>
      <explain>文本全半角错误。</explain>
      <paraID>6DFAD3F0</paraID>
      <start>26</start>
      <end>27</end>
      <status>modified</status>
      <modifiedWord>）</modifiedWord>
      <trackRevisions>false</trackRevisions>
    </reviewItem>
    <reviewItem>
      <errorID>3e972913-38cf-4fe3-8cef-cba42c245cc0</errorID>
      <errorWord>(</errorWord>
      <group>L1_Format</group>
      <groupName>格式问题</groupName>
      <ability>L2_HalfPunc_CN</ability>
      <abilityName>全半角问题</abilityName>
      <candidateList>
        <item>（</item>
      </candidateList>
      <explain>文本全半角错误。</explain>
      <paraID>6DFAD3F0</paraID>
      <start>32</start>
      <end>33</end>
      <status>modified</status>
      <modifiedWord>（</modifiedWord>
      <trackRevisions>false</trackRevisions>
    </reviewItem>
    <reviewItem>
      <errorID>e090445d-5790-450d-947b-94dbeaf2b4eb</errorID>
      <errorWord>)</errorWord>
      <group>L1_Format</group>
      <groupName>格式问题</groupName>
      <ability>L2_HalfPunc_CN</ability>
      <abilityName>全半角问题</abilityName>
      <candidateList>
        <item>）</item>
      </candidateList>
      <explain>文本全半角错误。</explain>
      <paraID>6DFAD3F0</paraID>
      <start>46</start>
      <end>47</end>
      <status>modified</status>
      <modifiedWord>）</modifiedWord>
      <trackRevisions>false</trackRevisions>
    </reviewItem>
    <reviewItem>
      <errorID>97bf94b3-e52d-4bdb-8223-8eab87cb3b2c</errorID>
      <errorWord>程</errorWord>
      <group>L1_Word</group>
      <groupName>字词问题</groupName>
      <ability>L2_Typo</ability>
      <abilityName>字词错误</abilityName>
      <candidateList>
        <item>程中</item>
      </candidateList>
      <explain/>
      <paraID>6DFAD3F0</paraID>
      <start>136</start>
      <end>138</end>
      <status>modified</status>
      <modifiedWord>程中</modifiedWord>
      <trackRevisions>false</trackRevisions>
    </reviewItem>
    <reviewItem>
      <errorID>dd35f545-3320-4a04-a44c-ff75b5c67af5</errorID>
      <errorWord>(</errorWord>
      <group>L1_Format</group>
      <groupName>格式问题</groupName>
      <ability>L2_HalfPunc_CN</ability>
      <abilityName>全半角问题</abilityName>
      <candidateList>
        <item>（</item>
      </candidateList>
      <explain>文本全半角错误。</explain>
      <paraID>6F284683</paraID>
      <start>9</start>
      <end>10</end>
      <status>modified</status>
      <modifiedWord>（</modifiedWord>
      <trackRevisions>false</trackRevisions>
    </reviewItem>
    <reviewItem>
      <errorID>d322c5d6-2d36-4083-89bd-986d60c6fc33</errorID>
      <errorWord>(</errorWord>
      <group>L1_Format</group>
      <groupName>格式问题</groupName>
      <ability>L2_HalfPunc_CN</ability>
      <abilityName>全半角问题</abilityName>
      <candidateList>
        <item>（</item>
      </candidateList>
      <explain>文本全半角错误。</explain>
      <paraID>36CB0E3B</paraID>
      <start>9</start>
      <end>10</end>
      <status>modified</status>
      <modifiedWord>（</modifiedWord>
      <trackRevisions>false</trackRevisions>
    </reviewItem>
    <reviewItem>
      <errorID>cf7cb36e-b71d-49d7-a8f4-fcb83b77a83c</errorID>
      <errorWord>-</errorWord>
      <group>L1_Format</group>
      <groupName>格式问题</groupName>
      <ability>L2_HalfPunc_CN</ability>
      <abilityName>全半角问题</abilityName>
      <candidateList>
        <item>－</item>
      </candidateList>
      <explain>文本全半角错误。</explain>
      <paraID>3ADBAB7F</paraID>
      <start>27</start>
      <end>28</end>
      <status>modified</status>
      <modifiedWord>－</modifiedWord>
      <trackRevisions>false</trackRevisions>
    </reviewItem>
    <reviewItem>
      <errorID>b530a6a0-3737-4171-a3ac-1206bcc43b1a</errorID>
      <errorWord>~</errorWord>
      <group>L1_Format</group>
      <groupName>格式问题</groupName>
      <ability>L2_HalfPunc_CN</ability>
      <abilityName>全半角问题</abilityName>
      <candidateList>
        <item>～</item>
      </candidateList>
      <explain>文本全半角错误。</explain>
      <paraID> 9CC0F46</paraID>
      <start>27</start>
      <end>28</end>
      <status>modified</status>
      <modifiedWord>～</modifiedWord>
      <trackRevisions>false</trackRevisions>
    </reviewItem>
    <reviewItem>
      <errorID>be39a9f4-0897-4879-9770-352bc8dfa9ac</errorID>
      <errorWord>~</errorWord>
      <group>L1_Format</group>
      <groupName>格式问题</groupName>
      <ability>L2_HalfPunc_CN</ability>
      <abilityName>全半角问题</abilityName>
      <candidateList>
        <item>～</item>
      </candidateList>
      <explain>文本全半角错误。</explain>
      <paraID>5DB14837</paraID>
      <start>28</start>
      <end>29</end>
      <status>modified</status>
      <modifiedWord>～</modifiedWord>
      <trackRevisions>false</trackRevisions>
    </reviewItem>
    <reviewItem>
      <errorID>83791787-14a8-410e-a810-041a5ab02cec</errorID>
      <errorWord>&gt;</errorWord>
      <group>L1_Punc</group>
      <groupName>标点问题</groupName>
      <ability>L2_Punc_CN</ability>
      <abilityName>标点符号问题</abilityName>
      <candidateList/>
      <explain/>
      <paraID> A6004F6</paraID>
      <start>0</start>
      <end>1</end>
      <status>ignored</status>
      <modifiedWord/>
      <trackRevisions>false</trackRevisions>
    </reviewItem>
    <reviewItem>
      <errorID>f997135e-c5b3-48a6-a695-3c8a08b9deff</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145FBC2C</paraID>
      <start>16</start>
      <end>17</end>
      <status>ignored</status>
      <modifiedWord/>
      <trackRevisions>false</trackRevisions>
    </reviewItem>
    <reviewItem>
      <errorID>69606f0f-a29a-411b-b6e3-f31aa208a9ec</errorID>
      <errorWord>(</errorWord>
      <group>L1_Format</group>
      <groupName>格式问题</groupName>
      <ability>L2_HalfPunc_CN</ability>
      <abilityName>全半角问题</abilityName>
      <candidateList>
        <item>（</item>
      </candidateList>
      <explain>文本全半角错误。</explain>
      <paraID>19FCF8B3</paraID>
      <start>247</start>
      <end>248</end>
      <status>modified</status>
      <modifiedWord>（</modifiedWord>
      <trackRevisions>false</trackRevisions>
    </reviewItem>
    <reviewItem>
      <errorID>2af1b1e8-5598-4544-91f6-9e00fc8eb967</errorID>
      <errorWord>)</errorWord>
      <group>L1_Format</group>
      <groupName>格式问题</groupName>
      <ability>L2_HalfPunc_CN</ability>
      <abilityName>全半角问题</abilityName>
      <candidateList>
        <item>）</item>
      </candidateList>
      <explain>文本全半角错误。</explain>
      <paraID>19FCF8B3</paraID>
      <start>251</start>
      <end>252</end>
      <status>modified</status>
      <modifiedWord>）</modifiedWord>
      <trackRevisions>false</trackRevisions>
    </reviewItem>
    <reviewItem>
      <errorID>9e332bc8-6a01-4bc0-90c1-d4fcfefb01b5</errorID>
      <errorWord>(</errorWord>
      <group>L1_Format</group>
      <groupName>格式问题</groupName>
      <ability>L2_HalfPunc_CN</ability>
      <abilityName>全半角问题</abilityName>
      <candidateList>
        <item>（</item>
      </candidateList>
      <explain>文本全半角错误。</explain>
      <paraID>38E7C885</paraID>
      <start>27</start>
      <end>28</end>
      <status>modified</status>
      <modifiedWord>（</modifiedWord>
      <trackRevisions>false</trackRevisions>
    </reviewItem>
    <reviewItem>
      <errorID>0d49eb23-d70c-48a1-87d4-66c444c4b109</errorID>
      <errorWord>)</errorWord>
      <group>L1_Format</group>
      <groupName>格式问题</groupName>
      <ability>L2_HalfPunc_CN</ability>
      <abilityName>全半角问题</abilityName>
      <candidateList>
        <item>）</item>
      </candidateList>
      <explain>文本全半角错误。</explain>
      <paraID>38E7C885</paraID>
      <start>40</start>
      <end>41</end>
      <status>modified</status>
      <modifiedWord>）</modifiedWord>
      <trackRevisions>false</trackRevisions>
    </reviewItem>
    <reviewItem>
      <errorID>cc285cec-6c4e-40ab-85d6-10849f9ae6b3</errorID>
      <errorWord>(</errorWord>
      <group>L1_Format</group>
      <groupName>格式问题</groupName>
      <ability>L2_HalfPunc_CN</ability>
      <abilityName>全半角问题</abilityName>
      <candidateList>
        <item>（</item>
      </candidateList>
      <explain>文本全半角错误。</explain>
      <paraID>1F529406</paraID>
      <start>27</start>
      <end>28</end>
      <status>modified</status>
      <modifiedWord>（</modifiedWord>
      <trackRevisions>false</trackRevisions>
    </reviewItem>
    <reviewItem>
      <errorID>4c273a42-2289-4757-b3d9-2ed7352c4566</errorID>
      <errorWord>)</errorWord>
      <group>L1_Format</group>
      <groupName>格式问题</groupName>
      <ability>L2_HalfPunc_CN</ability>
      <abilityName>全半角问题</abilityName>
      <candidateList>
        <item>）</item>
      </candidateList>
      <explain>文本全半角错误。</explain>
      <paraID>1F529406</paraID>
      <start>40</start>
      <end>41</end>
      <status>modified</status>
      <modifiedWord>）</modifiedWord>
      <trackRevisions>false</trackRevisions>
    </reviewItem>
    <reviewItem>
      <errorID>db1bbf92-4a54-4bcf-a9b2-a2e6e5d809b3</errorID>
      <errorWord>：</errorWord>
      <group>L1_Format</group>
      <groupName>格式问题</groupName>
      <ability>L2_HalfPunc_CN</ability>
      <abilityName>全半角问题</abilityName>
      <candidateList>
        <item>:</item>
      </candidateList>
      <explain>文本全半角错误。</explain>
      <paraID>4A9AB589</paraID>
      <start>41</start>
      <end>42</end>
      <status>ignored</status>
      <modifiedWord/>
      <trackRevisions>false</trackRevisions>
    </reviewItem>
    <reviewItem>
      <errorID>f1b90cf4-433c-4fe4-8ea7-7b74a8416e89</errorID>
      <errorWord>&gt;</errorWord>
      <group>L1_Punc</group>
      <groupName>标点问题</groupName>
      <ability>L2_Punc_CN</ability>
      <abilityName>标点符号问题</abilityName>
      <candidateList/>
      <explain/>
      <paraID>60F36968</paraID>
      <start>0</start>
      <end>1</end>
      <status>ignored</status>
      <modifiedWord/>
      <trackRevisions>false</trackRevisions>
    </reviewItem>
    <reviewItem>
      <errorID>3ad86247-0103-4f0f-9cf0-4d47b60e7eec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2D476CB9</paraID>
      <start>174</start>
      <end>175</end>
      <status>modified</status>
      <modifiedWord>—</modifiedWord>
      <trackRevisions>false</trackRevisions>
    </reviewItem>
    <reviewItem>
      <errorID>b9184e16-226b-41dd-876a-f7719bca4352</errorID>
      <errorWord>主要成份为</errorWord>
      <group>L1_Word</group>
      <groupName>字词问题</groupName>
      <ability>L2_Variant</ability>
      <abilityName>异形词</abilityName>
      <candidateList>
        <item>主要成分为</item>
      </candidateList>
      <explain>词汇[主要成份为]的规范词形写作[主要成分为]。</explain>
      <paraID>2D476CB9</paraID>
      <start>185</start>
      <end>190</end>
      <status>modified</status>
      <modifiedWord>主要成分为</modifiedWord>
      <trackRevisions>false</trackRevisions>
    </reviewItem>
    <reviewItem>
      <errorID>d514373c-32c5-4332-8605-3b511448a725</errorID>
      <errorWord>做</errorWord>
      <group>L1_Word</group>
      <groupName>字词问题</groupName>
      <ability>L2_Typo</ability>
      <abilityName>字词错误</abilityName>
      <candidateList>
        <item>做好</item>
      </candidateList>
      <explain/>
      <paraID>694F39FA</paraID>
      <start>77</start>
      <end>79</end>
      <status>modified</status>
      <modifiedWord>做好</modifiedWord>
      <trackRevisions>false</trackRevisions>
    </reviewItem>
    <reviewItem>
      <errorID>5f5c7674-1193-405e-a304-3f27e10c3102</errorID>
      <errorWord>般</errorWord>
      <group>L1_Word</group>
      <groupName>字词问题</groupName>
      <ability>L2_Typo</ability>
      <abilityName>字词错误</abilityName>
      <candidateList>
        <item>般在</item>
      </candidateList>
      <explain/>
      <paraID>64554A5E</paraID>
      <start>40</start>
      <end>42</end>
      <status>modified</status>
      <modifiedWord>般在</modifiedWord>
      <trackRevisions>false</trackRevisions>
    </reviewItem>
    <reviewItem>
      <errorID>3fcbf1bb-01c0-47b8-b261-fc7502e1b92a</errorID>
      <errorWord>减震</errorWord>
      <group>L1_Word</group>
      <groupName>字词问题</groupName>
      <ability>L2_Typo</ability>
      <abilityName>字词错误</abilityName>
      <candidateList>
        <item>减振</item>
      </candidateList>
      <explain>存在发音相同字词的误用。</explain>
      <paraID>76F7A009</paraID>
      <start>8</start>
      <end>10</end>
      <status>modified</status>
      <modifiedWord>减振</modifiedWord>
      <trackRevisions>false</trackRevisions>
    </reviewItem>
    <reviewItem>
      <errorID>4b551c96-2ff7-4a16-8f39-cc555be06751</errorID>
      <errorWord>（</errorWord>
      <group>L1_Punc</group>
      <groupName>标点问题</groupName>
      <ability>L2_Punc_CN</ability>
      <abilityName>标点符号问题</abilityName>
      <candidateList/>
      <explain>同一形式括号套用。</explain>
      <paraID>2B7AA26C</paraID>
      <start>14</start>
      <end>15</end>
      <status>ignored</status>
      <modifiedWord/>
      <trackRevisions>false</trackRevisions>
    </reviewItem>
    <reviewItem>
      <errorID>a5d6cef8-2a15-4865-b981-c16aa68a2c4a</errorID>
      <errorWord>)</errorWord>
      <group>L1_Format</group>
      <groupName>格式问题</groupName>
      <ability>L2_HalfPunc_CN</ability>
      <abilityName>全半角问题</abilityName>
      <candidateList>
        <item>）</item>
      </candidateList>
      <explain>文本全半角错误。</explain>
      <paraID>445EA008</paraID>
      <start>21</start>
      <end>22</end>
      <status>modified</status>
      <modifiedWord>）</modifiedWord>
      <trackRevisions>false</trackRevisions>
    </reviewItem>
    <reviewItem>
      <errorID>30a1cb23-e269-4216-aeb9-18d2671b6ab1</errorID>
      <errorWord>（</errorWord>
      <group>L1_Format</group>
      <groupName>格式问题</groupName>
      <ability>L2_HalfPunc_CN</ability>
      <abilityName>全半角问题</abilityName>
      <candidateList>
        <item>(</item>
      </candidateList>
      <explain>文本全半角错误。</explain>
      <paraID>32187A6D</paraID>
      <start>3</start>
      <end>4</end>
      <status>ignored</status>
      <modifiedWord/>
      <trackRevisions>false</trackRevisions>
    </reviewItem>
    <reviewItem>
      <errorID>941922bc-f29f-495d-8940-a2e78bdee669</errorID>
      <errorWord>程</errorWord>
      <group>L1_Word</group>
      <groupName>字词问题</groupName>
      <ability>L2_Typo</ability>
      <abilityName>字词错误</abilityName>
      <candidateList>
        <item>程中</item>
      </candidateList>
      <explain/>
      <paraID>164F9724</paraID>
      <start>39</start>
      <end>41</end>
      <status>modified</status>
      <modifiedWord>程中</modifiedWord>
      <trackRevisions>false</trackRevisions>
    </reviewItem>
    <reviewItem>
      <errorID>d8eae3eb-bdfe-4322-84e6-09daf3b68f88</errorID>
      <errorWord>程</errorWord>
      <group>L1_Word</group>
      <groupName>字词问题</groupName>
      <ability>L2_Typo</ability>
      <abilityName>字词错误</abilityName>
      <candidateList>
        <item>程中</item>
      </candidateList>
      <explain/>
      <paraID>164F9724</paraID>
      <start>71</start>
      <end>73</end>
      <status>modified</status>
      <modifiedWord>程中</modifiedWord>
      <trackRevisions>false</trackRevisions>
    </reviewItem>
    <reviewItem>
      <errorID>5f84c83c-00df-49c8-b414-b226fbcf4ff8</errorID>
      <errorWord>(</errorWord>
      <group>L1_Format</group>
      <groupName>格式问题</groupName>
      <ability>L2_HalfPunc_CN</ability>
      <abilityName>全半角问题</abilityName>
      <candidateList>
        <item>（</item>
      </candidateList>
      <explain>文本全半角错误。</explain>
      <paraID>53D85A5A</paraID>
      <start>191</start>
      <end>192</end>
      <status>modified</status>
      <modifiedWord>（</modifiedWord>
      <trackRevisions>false</trackRevisions>
    </reviewItem>
    <reviewItem>
      <errorID>44817421-049e-4b5e-8836-ff5af6b24540</errorID>
      <errorWord>)</errorWord>
      <group>L1_Format</group>
      <groupName>格式问题</groupName>
      <ability>L2_HalfPunc_CN</ability>
      <abilityName>全半角问题</abilityName>
      <candidateList>
        <item>）</item>
      </candidateList>
      <explain>文本全半角错误。</explain>
      <paraID>53D85A5A</paraID>
      <start>193</start>
      <end>194</end>
      <status>modified</status>
      <modifiedWord>）</modifiedWord>
      <trackRevisions>false</trackRevisions>
    </reviewItem>
    <reviewItem>
      <errorID>6bd4ca8c-072f-40bd-9539-452f289c8842</errorID>
      <errorWord>,</errorWord>
      <group>L1_Format</group>
      <groupName>格式问题</groupName>
      <ability>L2_HalfPunc_CN</ability>
      <abilityName>全半角问题</abilityName>
      <candidateList>
        <item>，</item>
      </candidateList>
      <explain>文本全半角错误。</explain>
      <paraID>5CD1EE9C</paraID>
      <start>88</start>
      <end>89</end>
      <status>modified</status>
      <modifiedWord>，</modifiedWord>
      <trackRevisions>false</trackRevisions>
    </reviewItem>
    <reviewItem>
      <errorID>a32c4257-8df6-4642-86e9-f5ab889e3984</errorID>
      <errorWord>(</errorWord>
      <group>L1_Format</group>
      <groupName>格式问题</groupName>
      <ability>L2_HalfPunc_CN</ability>
      <abilityName>全半角问题</abilityName>
      <candidateList>
        <item>（</item>
      </candidateList>
      <explain>文本全半角错误。</explain>
      <paraID>5AD23713</paraID>
      <start>16</start>
      <end>17</end>
      <status>modified</status>
      <modifiedWord>（</modifiedWord>
      <trackRevisions>false</trackRevisions>
    </reviewItem>
    <reviewItem>
      <errorID>698a1dab-7087-4b49-9873-e58272067957</errorID>
      <errorWord>部令</errorWord>
      <group>L1_Sensitive</group>
      <groupName>敏感问题</groupName>
      <ability>L2_UserSensitive</ability>
      <abilityName>自定义敏感词</abilityName>
      <candidateList/>
      <explain>来自自定义敏感词库。</explain>
      <paraID>5AD23713</paraID>
      <start>32</start>
      <end>34</end>
      <status>ignored</status>
      <modifiedWord/>
      <trackRevisions>false</trackRevisions>
    </reviewItem>
    <reviewItem>
      <errorID>4b6ec01c-7426-4e23-a339-dd2468c261ef</errorID>
      <errorWord>)</errorWord>
      <group>L1_Format</group>
      <groupName>格式问题</groupName>
      <ability>L2_HalfPunc_CN</ability>
      <abilityName>全半角问题</abilityName>
      <candidateList>
        <item>）</item>
      </candidateList>
      <explain>文本全半角错误。</explain>
      <paraID>5AD23713</paraID>
      <start>38</start>
      <end>39</end>
      <status>modified</status>
      <modifiedWord>）</modifiedWord>
      <trackRevisions>false</trackRevisions>
    </reviewItem>
    <reviewItem>
      <errorID>2334da67-17f6-42c5-83ea-e3e14e95abd4</errorID>
      <errorWord>须</errorWord>
      <group>L1_Word</group>
      <groupName>字词问题</groupName>
      <ability>L2_Typo</ability>
      <abilityName>字词错误</abilityName>
      <candidateList>
        <item>须以</item>
      </candidateList>
      <explain/>
      <paraID>12F6744D</paraID>
      <start>6</start>
      <end>8</end>
      <status>modified</status>
      <modifiedWord>须以</modifiedWord>
      <trackRevisions>false</trackRevisions>
    </reviewItem>
    <reviewItem>
      <errorID>f1355c08-093c-4fe4-8edc-3092784a0797</errorID>
      <errorWord>接受单位</errorWord>
      <group>L1_Word</group>
      <groupName>字词问题</groupName>
      <ability>L2_Typo</ability>
      <abilityName>字词错误</abilityName>
      <candidateList>
        <item>接收单位</item>
      </candidateList>
      <explain/>
      <paraID>6F2172C3</paraID>
      <start>64</start>
      <end>68</end>
      <status>modified</status>
      <modifiedWord>接收单位</modifiedWord>
      <trackRevisions>false</trackRevisions>
    </reviewItem>
    <reviewItem>
      <errorID>bf06f355-485d-4194-86cf-34fb2dc7f89d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31433798</paraID>
      <start>121</start>
      <end>122</end>
      <status>modified</status>
      <modifiedWord>—</modifiedWord>
      <trackRevisions>false</trackRevisions>
    </reviewItem>
    <reviewItem>
      <errorID>24361929-53fb-4a7b-a812-c74821fac3f0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C6BC40B</paraID>
      <start>28</start>
      <end>29</end>
      <status>modified</status>
      <modifiedWord>—</modifiedWord>
      <trackRevisions>false</trackRevisions>
    </reviewItem>
    <reviewItem>
      <errorID>56b7c04a-b231-43fc-bdb3-b828776e02a3</errorID>
      <errorWord>，.....</errorWord>
      <group>L1_Punc</group>
      <groupName>标点问题</groupName>
      <ability>L2_Punc_CN</ability>
      <abilityName>标点符号问题</abilityName>
      <candidateList>
        <item>，</item>
      </candidateList>
      <explain/>
      <paraID>6CEFEC6F</paraID>
      <start>5</start>
      <end>11</end>
      <status>ignored</status>
      <modifiedWord/>
      <trackRevisions>false</trackRevisions>
    </reviewItem>
    <reviewItem>
      <errorID>b81d25f8-d3f2-4051-8826-98aab8a393c7</errorID>
      <errorWord>间隔断</errorWord>
      <group>L1_Word</group>
      <groupName>字词问题</groupName>
      <ability>L2_Typo</ability>
      <abilityName>字词错误</abilityName>
      <candidateList>
        <item>间隔</item>
      </candidateList>
      <explain/>
      <paraID> 1BA485B</paraID>
      <start>140</start>
      <end>142</end>
      <status>modified</status>
      <modifiedWord>间隔</modifiedWord>
      <trackRevisions>false</trackRevisions>
    </reviewItem>
    <reviewItem>
      <errorID>5fcd97cb-16c4-4be7-a147-69672153ce10</errorID>
      <errorWord>设</errorWord>
      <group>L1_Word</group>
      <groupName>字词问题</groupName>
      <ability>L2_Typo</ability>
      <abilityName>字词错误</abilityName>
      <candidateList>
        <item>设立</item>
      </candidateList>
      <explain/>
      <paraID>6E4DA3CE</paraID>
      <start>188</start>
      <end>190</end>
      <status>modified</status>
      <modifiedWord>设立</modifiedWord>
      <trackRevisions>false</trackRevisions>
    </reviewItem>
    <reviewItem>
      <errorID>3279f892-22e2-4e1b-8be8-7cb6bd5acaa0</errorID>
      <errorWord>(</errorWord>
      <group>L1_Format</group>
      <groupName>格式问题</groupName>
      <ability>L2_HalfPunc_CN</ability>
      <abilityName>全半角问题</abilityName>
      <candidateList>
        <item>（</item>
      </candidateList>
      <explain>文本全半角错误。</explain>
      <paraID>41A9CD47</paraID>
      <start>3</start>
      <end>4</end>
      <status>modified</status>
      <modifiedWord>（</modifiedWord>
      <trackRevisions>false</trackRevisions>
    </reviewItem>
    <reviewItem>
      <errorID>42046a0a-bfaf-493c-8222-4dbdad6c7b5e</errorID>
      <errorWord>)</errorWord>
      <group>L1_Format</group>
      <groupName>格式问题</groupName>
      <ability>L2_HalfPunc_CN</ability>
      <abilityName>全半角问题</abilityName>
      <candidateList>
        <item>）</item>
      </candidateList>
      <explain>文本全半角错误。</explain>
      <paraID>41A9CD47</paraID>
      <start>9</start>
      <end>10</end>
      <status>modified</status>
      <modifiedWord>）</modifiedWord>
      <trackRevisions>false</trackRevisions>
    </reviewItem>
    <reviewItem>
      <errorID>fac8171d-3192-4634-a624-a9dbbf628676</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75A53358</paraID>
      <start>19</start>
      <end>20</end>
      <status>ignored</status>
      <modifiedWord/>
      <trackRevisions>false</trackRevisions>
    </reviewItem>
    <reviewItem>
      <errorID>b1b5ee54-63b8-4846-b67b-4d1f90c1419e</errorID>
      <errorWord>准</errorWord>
      <group>L1_Word</group>
      <groupName>字词问题</groupName>
      <ability>L2_Typo</ability>
      <abilityName>字词错误</abilityName>
      <candidateList>
        <item>准和</item>
      </candidateList>
      <explain/>
      <paraID>1C6F3F0C</paraID>
      <start>52</start>
      <end>54</end>
      <status>modified</status>
      <modifiedWord>准和</modifiedWord>
      <trackRevisions>false</trackRevisions>
    </reviewItem>
    <reviewItem>
      <errorID>bbe76a22-f96d-4199-a0e0-9b1aaa49cee7</errorID>
      <errorWord>.</errorWord>
      <group>L1_Punc</group>
      <groupName>标点问题</groupName>
      <ability>L2_Punc_CN</ability>
      <abilityName>标点符号问题</abilityName>
      <candidateList/>
      <explain/>
      <paraID>566318DB</paraID>
      <start>0</start>
      <end>1</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5ec9c6c-f76a-45b7-8db8-245e8ed0bb5e}">
  <ds:schemaRefs/>
</ds:datastoreItem>
</file>

<file path=docProps/app.xml><?xml version="1.0" encoding="utf-8"?>
<Properties xmlns="http://schemas.openxmlformats.org/officeDocument/2006/extended-properties" xmlns:vt="http://schemas.openxmlformats.org/officeDocument/2006/docPropsVTypes">
  <Template>Normal.dotm</Template>
  <Pages>62</Pages>
  <Words>17080</Words>
  <Characters>18070</Characters>
  <Lines>0</Lines>
  <Paragraphs>0</Paragraphs>
  <TotalTime>1</TotalTime>
  <ScaleCrop>false</ScaleCrop>
  <LinksUpToDate>false</LinksUpToDate>
  <CharactersWithSpaces>18191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2022-09-30T03:05:00Z</dcterms:created>
  <dc:creator>pretty  G</dc:creator>
  <cp:lastModifiedBy>DouDou</cp:lastModifiedBy>
  <cp:lastPrinted>2025-10-13T04:16:00Z</cp:lastPrinted>
  <dcterms:modified xsi:type="dcterms:W3CDTF">2026-10-22T13:08:07Z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AEDAA6ED03BF4BE391E7460842953549_13</vt:lpwstr>
  </property>
  <property fmtid="{D5CDD505-2E9C-101B-9397-08002B2CF9AE}" pid="4" name="KSOTemplateDocerSaveRecord">
    <vt:lpwstr>eyJoZGlkIjoiMGJmYzY1YjY0MzEzOWQxYjk1ZmE0ZjIzODQxZDkyOWMiLCJ1c2VySWQiOiI1MjM5NTAxMzIifQ==</vt:lpwstr>
  </property>
</Properties>
</file>